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86C09" w14:textId="77777777" w:rsidR="00CC586D" w:rsidRPr="00CC586D" w:rsidRDefault="00CC586D" w:rsidP="00560AC0">
      <w:pPr>
        <w:ind w:right="-28"/>
        <w:rPr>
          <w:color w:val="FFFFFF" w:themeColor="background1"/>
          <w:sz w:val="24"/>
        </w:rPr>
      </w:pPr>
      <w:bookmarkStart w:id="0" w:name="_GoBack"/>
      <w:bookmarkEnd w:id="0"/>
      <w:r w:rsidRPr="00CC586D">
        <w:rPr>
          <w:color w:val="FFFFFF" w:themeColor="background1"/>
          <w:sz w:val="24"/>
        </w:rPr>
        <w:t>Independent Hospital Pricing Authority</w:t>
      </w:r>
    </w:p>
    <w:p w14:paraId="63157939" w14:textId="1038431B" w:rsidR="00D63295" w:rsidRDefault="00D63295" w:rsidP="00560AC0">
      <w:pPr>
        <w:pStyle w:val="Title"/>
        <w:ind w:right="-28"/>
      </w:pPr>
      <w:bookmarkStart w:id="1" w:name="_Toc467505158"/>
      <w:bookmarkStart w:id="2" w:name="_Toc467676252"/>
      <w:bookmarkStart w:id="3" w:name="_Toc467745534"/>
      <w:bookmarkStart w:id="4" w:name="_Toc467759074"/>
      <w:bookmarkStart w:id="5" w:name="_Toc467759564"/>
      <w:bookmarkStart w:id="6" w:name="_Toc467759716"/>
      <w:bookmarkStart w:id="7" w:name="_Toc467760006"/>
      <w:bookmarkStart w:id="8" w:name="_Toc468204003"/>
      <w:bookmarkStart w:id="9" w:name="_Toc468374334"/>
      <w:bookmarkStart w:id="10" w:name="_Toc476305098"/>
      <w:bookmarkStart w:id="11" w:name="_Toc476305219"/>
      <w:r>
        <w:t>Technical Specifications</w:t>
      </w:r>
      <w:bookmarkEnd w:id="1"/>
      <w:bookmarkEnd w:id="2"/>
      <w:bookmarkEnd w:id="3"/>
      <w:bookmarkEnd w:id="4"/>
      <w:bookmarkEnd w:id="5"/>
      <w:bookmarkEnd w:id="6"/>
      <w:bookmarkEnd w:id="7"/>
      <w:bookmarkEnd w:id="8"/>
      <w:bookmarkEnd w:id="9"/>
      <w:bookmarkEnd w:id="10"/>
      <w:bookmarkEnd w:id="11"/>
      <w:r>
        <w:t xml:space="preserve"> </w:t>
      </w:r>
    </w:p>
    <w:p w14:paraId="49D86562" w14:textId="7DD7C762" w:rsidR="00102824" w:rsidRDefault="00D63295" w:rsidP="00560AC0">
      <w:pPr>
        <w:pStyle w:val="Title"/>
        <w:ind w:right="-28"/>
      </w:pPr>
      <w:bookmarkStart w:id="12" w:name="_Toc467505159"/>
      <w:bookmarkStart w:id="13" w:name="_Toc467676253"/>
      <w:bookmarkStart w:id="14" w:name="_Toc467745535"/>
      <w:bookmarkStart w:id="15" w:name="_Toc467759075"/>
      <w:bookmarkStart w:id="16" w:name="_Toc467759565"/>
      <w:bookmarkStart w:id="17" w:name="_Toc467759717"/>
      <w:bookmarkStart w:id="18" w:name="_Toc467760007"/>
      <w:bookmarkStart w:id="19" w:name="_Toc468204004"/>
      <w:bookmarkStart w:id="20" w:name="_Toc468374335"/>
      <w:bookmarkStart w:id="21" w:name="_Toc476305099"/>
      <w:bookmarkStart w:id="22" w:name="_Toc476305220"/>
      <w:r>
        <w:t>2017-18</w:t>
      </w:r>
      <w:bookmarkEnd w:id="12"/>
      <w:bookmarkEnd w:id="13"/>
      <w:bookmarkEnd w:id="14"/>
      <w:bookmarkEnd w:id="15"/>
      <w:bookmarkEnd w:id="16"/>
      <w:bookmarkEnd w:id="17"/>
      <w:bookmarkEnd w:id="18"/>
      <w:bookmarkEnd w:id="19"/>
      <w:bookmarkEnd w:id="20"/>
      <w:bookmarkEnd w:id="21"/>
      <w:bookmarkEnd w:id="22"/>
    </w:p>
    <w:p w14:paraId="0DB64D1A" w14:textId="77777777" w:rsidR="00D63295" w:rsidRDefault="00D63295" w:rsidP="00560AC0">
      <w:pPr>
        <w:pStyle w:val="Subtitle"/>
        <w:ind w:right="-28"/>
      </w:pPr>
      <w:r>
        <w:t xml:space="preserve">National Pricing Model </w:t>
      </w:r>
    </w:p>
    <w:p w14:paraId="25B89286" w14:textId="3F1AC8ED" w:rsidR="00CC586D" w:rsidRDefault="00D72DEE" w:rsidP="00560AC0">
      <w:pPr>
        <w:pStyle w:val="Subtitle"/>
        <w:ind w:right="-28"/>
      </w:pPr>
      <w:r>
        <w:t>March 2017</w:t>
      </w:r>
    </w:p>
    <w:p w14:paraId="34D9DB5F" w14:textId="77777777" w:rsidR="00492112" w:rsidRDefault="00492112" w:rsidP="00560AC0">
      <w:pPr>
        <w:spacing w:after="0" w:line="240" w:lineRule="auto"/>
        <w:ind w:right="-28"/>
        <w:rPr>
          <w:rStyle w:val="Strong"/>
          <w:rFonts w:asciiTheme="minorHAnsi" w:eastAsiaTheme="minorHAnsi" w:hAnsiTheme="minorHAnsi" w:cstheme="minorBidi"/>
          <w:b w:val="0"/>
          <w:szCs w:val="22"/>
          <w:lang w:eastAsia="en-US"/>
        </w:rPr>
      </w:pPr>
      <w:r>
        <w:rPr>
          <w:rStyle w:val="Strong"/>
        </w:rPr>
        <w:br w:type="page"/>
      </w:r>
    </w:p>
    <w:p w14:paraId="24C1AA4C" w14:textId="77777777" w:rsidR="00406578" w:rsidRDefault="00406578" w:rsidP="00560AC0">
      <w:pPr>
        <w:ind w:right="-28"/>
        <w:sectPr w:rsidR="00406578" w:rsidSect="00A83129">
          <w:headerReference w:type="even" r:id="rId9"/>
          <w:headerReference w:type="default" r:id="rId10"/>
          <w:footerReference w:type="even" r:id="rId11"/>
          <w:footerReference w:type="default" r:id="rId12"/>
          <w:headerReference w:type="first" r:id="rId13"/>
          <w:footerReference w:type="first" r:id="rId14"/>
          <w:pgSz w:w="11906" w:h="16838" w:code="9"/>
          <w:pgMar w:top="5103" w:right="1274" w:bottom="1021" w:left="1021" w:header="567" w:footer="567" w:gutter="0"/>
          <w:cols w:space="708"/>
          <w:docGrid w:linePitch="360"/>
        </w:sectPr>
      </w:pPr>
    </w:p>
    <w:p w14:paraId="34AEF6D5" w14:textId="77777777" w:rsidR="00E26387" w:rsidRPr="00AF08A0" w:rsidRDefault="00E26387" w:rsidP="00560AC0">
      <w:pPr>
        <w:pStyle w:val="Reportcopyright"/>
        <w:ind w:right="-28"/>
      </w:pPr>
      <w:r>
        <w:rPr>
          <w:rStyle w:val="Strong"/>
          <w:b/>
          <w:bCs w:val="0"/>
        </w:rPr>
        <w:lastRenderedPageBreak/>
        <w:t>National Pricing Model</w:t>
      </w:r>
      <w:r>
        <w:t xml:space="preserve"> Technical Specifications 2017-18</w:t>
      </w:r>
      <w:r w:rsidRPr="00AF08A0">
        <w:t xml:space="preserve"> </w:t>
      </w:r>
    </w:p>
    <w:p w14:paraId="31FE73BE" w14:textId="77777777" w:rsidR="00492112" w:rsidRPr="005D2CAB" w:rsidRDefault="00492112" w:rsidP="00560AC0">
      <w:pPr>
        <w:pStyle w:val="Subtitle"/>
        <w:ind w:right="-28"/>
      </w:pPr>
    </w:p>
    <w:p w14:paraId="09AB0988" w14:textId="4C18EDCA" w:rsidR="00492112" w:rsidRPr="005D2CAB" w:rsidRDefault="00492112" w:rsidP="00560AC0">
      <w:pPr>
        <w:ind w:right="-28"/>
      </w:pPr>
      <w:r w:rsidRPr="005D2CAB">
        <w:t>© Independent</w:t>
      </w:r>
      <w:r w:rsidR="00641039">
        <w:t xml:space="preserve"> Hospital Pricing Authority 2017</w:t>
      </w:r>
    </w:p>
    <w:p w14:paraId="01996127" w14:textId="77777777" w:rsidR="00492112" w:rsidRPr="006150B7" w:rsidRDefault="00492112" w:rsidP="002D606E">
      <w:pPr>
        <w:tabs>
          <w:tab w:val="left" w:pos="1650"/>
        </w:tabs>
        <w:spacing w:before="100" w:beforeAutospacing="1" w:after="100" w:afterAutospacing="1"/>
        <w:ind w:right="-28"/>
        <w:rPr>
          <w:rStyle w:val="A5"/>
          <w:rFonts w:ascii="Calibri" w:hAnsi="Calibri"/>
          <w:sz w:val="24"/>
        </w:rPr>
      </w:pPr>
      <w:r w:rsidRPr="005D2CAB">
        <w:t>This publication is available for your use under a</w:t>
      </w:r>
      <w:r w:rsidRPr="005D2CAB">
        <w:rPr>
          <w:rStyle w:val="A5"/>
          <w:rFonts w:ascii="Calibri" w:hAnsi="Calibri" w:cs="Calibri"/>
          <w:sz w:val="24"/>
        </w:rPr>
        <w:t xml:space="preserve"> </w:t>
      </w:r>
      <w:hyperlink r:id="rId15" w:history="1">
        <w:r w:rsidRPr="005D2CAB">
          <w:rPr>
            <w:rStyle w:val="Hyperlink"/>
          </w:rPr>
          <w:t>Creative Commons BY Attribution 3.0 Australia</w:t>
        </w:r>
      </w:hyperlink>
      <w:r w:rsidRPr="005D2CAB">
        <w:rPr>
          <w:rStyle w:val="A5"/>
          <w:rFonts w:ascii="Calibri" w:hAnsi="Calibri" w:cs="Calibri"/>
          <w:sz w:val="24"/>
        </w:rPr>
        <w:t xml:space="preserve"> </w:t>
      </w:r>
      <w:r w:rsidRPr="005D2CAB">
        <w:t>licence, with the exception of the Independent</w:t>
      </w:r>
      <w:r>
        <w:t xml:space="preserve"> Hospital Pricing Authority logo,</w:t>
      </w:r>
      <w:r w:rsidRPr="00E92213">
        <w:t xml:space="preserve"> photogra</w:t>
      </w:r>
      <w:r w:rsidRPr="006150B7">
        <w:t>phs, images, signatures and where otherwise stated. The full licence terms are available from</w:t>
      </w:r>
      <w:r>
        <w:t xml:space="preserve"> </w:t>
      </w:r>
      <w:hyperlink r:id="rId16" w:history="1">
        <w:r w:rsidRPr="00810BAA">
          <w:rPr>
            <w:rStyle w:val="Hyperlink"/>
          </w:rPr>
          <w:t>the Creative Commons website</w:t>
        </w:r>
      </w:hyperlink>
      <w:r>
        <w:t>.</w:t>
      </w:r>
    </w:p>
    <w:p w14:paraId="7430D83A" w14:textId="77777777" w:rsidR="00492112" w:rsidRPr="006150B7" w:rsidRDefault="00492112" w:rsidP="002D606E">
      <w:pPr>
        <w:tabs>
          <w:tab w:val="left" w:pos="1650"/>
        </w:tabs>
        <w:spacing w:before="100" w:beforeAutospacing="1" w:after="100" w:afterAutospacing="1"/>
        <w:ind w:right="-28"/>
        <w:rPr>
          <w:rFonts w:cs="Calibri"/>
        </w:rPr>
      </w:pPr>
      <w:r w:rsidRPr="006150B7">
        <w:rPr>
          <w:rFonts w:cs="Calibri"/>
          <w:noProof/>
          <w:sz w:val="24"/>
        </w:rPr>
        <w:drawing>
          <wp:inline distT="0" distB="0" distL="0" distR="0" wp14:anchorId="18494E6E" wp14:editId="4F5297B8">
            <wp:extent cx="809625" cy="285750"/>
            <wp:effectExtent l="0" t="0" r="9525" b="0"/>
            <wp:docPr id="3" name="Picture 3"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14:paraId="10E418B8" w14:textId="77777777" w:rsidR="00492112" w:rsidRPr="006150B7" w:rsidRDefault="00492112" w:rsidP="002D606E">
      <w:pPr>
        <w:tabs>
          <w:tab w:val="left" w:pos="1650"/>
        </w:tabs>
        <w:spacing w:before="100" w:beforeAutospacing="1" w:after="100" w:afterAutospacing="1"/>
        <w:ind w:right="-28"/>
      </w:pPr>
      <w:r w:rsidRPr="006150B7">
        <w:t xml:space="preserve">Use of </w:t>
      </w:r>
      <w:r>
        <w:t>Independent Hospital Pricing Authority</w:t>
      </w:r>
      <w:r w:rsidRPr="006150B7">
        <w:t xml:space="preserve"> material under </w:t>
      </w:r>
      <w:r w:rsidRPr="00E92213">
        <w:t>a</w:t>
      </w:r>
      <w:r w:rsidRPr="00E92213">
        <w:rPr>
          <w:rFonts w:cs="Calibri"/>
          <w:sz w:val="24"/>
        </w:rPr>
        <w:t xml:space="preserve"> </w:t>
      </w:r>
      <w:hyperlink r:id="rId18" w:history="1">
        <w:r w:rsidRPr="00E92213">
          <w:rPr>
            <w:rStyle w:val="Hyperlink"/>
          </w:rPr>
          <w:t>Creative Commons BY Attribution 3.0 Australia</w:t>
        </w:r>
      </w:hyperlink>
      <w:r w:rsidRPr="00E92213">
        <w:rPr>
          <w:rStyle w:val="Hyperlink"/>
        </w:rPr>
        <w:t xml:space="preserve"> </w:t>
      </w:r>
      <w:r w:rsidRPr="00E92213">
        <w:t>licence requires you to attribute the work</w:t>
      </w:r>
      <w:r w:rsidRPr="006150B7">
        <w:t xml:space="preserve"> (but not in any way that suggests that the </w:t>
      </w:r>
      <w:r>
        <w:t xml:space="preserve">Independent Hospital Pricing Authority </w:t>
      </w:r>
      <w:r w:rsidRPr="006150B7">
        <w:t>endorse</w:t>
      </w:r>
      <w:r>
        <w:t>s you or your use of the work).</w:t>
      </w:r>
    </w:p>
    <w:p w14:paraId="1994FC39" w14:textId="77777777" w:rsidR="00492112" w:rsidRPr="00F13939" w:rsidRDefault="00492112" w:rsidP="002D606E">
      <w:pPr>
        <w:ind w:right="-28"/>
        <w:rPr>
          <w:i/>
        </w:rPr>
      </w:pPr>
      <w:proofErr w:type="gramStart"/>
      <w:r>
        <w:rPr>
          <w:i/>
        </w:rPr>
        <w:t>Independent Hospital Pricing Authority</w:t>
      </w:r>
      <w:r w:rsidRPr="00F13939">
        <w:rPr>
          <w:i/>
        </w:rPr>
        <w:t xml:space="preserve"> material used 'as supplied'.</w:t>
      </w:r>
      <w:proofErr w:type="gramEnd"/>
    </w:p>
    <w:p w14:paraId="039CE516" w14:textId="77777777" w:rsidR="00492112" w:rsidRPr="006150B7" w:rsidRDefault="00492112" w:rsidP="002D606E">
      <w:pPr>
        <w:ind w:right="-28"/>
      </w:pPr>
      <w:r w:rsidRPr="006150B7">
        <w:t xml:space="preserve">Provided you have not modified or transformed </w:t>
      </w:r>
      <w:r>
        <w:t>Independent Hospital Pricing Authority</w:t>
      </w:r>
      <w:r w:rsidRPr="006150B7">
        <w:t xml:space="preserve"> material in any way including, for example, by changing </w:t>
      </w:r>
      <w:r>
        <w:t>Independent Hospital Pricing Authority</w:t>
      </w:r>
      <w:r w:rsidRPr="006150B7">
        <w:t xml:space="preserve"> </w:t>
      </w:r>
      <w:r>
        <w:t xml:space="preserve">text </w:t>
      </w:r>
      <w:r w:rsidRPr="006150B7">
        <w:t xml:space="preserve">– then </w:t>
      </w:r>
      <w:r>
        <w:t>the Independent Hospital Pricing Authority</w:t>
      </w:r>
      <w:r w:rsidRPr="006150B7">
        <w:t xml:space="preserve"> pre</w:t>
      </w:r>
      <w:r>
        <w:t>fers the following attribution:</w:t>
      </w:r>
    </w:p>
    <w:p w14:paraId="350D3052" w14:textId="77777777" w:rsidR="00492112" w:rsidRPr="006150B7" w:rsidRDefault="00492112" w:rsidP="002D606E">
      <w:pPr>
        <w:ind w:right="-28" w:firstLine="720"/>
      </w:pPr>
      <w:r w:rsidRPr="006150B7">
        <w:rPr>
          <w:i/>
        </w:rPr>
        <w:t xml:space="preserve">Source: The </w:t>
      </w:r>
      <w:r>
        <w:rPr>
          <w:i/>
          <w:iCs/>
        </w:rPr>
        <w:t>Independent Hospital Pricing Authority</w:t>
      </w:r>
    </w:p>
    <w:p w14:paraId="56037D86" w14:textId="77777777" w:rsidR="00492112" w:rsidRDefault="00492112" w:rsidP="00560AC0">
      <w:pPr>
        <w:spacing w:after="0" w:line="240" w:lineRule="auto"/>
        <w:ind w:right="-28"/>
      </w:pPr>
      <w:r>
        <w:br w:type="page"/>
      </w:r>
    </w:p>
    <w:p w14:paraId="34696287" w14:textId="77777777" w:rsidR="00BA44F4" w:rsidRPr="00BA44F4" w:rsidRDefault="00BA44F4" w:rsidP="00560AC0">
      <w:pPr>
        <w:pStyle w:val="TOCHeading"/>
        <w:spacing w:after="360"/>
        <w:rPr>
          <w:szCs w:val="52"/>
        </w:rPr>
      </w:pPr>
      <w:r w:rsidRPr="00BA44F4">
        <w:rPr>
          <w:szCs w:val="52"/>
        </w:rPr>
        <w:lastRenderedPageBreak/>
        <w:t>Table of Contents</w:t>
      </w:r>
    </w:p>
    <w:sdt>
      <w:sdtPr>
        <w:rPr>
          <w:b w:val="0"/>
          <w:noProof w:val="0"/>
          <w:sz w:val="22"/>
        </w:rPr>
        <w:id w:val="1163509172"/>
        <w:docPartObj>
          <w:docPartGallery w:val="Table of Contents"/>
          <w:docPartUnique/>
        </w:docPartObj>
      </w:sdtPr>
      <w:sdtEndPr>
        <w:rPr>
          <w:bCs/>
        </w:rPr>
      </w:sdtEndPr>
      <w:sdtContent>
        <w:p w14:paraId="2DA2EE09" w14:textId="1BF1709D" w:rsidR="009D5143" w:rsidRDefault="003331A3" w:rsidP="009D5143">
          <w:pPr>
            <w:pStyle w:val="TOC1"/>
            <w:tabs>
              <w:tab w:val="right" w:leader="dot" w:pos="9017"/>
            </w:tabs>
            <w:rPr>
              <w:rFonts w:asciiTheme="minorHAnsi" w:eastAsiaTheme="minorEastAsia" w:hAnsiTheme="minorHAnsi" w:cstheme="minorBidi"/>
              <w:b w:val="0"/>
              <w:sz w:val="22"/>
              <w:szCs w:val="22"/>
            </w:rPr>
          </w:pPr>
          <w:r>
            <w:rPr>
              <w:b w:val="0"/>
            </w:rPr>
            <w:fldChar w:fldCharType="begin"/>
          </w:r>
          <w:r>
            <w:rPr>
              <w:b w:val="0"/>
            </w:rPr>
            <w:instrText xml:space="preserve"> TOC \o "1-2" \h \z \u </w:instrText>
          </w:r>
          <w:r>
            <w:rPr>
              <w:b w:val="0"/>
            </w:rPr>
            <w:fldChar w:fldCharType="separate"/>
          </w:r>
        </w:p>
        <w:p w14:paraId="5E92891D" w14:textId="1BF1709D" w:rsidR="009D5143" w:rsidRDefault="0052227C">
          <w:pPr>
            <w:pStyle w:val="TOC1"/>
            <w:tabs>
              <w:tab w:val="left" w:pos="880"/>
              <w:tab w:val="right" w:leader="dot" w:pos="9017"/>
            </w:tabs>
            <w:rPr>
              <w:rFonts w:asciiTheme="minorHAnsi" w:eastAsiaTheme="minorEastAsia" w:hAnsiTheme="minorHAnsi" w:cstheme="minorBidi"/>
              <w:b w:val="0"/>
              <w:sz w:val="22"/>
              <w:szCs w:val="22"/>
            </w:rPr>
          </w:pPr>
          <w:hyperlink w:anchor="_Toc476305221" w:history="1">
            <w:r w:rsidR="009D5143" w:rsidRPr="00AD0C69">
              <w:rPr>
                <w:rStyle w:val="Hyperlink"/>
              </w:rPr>
              <w:t>1.</w:t>
            </w:r>
            <w:r w:rsidR="009D5143">
              <w:rPr>
                <w:rFonts w:asciiTheme="minorHAnsi" w:eastAsiaTheme="minorEastAsia" w:hAnsiTheme="minorHAnsi" w:cstheme="minorBidi"/>
                <w:b w:val="0"/>
                <w:sz w:val="22"/>
                <w:szCs w:val="22"/>
              </w:rPr>
              <w:tab/>
            </w:r>
            <w:r w:rsidR="009D5143" w:rsidRPr="00AD0C69">
              <w:rPr>
                <w:rStyle w:val="Hyperlink"/>
              </w:rPr>
              <w:t>Overview</w:t>
            </w:r>
            <w:r w:rsidR="009D5143">
              <w:rPr>
                <w:webHidden/>
              </w:rPr>
              <w:tab/>
            </w:r>
            <w:r w:rsidR="009D5143">
              <w:rPr>
                <w:webHidden/>
              </w:rPr>
              <w:fldChar w:fldCharType="begin"/>
            </w:r>
            <w:r w:rsidR="009D5143">
              <w:rPr>
                <w:webHidden/>
              </w:rPr>
              <w:instrText xml:space="preserve"> PAGEREF _Toc476305221 \h </w:instrText>
            </w:r>
            <w:r w:rsidR="009D5143">
              <w:rPr>
                <w:webHidden/>
              </w:rPr>
            </w:r>
            <w:r w:rsidR="009D5143">
              <w:rPr>
                <w:webHidden/>
              </w:rPr>
              <w:fldChar w:fldCharType="separate"/>
            </w:r>
            <w:r w:rsidR="00F84458">
              <w:rPr>
                <w:webHidden/>
              </w:rPr>
              <w:t>6</w:t>
            </w:r>
            <w:r w:rsidR="009D5143">
              <w:rPr>
                <w:webHidden/>
              </w:rPr>
              <w:fldChar w:fldCharType="end"/>
            </w:r>
          </w:hyperlink>
        </w:p>
        <w:p w14:paraId="36A30011" w14:textId="77777777" w:rsidR="009D5143" w:rsidRDefault="0052227C">
          <w:pPr>
            <w:pStyle w:val="TOC2"/>
            <w:rPr>
              <w:rFonts w:asciiTheme="minorHAnsi" w:eastAsiaTheme="minorEastAsia" w:hAnsiTheme="minorHAnsi" w:cstheme="minorBidi"/>
              <w:szCs w:val="22"/>
            </w:rPr>
          </w:pPr>
          <w:hyperlink w:anchor="_Toc476305222" w:history="1">
            <w:r w:rsidR="009D5143" w:rsidRPr="00AD0C69">
              <w:rPr>
                <w:rStyle w:val="Hyperlink"/>
              </w:rPr>
              <w:t>1.1.</w:t>
            </w:r>
            <w:r w:rsidR="009D5143">
              <w:rPr>
                <w:rFonts w:asciiTheme="minorHAnsi" w:eastAsiaTheme="minorEastAsia" w:hAnsiTheme="minorHAnsi" w:cstheme="minorBidi"/>
                <w:szCs w:val="22"/>
              </w:rPr>
              <w:tab/>
            </w:r>
            <w:r w:rsidR="009D5143" w:rsidRPr="00AD0C69">
              <w:rPr>
                <w:rStyle w:val="Hyperlink"/>
              </w:rPr>
              <w:t>Purpose</w:t>
            </w:r>
            <w:r w:rsidR="009D5143">
              <w:rPr>
                <w:webHidden/>
              </w:rPr>
              <w:tab/>
            </w:r>
            <w:r w:rsidR="009D5143">
              <w:rPr>
                <w:webHidden/>
              </w:rPr>
              <w:fldChar w:fldCharType="begin"/>
            </w:r>
            <w:r w:rsidR="009D5143">
              <w:rPr>
                <w:webHidden/>
              </w:rPr>
              <w:instrText xml:space="preserve"> PAGEREF _Toc476305222 \h </w:instrText>
            </w:r>
            <w:r w:rsidR="009D5143">
              <w:rPr>
                <w:webHidden/>
              </w:rPr>
            </w:r>
            <w:r w:rsidR="009D5143">
              <w:rPr>
                <w:webHidden/>
              </w:rPr>
              <w:fldChar w:fldCharType="separate"/>
            </w:r>
            <w:r w:rsidR="00F84458">
              <w:rPr>
                <w:webHidden/>
              </w:rPr>
              <w:t>6</w:t>
            </w:r>
            <w:r w:rsidR="009D5143">
              <w:rPr>
                <w:webHidden/>
              </w:rPr>
              <w:fldChar w:fldCharType="end"/>
            </w:r>
          </w:hyperlink>
        </w:p>
        <w:p w14:paraId="2646608C" w14:textId="77777777" w:rsidR="009D5143" w:rsidRDefault="0052227C">
          <w:pPr>
            <w:pStyle w:val="TOC2"/>
            <w:rPr>
              <w:rFonts w:asciiTheme="minorHAnsi" w:eastAsiaTheme="minorEastAsia" w:hAnsiTheme="minorHAnsi" w:cstheme="minorBidi"/>
              <w:szCs w:val="22"/>
            </w:rPr>
          </w:pPr>
          <w:hyperlink w:anchor="_Toc476305223" w:history="1">
            <w:r w:rsidR="009D5143" w:rsidRPr="00AD0C69">
              <w:rPr>
                <w:rStyle w:val="Hyperlink"/>
              </w:rPr>
              <w:t>1.2.</w:t>
            </w:r>
            <w:r w:rsidR="009D5143">
              <w:rPr>
                <w:rFonts w:asciiTheme="minorHAnsi" w:eastAsiaTheme="minorEastAsia" w:hAnsiTheme="minorHAnsi" w:cstheme="minorBidi"/>
                <w:szCs w:val="22"/>
              </w:rPr>
              <w:tab/>
            </w:r>
            <w:r w:rsidR="009D5143" w:rsidRPr="00AD0C69">
              <w:rPr>
                <w:rStyle w:val="Hyperlink"/>
              </w:rPr>
              <w:t>Background</w:t>
            </w:r>
            <w:r w:rsidR="009D5143">
              <w:rPr>
                <w:webHidden/>
              </w:rPr>
              <w:tab/>
            </w:r>
            <w:r w:rsidR="009D5143">
              <w:rPr>
                <w:webHidden/>
              </w:rPr>
              <w:fldChar w:fldCharType="begin"/>
            </w:r>
            <w:r w:rsidR="009D5143">
              <w:rPr>
                <w:webHidden/>
              </w:rPr>
              <w:instrText xml:space="preserve"> PAGEREF _Toc476305223 \h </w:instrText>
            </w:r>
            <w:r w:rsidR="009D5143">
              <w:rPr>
                <w:webHidden/>
              </w:rPr>
            </w:r>
            <w:r w:rsidR="009D5143">
              <w:rPr>
                <w:webHidden/>
              </w:rPr>
              <w:fldChar w:fldCharType="separate"/>
            </w:r>
            <w:r w:rsidR="00F84458">
              <w:rPr>
                <w:webHidden/>
              </w:rPr>
              <w:t>6</w:t>
            </w:r>
            <w:r w:rsidR="009D5143">
              <w:rPr>
                <w:webHidden/>
              </w:rPr>
              <w:fldChar w:fldCharType="end"/>
            </w:r>
          </w:hyperlink>
        </w:p>
        <w:p w14:paraId="74F2A290" w14:textId="77777777" w:rsidR="009D5143" w:rsidRDefault="0052227C">
          <w:pPr>
            <w:pStyle w:val="TOC2"/>
            <w:rPr>
              <w:rFonts w:asciiTheme="minorHAnsi" w:eastAsiaTheme="minorEastAsia" w:hAnsiTheme="minorHAnsi" w:cstheme="minorBidi"/>
              <w:szCs w:val="22"/>
            </w:rPr>
          </w:pPr>
          <w:hyperlink w:anchor="_Toc476305224" w:history="1">
            <w:r w:rsidR="009D5143" w:rsidRPr="00AD0C69">
              <w:rPr>
                <w:rStyle w:val="Hyperlink"/>
              </w:rPr>
              <w:t>1.3.</w:t>
            </w:r>
            <w:r w:rsidR="009D5143">
              <w:rPr>
                <w:rFonts w:asciiTheme="minorHAnsi" w:eastAsiaTheme="minorEastAsia" w:hAnsiTheme="minorHAnsi" w:cstheme="minorBidi"/>
                <w:szCs w:val="22"/>
              </w:rPr>
              <w:tab/>
            </w:r>
            <w:r w:rsidR="009D5143" w:rsidRPr="00AD0C69">
              <w:rPr>
                <w:rStyle w:val="Hyperlink"/>
              </w:rPr>
              <w:t>National Efficient Price 2017-18 process</w:t>
            </w:r>
            <w:r w:rsidR="009D5143">
              <w:rPr>
                <w:webHidden/>
              </w:rPr>
              <w:tab/>
            </w:r>
            <w:r w:rsidR="009D5143">
              <w:rPr>
                <w:webHidden/>
              </w:rPr>
              <w:fldChar w:fldCharType="begin"/>
            </w:r>
            <w:r w:rsidR="009D5143">
              <w:rPr>
                <w:webHidden/>
              </w:rPr>
              <w:instrText xml:space="preserve"> PAGEREF _Toc476305224 \h </w:instrText>
            </w:r>
            <w:r w:rsidR="009D5143">
              <w:rPr>
                <w:webHidden/>
              </w:rPr>
            </w:r>
            <w:r w:rsidR="009D5143">
              <w:rPr>
                <w:webHidden/>
              </w:rPr>
              <w:fldChar w:fldCharType="separate"/>
            </w:r>
            <w:r w:rsidR="00F84458">
              <w:rPr>
                <w:webHidden/>
              </w:rPr>
              <w:t>7</w:t>
            </w:r>
            <w:r w:rsidR="009D5143">
              <w:rPr>
                <w:webHidden/>
              </w:rPr>
              <w:fldChar w:fldCharType="end"/>
            </w:r>
          </w:hyperlink>
        </w:p>
        <w:p w14:paraId="1B536800" w14:textId="77777777" w:rsidR="009D5143" w:rsidRDefault="0052227C">
          <w:pPr>
            <w:pStyle w:val="TOC1"/>
            <w:tabs>
              <w:tab w:val="left" w:pos="880"/>
              <w:tab w:val="right" w:leader="dot" w:pos="9017"/>
            </w:tabs>
            <w:rPr>
              <w:rFonts w:asciiTheme="minorHAnsi" w:eastAsiaTheme="minorEastAsia" w:hAnsiTheme="minorHAnsi" w:cstheme="minorBidi"/>
              <w:b w:val="0"/>
              <w:sz w:val="22"/>
              <w:szCs w:val="22"/>
            </w:rPr>
          </w:pPr>
          <w:hyperlink w:anchor="_Toc476305225" w:history="1">
            <w:r w:rsidR="009D5143" w:rsidRPr="00AD0C69">
              <w:rPr>
                <w:rStyle w:val="Hyperlink"/>
              </w:rPr>
              <w:t>2.</w:t>
            </w:r>
            <w:r w:rsidR="009D5143">
              <w:rPr>
                <w:rFonts w:asciiTheme="minorHAnsi" w:eastAsiaTheme="minorEastAsia" w:hAnsiTheme="minorHAnsi" w:cstheme="minorBidi"/>
                <w:b w:val="0"/>
                <w:sz w:val="22"/>
                <w:szCs w:val="22"/>
              </w:rPr>
              <w:tab/>
            </w:r>
            <w:r w:rsidR="009D5143" w:rsidRPr="00AD0C69">
              <w:rPr>
                <w:rStyle w:val="Hyperlink"/>
              </w:rPr>
              <w:t>Admitted acute care cost model</w:t>
            </w:r>
            <w:r w:rsidR="009D5143">
              <w:rPr>
                <w:webHidden/>
              </w:rPr>
              <w:tab/>
            </w:r>
            <w:r w:rsidR="009D5143">
              <w:rPr>
                <w:webHidden/>
              </w:rPr>
              <w:fldChar w:fldCharType="begin"/>
            </w:r>
            <w:r w:rsidR="009D5143">
              <w:rPr>
                <w:webHidden/>
              </w:rPr>
              <w:instrText xml:space="preserve"> PAGEREF _Toc476305225 \h </w:instrText>
            </w:r>
            <w:r w:rsidR="009D5143">
              <w:rPr>
                <w:webHidden/>
              </w:rPr>
            </w:r>
            <w:r w:rsidR="009D5143">
              <w:rPr>
                <w:webHidden/>
              </w:rPr>
              <w:fldChar w:fldCharType="separate"/>
            </w:r>
            <w:r w:rsidR="00F84458">
              <w:rPr>
                <w:webHidden/>
              </w:rPr>
              <w:t>9</w:t>
            </w:r>
            <w:r w:rsidR="009D5143">
              <w:rPr>
                <w:webHidden/>
              </w:rPr>
              <w:fldChar w:fldCharType="end"/>
            </w:r>
          </w:hyperlink>
        </w:p>
        <w:p w14:paraId="69C97AE0" w14:textId="77777777" w:rsidR="009D5143" w:rsidRDefault="0052227C">
          <w:pPr>
            <w:pStyle w:val="TOC2"/>
            <w:rPr>
              <w:rFonts w:asciiTheme="minorHAnsi" w:eastAsiaTheme="minorEastAsia" w:hAnsiTheme="minorHAnsi" w:cstheme="minorBidi"/>
              <w:szCs w:val="22"/>
            </w:rPr>
          </w:pPr>
          <w:hyperlink w:anchor="_Toc476305226" w:history="1">
            <w:r w:rsidR="009D5143" w:rsidRPr="00AD0C69">
              <w:rPr>
                <w:rStyle w:val="Hyperlink"/>
              </w:rPr>
              <w:t>2.1.</w:t>
            </w:r>
            <w:r w:rsidR="009D5143">
              <w:rPr>
                <w:rFonts w:asciiTheme="minorHAnsi" w:eastAsiaTheme="minorEastAsia" w:hAnsiTheme="minorHAnsi" w:cstheme="minorBidi"/>
                <w:szCs w:val="22"/>
              </w:rPr>
              <w:tab/>
            </w:r>
            <w:r w:rsidR="009D5143" w:rsidRPr="00AD0C69">
              <w:rPr>
                <w:rStyle w:val="Hyperlink"/>
              </w:rPr>
              <w:t>General issues</w:t>
            </w:r>
            <w:r w:rsidR="009D5143">
              <w:rPr>
                <w:webHidden/>
              </w:rPr>
              <w:tab/>
            </w:r>
            <w:r w:rsidR="009D5143">
              <w:rPr>
                <w:webHidden/>
              </w:rPr>
              <w:fldChar w:fldCharType="begin"/>
            </w:r>
            <w:r w:rsidR="009D5143">
              <w:rPr>
                <w:webHidden/>
              </w:rPr>
              <w:instrText xml:space="preserve"> PAGEREF _Toc476305226 \h </w:instrText>
            </w:r>
            <w:r w:rsidR="009D5143">
              <w:rPr>
                <w:webHidden/>
              </w:rPr>
            </w:r>
            <w:r w:rsidR="009D5143">
              <w:rPr>
                <w:webHidden/>
              </w:rPr>
              <w:fldChar w:fldCharType="separate"/>
            </w:r>
            <w:r w:rsidR="00F84458">
              <w:rPr>
                <w:webHidden/>
              </w:rPr>
              <w:t>9</w:t>
            </w:r>
            <w:r w:rsidR="009D5143">
              <w:rPr>
                <w:webHidden/>
              </w:rPr>
              <w:fldChar w:fldCharType="end"/>
            </w:r>
          </w:hyperlink>
        </w:p>
        <w:p w14:paraId="717BCA06" w14:textId="77777777" w:rsidR="009D5143" w:rsidRDefault="0052227C">
          <w:pPr>
            <w:pStyle w:val="TOC2"/>
            <w:rPr>
              <w:rFonts w:asciiTheme="minorHAnsi" w:eastAsiaTheme="minorEastAsia" w:hAnsiTheme="minorHAnsi" w:cstheme="minorBidi"/>
              <w:szCs w:val="22"/>
            </w:rPr>
          </w:pPr>
          <w:hyperlink w:anchor="_Toc476305227" w:history="1">
            <w:r w:rsidR="009D5143" w:rsidRPr="00AD0C69">
              <w:rPr>
                <w:rStyle w:val="Hyperlink"/>
              </w:rPr>
              <w:t>2.2.</w:t>
            </w:r>
            <w:r w:rsidR="009D5143">
              <w:rPr>
                <w:rFonts w:asciiTheme="minorHAnsi" w:eastAsiaTheme="minorEastAsia" w:hAnsiTheme="minorHAnsi" w:cstheme="minorBidi"/>
                <w:szCs w:val="22"/>
              </w:rPr>
              <w:tab/>
            </w:r>
            <w:r w:rsidR="009D5143" w:rsidRPr="00AD0C69">
              <w:rPr>
                <w:rStyle w:val="Hyperlink"/>
              </w:rPr>
              <w:t>Analysis of costs to derive NWAU for admitted acute care</w:t>
            </w:r>
            <w:r w:rsidR="009D5143">
              <w:rPr>
                <w:webHidden/>
              </w:rPr>
              <w:tab/>
            </w:r>
            <w:r w:rsidR="009D5143">
              <w:rPr>
                <w:webHidden/>
              </w:rPr>
              <w:fldChar w:fldCharType="begin"/>
            </w:r>
            <w:r w:rsidR="009D5143">
              <w:rPr>
                <w:webHidden/>
              </w:rPr>
              <w:instrText xml:space="preserve"> PAGEREF _Toc476305227 \h </w:instrText>
            </w:r>
            <w:r w:rsidR="009D5143">
              <w:rPr>
                <w:webHidden/>
              </w:rPr>
            </w:r>
            <w:r w:rsidR="009D5143">
              <w:rPr>
                <w:webHidden/>
              </w:rPr>
              <w:fldChar w:fldCharType="separate"/>
            </w:r>
            <w:r w:rsidR="00F84458">
              <w:rPr>
                <w:webHidden/>
              </w:rPr>
              <w:t>10</w:t>
            </w:r>
            <w:r w:rsidR="009D5143">
              <w:rPr>
                <w:webHidden/>
              </w:rPr>
              <w:fldChar w:fldCharType="end"/>
            </w:r>
          </w:hyperlink>
        </w:p>
        <w:p w14:paraId="3502428A" w14:textId="77777777" w:rsidR="009D5143" w:rsidRDefault="0052227C">
          <w:pPr>
            <w:pStyle w:val="TOC2"/>
            <w:rPr>
              <w:rFonts w:asciiTheme="minorHAnsi" w:eastAsiaTheme="minorEastAsia" w:hAnsiTheme="minorHAnsi" w:cstheme="minorBidi"/>
              <w:szCs w:val="22"/>
            </w:rPr>
          </w:pPr>
          <w:hyperlink w:anchor="_Toc476305228" w:history="1">
            <w:r w:rsidR="009D5143" w:rsidRPr="00AD0C69">
              <w:rPr>
                <w:rStyle w:val="Hyperlink"/>
              </w:rPr>
              <w:t>2.3.</w:t>
            </w:r>
            <w:r w:rsidR="009D5143">
              <w:rPr>
                <w:rFonts w:asciiTheme="minorHAnsi" w:eastAsiaTheme="minorEastAsia" w:hAnsiTheme="minorHAnsi" w:cstheme="minorBidi"/>
                <w:szCs w:val="22"/>
              </w:rPr>
              <w:tab/>
            </w:r>
            <w:r w:rsidR="009D5143" w:rsidRPr="00AD0C69">
              <w:rPr>
                <w:rStyle w:val="Hyperlink"/>
              </w:rPr>
              <w:t>Applying the NEP</w:t>
            </w:r>
            <w:r w:rsidR="009D5143">
              <w:rPr>
                <w:webHidden/>
              </w:rPr>
              <w:tab/>
            </w:r>
            <w:r w:rsidR="009D5143">
              <w:rPr>
                <w:webHidden/>
              </w:rPr>
              <w:fldChar w:fldCharType="begin"/>
            </w:r>
            <w:r w:rsidR="009D5143">
              <w:rPr>
                <w:webHidden/>
              </w:rPr>
              <w:instrText xml:space="preserve"> PAGEREF _Toc476305228 \h </w:instrText>
            </w:r>
            <w:r w:rsidR="009D5143">
              <w:rPr>
                <w:webHidden/>
              </w:rPr>
            </w:r>
            <w:r w:rsidR="009D5143">
              <w:rPr>
                <w:webHidden/>
              </w:rPr>
              <w:fldChar w:fldCharType="separate"/>
            </w:r>
            <w:r w:rsidR="00F84458">
              <w:rPr>
                <w:webHidden/>
              </w:rPr>
              <w:t>21</w:t>
            </w:r>
            <w:r w:rsidR="009D5143">
              <w:rPr>
                <w:webHidden/>
              </w:rPr>
              <w:fldChar w:fldCharType="end"/>
            </w:r>
          </w:hyperlink>
        </w:p>
        <w:p w14:paraId="32BF7370" w14:textId="77777777" w:rsidR="009D5143" w:rsidRDefault="0052227C">
          <w:pPr>
            <w:pStyle w:val="TOC1"/>
            <w:tabs>
              <w:tab w:val="left" w:pos="880"/>
              <w:tab w:val="right" w:leader="dot" w:pos="9017"/>
            </w:tabs>
            <w:rPr>
              <w:rFonts w:asciiTheme="minorHAnsi" w:eastAsiaTheme="minorEastAsia" w:hAnsiTheme="minorHAnsi" w:cstheme="minorBidi"/>
              <w:b w:val="0"/>
              <w:sz w:val="22"/>
              <w:szCs w:val="22"/>
            </w:rPr>
          </w:pPr>
          <w:hyperlink w:anchor="_Toc476305229" w:history="1">
            <w:r w:rsidR="009D5143" w:rsidRPr="00AD0C69">
              <w:rPr>
                <w:rStyle w:val="Hyperlink"/>
              </w:rPr>
              <w:t>3.</w:t>
            </w:r>
            <w:r w:rsidR="009D5143">
              <w:rPr>
                <w:rFonts w:asciiTheme="minorHAnsi" w:eastAsiaTheme="minorEastAsia" w:hAnsiTheme="minorHAnsi" w:cstheme="minorBidi"/>
                <w:b w:val="0"/>
                <w:sz w:val="22"/>
                <w:szCs w:val="22"/>
              </w:rPr>
              <w:tab/>
            </w:r>
            <w:r w:rsidR="009D5143" w:rsidRPr="00AD0C69">
              <w:rPr>
                <w:rStyle w:val="Hyperlink"/>
              </w:rPr>
              <w:t>Mental health care cost model</w:t>
            </w:r>
            <w:r w:rsidR="009D5143">
              <w:rPr>
                <w:webHidden/>
              </w:rPr>
              <w:tab/>
            </w:r>
            <w:r w:rsidR="009D5143">
              <w:rPr>
                <w:webHidden/>
              </w:rPr>
              <w:fldChar w:fldCharType="begin"/>
            </w:r>
            <w:r w:rsidR="009D5143">
              <w:rPr>
                <w:webHidden/>
              </w:rPr>
              <w:instrText xml:space="preserve"> PAGEREF _Toc476305229 \h </w:instrText>
            </w:r>
            <w:r w:rsidR="009D5143">
              <w:rPr>
                <w:webHidden/>
              </w:rPr>
            </w:r>
            <w:r w:rsidR="009D5143">
              <w:rPr>
                <w:webHidden/>
              </w:rPr>
              <w:fldChar w:fldCharType="separate"/>
            </w:r>
            <w:r w:rsidR="00F84458">
              <w:rPr>
                <w:webHidden/>
              </w:rPr>
              <w:t>24</w:t>
            </w:r>
            <w:r w:rsidR="009D5143">
              <w:rPr>
                <w:webHidden/>
              </w:rPr>
              <w:fldChar w:fldCharType="end"/>
            </w:r>
          </w:hyperlink>
        </w:p>
        <w:p w14:paraId="75BC5837" w14:textId="77777777" w:rsidR="009D5143" w:rsidRDefault="0052227C">
          <w:pPr>
            <w:pStyle w:val="TOC2"/>
            <w:rPr>
              <w:rFonts w:asciiTheme="minorHAnsi" w:eastAsiaTheme="minorEastAsia" w:hAnsiTheme="minorHAnsi" w:cstheme="minorBidi"/>
              <w:szCs w:val="22"/>
            </w:rPr>
          </w:pPr>
          <w:hyperlink w:anchor="_Toc476305230" w:history="1">
            <w:r w:rsidR="009D5143" w:rsidRPr="00AD0C69">
              <w:rPr>
                <w:rStyle w:val="Hyperlink"/>
              </w:rPr>
              <w:t>3.1.</w:t>
            </w:r>
            <w:r w:rsidR="009D5143">
              <w:rPr>
                <w:rFonts w:asciiTheme="minorHAnsi" w:eastAsiaTheme="minorEastAsia" w:hAnsiTheme="minorHAnsi" w:cstheme="minorBidi"/>
                <w:szCs w:val="22"/>
              </w:rPr>
              <w:tab/>
            </w:r>
            <w:r w:rsidR="009D5143" w:rsidRPr="00AD0C69">
              <w:rPr>
                <w:rStyle w:val="Hyperlink"/>
              </w:rPr>
              <w:t>General issues</w:t>
            </w:r>
            <w:r w:rsidR="009D5143">
              <w:rPr>
                <w:webHidden/>
              </w:rPr>
              <w:tab/>
            </w:r>
            <w:r w:rsidR="009D5143">
              <w:rPr>
                <w:webHidden/>
              </w:rPr>
              <w:fldChar w:fldCharType="begin"/>
            </w:r>
            <w:r w:rsidR="009D5143">
              <w:rPr>
                <w:webHidden/>
              </w:rPr>
              <w:instrText xml:space="preserve"> PAGEREF _Toc476305230 \h </w:instrText>
            </w:r>
            <w:r w:rsidR="009D5143">
              <w:rPr>
                <w:webHidden/>
              </w:rPr>
            </w:r>
            <w:r w:rsidR="009D5143">
              <w:rPr>
                <w:webHidden/>
              </w:rPr>
              <w:fldChar w:fldCharType="separate"/>
            </w:r>
            <w:r w:rsidR="00F84458">
              <w:rPr>
                <w:webHidden/>
              </w:rPr>
              <w:t>24</w:t>
            </w:r>
            <w:r w:rsidR="009D5143">
              <w:rPr>
                <w:webHidden/>
              </w:rPr>
              <w:fldChar w:fldCharType="end"/>
            </w:r>
          </w:hyperlink>
        </w:p>
        <w:p w14:paraId="55912F97" w14:textId="77777777" w:rsidR="009D5143" w:rsidRDefault="0052227C">
          <w:pPr>
            <w:pStyle w:val="TOC2"/>
            <w:rPr>
              <w:rFonts w:asciiTheme="minorHAnsi" w:eastAsiaTheme="minorEastAsia" w:hAnsiTheme="minorHAnsi" w:cstheme="minorBidi"/>
              <w:szCs w:val="22"/>
            </w:rPr>
          </w:pPr>
          <w:hyperlink w:anchor="_Toc476305231" w:history="1">
            <w:r w:rsidR="009D5143" w:rsidRPr="00AD0C69">
              <w:rPr>
                <w:rStyle w:val="Hyperlink"/>
              </w:rPr>
              <w:t>3.2.</w:t>
            </w:r>
            <w:r w:rsidR="009D5143">
              <w:rPr>
                <w:rFonts w:asciiTheme="minorHAnsi" w:eastAsiaTheme="minorEastAsia" w:hAnsiTheme="minorHAnsi" w:cstheme="minorBidi"/>
                <w:szCs w:val="22"/>
              </w:rPr>
              <w:tab/>
            </w:r>
            <w:r w:rsidR="009D5143" w:rsidRPr="00AD0C69">
              <w:rPr>
                <w:rStyle w:val="Hyperlink"/>
              </w:rPr>
              <w:t>Analysis of costs to derive NWAU for mental health care</w:t>
            </w:r>
            <w:r w:rsidR="009D5143">
              <w:rPr>
                <w:webHidden/>
              </w:rPr>
              <w:tab/>
            </w:r>
            <w:r w:rsidR="009D5143">
              <w:rPr>
                <w:webHidden/>
              </w:rPr>
              <w:fldChar w:fldCharType="begin"/>
            </w:r>
            <w:r w:rsidR="009D5143">
              <w:rPr>
                <w:webHidden/>
              </w:rPr>
              <w:instrText xml:space="preserve"> PAGEREF _Toc476305231 \h </w:instrText>
            </w:r>
            <w:r w:rsidR="009D5143">
              <w:rPr>
                <w:webHidden/>
              </w:rPr>
            </w:r>
            <w:r w:rsidR="009D5143">
              <w:rPr>
                <w:webHidden/>
              </w:rPr>
              <w:fldChar w:fldCharType="separate"/>
            </w:r>
            <w:r w:rsidR="00F84458">
              <w:rPr>
                <w:webHidden/>
              </w:rPr>
              <w:t>24</w:t>
            </w:r>
            <w:r w:rsidR="009D5143">
              <w:rPr>
                <w:webHidden/>
              </w:rPr>
              <w:fldChar w:fldCharType="end"/>
            </w:r>
          </w:hyperlink>
        </w:p>
        <w:p w14:paraId="3DDB8634" w14:textId="77777777" w:rsidR="009D5143" w:rsidRDefault="0052227C">
          <w:pPr>
            <w:pStyle w:val="TOC2"/>
            <w:rPr>
              <w:rFonts w:asciiTheme="minorHAnsi" w:eastAsiaTheme="minorEastAsia" w:hAnsiTheme="minorHAnsi" w:cstheme="minorBidi"/>
              <w:szCs w:val="22"/>
            </w:rPr>
          </w:pPr>
          <w:hyperlink w:anchor="_Toc476305232" w:history="1">
            <w:r w:rsidR="009D5143" w:rsidRPr="00AD0C69">
              <w:rPr>
                <w:rStyle w:val="Hyperlink"/>
              </w:rPr>
              <w:t>3.3.</w:t>
            </w:r>
            <w:r w:rsidR="009D5143">
              <w:rPr>
                <w:rFonts w:asciiTheme="minorHAnsi" w:eastAsiaTheme="minorEastAsia" w:hAnsiTheme="minorHAnsi" w:cstheme="minorBidi"/>
                <w:szCs w:val="22"/>
              </w:rPr>
              <w:tab/>
            </w:r>
            <w:r w:rsidR="009D5143" w:rsidRPr="00AD0C69">
              <w:rPr>
                <w:rStyle w:val="Hyperlink"/>
              </w:rPr>
              <w:t>Applying the NEP</w:t>
            </w:r>
            <w:r w:rsidR="009D5143">
              <w:rPr>
                <w:webHidden/>
              </w:rPr>
              <w:tab/>
            </w:r>
            <w:r w:rsidR="009D5143">
              <w:rPr>
                <w:webHidden/>
              </w:rPr>
              <w:fldChar w:fldCharType="begin"/>
            </w:r>
            <w:r w:rsidR="009D5143">
              <w:rPr>
                <w:webHidden/>
              </w:rPr>
              <w:instrText xml:space="preserve"> PAGEREF _Toc476305232 \h </w:instrText>
            </w:r>
            <w:r w:rsidR="009D5143">
              <w:rPr>
                <w:webHidden/>
              </w:rPr>
            </w:r>
            <w:r w:rsidR="009D5143">
              <w:rPr>
                <w:webHidden/>
              </w:rPr>
              <w:fldChar w:fldCharType="separate"/>
            </w:r>
            <w:r w:rsidR="00F84458">
              <w:rPr>
                <w:webHidden/>
              </w:rPr>
              <w:t>26</w:t>
            </w:r>
            <w:r w:rsidR="009D5143">
              <w:rPr>
                <w:webHidden/>
              </w:rPr>
              <w:fldChar w:fldCharType="end"/>
            </w:r>
          </w:hyperlink>
        </w:p>
        <w:p w14:paraId="29B84445" w14:textId="77777777" w:rsidR="009D5143" w:rsidRDefault="0052227C">
          <w:pPr>
            <w:pStyle w:val="TOC1"/>
            <w:tabs>
              <w:tab w:val="left" w:pos="880"/>
              <w:tab w:val="right" w:leader="dot" w:pos="9017"/>
            </w:tabs>
            <w:rPr>
              <w:rFonts w:asciiTheme="minorHAnsi" w:eastAsiaTheme="minorEastAsia" w:hAnsiTheme="minorHAnsi" w:cstheme="minorBidi"/>
              <w:b w:val="0"/>
              <w:sz w:val="22"/>
              <w:szCs w:val="22"/>
            </w:rPr>
          </w:pPr>
          <w:hyperlink w:anchor="_Toc476305233" w:history="1">
            <w:r w:rsidR="009D5143" w:rsidRPr="00AD0C69">
              <w:rPr>
                <w:rStyle w:val="Hyperlink"/>
              </w:rPr>
              <w:t>4.</w:t>
            </w:r>
            <w:r w:rsidR="009D5143">
              <w:rPr>
                <w:rFonts w:asciiTheme="minorHAnsi" w:eastAsiaTheme="minorEastAsia" w:hAnsiTheme="minorHAnsi" w:cstheme="minorBidi"/>
                <w:b w:val="0"/>
                <w:sz w:val="22"/>
                <w:szCs w:val="22"/>
              </w:rPr>
              <w:tab/>
            </w:r>
            <w:r w:rsidR="009D5143" w:rsidRPr="00AD0C69">
              <w:rPr>
                <w:rStyle w:val="Hyperlink"/>
              </w:rPr>
              <w:t>Admitted subacute and non-acute care cost model</w:t>
            </w:r>
            <w:r w:rsidR="009D5143">
              <w:rPr>
                <w:webHidden/>
              </w:rPr>
              <w:tab/>
            </w:r>
            <w:r w:rsidR="009D5143">
              <w:rPr>
                <w:webHidden/>
              </w:rPr>
              <w:fldChar w:fldCharType="begin"/>
            </w:r>
            <w:r w:rsidR="009D5143">
              <w:rPr>
                <w:webHidden/>
              </w:rPr>
              <w:instrText xml:space="preserve"> PAGEREF _Toc476305233 \h </w:instrText>
            </w:r>
            <w:r w:rsidR="009D5143">
              <w:rPr>
                <w:webHidden/>
              </w:rPr>
            </w:r>
            <w:r w:rsidR="009D5143">
              <w:rPr>
                <w:webHidden/>
              </w:rPr>
              <w:fldChar w:fldCharType="separate"/>
            </w:r>
            <w:r w:rsidR="00F84458">
              <w:rPr>
                <w:webHidden/>
              </w:rPr>
              <w:t>27</w:t>
            </w:r>
            <w:r w:rsidR="009D5143">
              <w:rPr>
                <w:webHidden/>
              </w:rPr>
              <w:fldChar w:fldCharType="end"/>
            </w:r>
          </w:hyperlink>
        </w:p>
        <w:p w14:paraId="1D1FDA91" w14:textId="77777777" w:rsidR="009D5143" w:rsidRDefault="0052227C">
          <w:pPr>
            <w:pStyle w:val="TOC2"/>
            <w:rPr>
              <w:rFonts w:asciiTheme="minorHAnsi" w:eastAsiaTheme="minorEastAsia" w:hAnsiTheme="minorHAnsi" w:cstheme="minorBidi"/>
              <w:szCs w:val="22"/>
            </w:rPr>
          </w:pPr>
          <w:hyperlink w:anchor="_Toc476305234" w:history="1">
            <w:r w:rsidR="009D5143" w:rsidRPr="00AD0C69">
              <w:rPr>
                <w:rStyle w:val="Hyperlink"/>
              </w:rPr>
              <w:t>4.1.</w:t>
            </w:r>
            <w:r w:rsidR="009D5143">
              <w:rPr>
                <w:rFonts w:asciiTheme="minorHAnsi" w:eastAsiaTheme="minorEastAsia" w:hAnsiTheme="minorHAnsi" w:cstheme="minorBidi"/>
                <w:szCs w:val="22"/>
              </w:rPr>
              <w:tab/>
            </w:r>
            <w:r w:rsidR="009D5143" w:rsidRPr="00AD0C69">
              <w:rPr>
                <w:rStyle w:val="Hyperlink"/>
              </w:rPr>
              <w:t>General issues</w:t>
            </w:r>
            <w:r w:rsidR="009D5143">
              <w:rPr>
                <w:webHidden/>
              </w:rPr>
              <w:tab/>
            </w:r>
            <w:r w:rsidR="009D5143">
              <w:rPr>
                <w:webHidden/>
              </w:rPr>
              <w:fldChar w:fldCharType="begin"/>
            </w:r>
            <w:r w:rsidR="009D5143">
              <w:rPr>
                <w:webHidden/>
              </w:rPr>
              <w:instrText xml:space="preserve"> PAGEREF _Toc476305234 \h </w:instrText>
            </w:r>
            <w:r w:rsidR="009D5143">
              <w:rPr>
                <w:webHidden/>
              </w:rPr>
            </w:r>
            <w:r w:rsidR="009D5143">
              <w:rPr>
                <w:webHidden/>
              </w:rPr>
              <w:fldChar w:fldCharType="separate"/>
            </w:r>
            <w:r w:rsidR="00F84458">
              <w:rPr>
                <w:webHidden/>
              </w:rPr>
              <w:t>27</w:t>
            </w:r>
            <w:r w:rsidR="009D5143">
              <w:rPr>
                <w:webHidden/>
              </w:rPr>
              <w:fldChar w:fldCharType="end"/>
            </w:r>
          </w:hyperlink>
        </w:p>
        <w:p w14:paraId="6A10BBCC" w14:textId="77777777" w:rsidR="009D5143" w:rsidRDefault="0052227C">
          <w:pPr>
            <w:pStyle w:val="TOC2"/>
            <w:rPr>
              <w:rFonts w:asciiTheme="minorHAnsi" w:eastAsiaTheme="minorEastAsia" w:hAnsiTheme="minorHAnsi" w:cstheme="minorBidi"/>
              <w:szCs w:val="22"/>
            </w:rPr>
          </w:pPr>
          <w:hyperlink w:anchor="_Toc476305235" w:history="1">
            <w:r w:rsidR="009D5143" w:rsidRPr="00AD0C69">
              <w:rPr>
                <w:rStyle w:val="Hyperlink"/>
              </w:rPr>
              <w:t>4.2.</w:t>
            </w:r>
            <w:r w:rsidR="009D5143">
              <w:rPr>
                <w:rFonts w:asciiTheme="minorHAnsi" w:eastAsiaTheme="minorEastAsia" w:hAnsiTheme="minorHAnsi" w:cstheme="minorBidi"/>
                <w:szCs w:val="22"/>
              </w:rPr>
              <w:tab/>
            </w:r>
            <w:r w:rsidR="009D5143" w:rsidRPr="00AD0C69">
              <w:rPr>
                <w:rStyle w:val="Hyperlink"/>
              </w:rPr>
              <w:t>Analysis of costs to derive NWAU for subacute admitted care</w:t>
            </w:r>
            <w:r w:rsidR="009D5143">
              <w:rPr>
                <w:webHidden/>
              </w:rPr>
              <w:tab/>
            </w:r>
            <w:r w:rsidR="009D5143">
              <w:rPr>
                <w:webHidden/>
              </w:rPr>
              <w:fldChar w:fldCharType="begin"/>
            </w:r>
            <w:r w:rsidR="009D5143">
              <w:rPr>
                <w:webHidden/>
              </w:rPr>
              <w:instrText xml:space="preserve"> PAGEREF _Toc476305235 \h </w:instrText>
            </w:r>
            <w:r w:rsidR="009D5143">
              <w:rPr>
                <w:webHidden/>
              </w:rPr>
            </w:r>
            <w:r w:rsidR="009D5143">
              <w:rPr>
                <w:webHidden/>
              </w:rPr>
              <w:fldChar w:fldCharType="separate"/>
            </w:r>
            <w:r w:rsidR="00F84458">
              <w:rPr>
                <w:webHidden/>
              </w:rPr>
              <w:t>28</w:t>
            </w:r>
            <w:r w:rsidR="009D5143">
              <w:rPr>
                <w:webHidden/>
              </w:rPr>
              <w:fldChar w:fldCharType="end"/>
            </w:r>
          </w:hyperlink>
        </w:p>
        <w:p w14:paraId="1F017A1F" w14:textId="77777777" w:rsidR="009D5143" w:rsidRDefault="0052227C">
          <w:pPr>
            <w:pStyle w:val="TOC2"/>
            <w:rPr>
              <w:rFonts w:asciiTheme="minorHAnsi" w:eastAsiaTheme="minorEastAsia" w:hAnsiTheme="minorHAnsi" w:cstheme="minorBidi"/>
              <w:szCs w:val="22"/>
            </w:rPr>
          </w:pPr>
          <w:hyperlink w:anchor="_Toc476305236" w:history="1">
            <w:r w:rsidR="009D5143" w:rsidRPr="00AD0C69">
              <w:rPr>
                <w:rStyle w:val="Hyperlink"/>
              </w:rPr>
              <w:t>4.3.</w:t>
            </w:r>
            <w:r w:rsidR="009D5143">
              <w:rPr>
                <w:rFonts w:asciiTheme="minorHAnsi" w:eastAsiaTheme="minorEastAsia" w:hAnsiTheme="minorHAnsi" w:cstheme="minorBidi"/>
                <w:szCs w:val="22"/>
              </w:rPr>
              <w:tab/>
            </w:r>
            <w:r w:rsidR="009D5143" w:rsidRPr="00AD0C69">
              <w:rPr>
                <w:rStyle w:val="Hyperlink"/>
              </w:rPr>
              <w:t>Applying the NEP</w:t>
            </w:r>
            <w:r w:rsidR="009D5143">
              <w:rPr>
                <w:webHidden/>
              </w:rPr>
              <w:tab/>
            </w:r>
            <w:r w:rsidR="009D5143">
              <w:rPr>
                <w:webHidden/>
              </w:rPr>
              <w:fldChar w:fldCharType="begin"/>
            </w:r>
            <w:r w:rsidR="009D5143">
              <w:rPr>
                <w:webHidden/>
              </w:rPr>
              <w:instrText xml:space="preserve"> PAGEREF _Toc476305236 \h </w:instrText>
            </w:r>
            <w:r w:rsidR="009D5143">
              <w:rPr>
                <w:webHidden/>
              </w:rPr>
            </w:r>
            <w:r w:rsidR="009D5143">
              <w:rPr>
                <w:webHidden/>
              </w:rPr>
              <w:fldChar w:fldCharType="separate"/>
            </w:r>
            <w:r w:rsidR="00F84458">
              <w:rPr>
                <w:webHidden/>
              </w:rPr>
              <w:t>30</w:t>
            </w:r>
            <w:r w:rsidR="009D5143">
              <w:rPr>
                <w:webHidden/>
              </w:rPr>
              <w:fldChar w:fldCharType="end"/>
            </w:r>
          </w:hyperlink>
        </w:p>
        <w:p w14:paraId="16B6B827" w14:textId="77777777" w:rsidR="009D5143" w:rsidRDefault="0052227C">
          <w:pPr>
            <w:pStyle w:val="TOC1"/>
            <w:tabs>
              <w:tab w:val="left" w:pos="880"/>
              <w:tab w:val="right" w:leader="dot" w:pos="9017"/>
            </w:tabs>
            <w:rPr>
              <w:rFonts w:asciiTheme="minorHAnsi" w:eastAsiaTheme="minorEastAsia" w:hAnsiTheme="minorHAnsi" w:cstheme="minorBidi"/>
              <w:b w:val="0"/>
              <w:sz w:val="22"/>
              <w:szCs w:val="22"/>
            </w:rPr>
          </w:pPr>
          <w:hyperlink w:anchor="_Toc476305237" w:history="1">
            <w:r w:rsidR="009D5143" w:rsidRPr="00AD0C69">
              <w:rPr>
                <w:rStyle w:val="Hyperlink"/>
              </w:rPr>
              <w:t>5.</w:t>
            </w:r>
            <w:r w:rsidR="009D5143">
              <w:rPr>
                <w:rFonts w:asciiTheme="minorHAnsi" w:eastAsiaTheme="minorEastAsia" w:hAnsiTheme="minorHAnsi" w:cstheme="minorBidi"/>
                <w:b w:val="0"/>
                <w:sz w:val="22"/>
                <w:szCs w:val="22"/>
              </w:rPr>
              <w:tab/>
            </w:r>
            <w:r w:rsidR="009D5143" w:rsidRPr="00AD0C69">
              <w:rPr>
                <w:rStyle w:val="Hyperlink"/>
              </w:rPr>
              <w:t>Emergency care cost model</w:t>
            </w:r>
            <w:r w:rsidR="009D5143">
              <w:rPr>
                <w:webHidden/>
              </w:rPr>
              <w:tab/>
            </w:r>
            <w:r w:rsidR="009D5143">
              <w:rPr>
                <w:webHidden/>
              </w:rPr>
              <w:fldChar w:fldCharType="begin"/>
            </w:r>
            <w:r w:rsidR="009D5143">
              <w:rPr>
                <w:webHidden/>
              </w:rPr>
              <w:instrText xml:space="preserve"> PAGEREF _Toc476305237 \h </w:instrText>
            </w:r>
            <w:r w:rsidR="009D5143">
              <w:rPr>
                <w:webHidden/>
              </w:rPr>
            </w:r>
            <w:r w:rsidR="009D5143">
              <w:rPr>
                <w:webHidden/>
              </w:rPr>
              <w:fldChar w:fldCharType="separate"/>
            </w:r>
            <w:r w:rsidR="00F84458">
              <w:rPr>
                <w:webHidden/>
              </w:rPr>
              <w:t>32</w:t>
            </w:r>
            <w:r w:rsidR="009D5143">
              <w:rPr>
                <w:webHidden/>
              </w:rPr>
              <w:fldChar w:fldCharType="end"/>
            </w:r>
          </w:hyperlink>
        </w:p>
        <w:p w14:paraId="7AC36F2E" w14:textId="77777777" w:rsidR="009D5143" w:rsidRDefault="0052227C">
          <w:pPr>
            <w:pStyle w:val="TOC2"/>
            <w:rPr>
              <w:rFonts w:asciiTheme="minorHAnsi" w:eastAsiaTheme="minorEastAsia" w:hAnsiTheme="minorHAnsi" w:cstheme="minorBidi"/>
              <w:szCs w:val="22"/>
            </w:rPr>
          </w:pPr>
          <w:hyperlink w:anchor="_Toc476305238" w:history="1">
            <w:r w:rsidR="009D5143" w:rsidRPr="00AD0C69">
              <w:rPr>
                <w:rStyle w:val="Hyperlink"/>
              </w:rPr>
              <w:t>5.1.</w:t>
            </w:r>
            <w:r w:rsidR="009D5143">
              <w:rPr>
                <w:rFonts w:asciiTheme="minorHAnsi" w:eastAsiaTheme="minorEastAsia" w:hAnsiTheme="minorHAnsi" w:cstheme="minorBidi"/>
                <w:szCs w:val="22"/>
              </w:rPr>
              <w:tab/>
            </w:r>
            <w:r w:rsidR="009D5143" w:rsidRPr="00AD0C69">
              <w:rPr>
                <w:rStyle w:val="Hyperlink"/>
              </w:rPr>
              <w:t>General issues</w:t>
            </w:r>
            <w:r w:rsidR="009D5143">
              <w:rPr>
                <w:webHidden/>
              </w:rPr>
              <w:tab/>
            </w:r>
            <w:r w:rsidR="009D5143">
              <w:rPr>
                <w:webHidden/>
              </w:rPr>
              <w:fldChar w:fldCharType="begin"/>
            </w:r>
            <w:r w:rsidR="009D5143">
              <w:rPr>
                <w:webHidden/>
              </w:rPr>
              <w:instrText xml:space="preserve"> PAGEREF _Toc476305238 \h </w:instrText>
            </w:r>
            <w:r w:rsidR="009D5143">
              <w:rPr>
                <w:webHidden/>
              </w:rPr>
            </w:r>
            <w:r w:rsidR="009D5143">
              <w:rPr>
                <w:webHidden/>
              </w:rPr>
              <w:fldChar w:fldCharType="separate"/>
            </w:r>
            <w:r w:rsidR="00F84458">
              <w:rPr>
                <w:webHidden/>
              </w:rPr>
              <w:t>32</w:t>
            </w:r>
            <w:r w:rsidR="009D5143">
              <w:rPr>
                <w:webHidden/>
              </w:rPr>
              <w:fldChar w:fldCharType="end"/>
            </w:r>
          </w:hyperlink>
        </w:p>
        <w:p w14:paraId="368D2EB3" w14:textId="77777777" w:rsidR="009D5143" w:rsidRDefault="0052227C">
          <w:pPr>
            <w:pStyle w:val="TOC2"/>
            <w:rPr>
              <w:rFonts w:asciiTheme="minorHAnsi" w:eastAsiaTheme="minorEastAsia" w:hAnsiTheme="minorHAnsi" w:cstheme="minorBidi"/>
              <w:szCs w:val="22"/>
            </w:rPr>
          </w:pPr>
          <w:hyperlink w:anchor="_Toc476305239" w:history="1">
            <w:r w:rsidR="009D5143" w:rsidRPr="00AD0C69">
              <w:rPr>
                <w:rStyle w:val="Hyperlink"/>
              </w:rPr>
              <w:t>5.2.</w:t>
            </w:r>
            <w:r w:rsidR="009D5143">
              <w:rPr>
                <w:rFonts w:asciiTheme="minorHAnsi" w:eastAsiaTheme="minorEastAsia" w:hAnsiTheme="minorHAnsi" w:cstheme="minorBidi"/>
                <w:szCs w:val="22"/>
              </w:rPr>
              <w:tab/>
            </w:r>
            <w:r w:rsidR="009D5143" w:rsidRPr="00AD0C69">
              <w:rPr>
                <w:rStyle w:val="Hyperlink"/>
              </w:rPr>
              <w:t>Analysis of costs to derive NWAU for emergency care</w:t>
            </w:r>
            <w:r w:rsidR="009D5143">
              <w:rPr>
                <w:webHidden/>
              </w:rPr>
              <w:tab/>
            </w:r>
            <w:r w:rsidR="009D5143">
              <w:rPr>
                <w:webHidden/>
              </w:rPr>
              <w:fldChar w:fldCharType="begin"/>
            </w:r>
            <w:r w:rsidR="009D5143">
              <w:rPr>
                <w:webHidden/>
              </w:rPr>
              <w:instrText xml:space="preserve"> PAGEREF _Toc476305239 \h </w:instrText>
            </w:r>
            <w:r w:rsidR="009D5143">
              <w:rPr>
                <w:webHidden/>
              </w:rPr>
            </w:r>
            <w:r w:rsidR="009D5143">
              <w:rPr>
                <w:webHidden/>
              </w:rPr>
              <w:fldChar w:fldCharType="separate"/>
            </w:r>
            <w:r w:rsidR="00F84458">
              <w:rPr>
                <w:webHidden/>
              </w:rPr>
              <w:t>32</w:t>
            </w:r>
            <w:r w:rsidR="009D5143">
              <w:rPr>
                <w:webHidden/>
              </w:rPr>
              <w:fldChar w:fldCharType="end"/>
            </w:r>
          </w:hyperlink>
        </w:p>
        <w:p w14:paraId="61454D96" w14:textId="77777777" w:rsidR="009D5143" w:rsidRDefault="0052227C">
          <w:pPr>
            <w:pStyle w:val="TOC1"/>
            <w:tabs>
              <w:tab w:val="left" w:pos="880"/>
              <w:tab w:val="right" w:leader="dot" w:pos="9017"/>
            </w:tabs>
            <w:rPr>
              <w:rFonts w:asciiTheme="minorHAnsi" w:eastAsiaTheme="minorEastAsia" w:hAnsiTheme="minorHAnsi" w:cstheme="minorBidi"/>
              <w:b w:val="0"/>
              <w:sz w:val="22"/>
              <w:szCs w:val="22"/>
            </w:rPr>
          </w:pPr>
          <w:hyperlink w:anchor="_Toc476305240" w:history="1">
            <w:r w:rsidR="009D5143" w:rsidRPr="00AD0C69">
              <w:rPr>
                <w:rStyle w:val="Hyperlink"/>
              </w:rPr>
              <w:t>6.</w:t>
            </w:r>
            <w:r w:rsidR="009D5143">
              <w:rPr>
                <w:rFonts w:asciiTheme="minorHAnsi" w:eastAsiaTheme="minorEastAsia" w:hAnsiTheme="minorHAnsi" w:cstheme="minorBidi"/>
                <w:b w:val="0"/>
                <w:sz w:val="22"/>
                <w:szCs w:val="22"/>
              </w:rPr>
              <w:tab/>
            </w:r>
            <w:r w:rsidR="009D5143" w:rsidRPr="00AD0C69">
              <w:rPr>
                <w:rStyle w:val="Hyperlink"/>
              </w:rPr>
              <w:t>Non-admitted care cost model</w:t>
            </w:r>
            <w:r w:rsidR="009D5143">
              <w:rPr>
                <w:webHidden/>
              </w:rPr>
              <w:tab/>
            </w:r>
            <w:r w:rsidR="009D5143">
              <w:rPr>
                <w:webHidden/>
              </w:rPr>
              <w:fldChar w:fldCharType="begin"/>
            </w:r>
            <w:r w:rsidR="009D5143">
              <w:rPr>
                <w:webHidden/>
              </w:rPr>
              <w:instrText xml:space="preserve"> PAGEREF _Toc476305240 \h </w:instrText>
            </w:r>
            <w:r w:rsidR="009D5143">
              <w:rPr>
                <w:webHidden/>
              </w:rPr>
            </w:r>
            <w:r w:rsidR="009D5143">
              <w:rPr>
                <w:webHidden/>
              </w:rPr>
              <w:fldChar w:fldCharType="separate"/>
            </w:r>
            <w:r w:rsidR="00F84458">
              <w:rPr>
                <w:webHidden/>
              </w:rPr>
              <w:t>35</w:t>
            </w:r>
            <w:r w:rsidR="009D5143">
              <w:rPr>
                <w:webHidden/>
              </w:rPr>
              <w:fldChar w:fldCharType="end"/>
            </w:r>
          </w:hyperlink>
        </w:p>
        <w:p w14:paraId="3ABE550D" w14:textId="77777777" w:rsidR="009D5143" w:rsidRDefault="0052227C">
          <w:pPr>
            <w:pStyle w:val="TOC2"/>
            <w:rPr>
              <w:rFonts w:asciiTheme="minorHAnsi" w:eastAsiaTheme="minorEastAsia" w:hAnsiTheme="minorHAnsi" w:cstheme="minorBidi"/>
              <w:szCs w:val="22"/>
            </w:rPr>
          </w:pPr>
          <w:hyperlink w:anchor="_Toc476305241" w:history="1">
            <w:r w:rsidR="009D5143" w:rsidRPr="00AD0C69">
              <w:rPr>
                <w:rStyle w:val="Hyperlink"/>
              </w:rPr>
              <w:t>6.1.</w:t>
            </w:r>
            <w:r w:rsidR="009D5143">
              <w:rPr>
                <w:rFonts w:asciiTheme="minorHAnsi" w:eastAsiaTheme="minorEastAsia" w:hAnsiTheme="minorHAnsi" w:cstheme="minorBidi"/>
                <w:szCs w:val="22"/>
              </w:rPr>
              <w:tab/>
            </w:r>
            <w:r w:rsidR="009D5143" w:rsidRPr="00AD0C69">
              <w:rPr>
                <w:rStyle w:val="Hyperlink"/>
              </w:rPr>
              <w:t>Overview</w:t>
            </w:r>
            <w:r w:rsidR="009D5143">
              <w:rPr>
                <w:webHidden/>
              </w:rPr>
              <w:tab/>
            </w:r>
            <w:r w:rsidR="009D5143">
              <w:rPr>
                <w:webHidden/>
              </w:rPr>
              <w:fldChar w:fldCharType="begin"/>
            </w:r>
            <w:r w:rsidR="009D5143">
              <w:rPr>
                <w:webHidden/>
              </w:rPr>
              <w:instrText xml:space="preserve"> PAGEREF _Toc476305241 \h </w:instrText>
            </w:r>
            <w:r w:rsidR="009D5143">
              <w:rPr>
                <w:webHidden/>
              </w:rPr>
            </w:r>
            <w:r w:rsidR="009D5143">
              <w:rPr>
                <w:webHidden/>
              </w:rPr>
              <w:fldChar w:fldCharType="separate"/>
            </w:r>
            <w:r w:rsidR="00F84458">
              <w:rPr>
                <w:webHidden/>
              </w:rPr>
              <w:t>35</w:t>
            </w:r>
            <w:r w:rsidR="009D5143">
              <w:rPr>
                <w:webHidden/>
              </w:rPr>
              <w:fldChar w:fldCharType="end"/>
            </w:r>
          </w:hyperlink>
        </w:p>
        <w:p w14:paraId="32D19A3B" w14:textId="77777777" w:rsidR="009D5143" w:rsidRDefault="0052227C">
          <w:pPr>
            <w:pStyle w:val="TOC2"/>
            <w:rPr>
              <w:rFonts w:asciiTheme="minorHAnsi" w:eastAsiaTheme="minorEastAsia" w:hAnsiTheme="minorHAnsi" w:cstheme="minorBidi"/>
              <w:szCs w:val="22"/>
            </w:rPr>
          </w:pPr>
          <w:hyperlink w:anchor="_Toc476305242" w:history="1">
            <w:r w:rsidR="009D5143" w:rsidRPr="00AD0C69">
              <w:rPr>
                <w:rStyle w:val="Hyperlink"/>
              </w:rPr>
              <w:t>6.2.</w:t>
            </w:r>
            <w:r w:rsidR="009D5143">
              <w:rPr>
                <w:rFonts w:asciiTheme="minorHAnsi" w:eastAsiaTheme="minorEastAsia" w:hAnsiTheme="minorHAnsi" w:cstheme="minorBidi"/>
                <w:szCs w:val="22"/>
              </w:rPr>
              <w:tab/>
            </w:r>
            <w:r w:rsidR="009D5143" w:rsidRPr="00AD0C69">
              <w:rPr>
                <w:rStyle w:val="Hyperlink"/>
              </w:rPr>
              <w:t>Analysis of costs to derive NWAU for non-admitted (outpatient) care</w:t>
            </w:r>
            <w:r w:rsidR="009D5143">
              <w:rPr>
                <w:webHidden/>
              </w:rPr>
              <w:tab/>
            </w:r>
            <w:r w:rsidR="009D5143">
              <w:rPr>
                <w:webHidden/>
              </w:rPr>
              <w:fldChar w:fldCharType="begin"/>
            </w:r>
            <w:r w:rsidR="009D5143">
              <w:rPr>
                <w:webHidden/>
              </w:rPr>
              <w:instrText xml:space="preserve"> PAGEREF _Toc476305242 \h </w:instrText>
            </w:r>
            <w:r w:rsidR="009D5143">
              <w:rPr>
                <w:webHidden/>
              </w:rPr>
            </w:r>
            <w:r w:rsidR="009D5143">
              <w:rPr>
                <w:webHidden/>
              </w:rPr>
              <w:fldChar w:fldCharType="separate"/>
            </w:r>
            <w:r w:rsidR="00F84458">
              <w:rPr>
                <w:webHidden/>
              </w:rPr>
              <w:t>35</w:t>
            </w:r>
            <w:r w:rsidR="009D5143">
              <w:rPr>
                <w:webHidden/>
              </w:rPr>
              <w:fldChar w:fldCharType="end"/>
            </w:r>
          </w:hyperlink>
        </w:p>
        <w:p w14:paraId="2E16A05A" w14:textId="77777777" w:rsidR="009D5143" w:rsidRDefault="0052227C">
          <w:pPr>
            <w:pStyle w:val="TOC1"/>
            <w:tabs>
              <w:tab w:val="left" w:pos="880"/>
              <w:tab w:val="right" w:leader="dot" w:pos="9017"/>
            </w:tabs>
            <w:rPr>
              <w:rFonts w:asciiTheme="minorHAnsi" w:eastAsiaTheme="minorEastAsia" w:hAnsiTheme="minorHAnsi" w:cstheme="minorBidi"/>
              <w:b w:val="0"/>
              <w:sz w:val="22"/>
              <w:szCs w:val="22"/>
            </w:rPr>
          </w:pPr>
          <w:hyperlink w:anchor="_Toc476305243" w:history="1">
            <w:r w:rsidR="009D5143" w:rsidRPr="00AD0C69">
              <w:rPr>
                <w:rStyle w:val="Hyperlink"/>
              </w:rPr>
              <w:t>7.</w:t>
            </w:r>
            <w:r w:rsidR="009D5143">
              <w:rPr>
                <w:rFonts w:asciiTheme="minorHAnsi" w:eastAsiaTheme="minorEastAsia" w:hAnsiTheme="minorHAnsi" w:cstheme="minorBidi"/>
                <w:b w:val="0"/>
                <w:sz w:val="22"/>
                <w:szCs w:val="22"/>
              </w:rPr>
              <w:tab/>
            </w:r>
            <w:r w:rsidR="009D5143" w:rsidRPr="00AD0C69">
              <w:rPr>
                <w:rStyle w:val="Hyperlink"/>
              </w:rPr>
              <w:t>Conversion to a pricing model</w:t>
            </w:r>
            <w:r w:rsidR="009D5143">
              <w:rPr>
                <w:webHidden/>
              </w:rPr>
              <w:tab/>
            </w:r>
            <w:r w:rsidR="009D5143">
              <w:rPr>
                <w:webHidden/>
              </w:rPr>
              <w:fldChar w:fldCharType="begin"/>
            </w:r>
            <w:r w:rsidR="009D5143">
              <w:rPr>
                <w:webHidden/>
              </w:rPr>
              <w:instrText xml:space="preserve"> PAGEREF _Toc476305243 \h </w:instrText>
            </w:r>
            <w:r w:rsidR="009D5143">
              <w:rPr>
                <w:webHidden/>
              </w:rPr>
            </w:r>
            <w:r w:rsidR="009D5143">
              <w:rPr>
                <w:webHidden/>
              </w:rPr>
              <w:fldChar w:fldCharType="separate"/>
            </w:r>
            <w:r w:rsidR="00F84458">
              <w:rPr>
                <w:webHidden/>
              </w:rPr>
              <w:t>38</w:t>
            </w:r>
            <w:r w:rsidR="009D5143">
              <w:rPr>
                <w:webHidden/>
              </w:rPr>
              <w:fldChar w:fldCharType="end"/>
            </w:r>
          </w:hyperlink>
        </w:p>
        <w:p w14:paraId="35126B25" w14:textId="77777777" w:rsidR="009D5143" w:rsidRDefault="0052227C">
          <w:pPr>
            <w:pStyle w:val="TOC2"/>
            <w:rPr>
              <w:rFonts w:asciiTheme="minorHAnsi" w:eastAsiaTheme="minorEastAsia" w:hAnsiTheme="minorHAnsi" w:cstheme="minorBidi"/>
              <w:szCs w:val="22"/>
            </w:rPr>
          </w:pPr>
          <w:hyperlink w:anchor="_Toc476305244" w:history="1">
            <w:r w:rsidR="009D5143" w:rsidRPr="00AD0C69">
              <w:rPr>
                <w:rStyle w:val="Hyperlink"/>
              </w:rPr>
              <w:t>7.1.</w:t>
            </w:r>
            <w:r w:rsidR="009D5143">
              <w:rPr>
                <w:rFonts w:asciiTheme="minorHAnsi" w:eastAsiaTheme="minorEastAsia" w:hAnsiTheme="minorHAnsi" w:cstheme="minorBidi"/>
                <w:szCs w:val="22"/>
              </w:rPr>
              <w:tab/>
            </w:r>
            <w:r w:rsidR="009D5143" w:rsidRPr="00AD0C69">
              <w:rPr>
                <w:rStyle w:val="Hyperlink"/>
              </w:rPr>
              <w:t>Overview</w:t>
            </w:r>
            <w:r w:rsidR="009D5143">
              <w:rPr>
                <w:webHidden/>
              </w:rPr>
              <w:tab/>
            </w:r>
            <w:r w:rsidR="009D5143">
              <w:rPr>
                <w:webHidden/>
              </w:rPr>
              <w:fldChar w:fldCharType="begin"/>
            </w:r>
            <w:r w:rsidR="009D5143">
              <w:rPr>
                <w:webHidden/>
              </w:rPr>
              <w:instrText xml:space="preserve"> PAGEREF _Toc476305244 \h </w:instrText>
            </w:r>
            <w:r w:rsidR="009D5143">
              <w:rPr>
                <w:webHidden/>
              </w:rPr>
            </w:r>
            <w:r w:rsidR="009D5143">
              <w:rPr>
                <w:webHidden/>
              </w:rPr>
              <w:fldChar w:fldCharType="separate"/>
            </w:r>
            <w:r w:rsidR="00F84458">
              <w:rPr>
                <w:webHidden/>
              </w:rPr>
              <w:t>38</w:t>
            </w:r>
            <w:r w:rsidR="009D5143">
              <w:rPr>
                <w:webHidden/>
              </w:rPr>
              <w:fldChar w:fldCharType="end"/>
            </w:r>
          </w:hyperlink>
        </w:p>
        <w:p w14:paraId="1EA54B1A" w14:textId="77777777" w:rsidR="009D5143" w:rsidRDefault="0052227C">
          <w:pPr>
            <w:pStyle w:val="TOC2"/>
            <w:rPr>
              <w:rFonts w:asciiTheme="minorHAnsi" w:eastAsiaTheme="minorEastAsia" w:hAnsiTheme="minorHAnsi" w:cstheme="minorBidi"/>
              <w:szCs w:val="22"/>
            </w:rPr>
          </w:pPr>
          <w:hyperlink w:anchor="_Toc476305245" w:history="1">
            <w:r w:rsidR="009D5143" w:rsidRPr="00AD0C69">
              <w:rPr>
                <w:rStyle w:val="Hyperlink"/>
              </w:rPr>
              <w:t>7.2.</w:t>
            </w:r>
            <w:r w:rsidR="009D5143">
              <w:rPr>
                <w:rFonts w:asciiTheme="minorHAnsi" w:eastAsiaTheme="minorEastAsia" w:hAnsiTheme="minorHAnsi" w:cstheme="minorBidi"/>
                <w:szCs w:val="22"/>
              </w:rPr>
              <w:tab/>
            </w:r>
            <w:r w:rsidR="009D5143" w:rsidRPr="00AD0C69">
              <w:rPr>
                <w:rStyle w:val="Hyperlink"/>
              </w:rPr>
              <w:t>Identification of out of scope costs</w:t>
            </w:r>
            <w:r w:rsidR="009D5143">
              <w:rPr>
                <w:webHidden/>
              </w:rPr>
              <w:tab/>
            </w:r>
            <w:r w:rsidR="009D5143">
              <w:rPr>
                <w:webHidden/>
              </w:rPr>
              <w:fldChar w:fldCharType="begin"/>
            </w:r>
            <w:r w:rsidR="009D5143">
              <w:rPr>
                <w:webHidden/>
              </w:rPr>
              <w:instrText xml:space="preserve"> PAGEREF _Toc476305245 \h </w:instrText>
            </w:r>
            <w:r w:rsidR="009D5143">
              <w:rPr>
                <w:webHidden/>
              </w:rPr>
            </w:r>
            <w:r w:rsidR="009D5143">
              <w:rPr>
                <w:webHidden/>
              </w:rPr>
              <w:fldChar w:fldCharType="separate"/>
            </w:r>
            <w:r w:rsidR="00F84458">
              <w:rPr>
                <w:webHidden/>
              </w:rPr>
              <w:t>39</w:t>
            </w:r>
            <w:r w:rsidR="009D5143">
              <w:rPr>
                <w:webHidden/>
              </w:rPr>
              <w:fldChar w:fldCharType="end"/>
            </w:r>
          </w:hyperlink>
        </w:p>
        <w:p w14:paraId="463EE40F" w14:textId="77777777" w:rsidR="009D5143" w:rsidRDefault="0052227C">
          <w:pPr>
            <w:pStyle w:val="TOC2"/>
            <w:rPr>
              <w:rFonts w:asciiTheme="minorHAnsi" w:eastAsiaTheme="minorEastAsia" w:hAnsiTheme="minorHAnsi" w:cstheme="minorBidi"/>
              <w:szCs w:val="22"/>
            </w:rPr>
          </w:pPr>
          <w:hyperlink w:anchor="_Toc476305246" w:history="1">
            <w:r w:rsidR="009D5143" w:rsidRPr="00AD0C69">
              <w:rPr>
                <w:rStyle w:val="Hyperlink"/>
              </w:rPr>
              <w:t>7.3.</w:t>
            </w:r>
            <w:r w:rsidR="009D5143">
              <w:rPr>
                <w:rFonts w:asciiTheme="minorHAnsi" w:eastAsiaTheme="minorEastAsia" w:hAnsiTheme="minorHAnsi" w:cstheme="minorBidi"/>
                <w:szCs w:val="22"/>
              </w:rPr>
              <w:tab/>
            </w:r>
            <w:r w:rsidR="009D5143" w:rsidRPr="00AD0C69">
              <w:rPr>
                <w:rStyle w:val="Hyperlink"/>
              </w:rPr>
              <w:t>Derivation of a reference cost</w:t>
            </w:r>
            <w:r w:rsidR="009D5143">
              <w:rPr>
                <w:webHidden/>
              </w:rPr>
              <w:tab/>
            </w:r>
            <w:r w:rsidR="009D5143">
              <w:rPr>
                <w:webHidden/>
              </w:rPr>
              <w:fldChar w:fldCharType="begin"/>
            </w:r>
            <w:r w:rsidR="009D5143">
              <w:rPr>
                <w:webHidden/>
              </w:rPr>
              <w:instrText xml:space="preserve"> PAGEREF _Toc476305246 \h </w:instrText>
            </w:r>
            <w:r w:rsidR="009D5143">
              <w:rPr>
                <w:webHidden/>
              </w:rPr>
            </w:r>
            <w:r w:rsidR="009D5143">
              <w:rPr>
                <w:webHidden/>
              </w:rPr>
              <w:fldChar w:fldCharType="separate"/>
            </w:r>
            <w:r w:rsidR="00F84458">
              <w:rPr>
                <w:webHidden/>
              </w:rPr>
              <w:t>39</w:t>
            </w:r>
            <w:r w:rsidR="009D5143">
              <w:rPr>
                <w:webHidden/>
              </w:rPr>
              <w:fldChar w:fldCharType="end"/>
            </w:r>
          </w:hyperlink>
        </w:p>
        <w:p w14:paraId="75BFF574" w14:textId="77777777" w:rsidR="009D5143" w:rsidRDefault="0052227C">
          <w:pPr>
            <w:pStyle w:val="TOC2"/>
            <w:rPr>
              <w:rFonts w:asciiTheme="minorHAnsi" w:eastAsiaTheme="minorEastAsia" w:hAnsiTheme="minorHAnsi" w:cstheme="minorBidi"/>
              <w:szCs w:val="22"/>
            </w:rPr>
          </w:pPr>
          <w:hyperlink w:anchor="_Toc476305247" w:history="1">
            <w:r w:rsidR="009D5143" w:rsidRPr="00AD0C69">
              <w:rPr>
                <w:rStyle w:val="Hyperlink"/>
              </w:rPr>
              <w:t>7.4.</w:t>
            </w:r>
            <w:r w:rsidR="009D5143">
              <w:rPr>
                <w:rFonts w:asciiTheme="minorHAnsi" w:eastAsiaTheme="minorEastAsia" w:hAnsiTheme="minorHAnsi" w:cstheme="minorBidi"/>
                <w:szCs w:val="22"/>
              </w:rPr>
              <w:tab/>
            </w:r>
            <w:r w:rsidR="009D5143" w:rsidRPr="00AD0C69">
              <w:rPr>
                <w:rStyle w:val="Hyperlink"/>
              </w:rPr>
              <w:t>Indexation</w:t>
            </w:r>
            <w:r w:rsidR="009D5143">
              <w:rPr>
                <w:webHidden/>
              </w:rPr>
              <w:tab/>
            </w:r>
            <w:r w:rsidR="009D5143">
              <w:rPr>
                <w:webHidden/>
              </w:rPr>
              <w:fldChar w:fldCharType="begin"/>
            </w:r>
            <w:r w:rsidR="009D5143">
              <w:rPr>
                <w:webHidden/>
              </w:rPr>
              <w:instrText xml:space="preserve"> PAGEREF _Toc476305247 \h </w:instrText>
            </w:r>
            <w:r w:rsidR="009D5143">
              <w:rPr>
                <w:webHidden/>
              </w:rPr>
            </w:r>
            <w:r w:rsidR="009D5143">
              <w:rPr>
                <w:webHidden/>
              </w:rPr>
              <w:fldChar w:fldCharType="separate"/>
            </w:r>
            <w:r w:rsidR="00F84458">
              <w:rPr>
                <w:webHidden/>
              </w:rPr>
              <w:t>42</w:t>
            </w:r>
            <w:r w:rsidR="009D5143">
              <w:rPr>
                <w:webHidden/>
              </w:rPr>
              <w:fldChar w:fldCharType="end"/>
            </w:r>
          </w:hyperlink>
        </w:p>
        <w:p w14:paraId="60385375" w14:textId="77777777" w:rsidR="009D5143" w:rsidRDefault="0052227C">
          <w:pPr>
            <w:pStyle w:val="TOC2"/>
            <w:rPr>
              <w:rFonts w:asciiTheme="minorHAnsi" w:eastAsiaTheme="minorEastAsia" w:hAnsiTheme="minorHAnsi" w:cstheme="minorBidi"/>
              <w:szCs w:val="22"/>
            </w:rPr>
          </w:pPr>
          <w:hyperlink w:anchor="_Toc476305248" w:history="1">
            <w:r w:rsidR="009D5143" w:rsidRPr="00AD0C69">
              <w:rPr>
                <w:rStyle w:val="Hyperlink"/>
              </w:rPr>
              <w:t>7.5.</w:t>
            </w:r>
            <w:r w:rsidR="009D5143">
              <w:rPr>
                <w:rFonts w:asciiTheme="minorHAnsi" w:eastAsiaTheme="minorEastAsia" w:hAnsiTheme="minorHAnsi" w:cstheme="minorBidi"/>
                <w:szCs w:val="22"/>
              </w:rPr>
              <w:tab/>
            </w:r>
            <w:r w:rsidR="009D5143" w:rsidRPr="00AD0C69">
              <w:rPr>
                <w:rStyle w:val="Hyperlink"/>
              </w:rPr>
              <w:t>Transformation of cost model to pricing model</w:t>
            </w:r>
            <w:r w:rsidR="009D5143">
              <w:rPr>
                <w:webHidden/>
              </w:rPr>
              <w:tab/>
            </w:r>
            <w:r w:rsidR="009D5143">
              <w:rPr>
                <w:webHidden/>
              </w:rPr>
              <w:fldChar w:fldCharType="begin"/>
            </w:r>
            <w:r w:rsidR="009D5143">
              <w:rPr>
                <w:webHidden/>
              </w:rPr>
              <w:instrText xml:space="preserve"> PAGEREF _Toc476305248 \h </w:instrText>
            </w:r>
            <w:r w:rsidR="009D5143">
              <w:rPr>
                <w:webHidden/>
              </w:rPr>
            </w:r>
            <w:r w:rsidR="009D5143">
              <w:rPr>
                <w:webHidden/>
              </w:rPr>
              <w:fldChar w:fldCharType="separate"/>
            </w:r>
            <w:r w:rsidR="00F84458">
              <w:rPr>
                <w:webHidden/>
              </w:rPr>
              <w:t>46</w:t>
            </w:r>
            <w:r w:rsidR="009D5143">
              <w:rPr>
                <w:webHidden/>
              </w:rPr>
              <w:fldChar w:fldCharType="end"/>
            </w:r>
          </w:hyperlink>
        </w:p>
        <w:p w14:paraId="6BE69421" w14:textId="66106103" w:rsidR="009D5143" w:rsidRDefault="0052227C">
          <w:pPr>
            <w:pStyle w:val="TOC2"/>
            <w:rPr>
              <w:rStyle w:val="Hyperlink"/>
            </w:rPr>
          </w:pPr>
          <w:hyperlink w:anchor="_Toc476305249" w:history="1">
            <w:r w:rsidR="009D5143" w:rsidRPr="00AD0C69">
              <w:rPr>
                <w:rStyle w:val="Hyperlink"/>
              </w:rPr>
              <w:t>7.6.</w:t>
            </w:r>
            <w:r w:rsidR="009D5143">
              <w:rPr>
                <w:rFonts w:asciiTheme="minorHAnsi" w:eastAsiaTheme="minorEastAsia" w:hAnsiTheme="minorHAnsi" w:cstheme="minorBidi"/>
                <w:szCs w:val="22"/>
              </w:rPr>
              <w:tab/>
            </w:r>
            <w:r w:rsidR="009D5143" w:rsidRPr="00AD0C69">
              <w:rPr>
                <w:rStyle w:val="Hyperlink"/>
              </w:rPr>
              <w:t>Backcasting for ABF</w:t>
            </w:r>
            <w:r w:rsidR="009D5143">
              <w:rPr>
                <w:webHidden/>
              </w:rPr>
              <w:tab/>
            </w:r>
            <w:r w:rsidR="009D5143">
              <w:rPr>
                <w:webHidden/>
              </w:rPr>
              <w:fldChar w:fldCharType="begin"/>
            </w:r>
            <w:r w:rsidR="009D5143">
              <w:rPr>
                <w:webHidden/>
              </w:rPr>
              <w:instrText xml:space="preserve"> PAGEREF _Toc476305249 \h </w:instrText>
            </w:r>
            <w:r w:rsidR="009D5143">
              <w:rPr>
                <w:webHidden/>
              </w:rPr>
            </w:r>
            <w:r w:rsidR="009D5143">
              <w:rPr>
                <w:webHidden/>
              </w:rPr>
              <w:fldChar w:fldCharType="separate"/>
            </w:r>
            <w:r w:rsidR="00F84458">
              <w:rPr>
                <w:webHidden/>
              </w:rPr>
              <w:t>47</w:t>
            </w:r>
            <w:r w:rsidR="009D5143">
              <w:rPr>
                <w:webHidden/>
              </w:rPr>
              <w:fldChar w:fldCharType="end"/>
            </w:r>
          </w:hyperlink>
        </w:p>
        <w:p w14:paraId="1D669E16" w14:textId="77777777" w:rsidR="009D5143" w:rsidRDefault="009D5143">
          <w:pPr>
            <w:spacing w:after="0" w:line="240" w:lineRule="auto"/>
            <w:rPr>
              <w:rStyle w:val="Hyperlink"/>
              <w:noProof/>
            </w:rPr>
          </w:pPr>
          <w:r>
            <w:rPr>
              <w:rStyle w:val="Hyperlink"/>
            </w:rPr>
            <w:br w:type="page"/>
          </w:r>
        </w:p>
        <w:p w14:paraId="07CDB405" w14:textId="77777777" w:rsidR="009D5143" w:rsidRDefault="0052227C">
          <w:pPr>
            <w:pStyle w:val="TOC1"/>
            <w:tabs>
              <w:tab w:val="left" w:pos="880"/>
              <w:tab w:val="right" w:leader="dot" w:pos="9017"/>
            </w:tabs>
            <w:rPr>
              <w:rFonts w:asciiTheme="minorHAnsi" w:eastAsiaTheme="minorEastAsia" w:hAnsiTheme="minorHAnsi" w:cstheme="minorBidi"/>
              <w:b w:val="0"/>
              <w:sz w:val="22"/>
              <w:szCs w:val="22"/>
            </w:rPr>
          </w:pPr>
          <w:hyperlink w:anchor="_Toc476305250" w:history="1">
            <w:r w:rsidR="009D5143" w:rsidRPr="00AD0C69">
              <w:rPr>
                <w:rStyle w:val="Hyperlink"/>
              </w:rPr>
              <w:t>8.</w:t>
            </w:r>
            <w:r w:rsidR="009D5143">
              <w:rPr>
                <w:rFonts w:asciiTheme="minorHAnsi" w:eastAsiaTheme="minorEastAsia" w:hAnsiTheme="minorHAnsi" w:cstheme="minorBidi"/>
                <w:b w:val="0"/>
                <w:sz w:val="22"/>
                <w:szCs w:val="22"/>
              </w:rPr>
              <w:tab/>
            </w:r>
            <w:r w:rsidR="009D5143" w:rsidRPr="00AD0C69">
              <w:rPr>
                <w:rStyle w:val="Hyperlink"/>
              </w:rPr>
              <w:t>Block funded hospitals</w:t>
            </w:r>
            <w:r w:rsidR="009D5143">
              <w:rPr>
                <w:webHidden/>
              </w:rPr>
              <w:tab/>
            </w:r>
            <w:r w:rsidR="009D5143">
              <w:rPr>
                <w:webHidden/>
              </w:rPr>
              <w:fldChar w:fldCharType="begin"/>
            </w:r>
            <w:r w:rsidR="009D5143">
              <w:rPr>
                <w:webHidden/>
              </w:rPr>
              <w:instrText xml:space="preserve"> PAGEREF _Toc476305250 \h </w:instrText>
            </w:r>
            <w:r w:rsidR="009D5143">
              <w:rPr>
                <w:webHidden/>
              </w:rPr>
            </w:r>
            <w:r w:rsidR="009D5143">
              <w:rPr>
                <w:webHidden/>
              </w:rPr>
              <w:fldChar w:fldCharType="separate"/>
            </w:r>
            <w:r w:rsidR="00F84458">
              <w:rPr>
                <w:webHidden/>
              </w:rPr>
              <w:t>48</w:t>
            </w:r>
            <w:r w:rsidR="009D5143">
              <w:rPr>
                <w:webHidden/>
              </w:rPr>
              <w:fldChar w:fldCharType="end"/>
            </w:r>
          </w:hyperlink>
        </w:p>
        <w:p w14:paraId="797FEB38" w14:textId="77777777" w:rsidR="009D5143" w:rsidRDefault="0052227C">
          <w:pPr>
            <w:pStyle w:val="TOC2"/>
            <w:rPr>
              <w:rFonts w:asciiTheme="minorHAnsi" w:eastAsiaTheme="minorEastAsia" w:hAnsiTheme="minorHAnsi" w:cstheme="minorBidi"/>
              <w:szCs w:val="22"/>
            </w:rPr>
          </w:pPr>
          <w:hyperlink w:anchor="_Toc476305251" w:history="1">
            <w:r w:rsidR="009D5143" w:rsidRPr="00AD0C69">
              <w:rPr>
                <w:rStyle w:val="Hyperlink"/>
              </w:rPr>
              <w:t>8.1.</w:t>
            </w:r>
            <w:r w:rsidR="009D5143">
              <w:rPr>
                <w:rFonts w:asciiTheme="minorHAnsi" w:eastAsiaTheme="minorEastAsia" w:hAnsiTheme="minorHAnsi" w:cstheme="minorBidi"/>
                <w:szCs w:val="22"/>
              </w:rPr>
              <w:tab/>
            </w:r>
            <w:r w:rsidR="009D5143" w:rsidRPr="00AD0C69">
              <w:rPr>
                <w:rStyle w:val="Hyperlink"/>
              </w:rPr>
              <w:t>General issues</w:t>
            </w:r>
            <w:r w:rsidR="009D5143">
              <w:rPr>
                <w:webHidden/>
              </w:rPr>
              <w:tab/>
            </w:r>
            <w:r w:rsidR="009D5143">
              <w:rPr>
                <w:webHidden/>
              </w:rPr>
              <w:fldChar w:fldCharType="begin"/>
            </w:r>
            <w:r w:rsidR="009D5143">
              <w:rPr>
                <w:webHidden/>
              </w:rPr>
              <w:instrText xml:space="preserve"> PAGEREF _Toc476305251 \h </w:instrText>
            </w:r>
            <w:r w:rsidR="009D5143">
              <w:rPr>
                <w:webHidden/>
              </w:rPr>
            </w:r>
            <w:r w:rsidR="009D5143">
              <w:rPr>
                <w:webHidden/>
              </w:rPr>
              <w:fldChar w:fldCharType="separate"/>
            </w:r>
            <w:r w:rsidR="00F84458">
              <w:rPr>
                <w:webHidden/>
              </w:rPr>
              <w:t>48</w:t>
            </w:r>
            <w:r w:rsidR="009D5143">
              <w:rPr>
                <w:webHidden/>
              </w:rPr>
              <w:fldChar w:fldCharType="end"/>
            </w:r>
          </w:hyperlink>
        </w:p>
        <w:p w14:paraId="3B6FC785" w14:textId="77777777" w:rsidR="009D5143" w:rsidRDefault="0052227C">
          <w:pPr>
            <w:pStyle w:val="TOC2"/>
            <w:rPr>
              <w:rFonts w:asciiTheme="minorHAnsi" w:eastAsiaTheme="minorEastAsia" w:hAnsiTheme="minorHAnsi" w:cstheme="minorBidi"/>
              <w:szCs w:val="22"/>
            </w:rPr>
          </w:pPr>
          <w:hyperlink w:anchor="_Toc476305252" w:history="1">
            <w:r w:rsidR="009D5143" w:rsidRPr="00AD0C69">
              <w:rPr>
                <w:rStyle w:val="Hyperlink"/>
              </w:rPr>
              <w:t>8.2.</w:t>
            </w:r>
            <w:r w:rsidR="009D5143">
              <w:rPr>
                <w:rFonts w:asciiTheme="minorHAnsi" w:eastAsiaTheme="minorEastAsia" w:hAnsiTheme="minorHAnsi" w:cstheme="minorBidi"/>
                <w:szCs w:val="22"/>
              </w:rPr>
              <w:tab/>
            </w:r>
            <w:r w:rsidR="009D5143" w:rsidRPr="00AD0C69">
              <w:rPr>
                <w:rStyle w:val="Hyperlink"/>
              </w:rPr>
              <w:t>Analysis of costs</w:t>
            </w:r>
            <w:r w:rsidR="009D5143">
              <w:rPr>
                <w:webHidden/>
              </w:rPr>
              <w:tab/>
            </w:r>
            <w:r w:rsidR="009D5143">
              <w:rPr>
                <w:webHidden/>
              </w:rPr>
              <w:fldChar w:fldCharType="begin"/>
            </w:r>
            <w:r w:rsidR="009D5143">
              <w:rPr>
                <w:webHidden/>
              </w:rPr>
              <w:instrText xml:space="preserve"> PAGEREF _Toc476305252 \h </w:instrText>
            </w:r>
            <w:r w:rsidR="009D5143">
              <w:rPr>
                <w:webHidden/>
              </w:rPr>
            </w:r>
            <w:r w:rsidR="009D5143">
              <w:rPr>
                <w:webHidden/>
              </w:rPr>
              <w:fldChar w:fldCharType="separate"/>
            </w:r>
            <w:r w:rsidR="00F84458">
              <w:rPr>
                <w:webHidden/>
              </w:rPr>
              <w:t>48</w:t>
            </w:r>
            <w:r w:rsidR="009D5143">
              <w:rPr>
                <w:webHidden/>
              </w:rPr>
              <w:fldChar w:fldCharType="end"/>
            </w:r>
          </w:hyperlink>
        </w:p>
        <w:p w14:paraId="4A45FCAD" w14:textId="77777777" w:rsidR="009D5143" w:rsidRDefault="0052227C">
          <w:pPr>
            <w:pStyle w:val="TOC2"/>
            <w:rPr>
              <w:rFonts w:asciiTheme="minorHAnsi" w:eastAsiaTheme="minorEastAsia" w:hAnsiTheme="minorHAnsi" w:cstheme="minorBidi"/>
              <w:szCs w:val="22"/>
            </w:rPr>
          </w:pPr>
          <w:hyperlink w:anchor="_Toc476305253" w:history="1">
            <w:r w:rsidR="009D5143" w:rsidRPr="00AD0C69">
              <w:rPr>
                <w:rStyle w:val="Hyperlink"/>
              </w:rPr>
              <w:t>8.3.</w:t>
            </w:r>
            <w:r w:rsidR="009D5143">
              <w:rPr>
                <w:rFonts w:asciiTheme="minorHAnsi" w:eastAsiaTheme="minorEastAsia" w:hAnsiTheme="minorHAnsi" w:cstheme="minorBidi"/>
                <w:szCs w:val="22"/>
              </w:rPr>
              <w:tab/>
            </w:r>
            <w:r w:rsidR="009D5143" w:rsidRPr="00AD0C69">
              <w:rPr>
                <w:rStyle w:val="Hyperlink"/>
              </w:rPr>
              <w:t>Calculation of National Efficient Cost</w:t>
            </w:r>
            <w:r w:rsidR="009D5143">
              <w:rPr>
                <w:webHidden/>
              </w:rPr>
              <w:tab/>
            </w:r>
            <w:r w:rsidR="009D5143">
              <w:rPr>
                <w:webHidden/>
              </w:rPr>
              <w:fldChar w:fldCharType="begin"/>
            </w:r>
            <w:r w:rsidR="009D5143">
              <w:rPr>
                <w:webHidden/>
              </w:rPr>
              <w:instrText xml:space="preserve"> PAGEREF _Toc476305253 \h </w:instrText>
            </w:r>
            <w:r w:rsidR="009D5143">
              <w:rPr>
                <w:webHidden/>
              </w:rPr>
            </w:r>
            <w:r w:rsidR="009D5143">
              <w:rPr>
                <w:webHidden/>
              </w:rPr>
              <w:fldChar w:fldCharType="separate"/>
            </w:r>
            <w:r w:rsidR="00F84458">
              <w:rPr>
                <w:webHidden/>
              </w:rPr>
              <w:t>50</w:t>
            </w:r>
            <w:r w:rsidR="009D5143">
              <w:rPr>
                <w:webHidden/>
              </w:rPr>
              <w:fldChar w:fldCharType="end"/>
            </w:r>
          </w:hyperlink>
        </w:p>
        <w:p w14:paraId="79FB5DFF" w14:textId="77777777" w:rsidR="009D5143" w:rsidRDefault="0052227C">
          <w:pPr>
            <w:pStyle w:val="TOC2"/>
            <w:rPr>
              <w:rFonts w:asciiTheme="minorHAnsi" w:eastAsiaTheme="minorEastAsia" w:hAnsiTheme="minorHAnsi" w:cstheme="minorBidi"/>
              <w:szCs w:val="22"/>
            </w:rPr>
          </w:pPr>
          <w:hyperlink w:anchor="_Toc476305254" w:history="1">
            <w:r w:rsidR="009D5143" w:rsidRPr="00AD0C69">
              <w:rPr>
                <w:rStyle w:val="Hyperlink"/>
              </w:rPr>
              <w:t>8.4.</w:t>
            </w:r>
            <w:r w:rsidR="009D5143">
              <w:rPr>
                <w:rFonts w:asciiTheme="minorHAnsi" w:eastAsiaTheme="minorEastAsia" w:hAnsiTheme="minorHAnsi" w:cstheme="minorBidi"/>
                <w:szCs w:val="22"/>
              </w:rPr>
              <w:tab/>
            </w:r>
            <w:r w:rsidR="009D5143" w:rsidRPr="00AD0C69">
              <w:rPr>
                <w:rStyle w:val="Hyperlink"/>
              </w:rPr>
              <w:t>Indexation of the 2014-15 model</w:t>
            </w:r>
            <w:r w:rsidR="009D5143">
              <w:rPr>
                <w:webHidden/>
              </w:rPr>
              <w:tab/>
            </w:r>
            <w:r w:rsidR="009D5143">
              <w:rPr>
                <w:webHidden/>
              </w:rPr>
              <w:fldChar w:fldCharType="begin"/>
            </w:r>
            <w:r w:rsidR="009D5143">
              <w:rPr>
                <w:webHidden/>
              </w:rPr>
              <w:instrText xml:space="preserve"> PAGEREF _Toc476305254 \h </w:instrText>
            </w:r>
            <w:r w:rsidR="009D5143">
              <w:rPr>
                <w:webHidden/>
              </w:rPr>
            </w:r>
            <w:r w:rsidR="009D5143">
              <w:rPr>
                <w:webHidden/>
              </w:rPr>
              <w:fldChar w:fldCharType="separate"/>
            </w:r>
            <w:r w:rsidR="00F84458">
              <w:rPr>
                <w:webHidden/>
              </w:rPr>
              <w:t>51</w:t>
            </w:r>
            <w:r w:rsidR="009D5143">
              <w:rPr>
                <w:webHidden/>
              </w:rPr>
              <w:fldChar w:fldCharType="end"/>
            </w:r>
          </w:hyperlink>
        </w:p>
        <w:p w14:paraId="3B520815" w14:textId="77777777" w:rsidR="009D5143" w:rsidRDefault="0052227C">
          <w:pPr>
            <w:pStyle w:val="TOC2"/>
            <w:rPr>
              <w:rFonts w:asciiTheme="minorHAnsi" w:eastAsiaTheme="minorEastAsia" w:hAnsiTheme="minorHAnsi" w:cstheme="minorBidi"/>
              <w:szCs w:val="22"/>
            </w:rPr>
          </w:pPr>
          <w:hyperlink w:anchor="_Toc476305255" w:history="1">
            <w:r w:rsidR="009D5143" w:rsidRPr="00AD0C69">
              <w:rPr>
                <w:rStyle w:val="Hyperlink"/>
              </w:rPr>
              <w:t>8.5.</w:t>
            </w:r>
            <w:r w:rsidR="009D5143">
              <w:rPr>
                <w:rFonts w:asciiTheme="minorHAnsi" w:eastAsiaTheme="minorEastAsia" w:hAnsiTheme="minorHAnsi" w:cstheme="minorBidi"/>
                <w:szCs w:val="22"/>
              </w:rPr>
              <w:tab/>
            </w:r>
            <w:r w:rsidR="009D5143" w:rsidRPr="00AD0C69">
              <w:rPr>
                <w:rStyle w:val="Hyperlink"/>
              </w:rPr>
              <w:t>Backcasting for Block Funded Hospitals</w:t>
            </w:r>
            <w:r w:rsidR="009D5143">
              <w:rPr>
                <w:webHidden/>
              </w:rPr>
              <w:tab/>
            </w:r>
            <w:r w:rsidR="009D5143">
              <w:rPr>
                <w:webHidden/>
              </w:rPr>
              <w:fldChar w:fldCharType="begin"/>
            </w:r>
            <w:r w:rsidR="009D5143">
              <w:rPr>
                <w:webHidden/>
              </w:rPr>
              <w:instrText xml:space="preserve"> PAGEREF _Toc476305255 \h </w:instrText>
            </w:r>
            <w:r w:rsidR="009D5143">
              <w:rPr>
                <w:webHidden/>
              </w:rPr>
            </w:r>
            <w:r w:rsidR="009D5143">
              <w:rPr>
                <w:webHidden/>
              </w:rPr>
              <w:fldChar w:fldCharType="separate"/>
            </w:r>
            <w:r w:rsidR="00F84458">
              <w:rPr>
                <w:webHidden/>
              </w:rPr>
              <w:t>52</w:t>
            </w:r>
            <w:r w:rsidR="009D5143">
              <w:rPr>
                <w:webHidden/>
              </w:rPr>
              <w:fldChar w:fldCharType="end"/>
            </w:r>
          </w:hyperlink>
        </w:p>
        <w:p w14:paraId="550CDEA0" w14:textId="77777777" w:rsidR="009D5143" w:rsidRDefault="0052227C">
          <w:pPr>
            <w:pStyle w:val="TOC2"/>
            <w:tabs>
              <w:tab w:val="left" w:pos="1540"/>
            </w:tabs>
            <w:rPr>
              <w:rFonts w:asciiTheme="minorHAnsi" w:eastAsiaTheme="minorEastAsia" w:hAnsiTheme="minorHAnsi" w:cstheme="minorBidi"/>
              <w:szCs w:val="22"/>
            </w:rPr>
          </w:pPr>
          <w:hyperlink w:anchor="_Toc476305256" w:history="1">
            <w:r w:rsidR="009D5143" w:rsidRPr="00AD0C69">
              <w:rPr>
                <w:rStyle w:val="Hyperlink"/>
              </w:rPr>
              <w:t>Appendix A</w:t>
            </w:r>
            <w:r w:rsidR="009D5143">
              <w:rPr>
                <w:rFonts w:asciiTheme="minorHAnsi" w:eastAsiaTheme="minorEastAsia" w:hAnsiTheme="minorHAnsi" w:cstheme="minorBidi"/>
                <w:szCs w:val="22"/>
              </w:rPr>
              <w:tab/>
            </w:r>
            <w:r w:rsidR="009D5143" w:rsidRPr="00AD0C69">
              <w:rPr>
                <w:rStyle w:val="Hyperlink"/>
              </w:rPr>
              <w:t>Reference Tables</w:t>
            </w:r>
            <w:r w:rsidR="009D5143">
              <w:rPr>
                <w:webHidden/>
              </w:rPr>
              <w:tab/>
            </w:r>
            <w:r w:rsidR="009D5143">
              <w:rPr>
                <w:webHidden/>
              </w:rPr>
              <w:fldChar w:fldCharType="begin"/>
            </w:r>
            <w:r w:rsidR="009D5143">
              <w:rPr>
                <w:webHidden/>
              </w:rPr>
              <w:instrText xml:space="preserve"> PAGEREF _Toc476305256 \h </w:instrText>
            </w:r>
            <w:r w:rsidR="009D5143">
              <w:rPr>
                <w:webHidden/>
              </w:rPr>
            </w:r>
            <w:r w:rsidR="009D5143">
              <w:rPr>
                <w:webHidden/>
              </w:rPr>
              <w:fldChar w:fldCharType="separate"/>
            </w:r>
            <w:r w:rsidR="00F84458">
              <w:rPr>
                <w:webHidden/>
              </w:rPr>
              <w:t>54</w:t>
            </w:r>
            <w:r w:rsidR="009D5143">
              <w:rPr>
                <w:webHidden/>
              </w:rPr>
              <w:fldChar w:fldCharType="end"/>
            </w:r>
          </w:hyperlink>
        </w:p>
        <w:p w14:paraId="69C58786" w14:textId="77777777" w:rsidR="009D5143" w:rsidRDefault="0052227C">
          <w:pPr>
            <w:pStyle w:val="TOC2"/>
            <w:tabs>
              <w:tab w:val="left" w:pos="1540"/>
            </w:tabs>
            <w:rPr>
              <w:rFonts w:asciiTheme="minorHAnsi" w:eastAsiaTheme="minorEastAsia" w:hAnsiTheme="minorHAnsi" w:cstheme="minorBidi"/>
              <w:szCs w:val="22"/>
            </w:rPr>
          </w:pPr>
          <w:hyperlink w:anchor="_Toc476305257" w:history="1">
            <w:r w:rsidR="009D5143" w:rsidRPr="00AD0C69">
              <w:rPr>
                <w:rStyle w:val="Hyperlink"/>
              </w:rPr>
              <w:t>Appendix B</w:t>
            </w:r>
            <w:r w:rsidR="009D5143">
              <w:rPr>
                <w:rFonts w:asciiTheme="minorHAnsi" w:eastAsiaTheme="minorEastAsia" w:hAnsiTheme="minorHAnsi" w:cstheme="minorBidi"/>
                <w:szCs w:val="22"/>
              </w:rPr>
              <w:tab/>
            </w:r>
            <w:r w:rsidR="009D5143" w:rsidRPr="00AD0C69">
              <w:rPr>
                <w:rStyle w:val="Hyperlink"/>
              </w:rPr>
              <w:t>Application of NWAU Variables</w:t>
            </w:r>
            <w:r w:rsidR="009D5143">
              <w:rPr>
                <w:webHidden/>
              </w:rPr>
              <w:tab/>
            </w:r>
            <w:r w:rsidR="009D5143">
              <w:rPr>
                <w:webHidden/>
              </w:rPr>
              <w:fldChar w:fldCharType="begin"/>
            </w:r>
            <w:r w:rsidR="009D5143">
              <w:rPr>
                <w:webHidden/>
              </w:rPr>
              <w:instrText xml:space="preserve"> PAGEREF _Toc476305257 \h </w:instrText>
            </w:r>
            <w:r w:rsidR="009D5143">
              <w:rPr>
                <w:webHidden/>
              </w:rPr>
            </w:r>
            <w:r w:rsidR="009D5143">
              <w:rPr>
                <w:webHidden/>
              </w:rPr>
              <w:fldChar w:fldCharType="separate"/>
            </w:r>
            <w:r w:rsidR="00F84458">
              <w:rPr>
                <w:webHidden/>
              </w:rPr>
              <w:t>56</w:t>
            </w:r>
            <w:r w:rsidR="009D5143">
              <w:rPr>
                <w:webHidden/>
              </w:rPr>
              <w:fldChar w:fldCharType="end"/>
            </w:r>
          </w:hyperlink>
        </w:p>
        <w:p w14:paraId="59ED12FE" w14:textId="77777777" w:rsidR="009D5143" w:rsidRDefault="0052227C">
          <w:pPr>
            <w:pStyle w:val="TOC2"/>
            <w:tabs>
              <w:tab w:val="left" w:pos="1540"/>
            </w:tabs>
            <w:rPr>
              <w:rFonts w:asciiTheme="minorHAnsi" w:eastAsiaTheme="minorEastAsia" w:hAnsiTheme="minorHAnsi" w:cstheme="minorBidi"/>
              <w:szCs w:val="22"/>
            </w:rPr>
          </w:pPr>
          <w:hyperlink w:anchor="_Toc476305258" w:history="1">
            <w:r w:rsidR="009D5143" w:rsidRPr="00AD0C69">
              <w:rPr>
                <w:rStyle w:val="Hyperlink"/>
              </w:rPr>
              <w:t>Appendix C</w:t>
            </w:r>
            <w:r w:rsidR="009D5143">
              <w:rPr>
                <w:rFonts w:asciiTheme="minorHAnsi" w:eastAsiaTheme="minorEastAsia" w:hAnsiTheme="minorHAnsi" w:cstheme="minorBidi"/>
                <w:szCs w:val="22"/>
              </w:rPr>
              <w:tab/>
            </w:r>
            <w:r w:rsidR="009D5143" w:rsidRPr="00AD0C69">
              <w:rPr>
                <w:rStyle w:val="Hyperlink"/>
              </w:rPr>
              <w:t>Summary of Input Data</w:t>
            </w:r>
            <w:r w:rsidR="009D5143">
              <w:rPr>
                <w:webHidden/>
              </w:rPr>
              <w:tab/>
            </w:r>
            <w:r w:rsidR="009D5143">
              <w:rPr>
                <w:webHidden/>
              </w:rPr>
              <w:fldChar w:fldCharType="begin"/>
            </w:r>
            <w:r w:rsidR="009D5143">
              <w:rPr>
                <w:webHidden/>
              </w:rPr>
              <w:instrText xml:space="preserve"> PAGEREF _Toc476305258 \h </w:instrText>
            </w:r>
            <w:r w:rsidR="009D5143">
              <w:rPr>
                <w:webHidden/>
              </w:rPr>
            </w:r>
            <w:r w:rsidR="009D5143">
              <w:rPr>
                <w:webHidden/>
              </w:rPr>
              <w:fldChar w:fldCharType="separate"/>
            </w:r>
            <w:r w:rsidR="00F84458">
              <w:rPr>
                <w:webHidden/>
              </w:rPr>
              <w:t>66</w:t>
            </w:r>
            <w:r w:rsidR="009D5143">
              <w:rPr>
                <w:webHidden/>
              </w:rPr>
              <w:fldChar w:fldCharType="end"/>
            </w:r>
          </w:hyperlink>
        </w:p>
        <w:p w14:paraId="76FE8904" w14:textId="77777777" w:rsidR="009D5143" w:rsidRDefault="0052227C">
          <w:pPr>
            <w:pStyle w:val="TOC2"/>
            <w:tabs>
              <w:tab w:val="left" w:pos="1540"/>
            </w:tabs>
            <w:rPr>
              <w:rFonts w:asciiTheme="minorHAnsi" w:eastAsiaTheme="minorEastAsia" w:hAnsiTheme="minorHAnsi" w:cstheme="minorBidi"/>
              <w:szCs w:val="22"/>
            </w:rPr>
          </w:pPr>
          <w:hyperlink w:anchor="_Toc476305259" w:history="1">
            <w:r w:rsidR="009D5143" w:rsidRPr="00AD0C69">
              <w:rPr>
                <w:rStyle w:val="Hyperlink"/>
              </w:rPr>
              <w:t>Appendix D</w:t>
            </w:r>
            <w:r w:rsidR="009D5143">
              <w:rPr>
                <w:rFonts w:asciiTheme="minorHAnsi" w:eastAsiaTheme="minorEastAsia" w:hAnsiTheme="minorHAnsi" w:cstheme="minorBidi"/>
                <w:szCs w:val="22"/>
              </w:rPr>
              <w:tab/>
            </w:r>
            <w:r w:rsidR="009D5143" w:rsidRPr="00AD0C69">
              <w:rPr>
                <w:rStyle w:val="Hyperlink"/>
              </w:rPr>
              <w:t>List of DRG Adopting the L1.5 H1.5 Methodology</w:t>
            </w:r>
            <w:r w:rsidR="009D5143">
              <w:rPr>
                <w:webHidden/>
              </w:rPr>
              <w:tab/>
            </w:r>
            <w:r w:rsidR="009D5143">
              <w:rPr>
                <w:webHidden/>
              </w:rPr>
              <w:fldChar w:fldCharType="begin"/>
            </w:r>
            <w:r w:rsidR="009D5143">
              <w:rPr>
                <w:webHidden/>
              </w:rPr>
              <w:instrText xml:space="preserve"> PAGEREF _Toc476305259 \h </w:instrText>
            </w:r>
            <w:r w:rsidR="009D5143">
              <w:rPr>
                <w:webHidden/>
              </w:rPr>
            </w:r>
            <w:r w:rsidR="009D5143">
              <w:rPr>
                <w:webHidden/>
              </w:rPr>
              <w:fldChar w:fldCharType="separate"/>
            </w:r>
            <w:r w:rsidR="00F84458">
              <w:rPr>
                <w:webHidden/>
              </w:rPr>
              <w:t>67</w:t>
            </w:r>
            <w:r w:rsidR="009D5143">
              <w:rPr>
                <w:webHidden/>
              </w:rPr>
              <w:fldChar w:fldCharType="end"/>
            </w:r>
          </w:hyperlink>
        </w:p>
        <w:p w14:paraId="1DDB4A21" w14:textId="77777777" w:rsidR="009D5143" w:rsidRDefault="0052227C">
          <w:pPr>
            <w:pStyle w:val="TOC2"/>
            <w:tabs>
              <w:tab w:val="left" w:pos="1540"/>
            </w:tabs>
            <w:rPr>
              <w:rFonts w:asciiTheme="minorHAnsi" w:eastAsiaTheme="minorEastAsia" w:hAnsiTheme="minorHAnsi" w:cstheme="minorBidi"/>
              <w:szCs w:val="22"/>
            </w:rPr>
          </w:pPr>
          <w:hyperlink w:anchor="_Toc476305260" w:history="1">
            <w:r w:rsidR="009D5143" w:rsidRPr="00AD0C69">
              <w:rPr>
                <w:rStyle w:val="Hyperlink"/>
              </w:rPr>
              <w:t>Appendix E</w:t>
            </w:r>
            <w:r w:rsidR="009D5143">
              <w:rPr>
                <w:rFonts w:asciiTheme="minorHAnsi" w:eastAsiaTheme="minorEastAsia" w:hAnsiTheme="minorHAnsi" w:cstheme="minorBidi"/>
                <w:szCs w:val="22"/>
              </w:rPr>
              <w:tab/>
            </w:r>
            <w:r w:rsidR="009D5143" w:rsidRPr="00AD0C69">
              <w:rPr>
                <w:rStyle w:val="Hyperlink"/>
              </w:rPr>
              <w:t>NEC17 Data Preparation</w:t>
            </w:r>
            <w:r w:rsidR="009D5143">
              <w:rPr>
                <w:webHidden/>
              </w:rPr>
              <w:tab/>
            </w:r>
            <w:r w:rsidR="009D5143">
              <w:rPr>
                <w:webHidden/>
              </w:rPr>
              <w:fldChar w:fldCharType="begin"/>
            </w:r>
            <w:r w:rsidR="009D5143">
              <w:rPr>
                <w:webHidden/>
              </w:rPr>
              <w:instrText xml:space="preserve"> PAGEREF _Toc476305260 \h </w:instrText>
            </w:r>
            <w:r w:rsidR="009D5143">
              <w:rPr>
                <w:webHidden/>
              </w:rPr>
            </w:r>
            <w:r w:rsidR="009D5143">
              <w:rPr>
                <w:webHidden/>
              </w:rPr>
              <w:fldChar w:fldCharType="separate"/>
            </w:r>
            <w:r w:rsidR="00F84458">
              <w:rPr>
                <w:webHidden/>
              </w:rPr>
              <w:t>68</w:t>
            </w:r>
            <w:r w:rsidR="009D5143">
              <w:rPr>
                <w:webHidden/>
              </w:rPr>
              <w:fldChar w:fldCharType="end"/>
            </w:r>
          </w:hyperlink>
        </w:p>
        <w:p w14:paraId="28B1D894" w14:textId="739EB93B" w:rsidR="003331A3" w:rsidRDefault="003331A3">
          <w:r>
            <w:rPr>
              <w:b/>
              <w:noProof/>
              <w:sz w:val="28"/>
            </w:rPr>
            <w:fldChar w:fldCharType="end"/>
          </w:r>
        </w:p>
      </w:sdtContent>
    </w:sdt>
    <w:p w14:paraId="3B699380" w14:textId="5F40C099" w:rsidR="00D313E0" w:rsidRDefault="00D313E0"/>
    <w:p w14:paraId="343BDE4F" w14:textId="68CCCF41" w:rsidR="004C777E" w:rsidRDefault="004C777E">
      <w:pPr>
        <w:ind w:right="-28"/>
      </w:pPr>
      <w:r>
        <w:br w:type="page"/>
      </w:r>
    </w:p>
    <w:p w14:paraId="77CC4DD8" w14:textId="77777777" w:rsidR="00BE0876" w:rsidRPr="00073196" w:rsidRDefault="00BE0876">
      <w:pPr>
        <w:pStyle w:val="TOC1"/>
      </w:pPr>
      <w:bookmarkStart w:id="23" w:name="_Ref466452687"/>
      <w:bookmarkStart w:id="24" w:name="_Toc380754688"/>
      <w:bookmarkStart w:id="25" w:name="_Toc466884131"/>
      <w:r w:rsidRPr="00073196">
        <w:lastRenderedPageBreak/>
        <w:t>Table of acronyms and abbreviations</w:t>
      </w:r>
    </w:p>
    <w:p w14:paraId="73D34CCE" w14:textId="77777777" w:rsidR="00BE0876" w:rsidRPr="00CC72A4" w:rsidRDefault="00BE0876">
      <w:pPr>
        <w:tabs>
          <w:tab w:val="left" w:pos="2835"/>
        </w:tabs>
        <w:ind w:right="-28"/>
        <w:rPr>
          <w:rFonts w:cs="Arial"/>
          <w:b/>
          <w:szCs w:val="20"/>
        </w:rPr>
      </w:pPr>
      <w:r w:rsidRPr="00CC72A4">
        <w:rPr>
          <w:rFonts w:cs="Arial"/>
          <w:b/>
          <w:szCs w:val="20"/>
        </w:rPr>
        <w:t>Acronym/ abbreviation</w:t>
      </w:r>
      <w:r w:rsidRPr="00CC72A4">
        <w:rPr>
          <w:rFonts w:cs="Arial"/>
          <w:b/>
          <w:szCs w:val="20"/>
        </w:rPr>
        <w:tab/>
        <w:t>Description</w:t>
      </w:r>
    </w:p>
    <w:p w14:paraId="0C366610"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ABF</w:t>
      </w:r>
      <w:r w:rsidRPr="00474424">
        <w:rPr>
          <w:rFonts w:cs="Arial"/>
          <w:sz w:val="20"/>
          <w:szCs w:val="20"/>
        </w:rPr>
        <w:tab/>
        <w:t xml:space="preserve">Activity </w:t>
      </w:r>
      <w:r>
        <w:rPr>
          <w:rFonts w:cs="Arial"/>
          <w:sz w:val="20"/>
          <w:szCs w:val="20"/>
        </w:rPr>
        <w:t>B</w:t>
      </w:r>
      <w:r w:rsidRPr="00474424">
        <w:rPr>
          <w:rFonts w:cs="Arial"/>
          <w:sz w:val="20"/>
          <w:szCs w:val="20"/>
        </w:rPr>
        <w:t xml:space="preserve">ased </w:t>
      </w:r>
      <w:r>
        <w:rPr>
          <w:rFonts w:cs="Arial"/>
          <w:sz w:val="20"/>
          <w:szCs w:val="20"/>
        </w:rPr>
        <w:t>F</w:t>
      </w:r>
      <w:r w:rsidRPr="00474424">
        <w:rPr>
          <w:rFonts w:cs="Arial"/>
          <w:sz w:val="20"/>
          <w:szCs w:val="20"/>
        </w:rPr>
        <w:t>unding</w:t>
      </w:r>
    </w:p>
    <w:p w14:paraId="1DF62498"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ALOS</w:t>
      </w:r>
      <w:r w:rsidRPr="00474424">
        <w:rPr>
          <w:rFonts w:cs="Arial"/>
          <w:sz w:val="20"/>
          <w:szCs w:val="20"/>
        </w:rPr>
        <w:tab/>
        <w:t xml:space="preserve">Average </w:t>
      </w:r>
      <w:r>
        <w:rPr>
          <w:rFonts w:cs="Arial"/>
          <w:sz w:val="20"/>
          <w:szCs w:val="20"/>
        </w:rPr>
        <w:t>L</w:t>
      </w:r>
      <w:r w:rsidRPr="00474424">
        <w:rPr>
          <w:rFonts w:cs="Arial"/>
          <w:sz w:val="20"/>
          <w:szCs w:val="20"/>
        </w:rPr>
        <w:t xml:space="preserve">ength of </w:t>
      </w:r>
      <w:r>
        <w:rPr>
          <w:rFonts w:cs="Arial"/>
          <w:sz w:val="20"/>
          <w:szCs w:val="20"/>
        </w:rPr>
        <w:t>S</w:t>
      </w:r>
      <w:r w:rsidRPr="00474424">
        <w:rPr>
          <w:rFonts w:cs="Arial"/>
          <w:sz w:val="20"/>
          <w:szCs w:val="20"/>
        </w:rPr>
        <w:t>tay</w:t>
      </w:r>
    </w:p>
    <w:p w14:paraId="06E69837"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AN-SNAP</w:t>
      </w:r>
      <w:r w:rsidRPr="00474424">
        <w:rPr>
          <w:rFonts w:cs="Arial"/>
          <w:sz w:val="20"/>
          <w:szCs w:val="20"/>
        </w:rPr>
        <w:tab/>
        <w:t>Australian National Subacute and Non Acute Patient Classification</w:t>
      </w:r>
    </w:p>
    <w:p w14:paraId="576A23E9" w14:textId="77777777" w:rsidR="00BE0876" w:rsidRPr="00474424" w:rsidRDefault="00BE0876">
      <w:pPr>
        <w:pStyle w:val="NoSpacing"/>
        <w:tabs>
          <w:tab w:val="left" w:pos="2835"/>
        </w:tabs>
        <w:spacing w:before="40" w:after="40"/>
        <w:ind w:right="-28"/>
        <w:rPr>
          <w:rFonts w:cs="Arial"/>
          <w:sz w:val="20"/>
          <w:szCs w:val="20"/>
        </w:rPr>
      </w:pPr>
      <w:r>
        <w:rPr>
          <w:rFonts w:cs="Arial"/>
          <w:sz w:val="20"/>
          <w:szCs w:val="20"/>
        </w:rPr>
        <w:t>APC</w:t>
      </w:r>
      <w:r w:rsidRPr="00474424">
        <w:rPr>
          <w:rFonts w:cs="Arial"/>
          <w:sz w:val="20"/>
          <w:szCs w:val="20"/>
        </w:rPr>
        <w:tab/>
      </w:r>
      <w:r>
        <w:rPr>
          <w:rFonts w:cs="Arial"/>
          <w:sz w:val="20"/>
          <w:szCs w:val="20"/>
        </w:rPr>
        <w:t>Admitted Patient Care</w:t>
      </w:r>
    </w:p>
    <w:p w14:paraId="1DF088C0" w14:textId="77777777" w:rsidR="00BE0876" w:rsidRPr="00BD4DD8" w:rsidRDefault="00BE0876">
      <w:pPr>
        <w:pStyle w:val="NoSpacing"/>
        <w:tabs>
          <w:tab w:val="left" w:pos="2835"/>
        </w:tabs>
        <w:spacing w:before="40" w:after="40"/>
        <w:ind w:right="-28"/>
        <w:rPr>
          <w:rFonts w:cs="Arial"/>
          <w:sz w:val="20"/>
          <w:szCs w:val="20"/>
        </w:rPr>
      </w:pPr>
      <w:r w:rsidRPr="00BD4DD8">
        <w:rPr>
          <w:rFonts w:cs="Arial"/>
          <w:sz w:val="20"/>
          <w:szCs w:val="20"/>
        </w:rPr>
        <w:t xml:space="preserve">APCP </w:t>
      </w:r>
      <w:r>
        <w:rPr>
          <w:rFonts w:cs="Arial"/>
          <w:sz w:val="20"/>
          <w:szCs w:val="20"/>
        </w:rPr>
        <w:tab/>
      </w:r>
      <w:r w:rsidRPr="00BD4DD8">
        <w:rPr>
          <w:rFonts w:cs="Arial"/>
          <w:sz w:val="20"/>
          <w:szCs w:val="20"/>
        </w:rPr>
        <w:t>Admitted Patient Cost Proportion</w:t>
      </w:r>
    </w:p>
    <w:p w14:paraId="2FBADED4"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AR</w:t>
      </w:r>
      <w:r w:rsidRPr="00474424">
        <w:rPr>
          <w:rFonts w:ascii="Cambria Math" w:hAnsi="Cambria Math" w:cs="Cambria Math"/>
          <w:sz w:val="20"/>
          <w:szCs w:val="20"/>
        </w:rPr>
        <w:t>‐</w:t>
      </w:r>
      <w:r w:rsidRPr="00474424">
        <w:rPr>
          <w:rFonts w:cs="Arial"/>
          <w:sz w:val="20"/>
          <w:szCs w:val="20"/>
        </w:rPr>
        <w:t>DRG</w:t>
      </w:r>
      <w:r w:rsidRPr="00474424">
        <w:rPr>
          <w:rFonts w:cs="Arial"/>
          <w:sz w:val="20"/>
          <w:szCs w:val="20"/>
        </w:rPr>
        <w:tab/>
        <w:t xml:space="preserve">Australian </w:t>
      </w:r>
      <w:r>
        <w:rPr>
          <w:rFonts w:cs="Arial"/>
          <w:sz w:val="20"/>
          <w:szCs w:val="20"/>
        </w:rPr>
        <w:t>Refined Diagnosis Related Group</w:t>
      </w:r>
    </w:p>
    <w:p w14:paraId="2F0343E2" w14:textId="77777777" w:rsidR="00BE0876" w:rsidRPr="00474424" w:rsidRDefault="00BE0876">
      <w:pPr>
        <w:pStyle w:val="NoSpacing"/>
        <w:tabs>
          <w:tab w:val="left" w:pos="2835"/>
        </w:tabs>
        <w:spacing w:before="40" w:after="40"/>
        <w:ind w:right="-28"/>
        <w:rPr>
          <w:rFonts w:cs="Arial"/>
          <w:sz w:val="20"/>
          <w:szCs w:val="20"/>
        </w:rPr>
      </w:pPr>
      <w:r>
        <w:rPr>
          <w:rFonts w:cs="Arial"/>
          <w:sz w:val="20"/>
          <w:szCs w:val="20"/>
        </w:rPr>
        <w:t>ASGS</w:t>
      </w:r>
      <w:r w:rsidRPr="00474424">
        <w:rPr>
          <w:rFonts w:cs="Arial"/>
          <w:sz w:val="20"/>
          <w:szCs w:val="20"/>
        </w:rPr>
        <w:tab/>
      </w:r>
      <w:r>
        <w:rPr>
          <w:rFonts w:cs="Arial"/>
          <w:sz w:val="20"/>
          <w:szCs w:val="20"/>
        </w:rPr>
        <w:t>Australian Statistical Geography Standard</w:t>
      </w:r>
    </w:p>
    <w:p w14:paraId="2B4FF8EA" w14:textId="77777777" w:rsidR="00BE0876" w:rsidRDefault="00BE0876">
      <w:pPr>
        <w:pStyle w:val="NoSpacing"/>
        <w:tabs>
          <w:tab w:val="left" w:pos="2835"/>
        </w:tabs>
        <w:spacing w:before="40" w:after="40"/>
        <w:ind w:right="-28"/>
        <w:rPr>
          <w:rFonts w:cs="Arial"/>
          <w:sz w:val="20"/>
          <w:szCs w:val="20"/>
        </w:rPr>
      </w:pPr>
      <w:r>
        <w:rPr>
          <w:rFonts w:cs="Arial"/>
          <w:sz w:val="20"/>
          <w:szCs w:val="20"/>
        </w:rPr>
        <w:t>ASNC</w:t>
      </w:r>
      <w:r>
        <w:rPr>
          <w:rFonts w:cs="Arial"/>
          <w:sz w:val="20"/>
          <w:szCs w:val="20"/>
        </w:rPr>
        <w:tab/>
        <w:t>Admitted Subacute and Non-acute Care</w:t>
      </w:r>
    </w:p>
    <w:p w14:paraId="360CEB3F" w14:textId="77777777" w:rsidR="00BE0876" w:rsidRDefault="00BE0876">
      <w:pPr>
        <w:pStyle w:val="NoSpacing"/>
        <w:tabs>
          <w:tab w:val="left" w:pos="2835"/>
        </w:tabs>
        <w:spacing w:before="40" w:after="40"/>
        <w:ind w:right="-28"/>
        <w:rPr>
          <w:rFonts w:cs="Arial"/>
          <w:sz w:val="20"/>
          <w:szCs w:val="20"/>
        </w:rPr>
      </w:pPr>
      <w:r>
        <w:rPr>
          <w:rFonts w:cs="Arial"/>
          <w:sz w:val="20"/>
          <w:szCs w:val="20"/>
        </w:rPr>
        <w:t>COAG</w:t>
      </w:r>
      <w:r>
        <w:rPr>
          <w:rFonts w:cs="Arial"/>
          <w:sz w:val="20"/>
          <w:szCs w:val="20"/>
        </w:rPr>
        <w:tab/>
        <w:t>Council of Australian Governments</w:t>
      </w:r>
    </w:p>
    <w:p w14:paraId="28A9993E"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CSO</w:t>
      </w:r>
      <w:r w:rsidRPr="00474424">
        <w:rPr>
          <w:rFonts w:cs="Arial"/>
          <w:sz w:val="20"/>
          <w:szCs w:val="20"/>
        </w:rPr>
        <w:tab/>
        <w:t>Community Service Obligation</w:t>
      </w:r>
    </w:p>
    <w:p w14:paraId="0D68B2B2" w14:textId="77777777" w:rsidR="00BE0876" w:rsidRDefault="00BE0876">
      <w:pPr>
        <w:pStyle w:val="NoSpacing"/>
        <w:tabs>
          <w:tab w:val="left" w:pos="2835"/>
        </w:tabs>
        <w:spacing w:before="40" w:after="40"/>
        <w:ind w:right="-28"/>
        <w:rPr>
          <w:rFonts w:cs="Arial"/>
          <w:color w:val="000000"/>
          <w:sz w:val="20"/>
          <w:szCs w:val="20"/>
        </w:rPr>
      </w:pPr>
      <w:proofErr w:type="spellStart"/>
      <w:r w:rsidRPr="00DC28A2">
        <w:rPr>
          <w:rFonts w:cs="Arial"/>
          <w:sz w:val="20"/>
          <w:szCs w:val="20"/>
        </w:rPr>
        <w:t>DoH</w:t>
      </w:r>
      <w:proofErr w:type="spellEnd"/>
      <w:r w:rsidRPr="00DC28A2">
        <w:rPr>
          <w:rFonts w:cs="Arial"/>
          <w:sz w:val="20"/>
          <w:szCs w:val="20"/>
        </w:rPr>
        <w:tab/>
      </w:r>
      <w:r w:rsidRPr="00DC28A2">
        <w:rPr>
          <w:rFonts w:cs="Arial"/>
          <w:color w:val="000000"/>
          <w:sz w:val="20"/>
          <w:szCs w:val="20"/>
        </w:rPr>
        <w:t xml:space="preserve">Department </w:t>
      </w:r>
      <w:r w:rsidRPr="00DC28A2">
        <w:rPr>
          <w:rFonts w:cs="Arial"/>
          <w:color w:val="000000"/>
          <w:spacing w:val="-1"/>
          <w:sz w:val="20"/>
          <w:szCs w:val="20"/>
        </w:rPr>
        <w:t>o</w:t>
      </w:r>
      <w:r w:rsidRPr="00DC28A2">
        <w:rPr>
          <w:rFonts w:cs="Arial"/>
          <w:color w:val="000000"/>
          <w:sz w:val="20"/>
          <w:szCs w:val="20"/>
        </w:rPr>
        <w:t>f He</w:t>
      </w:r>
      <w:r w:rsidRPr="00DC28A2">
        <w:rPr>
          <w:rFonts w:cs="Arial"/>
          <w:color w:val="000000"/>
          <w:spacing w:val="-1"/>
          <w:sz w:val="20"/>
          <w:szCs w:val="20"/>
        </w:rPr>
        <w:t>a</w:t>
      </w:r>
      <w:r w:rsidRPr="00DC28A2">
        <w:rPr>
          <w:rFonts w:cs="Arial"/>
          <w:color w:val="000000"/>
          <w:sz w:val="20"/>
          <w:szCs w:val="20"/>
        </w:rPr>
        <w:t xml:space="preserve">lth </w:t>
      </w:r>
    </w:p>
    <w:p w14:paraId="049C21F9" w14:textId="77777777" w:rsidR="00BE0876" w:rsidRPr="00474424" w:rsidRDefault="00BE0876">
      <w:pPr>
        <w:pStyle w:val="NoSpacing"/>
        <w:tabs>
          <w:tab w:val="left" w:pos="2835"/>
        </w:tabs>
        <w:spacing w:before="40" w:after="40"/>
        <w:ind w:right="-28"/>
        <w:rPr>
          <w:rFonts w:cs="Arial"/>
          <w:sz w:val="20"/>
          <w:szCs w:val="20"/>
        </w:rPr>
      </w:pPr>
      <w:r>
        <w:rPr>
          <w:rFonts w:cs="Arial"/>
          <w:color w:val="000000"/>
          <w:sz w:val="20"/>
          <w:szCs w:val="20"/>
        </w:rPr>
        <w:t>DRG</w:t>
      </w:r>
      <w:r>
        <w:rPr>
          <w:rFonts w:cs="Arial"/>
          <w:color w:val="000000"/>
          <w:sz w:val="20"/>
          <w:szCs w:val="20"/>
        </w:rPr>
        <w:tab/>
      </w:r>
      <w:r>
        <w:rPr>
          <w:rFonts w:cs="Arial"/>
          <w:sz w:val="20"/>
          <w:szCs w:val="20"/>
        </w:rPr>
        <w:t>Diagnosis Related Group</w:t>
      </w:r>
    </w:p>
    <w:p w14:paraId="74CFEF9F" w14:textId="77777777" w:rsidR="00BE0876" w:rsidRPr="00474424" w:rsidRDefault="00BE0876">
      <w:pPr>
        <w:pStyle w:val="NoSpacing"/>
        <w:tabs>
          <w:tab w:val="left" w:pos="2835"/>
        </w:tabs>
        <w:spacing w:before="40" w:after="40"/>
        <w:ind w:right="-28"/>
        <w:rPr>
          <w:rFonts w:cs="Arial"/>
          <w:color w:val="000000"/>
          <w:sz w:val="20"/>
          <w:szCs w:val="20"/>
        </w:rPr>
      </w:pPr>
      <w:r>
        <w:rPr>
          <w:rFonts w:cs="Arial"/>
          <w:sz w:val="20"/>
          <w:szCs w:val="20"/>
        </w:rPr>
        <w:t>DSS</w:t>
      </w:r>
      <w:r w:rsidRPr="00474424">
        <w:rPr>
          <w:rFonts w:cs="Arial"/>
          <w:sz w:val="20"/>
          <w:szCs w:val="20"/>
        </w:rPr>
        <w:tab/>
      </w:r>
      <w:r>
        <w:rPr>
          <w:rFonts w:cs="Arial"/>
          <w:color w:val="000000"/>
          <w:sz w:val="20"/>
          <w:szCs w:val="20"/>
        </w:rPr>
        <w:t>Data Set Specification</w:t>
      </w:r>
    </w:p>
    <w:p w14:paraId="6828A05E" w14:textId="77777777" w:rsidR="00BE0876" w:rsidRPr="00474424" w:rsidRDefault="00BE0876">
      <w:pPr>
        <w:pStyle w:val="NoSpacing"/>
        <w:tabs>
          <w:tab w:val="left" w:pos="2835"/>
        </w:tabs>
        <w:spacing w:before="40" w:after="40"/>
        <w:ind w:right="-28"/>
        <w:rPr>
          <w:rFonts w:cs="Arial"/>
          <w:color w:val="000000"/>
          <w:sz w:val="20"/>
          <w:szCs w:val="20"/>
        </w:rPr>
      </w:pPr>
      <w:r w:rsidRPr="00474424">
        <w:rPr>
          <w:rFonts w:cs="Arial"/>
          <w:color w:val="000000"/>
          <w:sz w:val="20"/>
          <w:szCs w:val="20"/>
        </w:rPr>
        <w:t>DVA</w:t>
      </w:r>
      <w:r w:rsidRPr="00474424">
        <w:rPr>
          <w:rFonts w:cs="Arial"/>
          <w:color w:val="000000"/>
          <w:sz w:val="20"/>
          <w:szCs w:val="20"/>
        </w:rPr>
        <w:tab/>
        <w:t>Department of Veterans’ Affairs</w:t>
      </w:r>
    </w:p>
    <w:p w14:paraId="799D2EDB" w14:textId="77777777" w:rsidR="00BE0876" w:rsidRDefault="00BE0876">
      <w:pPr>
        <w:pStyle w:val="NoSpacing"/>
        <w:tabs>
          <w:tab w:val="left" w:pos="2835"/>
        </w:tabs>
        <w:spacing w:before="40" w:after="40"/>
        <w:ind w:right="-28"/>
        <w:rPr>
          <w:rFonts w:cs="Arial"/>
          <w:sz w:val="20"/>
          <w:szCs w:val="20"/>
        </w:rPr>
      </w:pPr>
      <w:r w:rsidRPr="00474424">
        <w:rPr>
          <w:rFonts w:cs="Arial"/>
          <w:sz w:val="20"/>
          <w:szCs w:val="20"/>
        </w:rPr>
        <w:t>ED</w:t>
      </w:r>
      <w:r w:rsidRPr="00474424">
        <w:rPr>
          <w:rFonts w:cs="Arial"/>
          <w:sz w:val="20"/>
          <w:szCs w:val="20"/>
        </w:rPr>
        <w:tab/>
        <w:t>Emergency Department</w:t>
      </w:r>
    </w:p>
    <w:p w14:paraId="1E1B794D" w14:textId="77777777" w:rsidR="00BE0876" w:rsidRPr="00474424" w:rsidRDefault="00BE0876">
      <w:pPr>
        <w:pStyle w:val="NoSpacing"/>
        <w:tabs>
          <w:tab w:val="left" w:pos="2835"/>
        </w:tabs>
        <w:spacing w:before="40" w:after="40"/>
        <w:ind w:right="-28"/>
        <w:rPr>
          <w:rFonts w:cs="Arial"/>
          <w:sz w:val="20"/>
          <w:szCs w:val="20"/>
        </w:rPr>
      </w:pPr>
      <w:r>
        <w:rPr>
          <w:rFonts w:cs="Arial"/>
          <w:sz w:val="20"/>
          <w:szCs w:val="20"/>
        </w:rPr>
        <w:t>HEN</w:t>
      </w:r>
      <w:r>
        <w:rPr>
          <w:rFonts w:cs="Arial"/>
          <w:sz w:val="20"/>
          <w:szCs w:val="20"/>
        </w:rPr>
        <w:tab/>
        <w:t>Home Enteral Nutrition</w:t>
      </w:r>
    </w:p>
    <w:p w14:paraId="1F094EA0" w14:textId="77777777" w:rsidR="00BE0876" w:rsidRDefault="00BE0876">
      <w:pPr>
        <w:pStyle w:val="NoSpacing"/>
        <w:tabs>
          <w:tab w:val="left" w:pos="2835"/>
        </w:tabs>
        <w:spacing w:before="40" w:after="40"/>
        <w:ind w:right="-28"/>
        <w:rPr>
          <w:rFonts w:cs="Arial"/>
          <w:sz w:val="20"/>
          <w:szCs w:val="20"/>
        </w:rPr>
      </w:pPr>
      <w:r>
        <w:rPr>
          <w:rFonts w:cs="Arial"/>
          <w:sz w:val="20"/>
          <w:szCs w:val="20"/>
        </w:rPr>
        <w:t>HCP</w:t>
      </w:r>
      <w:r>
        <w:rPr>
          <w:rFonts w:cs="Arial"/>
          <w:sz w:val="20"/>
          <w:szCs w:val="20"/>
        </w:rPr>
        <w:tab/>
        <w:t xml:space="preserve">Hospital </w:t>
      </w:r>
      <w:proofErr w:type="spellStart"/>
      <w:r>
        <w:rPr>
          <w:rFonts w:cs="Arial"/>
          <w:sz w:val="20"/>
          <w:szCs w:val="20"/>
        </w:rPr>
        <w:t>Casemix</w:t>
      </w:r>
      <w:proofErr w:type="spellEnd"/>
      <w:r>
        <w:rPr>
          <w:rFonts w:cs="Arial"/>
          <w:sz w:val="20"/>
          <w:szCs w:val="20"/>
        </w:rPr>
        <w:t xml:space="preserve"> Protocol</w:t>
      </w:r>
    </w:p>
    <w:p w14:paraId="431A06D3"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ICU</w:t>
      </w:r>
      <w:r w:rsidRPr="00474424">
        <w:rPr>
          <w:rFonts w:cs="Arial"/>
          <w:sz w:val="20"/>
          <w:szCs w:val="20"/>
        </w:rPr>
        <w:tab/>
        <w:t>Intensive Care Unit</w:t>
      </w:r>
    </w:p>
    <w:p w14:paraId="5884970E"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IHPA</w:t>
      </w:r>
      <w:r w:rsidRPr="00474424">
        <w:rPr>
          <w:rFonts w:cs="Arial"/>
          <w:sz w:val="20"/>
          <w:szCs w:val="20"/>
        </w:rPr>
        <w:tab/>
        <w:t>Independent Hospital Pricing Authority</w:t>
      </w:r>
    </w:p>
    <w:p w14:paraId="71A3DC15" w14:textId="77777777" w:rsidR="00BE0876" w:rsidRDefault="00BE0876">
      <w:pPr>
        <w:pStyle w:val="NoSpacing"/>
        <w:tabs>
          <w:tab w:val="left" w:pos="2835"/>
        </w:tabs>
        <w:spacing w:before="40" w:after="40"/>
        <w:ind w:right="-28"/>
        <w:rPr>
          <w:rFonts w:cs="Arial"/>
          <w:sz w:val="20"/>
          <w:szCs w:val="20"/>
        </w:rPr>
      </w:pPr>
      <w:r>
        <w:rPr>
          <w:rFonts w:cs="Arial"/>
          <w:sz w:val="20"/>
          <w:szCs w:val="20"/>
        </w:rPr>
        <w:t>LHN</w:t>
      </w:r>
      <w:r>
        <w:rPr>
          <w:rFonts w:cs="Arial"/>
          <w:sz w:val="20"/>
          <w:szCs w:val="20"/>
        </w:rPr>
        <w:tab/>
        <w:t>Local Hospital Network</w:t>
      </w:r>
    </w:p>
    <w:p w14:paraId="363F1654"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LOS</w:t>
      </w:r>
      <w:r w:rsidRPr="00474424">
        <w:rPr>
          <w:rFonts w:cs="Arial"/>
          <w:sz w:val="20"/>
          <w:szCs w:val="20"/>
        </w:rPr>
        <w:tab/>
        <w:t>Length of Stay</w:t>
      </w:r>
    </w:p>
    <w:p w14:paraId="2D48625E" w14:textId="77777777" w:rsidR="00BE0876" w:rsidRDefault="00BE0876">
      <w:pPr>
        <w:pStyle w:val="NoSpacing"/>
        <w:tabs>
          <w:tab w:val="left" w:pos="2835"/>
        </w:tabs>
        <w:spacing w:before="40" w:after="40"/>
        <w:ind w:right="-28"/>
        <w:rPr>
          <w:rFonts w:cs="Arial"/>
          <w:sz w:val="20"/>
          <w:szCs w:val="20"/>
        </w:rPr>
      </w:pPr>
      <w:r w:rsidRPr="00B25937">
        <w:rPr>
          <w:rFonts w:cs="Arial"/>
          <w:sz w:val="20"/>
          <w:szCs w:val="20"/>
        </w:rPr>
        <w:t>MAPE</w:t>
      </w:r>
      <w:r w:rsidRPr="00B25937">
        <w:rPr>
          <w:rFonts w:cs="Arial"/>
          <w:sz w:val="20"/>
          <w:szCs w:val="20"/>
        </w:rPr>
        <w:tab/>
        <w:t>Mean Absolute Percentage Error</w:t>
      </w:r>
    </w:p>
    <w:p w14:paraId="4CF27F6C" w14:textId="77777777" w:rsidR="00BE0876" w:rsidRDefault="00BE0876">
      <w:pPr>
        <w:pStyle w:val="NoSpacing"/>
        <w:tabs>
          <w:tab w:val="left" w:pos="2835"/>
        </w:tabs>
        <w:spacing w:before="40" w:after="40"/>
        <w:ind w:right="-28"/>
        <w:rPr>
          <w:rFonts w:cs="Arial"/>
          <w:sz w:val="20"/>
          <w:szCs w:val="20"/>
        </w:rPr>
      </w:pPr>
      <w:r>
        <w:rPr>
          <w:rFonts w:cs="Arial"/>
          <w:sz w:val="20"/>
          <w:szCs w:val="20"/>
        </w:rPr>
        <w:t>MBS</w:t>
      </w:r>
      <w:r>
        <w:rPr>
          <w:rFonts w:cs="Arial"/>
          <w:sz w:val="20"/>
          <w:szCs w:val="20"/>
        </w:rPr>
        <w:tab/>
        <w:t>Medicare Benefits Schedule</w:t>
      </w:r>
    </w:p>
    <w:p w14:paraId="0E0F32D2"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MDB</w:t>
      </w:r>
      <w:r w:rsidRPr="00474424">
        <w:rPr>
          <w:rFonts w:cs="Arial"/>
          <w:sz w:val="20"/>
          <w:szCs w:val="20"/>
        </w:rPr>
        <w:tab/>
        <w:t>Major Diagnostic Block, used in Urgency Related Groups</w:t>
      </w:r>
    </w:p>
    <w:p w14:paraId="781D5AEF" w14:textId="77777777" w:rsidR="00BE0876" w:rsidRPr="00474424" w:rsidRDefault="00BE0876">
      <w:pPr>
        <w:pStyle w:val="NoSpacing"/>
        <w:tabs>
          <w:tab w:val="left" w:pos="2835"/>
        </w:tabs>
        <w:spacing w:before="40" w:after="40"/>
        <w:ind w:right="-28"/>
        <w:rPr>
          <w:rFonts w:cs="Arial"/>
          <w:sz w:val="20"/>
          <w:szCs w:val="20"/>
        </w:rPr>
      </w:pPr>
      <w:r>
        <w:rPr>
          <w:rFonts w:cs="Arial"/>
          <w:sz w:val="20"/>
          <w:szCs w:val="20"/>
        </w:rPr>
        <w:t>MDC</w:t>
      </w:r>
      <w:r w:rsidRPr="00474424">
        <w:rPr>
          <w:rFonts w:cs="Arial"/>
          <w:sz w:val="20"/>
          <w:szCs w:val="20"/>
        </w:rPr>
        <w:tab/>
      </w:r>
      <w:r w:rsidRPr="00407A8B">
        <w:rPr>
          <w:rFonts w:cs="Arial"/>
          <w:sz w:val="20"/>
          <w:szCs w:val="20"/>
        </w:rPr>
        <w:t>Major Diagnostic Category, used in AR-DRGs</w:t>
      </w:r>
    </w:p>
    <w:p w14:paraId="193668F4" w14:textId="77777777" w:rsidR="00BE0876" w:rsidRDefault="00BE0876">
      <w:pPr>
        <w:pStyle w:val="NoSpacing"/>
        <w:tabs>
          <w:tab w:val="left" w:pos="2835"/>
        </w:tabs>
        <w:spacing w:before="40" w:after="40"/>
        <w:ind w:right="-28"/>
        <w:rPr>
          <w:rFonts w:cs="Arial"/>
          <w:sz w:val="20"/>
          <w:szCs w:val="20"/>
        </w:rPr>
      </w:pPr>
      <w:r>
        <w:rPr>
          <w:rFonts w:cs="Arial"/>
          <w:sz w:val="20"/>
          <w:szCs w:val="20"/>
        </w:rPr>
        <w:t>MPS</w:t>
      </w:r>
      <w:r>
        <w:rPr>
          <w:rFonts w:cs="Arial"/>
          <w:sz w:val="20"/>
          <w:szCs w:val="20"/>
        </w:rPr>
        <w:tab/>
        <w:t>Multipurpose Service</w:t>
      </w:r>
    </w:p>
    <w:p w14:paraId="5765224B"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NAPED</w:t>
      </w:r>
      <w:r w:rsidRPr="00474424">
        <w:rPr>
          <w:rFonts w:cs="Arial"/>
          <w:sz w:val="20"/>
          <w:szCs w:val="20"/>
        </w:rPr>
        <w:tab/>
        <w:t>Non</w:t>
      </w:r>
      <w:r>
        <w:rPr>
          <w:rFonts w:cs="Arial"/>
          <w:sz w:val="20"/>
          <w:szCs w:val="20"/>
        </w:rPr>
        <w:t>-</w:t>
      </w:r>
      <w:r w:rsidRPr="00474424">
        <w:rPr>
          <w:rFonts w:cs="Arial"/>
          <w:sz w:val="20"/>
          <w:szCs w:val="20"/>
        </w:rPr>
        <w:t>Admitted Patients Emergency Department</w:t>
      </w:r>
    </w:p>
    <w:p w14:paraId="5DE1864A"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NEC</w:t>
      </w:r>
      <w:r w:rsidRPr="00474424">
        <w:rPr>
          <w:rFonts w:cs="Arial"/>
          <w:sz w:val="20"/>
          <w:szCs w:val="20"/>
        </w:rPr>
        <w:tab/>
        <w:t>National Efficient Cost</w:t>
      </w:r>
    </w:p>
    <w:p w14:paraId="2FE9A611"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NEP</w:t>
      </w:r>
      <w:r w:rsidRPr="00474424">
        <w:rPr>
          <w:rFonts w:cs="Arial"/>
          <w:sz w:val="20"/>
          <w:szCs w:val="20"/>
        </w:rPr>
        <w:tab/>
        <w:t>National Efficient Price</w:t>
      </w:r>
    </w:p>
    <w:p w14:paraId="3194A435"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NHCDC</w:t>
      </w:r>
      <w:r w:rsidRPr="00474424">
        <w:rPr>
          <w:rFonts w:cs="Arial"/>
          <w:sz w:val="20"/>
          <w:szCs w:val="20"/>
        </w:rPr>
        <w:tab/>
        <w:t>National Hospital Cost Data Collection</w:t>
      </w:r>
    </w:p>
    <w:p w14:paraId="2E6C4A6A"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NHRA</w:t>
      </w:r>
      <w:r w:rsidRPr="00474424">
        <w:rPr>
          <w:rFonts w:cs="Arial"/>
          <w:sz w:val="20"/>
          <w:szCs w:val="20"/>
        </w:rPr>
        <w:tab/>
        <w:t>National Health Reform Agreement</w:t>
      </w:r>
    </w:p>
    <w:p w14:paraId="0B6F9117" w14:textId="77777777" w:rsidR="00BE0876" w:rsidRDefault="00BE0876">
      <w:pPr>
        <w:pStyle w:val="NoSpacing"/>
        <w:tabs>
          <w:tab w:val="left" w:pos="2835"/>
        </w:tabs>
        <w:spacing w:before="40" w:after="40"/>
        <w:ind w:right="-28"/>
        <w:rPr>
          <w:rFonts w:cs="Arial"/>
          <w:sz w:val="20"/>
          <w:szCs w:val="20"/>
        </w:rPr>
      </w:pPr>
      <w:r>
        <w:rPr>
          <w:rFonts w:cs="Arial"/>
          <w:sz w:val="20"/>
          <w:szCs w:val="20"/>
        </w:rPr>
        <w:t>NMDS</w:t>
      </w:r>
      <w:r>
        <w:rPr>
          <w:rFonts w:cs="Arial"/>
          <w:sz w:val="20"/>
          <w:szCs w:val="20"/>
        </w:rPr>
        <w:tab/>
        <w:t>National Minimum Data Set</w:t>
      </w:r>
    </w:p>
    <w:p w14:paraId="521DC4E5"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NPHED</w:t>
      </w:r>
      <w:r w:rsidRPr="00474424">
        <w:rPr>
          <w:rFonts w:cs="Arial"/>
          <w:sz w:val="20"/>
          <w:szCs w:val="20"/>
        </w:rPr>
        <w:tab/>
        <w:t>National Public Hospital Establishment Data</w:t>
      </w:r>
      <w:r>
        <w:rPr>
          <w:rFonts w:cs="Arial"/>
          <w:sz w:val="20"/>
          <w:szCs w:val="20"/>
        </w:rPr>
        <w:t>base</w:t>
      </w:r>
    </w:p>
    <w:p w14:paraId="5B175F1B"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NWAU</w:t>
      </w:r>
      <w:r w:rsidRPr="00474424">
        <w:rPr>
          <w:rFonts w:cs="Arial"/>
          <w:sz w:val="20"/>
          <w:szCs w:val="20"/>
        </w:rPr>
        <w:tab/>
        <w:t>National Weighted Activity Unit</w:t>
      </w:r>
    </w:p>
    <w:p w14:paraId="2AA86773"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PHI</w:t>
      </w:r>
      <w:r w:rsidRPr="00474424">
        <w:rPr>
          <w:rFonts w:cs="Arial"/>
          <w:sz w:val="20"/>
          <w:szCs w:val="20"/>
        </w:rPr>
        <w:tab/>
        <w:t xml:space="preserve">Private </w:t>
      </w:r>
      <w:r>
        <w:rPr>
          <w:rFonts w:cs="Arial"/>
          <w:sz w:val="20"/>
          <w:szCs w:val="20"/>
        </w:rPr>
        <w:t>H</w:t>
      </w:r>
      <w:r w:rsidRPr="00474424">
        <w:rPr>
          <w:rFonts w:cs="Arial"/>
          <w:sz w:val="20"/>
          <w:szCs w:val="20"/>
        </w:rPr>
        <w:t xml:space="preserve">ealth </w:t>
      </w:r>
      <w:r>
        <w:rPr>
          <w:rFonts w:cs="Arial"/>
          <w:sz w:val="20"/>
          <w:szCs w:val="20"/>
        </w:rPr>
        <w:t>I</w:t>
      </w:r>
      <w:r w:rsidRPr="00474424">
        <w:rPr>
          <w:rFonts w:cs="Arial"/>
          <w:sz w:val="20"/>
          <w:szCs w:val="20"/>
        </w:rPr>
        <w:t>nsurance</w:t>
      </w:r>
    </w:p>
    <w:p w14:paraId="19957C0C" w14:textId="77777777" w:rsidR="00BE0876" w:rsidRDefault="00BE0876">
      <w:pPr>
        <w:pStyle w:val="NoSpacing"/>
        <w:tabs>
          <w:tab w:val="left" w:pos="2835"/>
        </w:tabs>
        <w:spacing w:before="40" w:after="40"/>
        <w:ind w:right="-28"/>
        <w:rPr>
          <w:rFonts w:cs="Arial"/>
          <w:sz w:val="20"/>
          <w:szCs w:val="20"/>
        </w:rPr>
      </w:pPr>
      <w:r>
        <w:rPr>
          <w:rFonts w:cs="Arial"/>
          <w:sz w:val="20"/>
          <w:szCs w:val="20"/>
        </w:rPr>
        <w:t>PICU</w:t>
      </w:r>
      <w:r>
        <w:rPr>
          <w:rFonts w:cs="Arial"/>
          <w:sz w:val="20"/>
          <w:szCs w:val="20"/>
        </w:rPr>
        <w:tab/>
        <w:t>Paediatric Intensive Care Unit</w:t>
      </w:r>
    </w:p>
    <w:p w14:paraId="16C4A6F6" w14:textId="77777777" w:rsidR="00BE0876" w:rsidRPr="00474424" w:rsidRDefault="00BE0876">
      <w:pPr>
        <w:pStyle w:val="NoSpacing"/>
        <w:tabs>
          <w:tab w:val="left" w:pos="2835"/>
        </w:tabs>
        <w:spacing w:before="40" w:after="40"/>
        <w:ind w:right="-28"/>
        <w:rPr>
          <w:rFonts w:cs="Arial"/>
          <w:sz w:val="20"/>
          <w:szCs w:val="20"/>
        </w:rPr>
      </w:pPr>
      <w:r>
        <w:rPr>
          <w:rFonts w:cs="Arial"/>
          <w:sz w:val="20"/>
          <w:szCs w:val="20"/>
        </w:rPr>
        <w:t>SLA</w:t>
      </w:r>
      <w:r w:rsidRPr="00474424">
        <w:rPr>
          <w:rFonts w:cs="Arial"/>
          <w:sz w:val="20"/>
          <w:szCs w:val="20"/>
        </w:rPr>
        <w:tab/>
      </w:r>
      <w:r>
        <w:rPr>
          <w:rFonts w:cs="Arial"/>
          <w:sz w:val="20"/>
          <w:szCs w:val="20"/>
        </w:rPr>
        <w:t>Statistical Local Area</w:t>
      </w:r>
    </w:p>
    <w:p w14:paraId="1145F39A" w14:textId="77777777" w:rsidR="00BE0876" w:rsidRDefault="00BE0876">
      <w:pPr>
        <w:pStyle w:val="NoSpacing"/>
        <w:tabs>
          <w:tab w:val="left" w:pos="2835"/>
        </w:tabs>
        <w:spacing w:before="40" w:after="40"/>
        <w:ind w:right="-28"/>
        <w:rPr>
          <w:rFonts w:cs="Arial"/>
          <w:sz w:val="20"/>
          <w:szCs w:val="20"/>
        </w:rPr>
      </w:pPr>
      <w:r>
        <w:rPr>
          <w:rFonts w:cs="Arial"/>
          <w:sz w:val="20"/>
          <w:szCs w:val="20"/>
        </w:rPr>
        <w:t>TAC</w:t>
      </w:r>
      <w:r>
        <w:rPr>
          <w:rFonts w:cs="Arial"/>
          <w:sz w:val="20"/>
          <w:szCs w:val="20"/>
        </w:rPr>
        <w:tab/>
        <w:t>Technical Advisory Committee</w:t>
      </w:r>
    </w:p>
    <w:p w14:paraId="439F1251" w14:textId="77777777" w:rsidR="00BE0876" w:rsidRDefault="00BE0876">
      <w:pPr>
        <w:pStyle w:val="NoSpacing"/>
        <w:tabs>
          <w:tab w:val="left" w:pos="2835"/>
        </w:tabs>
        <w:spacing w:before="40" w:after="40"/>
        <w:ind w:right="-28"/>
        <w:rPr>
          <w:rFonts w:cs="Arial"/>
          <w:sz w:val="20"/>
          <w:szCs w:val="20"/>
        </w:rPr>
      </w:pPr>
      <w:r>
        <w:rPr>
          <w:rFonts w:cs="Arial"/>
          <w:sz w:val="20"/>
          <w:szCs w:val="20"/>
        </w:rPr>
        <w:t>TPN</w:t>
      </w:r>
      <w:r>
        <w:rPr>
          <w:rFonts w:cs="Arial"/>
          <w:sz w:val="20"/>
          <w:szCs w:val="20"/>
        </w:rPr>
        <w:tab/>
        <w:t>Total Parenteral Nutrition</w:t>
      </w:r>
    </w:p>
    <w:p w14:paraId="488E902E"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TTR</w:t>
      </w:r>
      <w:r w:rsidRPr="00474424">
        <w:rPr>
          <w:rFonts w:cs="Arial"/>
          <w:sz w:val="20"/>
          <w:szCs w:val="20"/>
        </w:rPr>
        <w:tab/>
        <w:t>Teaching, Training and Research</w:t>
      </w:r>
    </w:p>
    <w:p w14:paraId="203E1DFD" w14:textId="77777777" w:rsidR="00BE0876" w:rsidRPr="00474424" w:rsidRDefault="00BE0876">
      <w:pPr>
        <w:pStyle w:val="NoSpacing"/>
        <w:tabs>
          <w:tab w:val="left" w:pos="2835"/>
        </w:tabs>
        <w:spacing w:before="40" w:after="40"/>
        <w:ind w:right="-28"/>
        <w:rPr>
          <w:rFonts w:cs="Arial"/>
          <w:sz w:val="20"/>
          <w:szCs w:val="20"/>
        </w:rPr>
      </w:pPr>
      <w:r w:rsidRPr="00474424">
        <w:rPr>
          <w:rFonts w:cs="Arial"/>
          <w:sz w:val="20"/>
          <w:szCs w:val="20"/>
        </w:rPr>
        <w:t>UDG</w:t>
      </w:r>
      <w:r w:rsidRPr="00474424">
        <w:rPr>
          <w:rFonts w:cs="Arial"/>
          <w:sz w:val="20"/>
          <w:szCs w:val="20"/>
        </w:rPr>
        <w:tab/>
        <w:t>Urgency Disposition Groups</w:t>
      </w:r>
    </w:p>
    <w:p w14:paraId="0A112E42" w14:textId="77777777" w:rsidR="00BE0876" w:rsidRDefault="00BE0876">
      <w:pPr>
        <w:pStyle w:val="NoSpacing"/>
        <w:tabs>
          <w:tab w:val="left" w:pos="2835"/>
        </w:tabs>
        <w:spacing w:before="40" w:after="40"/>
        <w:ind w:right="-28"/>
        <w:rPr>
          <w:rFonts w:cs="Arial"/>
          <w:sz w:val="20"/>
          <w:szCs w:val="20"/>
        </w:rPr>
      </w:pPr>
      <w:proofErr w:type="spellStart"/>
      <w:r>
        <w:rPr>
          <w:rFonts w:cs="Arial"/>
          <w:sz w:val="20"/>
          <w:szCs w:val="20"/>
        </w:rPr>
        <w:t>UoW</w:t>
      </w:r>
      <w:proofErr w:type="spellEnd"/>
      <w:r>
        <w:rPr>
          <w:rFonts w:cs="Arial"/>
          <w:sz w:val="20"/>
          <w:szCs w:val="20"/>
        </w:rPr>
        <w:tab/>
        <w:t>University of Wollongong</w:t>
      </w:r>
    </w:p>
    <w:p w14:paraId="5028480F" w14:textId="77777777" w:rsidR="00BE0876" w:rsidRDefault="00BE0876">
      <w:pPr>
        <w:pStyle w:val="NoSpacing"/>
        <w:tabs>
          <w:tab w:val="left" w:pos="2835"/>
        </w:tabs>
        <w:spacing w:before="40" w:after="40"/>
        <w:ind w:right="-28"/>
        <w:rPr>
          <w:rFonts w:cs="Arial"/>
          <w:sz w:val="20"/>
          <w:szCs w:val="20"/>
        </w:rPr>
      </w:pPr>
      <w:r w:rsidRPr="00474424">
        <w:rPr>
          <w:rFonts w:cs="Arial"/>
          <w:sz w:val="20"/>
          <w:szCs w:val="20"/>
        </w:rPr>
        <w:t>URG</w:t>
      </w:r>
      <w:r w:rsidRPr="00474424">
        <w:rPr>
          <w:rFonts w:cs="Arial"/>
          <w:sz w:val="20"/>
          <w:szCs w:val="20"/>
        </w:rPr>
        <w:tab/>
        <w:t>Urgency Related Groups</w:t>
      </w:r>
    </w:p>
    <w:p w14:paraId="34613620" w14:textId="77777777" w:rsidR="007A124E" w:rsidRDefault="00BE0876">
      <w:pPr>
        <w:pStyle w:val="NoSpacing"/>
        <w:tabs>
          <w:tab w:val="left" w:pos="2835"/>
        </w:tabs>
        <w:spacing w:before="40" w:after="40"/>
        <w:ind w:right="-28"/>
        <w:rPr>
          <w:b/>
          <w:caps/>
          <w:sz w:val="60"/>
          <w:szCs w:val="44"/>
        </w:rPr>
      </w:pPr>
      <w:r>
        <w:rPr>
          <w:rFonts w:cs="Arial"/>
          <w:sz w:val="20"/>
          <w:szCs w:val="20"/>
        </w:rPr>
        <w:t>WAU</w:t>
      </w:r>
      <w:r>
        <w:rPr>
          <w:rFonts w:cs="Arial"/>
          <w:sz w:val="20"/>
          <w:szCs w:val="20"/>
        </w:rPr>
        <w:tab/>
        <w:t>Weighted Activity Unit</w:t>
      </w:r>
      <w:r>
        <w:t xml:space="preserve"> </w:t>
      </w:r>
      <w:r w:rsidR="007A124E">
        <w:br w:type="page"/>
      </w:r>
    </w:p>
    <w:p w14:paraId="106638D4" w14:textId="4D14CE85" w:rsidR="00E26387" w:rsidRPr="0044388E" w:rsidRDefault="00E26387">
      <w:pPr>
        <w:pStyle w:val="Heading1"/>
        <w:pageBreakBefore/>
        <w:numPr>
          <w:ilvl w:val="0"/>
          <w:numId w:val="17"/>
        </w:numPr>
        <w:spacing w:before="100" w:beforeAutospacing="1" w:after="100" w:afterAutospacing="1" w:line="240" w:lineRule="auto"/>
        <w:ind w:right="-28"/>
        <w:contextualSpacing w:val="0"/>
        <w:rPr>
          <w:szCs w:val="52"/>
        </w:rPr>
      </w:pPr>
      <w:bookmarkStart w:id="26" w:name="_Toc467505160"/>
      <w:bookmarkStart w:id="27" w:name="_Toc467676232"/>
      <w:bookmarkStart w:id="28" w:name="_Toc467745536"/>
      <w:bookmarkStart w:id="29" w:name="_Toc467759566"/>
      <w:bookmarkStart w:id="30" w:name="_Toc468204005"/>
      <w:bookmarkStart w:id="31" w:name="_Toc476305221"/>
      <w:r w:rsidRPr="0044388E">
        <w:rPr>
          <w:szCs w:val="52"/>
        </w:rPr>
        <w:lastRenderedPageBreak/>
        <w:t>Overview</w:t>
      </w:r>
      <w:bookmarkEnd w:id="23"/>
      <w:bookmarkEnd w:id="24"/>
      <w:bookmarkEnd w:id="25"/>
      <w:bookmarkEnd w:id="26"/>
      <w:bookmarkEnd w:id="27"/>
      <w:bookmarkEnd w:id="28"/>
      <w:bookmarkEnd w:id="29"/>
      <w:bookmarkEnd w:id="30"/>
      <w:bookmarkEnd w:id="31"/>
    </w:p>
    <w:p w14:paraId="3C9ED044" w14:textId="4EF8408C" w:rsidR="00E26387" w:rsidRDefault="00E26387">
      <w:pPr>
        <w:pStyle w:val="Heading2"/>
        <w:numPr>
          <w:ilvl w:val="1"/>
          <w:numId w:val="17"/>
        </w:numPr>
        <w:ind w:left="426" w:right="-28" w:hanging="426"/>
      </w:pPr>
      <w:bookmarkStart w:id="32" w:name="_Toc466884132"/>
      <w:bookmarkStart w:id="33" w:name="_Toc467505161"/>
      <w:bookmarkStart w:id="34" w:name="_Toc467745537"/>
      <w:bookmarkStart w:id="35" w:name="_Toc467759567"/>
      <w:bookmarkStart w:id="36" w:name="_Toc468204006"/>
      <w:bookmarkStart w:id="37" w:name="_Toc476305222"/>
      <w:r>
        <w:t>Purpose</w:t>
      </w:r>
      <w:bookmarkEnd w:id="32"/>
      <w:bookmarkEnd w:id="33"/>
      <w:bookmarkEnd w:id="34"/>
      <w:bookmarkEnd w:id="35"/>
      <w:bookmarkEnd w:id="36"/>
      <w:bookmarkEnd w:id="37"/>
    </w:p>
    <w:p w14:paraId="33A8A3D6" w14:textId="32F2EA34" w:rsidR="00E26387" w:rsidRPr="000C2B61" w:rsidRDefault="00E26387" w:rsidP="002D606E">
      <w:pPr>
        <w:tabs>
          <w:tab w:val="left" w:pos="1162"/>
        </w:tabs>
        <w:spacing w:after="240"/>
        <w:ind w:right="-28"/>
        <w:rPr>
          <w:rFonts w:cs="Arial"/>
          <w:szCs w:val="20"/>
        </w:rPr>
      </w:pPr>
      <w:r w:rsidRPr="00985470">
        <w:rPr>
          <w:rFonts w:cs="Arial"/>
          <w:szCs w:val="20"/>
        </w:rPr>
        <w:t xml:space="preserve">This document has been produced as an accompaniment to the </w:t>
      </w:r>
      <w:r w:rsidRPr="002265FE">
        <w:rPr>
          <w:rFonts w:cs="Arial"/>
          <w:szCs w:val="20"/>
        </w:rPr>
        <w:t>National Efficient Price</w:t>
      </w:r>
      <w:r>
        <w:rPr>
          <w:rFonts w:cs="Arial"/>
          <w:szCs w:val="20"/>
        </w:rPr>
        <w:t xml:space="preserve"> 2017-18</w:t>
      </w:r>
      <w:r w:rsidRPr="002265FE">
        <w:rPr>
          <w:rFonts w:cs="Arial"/>
          <w:szCs w:val="20"/>
        </w:rPr>
        <w:t xml:space="preserve"> </w:t>
      </w:r>
      <w:r w:rsidRPr="007040C9">
        <w:rPr>
          <w:rFonts w:cs="Arial"/>
          <w:szCs w:val="20"/>
        </w:rPr>
        <w:t>(NEP17) and the National Efficient Cost 2017-18 (NEC17) Determinations. It provides the technical specifications for how the Independent Hospital Pricing Authority (IHPA) developed the Activity Based Funding (ABF) models for the service streams to be funded on this basis from 1 July 2017, and provides guidance to hospitals, Local H</w:t>
      </w:r>
      <w:r w:rsidR="00C4214D">
        <w:rPr>
          <w:rFonts w:cs="Arial"/>
          <w:szCs w:val="20"/>
        </w:rPr>
        <w:t>ospital</w:t>
      </w:r>
      <w:r w:rsidRPr="007040C9">
        <w:rPr>
          <w:rFonts w:cs="Arial"/>
          <w:szCs w:val="20"/>
        </w:rPr>
        <w:t xml:space="preserve"> Networks (LHN) and state and territory health authorities on how to apply these to hospital activity. It also shows how the NEC is determined for hospitals (such as small rural hospitals) funded on a block funded basis.</w:t>
      </w:r>
    </w:p>
    <w:p w14:paraId="67A20821" w14:textId="24D10DCF" w:rsidR="00E26387" w:rsidRDefault="00E26387" w:rsidP="00560AC0">
      <w:pPr>
        <w:pStyle w:val="Heading2"/>
        <w:numPr>
          <w:ilvl w:val="1"/>
          <w:numId w:val="17"/>
        </w:numPr>
        <w:ind w:left="426" w:right="-28" w:hanging="426"/>
      </w:pPr>
      <w:bookmarkStart w:id="38" w:name="_Toc466884133"/>
      <w:bookmarkStart w:id="39" w:name="_Toc467505162"/>
      <w:bookmarkStart w:id="40" w:name="_Toc467745538"/>
      <w:bookmarkStart w:id="41" w:name="_Toc467759568"/>
      <w:bookmarkStart w:id="42" w:name="_Toc468204007"/>
      <w:bookmarkStart w:id="43" w:name="_Toc476305223"/>
      <w:r>
        <w:t>Background</w:t>
      </w:r>
      <w:bookmarkEnd w:id="38"/>
      <w:bookmarkEnd w:id="39"/>
      <w:bookmarkEnd w:id="40"/>
      <w:bookmarkEnd w:id="41"/>
      <w:bookmarkEnd w:id="42"/>
      <w:bookmarkEnd w:id="43"/>
    </w:p>
    <w:p w14:paraId="4E1ECD74" w14:textId="77777777" w:rsidR="00E26387" w:rsidRDefault="00E26387" w:rsidP="002D606E">
      <w:pPr>
        <w:tabs>
          <w:tab w:val="left" w:pos="1162"/>
        </w:tabs>
        <w:ind w:right="-28"/>
        <w:rPr>
          <w:rFonts w:cs="Arial"/>
          <w:szCs w:val="20"/>
        </w:rPr>
      </w:pPr>
      <w:r w:rsidRPr="002265FE">
        <w:rPr>
          <w:rFonts w:cs="Arial"/>
          <w:szCs w:val="20"/>
        </w:rPr>
        <w:t>The National Health Reform Agreement (NHRA) sets out the intention of the Australian Government</w:t>
      </w:r>
      <w:r>
        <w:rPr>
          <w:rFonts w:cs="Arial"/>
          <w:szCs w:val="20"/>
        </w:rPr>
        <w:t>,</w:t>
      </w:r>
      <w:r w:rsidRPr="002265FE">
        <w:rPr>
          <w:rFonts w:cs="Arial"/>
          <w:szCs w:val="20"/>
        </w:rPr>
        <w:t xml:space="preserve"> and state and territory governments to work in partnership to improve health outcomes for all Australians. One of the ways in which the </w:t>
      </w:r>
      <w:r>
        <w:rPr>
          <w:rFonts w:cs="Arial"/>
          <w:szCs w:val="20"/>
        </w:rPr>
        <w:t>NHRA</w:t>
      </w:r>
      <w:r w:rsidRPr="002265FE">
        <w:rPr>
          <w:rFonts w:cs="Arial"/>
          <w:szCs w:val="20"/>
        </w:rPr>
        <w:t xml:space="preserve"> aims to achieve this is through the implementation of national ABF. The NHRA specifies that the central component of ABF is an independe</w:t>
      </w:r>
      <w:r>
        <w:rPr>
          <w:rFonts w:cs="Arial"/>
          <w:szCs w:val="20"/>
        </w:rPr>
        <w:t>ntly determined</w:t>
      </w:r>
      <w:r w:rsidRPr="002265FE">
        <w:rPr>
          <w:rFonts w:cs="Arial"/>
          <w:szCs w:val="20"/>
        </w:rPr>
        <w:t xml:space="preserve"> NEP</w:t>
      </w:r>
      <w:r>
        <w:rPr>
          <w:rFonts w:cs="Arial"/>
          <w:szCs w:val="20"/>
        </w:rPr>
        <w:t xml:space="preserve"> and NEC</w:t>
      </w:r>
      <w:r w:rsidRPr="002265FE">
        <w:rPr>
          <w:rFonts w:cs="Arial"/>
          <w:szCs w:val="20"/>
        </w:rPr>
        <w:t xml:space="preserve">, </w:t>
      </w:r>
      <w:r>
        <w:rPr>
          <w:rFonts w:cs="Arial"/>
          <w:szCs w:val="20"/>
        </w:rPr>
        <w:t>to be</w:t>
      </w:r>
      <w:r w:rsidRPr="002265FE">
        <w:rPr>
          <w:rFonts w:cs="Arial"/>
          <w:szCs w:val="20"/>
        </w:rPr>
        <w:t xml:space="preserve"> used as </w:t>
      </w:r>
      <w:r>
        <w:rPr>
          <w:rFonts w:cs="Arial"/>
          <w:szCs w:val="20"/>
        </w:rPr>
        <w:t>a</w:t>
      </w:r>
      <w:r w:rsidRPr="002265FE">
        <w:rPr>
          <w:rFonts w:cs="Arial"/>
          <w:szCs w:val="20"/>
        </w:rPr>
        <w:t xml:space="preserve"> reference for the Commonwealth to determine its funding contribution</w:t>
      </w:r>
      <w:r>
        <w:rPr>
          <w:rFonts w:cs="Arial"/>
          <w:szCs w:val="20"/>
        </w:rPr>
        <w:t xml:space="preserve"> for Australian public hospital services. </w:t>
      </w:r>
    </w:p>
    <w:p w14:paraId="0EBCB176" w14:textId="77777777" w:rsidR="00E26387" w:rsidRPr="007040C9" w:rsidRDefault="00E26387" w:rsidP="002D606E">
      <w:pPr>
        <w:tabs>
          <w:tab w:val="left" w:pos="1162"/>
        </w:tabs>
        <w:ind w:right="-28"/>
        <w:rPr>
          <w:rFonts w:cs="Arial"/>
          <w:szCs w:val="20"/>
        </w:rPr>
      </w:pPr>
      <w:r w:rsidRPr="00C6741D">
        <w:rPr>
          <w:rFonts w:cs="Arial"/>
          <w:szCs w:val="20"/>
        </w:rPr>
        <w:t xml:space="preserve">IHPA </w:t>
      </w:r>
      <w:r>
        <w:rPr>
          <w:rFonts w:cs="Arial"/>
          <w:szCs w:val="20"/>
        </w:rPr>
        <w:t>is a key element of the NHRA, responsible for the national implementation of an ABF system and in determining the annual NEP and NEC for Australian public hospital services. IHPA was established as an</w:t>
      </w:r>
      <w:r w:rsidRPr="00C6741D">
        <w:rPr>
          <w:rFonts w:cs="Arial"/>
          <w:szCs w:val="20"/>
        </w:rPr>
        <w:t xml:space="preserve"> independent government agency under Commonwealth legislation on 15</w:t>
      </w:r>
      <w:r>
        <w:rPr>
          <w:rFonts w:cs="Arial"/>
          <w:szCs w:val="20"/>
        </w:rPr>
        <w:t> </w:t>
      </w:r>
      <w:r w:rsidRPr="00C6741D">
        <w:rPr>
          <w:rFonts w:cs="Arial"/>
          <w:szCs w:val="20"/>
        </w:rPr>
        <w:t>December 201</w:t>
      </w:r>
      <w:r>
        <w:rPr>
          <w:rFonts w:cs="Arial"/>
          <w:szCs w:val="20"/>
        </w:rPr>
        <w:t>1</w:t>
      </w:r>
      <w:r w:rsidRPr="007040C9">
        <w:rPr>
          <w:rFonts w:cs="Arial"/>
          <w:szCs w:val="20"/>
        </w:rPr>
        <w:t>. It has issued five NEP Determinations:</w:t>
      </w:r>
    </w:p>
    <w:p w14:paraId="77F0B8EE" w14:textId="77777777" w:rsidR="00E26387" w:rsidRPr="007040C9" w:rsidRDefault="00E26387" w:rsidP="002D606E">
      <w:pPr>
        <w:pStyle w:val="ListParagraph"/>
        <w:numPr>
          <w:ilvl w:val="0"/>
          <w:numId w:val="25"/>
        </w:numPr>
        <w:tabs>
          <w:tab w:val="left" w:pos="1162"/>
        </w:tabs>
        <w:spacing w:line="240" w:lineRule="auto"/>
        <w:ind w:right="-28"/>
        <w:contextualSpacing w:val="0"/>
        <w:rPr>
          <w:rFonts w:cs="Arial"/>
          <w:szCs w:val="20"/>
        </w:rPr>
      </w:pPr>
      <w:r w:rsidRPr="007040C9">
        <w:rPr>
          <w:rFonts w:cs="Arial"/>
          <w:szCs w:val="20"/>
        </w:rPr>
        <w:t>2012-13</w:t>
      </w:r>
      <w:r w:rsidRPr="007040C9">
        <w:rPr>
          <w:rFonts w:cs="Arial"/>
          <w:i/>
          <w:szCs w:val="20"/>
        </w:rPr>
        <w:t xml:space="preserve"> </w:t>
      </w:r>
      <w:r w:rsidRPr="007040C9">
        <w:rPr>
          <w:rFonts w:cs="Arial"/>
          <w:szCs w:val="20"/>
        </w:rPr>
        <w:t xml:space="preserve">(NEP12); </w:t>
      </w:r>
    </w:p>
    <w:p w14:paraId="68F38416" w14:textId="77777777" w:rsidR="00E26387" w:rsidRPr="007040C9" w:rsidRDefault="00E26387" w:rsidP="002D606E">
      <w:pPr>
        <w:pStyle w:val="ListParagraph"/>
        <w:numPr>
          <w:ilvl w:val="0"/>
          <w:numId w:val="25"/>
        </w:numPr>
        <w:tabs>
          <w:tab w:val="left" w:pos="1162"/>
        </w:tabs>
        <w:spacing w:line="240" w:lineRule="auto"/>
        <w:ind w:right="-28"/>
        <w:contextualSpacing w:val="0"/>
        <w:rPr>
          <w:rFonts w:cs="Arial"/>
          <w:szCs w:val="20"/>
        </w:rPr>
      </w:pPr>
      <w:r w:rsidRPr="007040C9">
        <w:rPr>
          <w:rFonts w:cs="Arial"/>
          <w:szCs w:val="20"/>
        </w:rPr>
        <w:t>2013-14 (NEP13 and NEC13);</w:t>
      </w:r>
    </w:p>
    <w:p w14:paraId="611F231F" w14:textId="77777777" w:rsidR="00E26387" w:rsidRPr="007040C9" w:rsidRDefault="00E26387" w:rsidP="002D606E">
      <w:pPr>
        <w:pStyle w:val="ListParagraph"/>
        <w:numPr>
          <w:ilvl w:val="0"/>
          <w:numId w:val="25"/>
        </w:numPr>
        <w:tabs>
          <w:tab w:val="left" w:pos="1162"/>
        </w:tabs>
        <w:spacing w:line="240" w:lineRule="auto"/>
        <w:ind w:right="-28"/>
        <w:contextualSpacing w:val="0"/>
        <w:rPr>
          <w:rFonts w:cs="Arial"/>
          <w:szCs w:val="20"/>
        </w:rPr>
      </w:pPr>
      <w:r w:rsidRPr="007040C9">
        <w:rPr>
          <w:rFonts w:cs="Arial"/>
          <w:szCs w:val="20"/>
        </w:rPr>
        <w:t>2014-15 (NEP14 and NEC14);</w:t>
      </w:r>
    </w:p>
    <w:p w14:paraId="02934205" w14:textId="77777777" w:rsidR="00E26387" w:rsidRPr="007040C9" w:rsidRDefault="00E26387" w:rsidP="002D606E">
      <w:pPr>
        <w:pStyle w:val="ListParagraph"/>
        <w:numPr>
          <w:ilvl w:val="0"/>
          <w:numId w:val="25"/>
        </w:numPr>
        <w:tabs>
          <w:tab w:val="left" w:pos="1162"/>
        </w:tabs>
        <w:spacing w:line="240" w:lineRule="auto"/>
        <w:ind w:right="-28"/>
        <w:contextualSpacing w:val="0"/>
        <w:rPr>
          <w:rFonts w:cs="Arial"/>
          <w:szCs w:val="20"/>
        </w:rPr>
      </w:pPr>
      <w:r w:rsidRPr="007040C9">
        <w:rPr>
          <w:rFonts w:cs="Arial"/>
          <w:szCs w:val="20"/>
        </w:rPr>
        <w:t xml:space="preserve">2015-16 (NEP15 and NEC15); and </w:t>
      </w:r>
    </w:p>
    <w:p w14:paraId="6658608D" w14:textId="77777777" w:rsidR="00E26387" w:rsidRPr="007040C9" w:rsidRDefault="00E26387" w:rsidP="002D606E">
      <w:pPr>
        <w:pStyle w:val="ListParagraph"/>
        <w:numPr>
          <w:ilvl w:val="0"/>
          <w:numId w:val="25"/>
        </w:numPr>
        <w:tabs>
          <w:tab w:val="left" w:pos="1162"/>
        </w:tabs>
        <w:spacing w:line="240" w:lineRule="auto"/>
        <w:ind w:right="-28"/>
        <w:contextualSpacing w:val="0"/>
        <w:rPr>
          <w:rFonts w:cs="Arial"/>
          <w:szCs w:val="20"/>
        </w:rPr>
      </w:pPr>
      <w:r w:rsidRPr="007040C9">
        <w:rPr>
          <w:rFonts w:cs="Arial"/>
          <w:szCs w:val="20"/>
        </w:rPr>
        <w:t>2016-17 (NEP16 and NEC16).</w:t>
      </w:r>
    </w:p>
    <w:p w14:paraId="677CFDE7" w14:textId="77777777" w:rsidR="00E26387" w:rsidRPr="007040C9" w:rsidRDefault="00E26387" w:rsidP="00560AC0">
      <w:pPr>
        <w:tabs>
          <w:tab w:val="left" w:pos="1162"/>
        </w:tabs>
        <w:spacing w:before="240"/>
        <w:ind w:right="-28"/>
        <w:rPr>
          <w:rFonts w:cs="Arial"/>
          <w:szCs w:val="20"/>
        </w:rPr>
      </w:pPr>
      <w:r w:rsidRPr="007040C9">
        <w:rPr>
          <w:rFonts w:cs="Arial"/>
          <w:szCs w:val="20"/>
        </w:rPr>
        <w:t>IHPA has now published its sixth NEP and</w:t>
      </w:r>
      <w:r>
        <w:rPr>
          <w:rFonts w:cs="Arial"/>
          <w:szCs w:val="20"/>
        </w:rPr>
        <w:t xml:space="preserve"> NEC,</w:t>
      </w:r>
      <w:r w:rsidRPr="002265FE">
        <w:rPr>
          <w:rFonts w:cs="Arial"/>
          <w:szCs w:val="20"/>
        </w:rPr>
        <w:t xml:space="preserve"> </w:t>
      </w:r>
      <w:r w:rsidRPr="007040C9">
        <w:rPr>
          <w:rFonts w:cs="Arial"/>
          <w:szCs w:val="20"/>
        </w:rPr>
        <w:t>which sets out the determinations for 2017-18 in relation to each of its legislative functions, namely:</w:t>
      </w:r>
    </w:p>
    <w:p w14:paraId="4125815A" w14:textId="77777777" w:rsidR="00E26387" w:rsidRPr="007040C9" w:rsidRDefault="00E26387">
      <w:pPr>
        <w:pStyle w:val="ListParagraph"/>
        <w:numPr>
          <w:ilvl w:val="0"/>
          <w:numId w:val="8"/>
        </w:numPr>
        <w:tabs>
          <w:tab w:val="left" w:pos="1162"/>
        </w:tabs>
        <w:spacing w:before="120" w:line="240" w:lineRule="auto"/>
        <w:ind w:left="709" w:right="-28" w:hanging="426"/>
        <w:contextualSpacing w:val="0"/>
        <w:rPr>
          <w:rFonts w:cs="Arial"/>
          <w:szCs w:val="20"/>
        </w:rPr>
      </w:pPr>
      <w:r w:rsidRPr="007040C9">
        <w:rPr>
          <w:rFonts w:cs="Arial"/>
          <w:szCs w:val="20"/>
        </w:rPr>
        <w:t xml:space="preserve">The 2017-18 NEP for health care services provided by public hospitals where the services are funded on an </w:t>
      </w:r>
      <w:r w:rsidRPr="007040C9">
        <w:rPr>
          <w:rFonts w:cs="Arial"/>
          <w:i/>
          <w:szCs w:val="20"/>
        </w:rPr>
        <w:t>activity</w:t>
      </w:r>
      <w:r w:rsidRPr="007040C9">
        <w:rPr>
          <w:rFonts w:cs="Arial"/>
          <w:szCs w:val="20"/>
        </w:rPr>
        <w:t xml:space="preserve"> basis;</w:t>
      </w:r>
    </w:p>
    <w:p w14:paraId="56E02BE4" w14:textId="77777777" w:rsidR="00E26387" w:rsidRPr="007040C9" w:rsidRDefault="00E26387">
      <w:pPr>
        <w:pStyle w:val="ListParagraph"/>
        <w:numPr>
          <w:ilvl w:val="0"/>
          <w:numId w:val="8"/>
        </w:numPr>
        <w:tabs>
          <w:tab w:val="left" w:pos="1162"/>
        </w:tabs>
        <w:spacing w:before="120" w:line="240" w:lineRule="auto"/>
        <w:ind w:left="709" w:right="-28" w:hanging="426"/>
        <w:contextualSpacing w:val="0"/>
        <w:rPr>
          <w:rFonts w:cs="Arial"/>
          <w:szCs w:val="20"/>
        </w:rPr>
      </w:pPr>
      <w:r w:rsidRPr="007040C9">
        <w:rPr>
          <w:rFonts w:cs="Arial"/>
          <w:szCs w:val="20"/>
        </w:rPr>
        <w:t xml:space="preserve">The 2017-18 NEC for health care services provided by public hospitals where the services are funded on a </w:t>
      </w:r>
      <w:r w:rsidRPr="007040C9">
        <w:rPr>
          <w:rFonts w:cs="Arial"/>
          <w:i/>
          <w:szCs w:val="20"/>
        </w:rPr>
        <w:t>block funded</w:t>
      </w:r>
      <w:r w:rsidRPr="007040C9">
        <w:rPr>
          <w:rFonts w:cs="Arial"/>
          <w:szCs w:val="20"/>
        </w:rPr>
        <w:t xml:space="preserve"> basis;</w:t>
      </w:r>
    </w:p>
    <w:p w14:paraId="7100ADA1" w14:textId="77777777" w:rsidR="00E26387" w:rsidRPr="002265FE" w:rsidRDefault="00E26387">
      <w:pPr>
        <w:pStyle w:val="ListParagraph"/>
        <w:numPr>
          <w:ilvl w:val="0"/>
          <w:numId w:val="8"/>
        </w:numPr>
        <w:tabs>
          <w:tab w:val="left" w:pos="1162"/>
        </w:tabs>
        <w:spacing w:before="120" w:line="240" w:lineRule="auto"/>
        <w:ind w:left="709" w:right="-28" w:hanging="426"/>
        <w:contextualSpacing w:val="0"/>
        <w:rPr>
          <w:rFonts w:cs="Arial"/>
          <w:szCs w:val="20"/>
        </w:rPr>
      </w:pPr>
      <w:r>
        <w:rPr>
          <w:rFonts w:cs="Arial"/>
          <w:szCs w:val="20"/>
        </w:rPr>
        <w:t>The d</w:t>
      </w:r>
      <w:r w:rsidRPr="002265FE">
        <w:rPr>
          <w:rFonts w:cs="Arial"/>
          <w:szCs w:val="20"/>
        </w:rPr>
        <w:t>evelopment and specification of classification systems for health care and other services provided by public hospitals</w:t>
      </w:r>
      <w:r>
        <w:rPr>
          <w:rFonts w:cs="Arial"/>
          <w:szCs w:val="20"/>
        </w:rPr>
        <w:t>;</w:t>
      </w:r>
    </w:p>
    <w:p w14:paraId="4211F798" w14:textId="77777777" w:rsidR="00E26387" w:rsidRPr="002265FE" w:rsidRDefault="00E26387">
      <w:pPr>
        <w:pStyle w:val="ListParagraph"/>
        <w:numPr>
          <w:ilvl w:val="0"/>
          <w:numId w:val="8"/>
        </w:numPr>
        <w:tabs>
          <w:tab w:val="left" w:pos="1162"/>
        </w:tabs>
        <w:spacing w:before="120" w:line="240" w:lineRule="auto"/>
        <w:ind w:left="709" w:right="-28" w:hanging="426"/>
        <w:contextualSpacing w:val="0"/>
        <w:rPr>
          <w:rFonts w:cs="Arial"/>
          <w:szCs w:val="20"/>
        </w:rPr>
      </w:pPr>
      <w:r>
        <w:rPr>
          <w:rFonts w:cs="Arial"/>
          <w:szCs w:val="20"/>
        </w:rPr>
        <w:t>A</w:t>
      </w:r>
      <w:r w:rsidRPr="002265FE">
        <w:rPr>
          <w:rFonts w:cs="Arial"/>
          <w:szCs w:val="20"/>
        </w:rPr>
        <w:t>djustments to the NEP to reflect legitimate and unavoidable variations in the costs of delivering health care services</w:t>
      </w:r>
      <w:r>
        <w:rPr>
          <w:rFonts w:cs="Arial"/>
          <w:szCs w:val="20"/>
        </w:rPr>
        <w:t>;</w:t>
      </w:r>
    </w:p>
    <w:p w14:paraId="465450AB" w14:textId="77777777" w:rsidR="00E26387" w:rsidRPr="002265FE" w:rsidRDefault="00E26387">
      <w:pPr>
        <w:pStyle w:val="ListParagraph"/>
        <w:numPr>
          <w:ilvl w:val="0"/>
          <w:numId w:val="8"/>
        </w:numPr>
        <w:tabs>
          <w:tab w:val="left" w:pos="1162"/>
        </w:tabs>
        <w:spacing w:before="120" w:line="240" w:lineRule="auto"/>
        <w:ind w:left="709" w:right="-28" w:hanging="426"/>
        <w:contextualSpacing w:val="0"/>
        <w:rPr>
          <w:rFonts w:cs="Arial"/>
          <w:szCs w:val="20"/>
        </w:rPr>
      </w:pPr>
      <w:r>
        <w:rPr>
          <w:rFonts w:cs="Arial"/>
          <w:szCs w:val="20"/>
        </w:rPr>
        <w:t>E</w:t>
      </w:r>
      <w:r w:rsidRPr="002265FE">
        <w:rPr>
          <w:rFonts w:cs="Arial"/>
          <w:szCs w:val="20"/>
        </w:rPr>
        <w:t xml:space="preserve">xcept where otherwise agreed between the Commonwealth and a state or a territory – the public hospital functions that are to be </w:t>
      </w:r>
      <w:r>
        <w:rPr>
          <w:rFonts w:cs="Arial"/>
          <w:szCs w:val="20"/>
        </w:rPr>
        <w:t>part-</w:t>
      </w:r>
      <w:r w:rsidRPr="002265FE">
        <w:rPr>
          <w:rFonts w:cs="Arial"/>
          <w:szCs w:val="20"/>
        </w:rPr>
        <w:t>funded in that state or territory by the Commonwealth</w:t>
      </w:r>
      <w:r>
        <w:rPr>
          <w:rFonts w:cs="Arial"/>
          <w:szCs w:val="20"/>
        </w:rPr>
        <w:t>; and</w:t>
      </w:r>
    </w:p>
    <w:p w14:paraId="2BA790C8" w14:textId="77777777" w:rsidR="00E26387" w:rsidRPr="003A35C7" w:rsidRDefault="00E26387">
      <w:pPr>
        <w:pStyle w:val="ListParagraph"/>
        <w:numPr>
          <w:ilvl w:val="0"/>
          <w:numId w:val="8"/>
        </w:numPr>
        <w:tabs>
          <w:tab w:val="left" w:pos="1162"/>
        </w:tabs>
        <w:spacing w:before="120" w:line="240" w:lineRule="auto"/>
        <w:ind w:left="709" w:right="-28" w:hanging="426"/>
        <w:contextualSpacing w:val="0"/>
        <w:rPr>
          <w:rFonts w:cs="Arial"/>
          <w:szCs w:val="20"/>
        </w:rPr>
      </w:pPr>
      <w:r>
        <w:rPr>
          <w:rFonts w:cs="Arial"/>
          <w:szCs w:val="20"/>
        </w:rPr>
        <w:t>P</w:t>
      </w:r>
      <w:r w:rsidRPr="002265FE">
        <w:rPr>
          <w:rFonts w:cs="Arial"/>
          <w:szCs w:val="20"/>
        </w:rPr>
        <w:t>ublication of a report setting out the NEP and NEC for the coming year and any other information that would support the efficient funding of public hospitals.</w:t>
      </w:r>
    </w:p>
    <w:p w14:paraId="566A0845" w14:textId="1A2C13CF" w:rsidR="00E26387" w:rsidRDefault="00E26387">
      <w:pPr>
        <w:pStyle w:val="Heading2"/>
        <w:numPr>
          <w:ilvl w:val="1"/>
          <w:numId w:val="17"/>
        </w:numPr>
        <w:ind w:left="567" w:right="-28" w:hanging="567"/>
      </w:pPr>
      <w:bookmarkStart w:id="44" w:name="_Toc466884134"/>
      <w:bookmarkStart w:id="45" w:name="_Toc467505163"/>
      <w:bookmarkStart w:id="46" w:name="_Toc467745539"/>
      <w:bookmarkStart w:id="47" w:name="_Toc467759569"/>
      <w:bookmarkStart w:id="48" w:name="_Toc468204008"/>
      <w:bookmarkStart w:id="49" w:name="_Toc476305224"/>
      <w:r w:rsidRPr="00331761">
        <w:lastRenderedPageBreak/>
        <w:t>National Efficient Price 2017-18 process</w:t>
      </w:r>
      <w:bookmarkEnd w:id="44"/>
      <w:bookmarkEnd w:id="45"/>
      <w:bookmarkEnd w:id="46"/>
      <w:bookmarkEnd w:id="47"/>
      <w:bookmarkEnd w:id="48"/>
      <w:bookmarkEnd w:id="49"/>
    </w:p>
    <w:p w14:paraId="3CCC2113" w14:textId="69AECD0E" w:rsidR="001B3AC2" w:rsidRDefault="005D2CAB">
      <w:pPr>
        <w:pStyle w:val="table"/>
      </w:pPr>
      <w:bookmarkStart w:id="50" w:name="_Ref466641389"/>
      <w:r>
        <w:t xml:space="preserve">The figure </w:t>
      </w:r>
      <w:r w:rsidR="001B3AC2">
        <w:t xml:space="preserve">below outlines the NEP17 process from development of classification systems to publishing the NEP and NEC 2017-18 determinations. </w:t>
      </w:r>
    </w:p>
    <w:p w14:paraId="68113E6C" w14:textId="01D31AC8" w:rsidR="00F05B20" w:rsidRDefault="00E26387">
      <w:pPr>
        <w:spacing w:before="120" w:after="0" w:line="240" w:lineRule="auto"/>
        <w:rPr>
          <w:b/>
        </w:rPr>
      </w:pPr>
      <w:r w:rsidRPr="000351BD">
        <w:rPr>
          <w:b/>
        </w:rPr>
        <w:t xml:space="preserve">Figure </w:t>
      </w:r>
      <w:r w:rsidR="000C2F37" w:rsidRPr="000351BD">
        <w:rPr>
          <w:b/>
        </w:rPr>
        <w:fldChar w:fldCharType="begin"/>
      </w:r>
      <w:r w:rsidR="000C2F37" w:rsidRPr="000351BD">
        <w:rPr>
          <w:b/>
        </w:rPr>
        <w:instrText xml:space="preserve"> SEQ Figure \* ARABIC </w:instrText>
      </w:r>
      <w:r w:rsidR="000C2F37" w:rsidRPr="000351BD">
        <w:rPr>
          <w:b/>
        </w:rPr>
        <w:fldChar w:fldCharType="separate"/>
      </w:r>
      <w:r w:rsidR="00F84458">
        <w:rPr>
          <w:b/>
          <w:noProof/>
        </w:rPr>
        <w:t>1</w:t>
      </w:r>
      <w:r w:rsidR="000C2F37" w:rsidRPr="000351BD">
        <w:rPr>
          <w:b/>
        </w:rPr>
        <w:fldChar w:fldCharType="end"/>
      </w:r>
      <w:bookmarkEnd w:id="50"/>
      <w:r w:rsidRPr="000351BD">
        <w:rPr>
          <w:b/>
        </w:rPr>
        <w:t xml:space="preserve">: Process to determine the National Efficient Price 2017-18. </w:t>
      </w:r>
    </w:p>
    <w:p w14:paraId="7894B3A3" w14:textId="600B8EDF" w:rsidR="00F05B20" w:rsidRPr="000351BD" w:rsidRDefault="004F1030">
      <w:pPr>
        <w:spacing w:before="120" w:after="0" w:line="240" w:lineRule="auto"/>
        <w:rPr>
          <w:b/>
        </w:rPr>
      </w:pPr>
      <w:r>
        <w:object w:dxaOrig="15136" w:dyaOrig="5980" w14:anchorId="60481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Process to determine the National Efficient Price 2017-18. " style="width:450.8pt;height:178.45pt" o:ole="">
            <v:imagedata r:id="rId19" o:title=""/>
          </v:shape>
          <o:OLEObject Type="Embed" ProgID="Visio.Drawing.11" ShapeID="_x0000_i1025" DrawAspect="Content" ObjectID="_1550307798" r:id="rId20"/>
        </w:object>
      </w:r>
    </w:p>
    <w:p w14:paraId="132C9ED0" w14:textId="657E534B" w:rsidR="00E85605" w:rsidRPr="00E85605" w:rsidRDefault="00E85605" w:rsidP="002D606E">
      <w:pPr>
        <w:tabs>
          <w:tab w:val="left" w:pos="1162"/>
        </w:tabs>
        <w:ind w:left="-142" w:right="-28"/>
        <w:rPr>
          <w:rFonts w:asciiTheme="majorHAnsi" w:eastAsiaTheme="majorEastAsia" w:hAnsiTheme="majorHAnsi" w:cstheme="majorBidi"/>
          <w:b/>
          <w:bCs/>
          <w:color w:val="F8F8F8" w:themeColor="background2"/>
          <w:sz w:val="28"/>
          <w:szCs w:val="32"/>
        </w:rPr>
      </w:pPr>
      <w:bookmarkStart w:id="51" w:name="_Toc467505164"/>
      <w:bookmarkStart w:id="52" w:name="_Toc467505165"/>
      <w:bookmarkStart w:id="53" w:name="_Toc467505166"/>
      <w:bookmarkStart w:id="54" w:name="_Toc467505167"/>
      <w:bookmarkEnd w:id="51"/>
      <w:bookmarkEnd w:id="52"/>
      <w:bookmarkEnd w:id="53"/>
    </w:p>
    <w:p w14:paraId="2EF46825" w14:textId="3DDD665F" w:rsidR="00E26387" w:rsidRPr="002265FE" w:rsidRDefault="00E26387" w:rsidP="00560AC0">
      <w:pPr>
        <w:pStyle w:val="Heading3"/>
        <w:numPr>
          <w:ilvl w:val="2"/>
          <w:numId w:val="17"/>
        </w:numPr>
        <w:spacing w:before="200" w:after="120" w:line="276" w:lineRule="auto"/>
        <w:ind w:left="567" w:hanging="567"/>
        <w:contextualSpacing w:val="0"/>
      </w:pPr>
      <w:bookmarkStart w:id="55" w:name="_Toc467745540"/>
      <w:bookmarkStart w:id="56" w:name="_Toc468204009"/>
      <w:r>
        <w:t>Classification</w:t>
      </w:r>
      <w:r w:rsidR="00FC3AC6">
        <w:t xml:space="preserve"> Systems</w:t>
      </w:r>
      <w:bookmarkEnd w:id="54"/>
      <w:bookmarkEnd w:id="55"/>
      <w:bookmarkEnd w:id="56"/>
    </w:p>
    <w:p w14:paraId="106C8C1C" w14:textId="795C7A26" w:rsidR="00852DD1" w:rsidRPr="00855ECB" w:rsidRDefault="00E60FEB" w:rsidP="002D606E">
      <w:pPr>
        <w:tabs>
          <w:tab w:val="left" w:pos="1162"/>
        </w:tabs>
        <w:ind w:right="-28"/>
        <w:rPr>
          <w:rFonts w:cs="Arial"/>
          <w:szCs w:val="20"/>
        </w:rPr>
      </w:pPr>
      <w:r>
        <w:rPr>
          <w:rFonts w:cs="Arial"/>
          <w:szCs w:val="20"/>
        </w:rPr>
        <w:t>One of the first stages is to classify the hospital activity under various systems dependent on the ABF service stream.</w:t>
      </w:r>
      <w:r w:rsidR="00852DD1" w:rsidRPr="00855ECB">
        <w:rPr>
          <w:rFonts w:cs="Arial"/>
          <w:szCs w:val="20"/>
        </w:rPr>
        <w:t xml:space="preserve"> IHPA has collated activity and cost data for each of the ABF service streams to be funded on an activity basis in 2017-18, as follows:</w:t>
      </w:r>
    </w:p>
    <w:p w14:paraId="2F47CE3D" w14:textId="77777777" w:rsidR="00852DD1" w:rsidRPr="00855ECB" w:rsidRDefault="00746358" w:rsidP="00560AC0">
      <w:pPr>
        <w:pStyle w:val="ListParagraph"/>
        <w:numPr>
          <w:ilvl w:val="0"/>
          <w:numId w:val="14"/>
        </w:numPr>
        <w:tabs>
          <w:tab w:val="left" w:pos="1162"/>
        </w:tabs>
        <w:spacing w:before="120" w:line="240" w:lineRule="auto"/>
        <w:ind w:left="714" w:right="-28" w:hanging="357"/>
        <w:contextualSpacing w:val="0"/>
        <w:rPr>
          <w:rFonts w:cs="Arial"/>
          <w:szCs w:val="20"/>
        </w:rPr>
      </w:pPr>
      <w:r>
        <w:rPr>
          <w:rFonts w:cs="Arial"/>
          <w:szCs w:val="20"/>
        </w:rPr>
        <w:t>A</w:t>
      </w:r>
      <w:r w:rsidR="00852DD1" w:rsidRPr="00855ECB">
        <w:rPr>
          <w:rFonts w:cs="Arial"/>
          <w:szCs w:val="20"/>
        </w:rPr>
        <w:t>dmitted acute</w:t>
      </w:r>
      <w:r w:rsidR="00852DD1" w:rsidRPr="00855ECB" w:rsidDel="00A31A5F">
        <w:rPr>
          <w:rFonts w:cs="Arial"/>
          <w:szCs w:val="20"/>
        </w:rPr>
        <w:t>;</w:t>
      </w:r>
    </w:p>
    <w:p w14:paraId="70BFB93F" w14:textId="77777777" w:rsidR="00852DD1" w:rsidRPr="00855ECB" w:rsidDel="00A31A5F" w:rsidRDefault="00746358">
      <w:pPr>
        <w:pStyle w:val="ListParagraph"/>
        <w:numPr>
          <w:ilvl w:val="0"/>
          <w:numId w:val="14"/>
        </w:numPr>
        <w:tabs>
          <w:tab w:val="left" w:pos="1162"/>
        </w:tabs>
        <w:spacing w:before="120" w:line="240" w:lineRule="auto"/>
        <w:ind w:left="714" w:right="-28" w:hanging="357"/>
        <w:contextualSpacing w:val="0"/>
        <w:rPr>
          <w:rFonts w:cs="Arial"/>
          <w:szCs w:val="20"/>
        </w:rPr>
      </w:pPr>
      <w:r>
        <w:rPr>
          <w:rFonts w:cs="Arial"/>
          <w:szCs w:val="20"/>
        </w:rPr>
        <w:t>A</w:t>
      </w:r>
      <w:r w:rsidR="00852DD1" w:rsidRPr="00855ECB">
        <w:rPr>
          <w:rFonts w:cs="Arial"/>
          <w:szCs w:val="20"/>
        </w:rPr>
        <w:t xml:space="preserve">dmitted </w:t>
      </w:r>
      <w:r w:rsidR="00852DD1" w:rsidRPr="00855ECB" w:rsidDel="00A31A5F">
        <w:rPr>
          <w:rFonts w:cs="Arial"/>
          <w:szCs w:val="20"/>
        </w:rPr>
        <w:t>mental health</w:t>
      </w:r>
      <w:r w:rsidR="00852DD1" w:rsidRPr="00855ECB">
        <w:rPr>
          <w:rFonts w:cs="Arial"/>
          <w:szCs w:val="20"/>
        </w:rPr>
        <w:t xml:space="preserve"> care;</w:t>
      </w:r>
    </w:p>
    <w:p w14:paraId="0632A3D8" w14:textId="77777777" w:rsidR="00852DD1" w:rsidRPr="00855ECB" w:rsidRDefault="00746358">
      <w:pPr>
        <w:pStyle w:val="ListParagraph"/>
        <w:numPr>
          <w:ilvl w:val="0"/>
          <w:numId w:val="14"/>
        </w:numPr>
        <w:tabs>
          <w:tab w:val="left" w:pos="1162"/>
        </w:tabs>
        <w:spacing w:before="120" w:line="240" w:lineRule="auto"/>
        <w:ind w:left="714" w:right="-28" w:hanging="357"/>
        <w:contextualSpacing w:val="0"/>
        <w:rPr>
          <w:rFonts w:cs="Arial"/>
          <w:szCs w:val="20"/>
        </w:rPr>
      </w:pPr>
      <w:r>
        <w:rPr>
          <w:rFonts w:cs="Arial"/>
          <w:szCs w:val="20"/>
        </w:rPr>
        <w:t>A</w:t>
      </w:r>
      <w:r w:rsidR="00852DD1" w:rsidRPr="00855ECB">
        <w:rPr>
          <w:rFonts w:cs="Arial"/>
          <w:szCs w:val="20"/>
        </w:rPr>
        <w:t>dmitted subacute and non-acute;</w:t>
      </w:r>
      <w:r w:rsidR="00852DD1" w:rsidRPr="00855ECB" w:rsidDel="00A31A5F">
        <w:rPr>
          <w:rFonts w:cs="Arial"/>
          <w:szCs w:val="20"/>
        </w:rPr>
        <w:t xml:space="preserve"> </w:t>
      </w:r>
    </w:p>
    <w:p w14:paraId="5FC455FB" w14:textId="77777777" w:rsidR="00852DD1" w:rsidRPr="00855ECB" w:rsidDel="00A31A5F" w:rsidRDefault="00746358">
      <w:pPr>
        <w:pStyle w:val="ListParagraph"/>
        <w:numPr>
          <w:ilvl w:val="0"/>
          <w:numId w:val="14"/>
        </w:numPr>
        <w:tabs>
          <w:tab w:val="left" w:pos="1162"/>
        </w:tabs>
        <w:spacing w:before="120" w:line="240" w:lineRule="auto"/>
        <w:ind w:left="714" w:right="-28" w:hanging="357"/>
        <w:contextualSpacing w:val="0"/>
        <w:rPr>
          <w:rFonts w:cs="Arial"/>
          <w:szCs w:val="20"/>
        </w:rPr>
      </w:pPr>
      <w:r>
        <w:rPr>
          <w:rFonts w:cs="Arial"/>
          <w:szCs w:val="20"/>
        </w:rPr>
        <w:t>E</w:t>
      </w:r>
      <w:r w:rsidR="00852DD1" w:rsidRPr="00855ECB" w:rsidDel="00A31A5F">
        <w:rPr>
          <w:rFonts w:cs="Arial"/>
          <w:szCs w:val="20"/>
        </w:rPr>
        <w:t xml:space="preserve">mergency </w:t>
      </w:r>
      <w:r w:rsidR="00852DD1" w:rsidRPr="00855ECB">
        <w:rPr>
          <w:rFonts w:cs="Arial"/>
          <w:szCs w:val="20"/>
        </w:rPr>
        <w:t>care; and</w:t>
      </w:r>
    </w:p>
    <w:p w14:paraId="0A236716" w14:textId="77777777" w:rsidR="00852DD1" w:rsidRPr="00855ECB" w:rsidDel="00A31A5F" w:rsidRDefault="00746358">
      <w:pPr>
        <w:pStyle w:val="ListParagraph"/>
        <w:numPr>
          <w:ilvl w:val="0"/>
          <w:numId w:val="14"/>
        </w:numPr>
        <w:tabs>
          <w:tab w:val="left" w:pos="1162"/>
        </w:tabs>
        <w:spacing w:before="120" w:after="240" w:line="240" w:lineRule="auto"/>
        <w:ind w:left="714" w:right="-28" w:hanging="357"/>
        <w:contextualSpacing w:val="0"/>
        <w:rPr>
          <w:rFonts w:cs="Arial"/>
          <w:szCs w:val="20"/>
        </w:rPr>
      </w:pPr>
      <w:r>
        <w:rPr>
          <w:rFonts w:cs="Arial"/>
          <w:szCs w:val="20"/>
        </w:rPr>
        <w:t>N</w:t>
      </w:r>
      <w:r w:rsidR="00852DD1" w:rsidRPr="00855ECB" w:rsidDel="00A31A5F">
        <w:rPr>
          <w:rFonts w:cs="Arial"/>
          <w:szCs w:val="20"/>
        </w:rPr>
        <w:t>on-admitted</w:t>
      </w:r>
      <w:r w:rsidR="00852DD1" w:rsidRPr="00855ECB">
        <w:rPr>
          <w:rFonts w:cs="Arial"/>
          <w:szCs w:val="20"/>
        </w:rPr>
        <w:t>.</w:t>
      </w:r>
    </w:p>
    <w:p w14:paraId="0E33771E" w14:textId="4971DA9C" w:rsidR="00E60FEB" w:rsidRDefault="00852DD1" w:rsidP="002D606E">
      <w:pPr>
        <w:tabs>
          <w:tab w:val="left" w:pos="1162"/>
        </w:tabs>
        <w:spacing w:before="240"/>
        <w:ind w:right="-28"/>
        <w:rPr>
          <w:rFonts w:cs="Arial"/>
          <w:szCs w:val="20"/>
        </w:rPr>
      </w:pPr>
      <w:r w:rsidRPr="00852DD1">
        <w:rPr>
          <w:rFonts w:cs="Arial"/>
          <w:szCs w:val="20"/>
        </w:rPr>
        <w:t>Classification systems within each service stream are applied uniformly across all available data. Although these systems have been developed in part to explain variation in cost between different outputs within the stream, additional systematic variation still occurs. To account for this, various adjustments are</w:t>
      </w:r>
      <w:r w:rsidR="00FC3AC6">
        <w:rPr>
          <w:rFonts w:cs="Arial"/>
          <w:szCs w:val="20"/>
        </w:rPr>
        <w:t xml:space="preserve"> </w:t>
      </w:r>
      <w:r w:rsidRPr="00852DD1">
        <w:rPr>
          <w:rFonts w:cs="Arial"/>
          <w:szCs w:val="20"/>
        </w:rPr>
        <w:t>modelled and where justified, implemented into the models</w:t>
      </w:r>
      <w:r w:rsidR="00FC3AC6">
        <w:rPr>
          <w:rFonts w:cs="Arial"/>
          <w:szCs w:val="20"/>
        </w:rPr>
        <w:t xml:space="preserve">. </w:t>
      </w:r>
      <w:r w:rsidR="00FC3AC6" w:rsidRPr="00FC3AC6">
        <w:rPr>
          <w:rFonts w:cs="Arial"/>
          <w:szCs w:val="20"/>
        </w:rPr>
        <w:t xml:space="preserve">The classification systems for each service stream and the source of its cost and activity data </w:t>
      </w:r>
      <w:r w:rsidR="00FC3AC6">
        <w:rPr>
          <w:rFonts w:cs="Arial"/>
          <w:szCs w:val="20"/>
        </w:rPr>
        <w:t>are outlined in the Appendix.</w:t>
      </w:r>
    </w:p>
    <w:p w14:paraId="43543B9C" w14:textId="554B8E6C" w:rsidR="001B3AC2" w:rsidRDefault="001B3AC2" w:rsidP="00560AC0">
      <w:pPr>
        <w:pStyle w:val="Heading3"/>
        <w:numPr>
          <w:ilvl w:val="2"/>
          <w:numId w:val="17"/>
        </w:numPr>
        <w:spacing w:before="200" w:after="120" w:line="276" w:lineRule="auto"/>
        <w:ind w:left="567" w:hanging="567"/>
        <w:contextualSpacing w:val="0"/>
      </w:pPr>
      <w:bookmarkStart w:id="57" w:name="_Toc467505168"/>
      <w:bookmarkStart w:id="58" w:name="_Toc467745541"/>
      <w:bookmarkStart w:id="59" w:name="_Toc468204010"/>
      <w:r>
        <w:t>Data Preparation</w:t>
      </w:r>
      <w:bookmarkEnd w:id="57"/>
      <w:bookmarkEnd w:id="58"/>
      <w:bookmarkEnd w:id="59"/>
    </w:p>
    <w:p w14:paraId="117F9C7A" w14:textId="77777777" w:rsidR="00FC3AC6" w:rsidRPr="00C26DC4" w:rsidRDefault="00FC3AC6" w:rsidP="002D606E">
      <w:pPr>
        <w:tabs>
          <w:tab w:val="left" w:pos="1162"/>
        </w:tabs>
        <w:ind w:right="-28"/>
        <w:rPr>
          <w:rFonts w:cs="Arial"/>
          <w:szCs w:val="20"/>
        </w:rPr>
      </w:pPr>
      <w:r w:rsidRPr="00C26DC4">
        <w:rPr>
          <w:rFonts w:cs="Arial"/>
          <w:szCs w:val="20"/>
        </w:rPr>
        <w:t>An important part of the modelling process is the preliminary preparation of both the costing and activity data</w:t>
      </w:r>
      <w:r>
        <w:rPr>
          <w:rFonts w:cs="Arial"/>
          <w:szCs w:val="20"/>
        </w:rPr>
        <w:t xml:space="preserve">. </w:t>
      </w:r>
      <w:r w:rsidRPr="00C26DC4">
        <w:rPr>
          <w:rFonts w:cs="Arial"/>
          <w:szCs w:val="20"/>
        </w:rPr>
        <w:t>The essential steps in the data preparation process are:</w:t>
      </w:r>
    </w:p>
    <w:p w14:paraId="67A2AEC3" w14:textId="77777777" w:rsidR="00FC3AC6" w:rsidRPr="004D71FC" w:rsidRDefault="00FC3AC6" w:rsidP="00560AC0">
      <w:pPr>
        <w:pStyle w:val="ListParagraph"/>
        <w:numPr>
          <w:ilvl w:val="0"/>
          <w:numId w:val="68"/>
        </w:numPr>
        <w:tabs>
          <w:tab w:val="left" w:pos="1162"/>
        </w:tabs>
        <w:spacing w:before="120" w:line="240" w:lineRule="auto"/>
        <w:ind w:left="709" w:right="-28" w:hanging="426"/>
        <w:contextualSpacing w:val="0"/>
        <w:rPr>
          <w:rFonts w:cs="Arial"/>
          <w:szCs w:val="20"/>
        </w:rPr>
      </w:pPr>
      <w:r w:rsidRPr="004D71FC">
        <w:rPr>
          <w:rFonts w:cs="Arial"/>
          <w:szCs w:val="20"/>
        </w:rPr>
        <w:t xml:space="preserve">A substantial validation process undertaken </w:t>
      </w:r>
      <w:r>
        <w:rPr>
          <w:rFonts w:cs="Arial"/>
          <w:szCs w:val="20"/>
        </w:rPr>
        <w:t>as</w:t>
      </w:r>
      <w:r w:rsidRPr="004D71FC">
        <w:rPr>
          <w:rFonts w:cs="Arial"/>
          <w:szCs w:val="20"/>
        </w:rPr>
        <w:t xml:space="preserve"> the data are received from jurisdictions;</w:t>
      </w:r>
    </w:p>
    <w:p w14:paraId="671762C0" w14:textId="6C6E48C8" w:rsidR="00FC3AC6" w:rsidRPr="004D71FC" w:rsidRDefault="00FC3AC6">
      <w:pPr>
        <w:pStyle w:val="ListParagraph"/>
        <w:numPr>
          <w:ilvl w:val="0"/>
          <w:numId w:val="68"/>
        </w:numPr>
        <w:tabs>
          <w:tab w:val="left" w:pos="1162"/>
        </w:tabs>
        <w:spacing w:before="120" w:line="240" w:lineRule="auto"/>
        <w:ind w:left="709" w:right="-28" w:hanging="426"/>
        <w:contextualSpacing w:val="0"/>
        <w:rPr>
          <w:rFonts w:cs="Arial"/>
          <w:szCs w:val="20"/>
        </w:rPr>
      </w:pPr>
      <w:r>
        <w:rPr>
          <w:rFonts w:cs="Arial"/>
          <w:szCs w:val="20"/>
        </w:rPr>
        <w:lastRenderedPageBreak/>
        <w:t>M</w:t>
      </w:r>
      <w:r w:rsidRPr="004D71FC">
        <w:rPr>
          <w:rFonts w:cs="Arial"/>
          <w:szCs w:val="20"/>
        </w:rPr>
        <w:t>atching mothers with unqualified neonates</w:t>
      </w:r>
      <w:r w:rsidR="00C4214D">
        <w:rPr>
          <w:rStyle w:val="FootnoteReference"/>
          <w:rFonts w:cs="Arial"/>
          <w:szCs w:val="20"/>
        </w:rPr>
        <w:footnoteReference w:id="1"/>
      </w:r>
      <w:r w:rsidRPr="004D71FC">
        <w:rPr>
          <w:rFonts w:cs="Arial"/>
          <w:szCs w:val="20"/>
        </w:rPr>
        <w:t xml:space="preserve"> to ensure costs are properly attributed to the mothers; </w:t>
      </w:r>
    </w:p>
    <w:p w14:paraId="07345FE2" w14:textId="77777777" w:rsidR="00FC3AC6" w:rsidRPr="00855ECB" w:rsidRDefault="00FC3AC6">
      <w:pPr>
        <w:pStyle w:val="ListParagraph"/>
        <w:numPr>
          <w:ilvl w:val="0"/>
          <w:numId w:val="68"/>
        </w:numPr>
        <w:tabs>
          <w:tab w:val="left" w:pos="1162"/>
        </w:tabs>
        <w:spacing w:before="120" w:line="240" w:lineRule="auto"/>
        <w:ind w:left="709" w:right="-28" w:hanging="426"/>
        <w:contextualSpacing w:val="0"/>
        <w:rPr>
          <w:rFonts w:cs="Arial"/>
          <w:szCs w:val="20"/>
        </w:rPr>
      </w:pPr>
      <w:r>
        <w:rPr>
          <w:rFonts w:cs="Arial"/>
          <w:szCs w:val="20"/>
        </w:rPr>
        <w:t>Linking</w:t>
      </w:r>
      <w:r w:rsidRPr="004D71FC">
        <w:rPr>
          <w:rFonts w:cs="Arial"/>
          <w:szCs w:val="20"/>
        </w:rPr>
        <w:t xml:space="preserve"> the </w:t>
      </w:r>
      <w:r w:rsidRPr="00855ECB">
        <w:rPr>
          <w:rFonts w:cs="Arial"/>
          <w:szCs w:val="20"/>
        </w:rPr>
        <w:t>NHCDC cost file with the APC activity file at the patient level (which has recorded a success rate of over 99 per cent);</w:t>
      </w:r>
    </w:p>
    <w:p w14:paraId="7F4F0570" w14:textId="77777777" w:rsidR="00FC3AC6" w:rsidRDefault="00FC3AC6">
      <w:pPr>
        <w:pStyle w:val="ListParagraph"/>
        <w:numPr>
          <w:ilvl w:val="0"/>
          <w:numId w:val="68"/>
        </w:numPr>
        <w:tabs>
          <w:tab w:val="left" w:pos="1162"/>
        </w:tabs>
        <w:spacing w:before="120" w:line="240" w:lineRule="auto"/>
        <w:ind w:left="709" w:right="-28" w:hanging="426"/>
        <w:contextualSpacing w:val="0"/>
        <w:rPr>
          <w:rFonts w:cs="Arial"/>
          <w:szCs w:val="20"/>
        </w:rPr>
      </w:pPr>
      <w:r w:rsidRPr="00855ECB">
        <w:rPr>
          <w:rFonts w:cs="Arial"/>
          <w:szCs w:val="20"/>
        </w:rPr>
        <w:t>Identifying any differences in patient characteristics or operational data recorded across the two datasets and reconciling these</w:t>
      </w:r>
      <w:r>
        <w:rPr>
          <w:rFonts w:cs="Arial"/>
          <w:szCs w:val="20"/>
        </w:rPr>
        <w:t xml:space="preserve"> </w:t>
      </w:r>
      <w:r w:rsidRPr="004D71FC">
        <w:rPr>
          <w:rFonts w:cs="Arial"/>
          <w:szCs w:val="20"/>
        </w:rPr>
        <w:t>where appropriate</w:t>
      </w:r>
      <w:r>
        <w:rPr>
          <w:rFonts w:cs="Arial"/>
          <w:szCs w:val="20"/>
        </w:rPr>
        <w:t xml:space="preserve">; </w:t>
      </w:r>
      <w:r w:rsidRPr="004D71FC">
        <w:rPr>
          <w:rFonts w:cs="Arial"/>
          <w:szCs w:val="20"/>
        </w:rPr>
        <w:t>and</w:t>
      </w:r>
    </w:p>
    <w:p w14:paraId="15909D90" w14:textId="77777777" w:rsidR="00FC3AC6" w:rsidRPr="00985470" w:rsidRDefault="00FC3AC6">
      <w:pPr>
        <w:pStyle w:val="ListParagraph"/>
        <w:numPr>
          <w:ilvl w:val="0"/>
          <w:numId w:val="68"/>
        </w:numPr>
        <w:tabs>
          <w:tab w:val="left" w:pos="1162"/>
        </w:tabs>
        <w:spacing w:before="120" w:line="240" w:lineRule="auto"/>
        <w:ind w:left="709" w:right="-28" w:hanging="426"/>
        <w:contextualSpacing w:val="0"/>
        <w:rPr>
          <w:rFonts w:cs="Arial"/>
          <w:szCs w:val="20"/>
        </w:rPr>
      </w:pPr>
      <w:r>
        <w:rPr>
          <w:rFonts w:cs="Arial"/>
          <w:szCs w:val="20"/>
        </w:rPr>
        <w:t>Where reported, removing blood costs and/or any identified amounts related to Commonwealth pharmaceutical payments</w:t>
      </w:r>
      <w:r w:rsidRPr="004D71FC">
        <w:rPr>
          <w:rFonts w:cs="Arial"/>
          <w:szCs w:val="20"/>
        </w:rPr>
        <w:t>.</w:t>
      </w:r>
    </w:p>
    <w:p w14:paraId="744370EF" w14:textId="7A5F9B43" w:rsidR="007B29F7" w:rsidRPr="00855ECB" w:rsidRDefault="00FC3AC6" w:rsidP="002D606E">
      <w:pPr>
        <w:tabs>
          <w:tab w:val="left" w:pos="1162"/>
        </w:tabs>
        <w:ind w:right="-28"/>
        <w:rPr>
          <w:rFonts w:cs="Arial"/>
          <w:szCs w:val="20"/>
        </w:rPr>
      </w:pPr>
      <w:r w:rsidRPr="00FC3AC6">
        <w:rPr>
          <w:rFonts w:cs="Arial"/>
          <w:szCs w:val="20"/>
        </w:rPr>
        <w:t xml:space="preserve">The activity and cost data is sourced by IHPA from various national data collections and is supplemented by additional data provided by the states and territories. </w:t>
      </w:r>
      <w:r w:rsidR="007B29F7" w:rsidRPr="00855ECB">
        <w:rPr>
          <w:rFonts w:cs="Arial"/>
          <w:szCs w:val="20"/>
        </w:rPr>
        <w:t xml:space="preserve">In consultation with jurisdictions, IHPA has identified </w:t>
      </w:r>
      <w:r w:rsidR="008C6F3C">
        <w:rPr>
          <w:rFonts w:cs="Arial"/>
          <w:szCs w:val="20"/>
        </w:rPr>
        <w:t>289</w:t>
      </w:r>
      <w:r w:rsidR="007B29F7" w:rsidRPr="00855ECB">
        <w:rPr>
          <w:rFonts w:cs="Arial"/>
          <w:szCs w:val="20"/>
        </w:rPr>
        <w:t xml:space="preserve"> hospitals to make up the ABF price model and 4</w:t>
      </w:r>
      <w:r w:rsidR="007B29F7">
        <w:rPr>
          <w:rFonts w:cs="Arial"/>
          <w:szCs w:val="20"/>
        </w:rPr>
        <w:t>0</w:t>
      </w:r>
      <w:r w:rsidR="00C4214D">
        <w:rPr>
          <w:rFonts w:cs="Arial"/>
          <w:szCs w:val="20"/>
        </w:rPr>
        <w:t>8</w:t>
      </w:r>
      <w:r w:rsidR="007B29F7" w:rsidRPr="00855ECB">
        <w:rPr>
          <w:rFonts w:cs="Arial"/>
          <w:szCs w:val="20"/>
        </w:rPr>
        <w:t xml:space="preserve"> hospitals designated for block funding. Of the block funded hospitals:</w:t>
      </w:r>
    </w:p>
    <w:p w14:paraId="5A50897E" w14:textId="77777777" w:rsidR="007B29F7" w:rsidRPr="00825D0D" w:rsidRDefault="007B29F7" w:rsidP="00560AC0">
      <w:pPr>
        <w:pStyle w:val="ListParagraph"/>
        <w:numPr>
          <w:ilvl w:val="0"/>
          <w:numId w:val="14"/>
        </w:numPr>
        <w:tabs>
          <w:tab w:val="left" w:pos="1162"/>
        </w:tabs>
        <w:spacing w:before="120" w:line="240" w:lineRule="auto"/>
        <w:ind w:left="714" w:right="-28" w:hanging="357"/>
        <w:contextualSpacing w:val="0"/>
        <w:rPr>
          <w:rFonts w:cs="Arial"/>
          <w:szCs w:val="20"/>
        </w:rPr>
      </w:pPr>
      <w:r w:rsidRPr="00801AF5">
        <w:rPr>
          <w:rFonts w:cs="Arial"/>
          <w:szCs w:val="20"/>
        </w:rPr>
        <w:t>16</w:t>
      </w:r>
      <w:r w:rsidRPr="00825D0D">
        <w:rPr>
          <w:rFonts w:cs="Arial"/>
          <w:szCs w:val="20"/>
        </w:rPr>
        <w:t xml:space="preserve"> are being treated separately as specialist psychiatric establishments; </w:t>
      </w:r>
    </w:p>
    <w:p w14:paraId="5EB78C99" w14:textId="77777777" w:rsidR="007B29F7" w:rsidRPr="00825D0D" w:rsidRDefault="007B29F7">
      <w:pPr>
        <w:pStyle w:val="ListParagraph"/>
        <w:numPr>
          <w:ilvl w:val="0"/>
          <w:numId w:val="14"/>
        </w:numPr>
        <w:tabs>
          <w:tab w:val="left" w:pos="1162"/>
        </w:tabs>
        <w:spacing w:before="120" w:line="240" w:lineRule="auto"/>
        <w:ind w:left="714" w:right="-28" w:hanging="357"/>
        <w:contextualSpacing w:val="0"/>
        <w:rPr>
          <w:rFonts w:cs="Arial"/>
          <w:szCs w:val="20"/>
        </w:rPr>
      </w:pPr>
      <w:r w:rsidRPr="00801AF5">
        <w:rPr>
          <w:rFonts w:cs="Arial"/>
          <w:szCs w:val="20"/>
        </w:rPr>
        <w:t>12 a</w:t>
      </w:r>
      <w:r w:rsidRPr="00825D0D">
        <w:rPr>
          <w:rFonts w:cs="Arial"/>
          <w:szCs w:val="20"/>
        </w:rPr>
        <w:t>re major city hospitals;</w:t>
      </w:r>
    </w:p>
    <w:p w14:paraId="4299C404" w14:textId="77777777" w:rsidR="007B29F7" w:rsidRPr="00825D0D" w:rsidRDefault="007B29F7">
      <w:pPr>
        <w:pStyle w:val="ListParagraph"/>
        <w:numPr>
          <w:ilvl w:val="0"/>
          <w:numId w:val="14"/>
        </w:numPr>
        <w:tabs>
          <w:tab w:val="left" w:pos="1162"/>
        </w:tabs>
        <w:spacing w:before="120" w:line="240" w:lineRule="auto"/>
        <w:ind w:left="714" w:right="-28" w:hanging="357"/>
        <w:contextualSpacing w:val="0"/>
        <w:rPr>
          <w:rFonts w:cs="Arial"/>
          <w:szCs w:val="20"/>
        </w:rPr>
      </w:pPr>
      <w:r w:rsidRPr="00825D0D">
        <w:rPr>
          <w:rFonts w:cs="Arial"/>
          <w:szCs w:val="20"/>
        </w:rPr>
        <w:t>1 does not fit the cost model structure; and</w:t>
      </w:r>
    </w:p>
    <w:p w14:paraId="20019FA7" w14:textId="77777777" w:rsidR="007B29F7" w:rsidRPr="001D1B19" w:rsidRDefault="007B29F7">
      <w:pPr>
        <w:pStyle w:val="ListParagraph"/>
        <w:numPr>
          <w:ilvl w:val="0"/>
          <w:numId w:val="14"/>
        </w:numPr>
        <w:tabs>
          <w:tab w:val="left" w:pos="1162"/>
        </w:tabs>
        <w:spacing w:before="120" w:after="240" w:line="240" w:lineRule="auto"/>
        <w:ind w:left="714" w:right="-28" w:hanging="357"/>
        <w:contextualSpacing w:val="0"/>
        <w:rPr>
          <w:rFonts w:cs="Arial"/>
          <w:szCs w:val="20"/>
        </w:rPr>
      </w:pPr>
      <w:proofErr w:type="gramStart"/>
      <w:r w:rsidRPr="00825D0D">
        <w:rPr>
          <w:rFonts w:cs="Arial"/>
          <w:szCs w:val="20"/>
        </w:rPr>
        <w:t>the</w:t>
      </w:r>
      <w:proofErr w:type="gramEnd"/>
      <w:r w:rsidRPr="00825D0D">
        <w:rPr>
          <w:rFonts w:cs="Arial"/>
          <w:szCs w:val="20"/>
        </w:rPr>
        <w:t xml:space="preserve"> </w:t>
      </w:r>
      <w:r w:rsidRPr="00801AF5">
        <w:rPr>
          <w:rFonts w:cs="Arial"/>
          <w:szCs w:val="20"/>
        </w:rPr>
        <w:t>379</w:t>
      </w:r>
      <w:r w:rsidRPr="00855ECB">
        <w:rPr>
          <w:rFonts w:cs="Arial"/>
          <w:szCs w:val="20"/>
        </w:rPr>
        <w:t xml:space="preserve"> remaining block funded hospitals comprise the cost model which remains </w:t>
      </w:r>
      <w:r w:rsidRPr="001D1B19">
        <w:rPr>
          <w:rFonts w:cs="Arial"/>
          <w:szCs w:val="20"/>
        </w:rPr>
        <w:t>largely unchanged from NEC16.</w:t>
      </w:r>
      <w:r w:rsidRPr="001D1B19">
        <w:rPr>
          <w:rStyle w:val="FootnoteReference"/>
          <w:rFonts w:cs="Arial"/>
          <w:szCs w:val="20"/>
        </w:rPr>
        <w:footnoteReference w:id="2"/>
      </w:r>
    </w:p>
    <w:p w14:paraId="45DFE8FC" w14:textId="1722EB81" w:rsidR="00E26387" w:rsidRPr="00746358" w:rsidRDefault="001D1B19" w:rsidP="002D606E">
      <w:pPr>
        <w:tabs>
          <w:tab w:val="left" w:pos="1162"/>
        </w:tabs>
        <w:spacing w:before="240"/>
        <w:ind w:right="-28"/>
      </w:pPr>
      <w:r w:rsidRPr="001D1B19">
        <w:rPr>
          <w:rFonts w:cs="Arial"/>
          <w:szCs w:val="20"/>
        </w:rPr>
        <w:fldChar w:fldCharType="begin"/>
      </w:r>
      <w:r w:rsidRPr="001D1B19">
        <w:rPr>
          <w:rFonts w:cs="Arial"/>
          <w:szCs w:val="20"/>
        </w:rPr>
        <w:instrText xml:space="preserve"> REF _Ref467748817 \r \h </w:instrText>
      </w:r>
      <w:r>
        <w:rPr>
          <w:rFonts w:cs="Arial"/>
          <w:szCs w:val="20"/>
        </w:rPr>
        <w:instrText xml:space="preserve"> \* MERGEFORMAT </w:instrText>
      </w:r>
      <w:r w:rsidRPr="001D1B19">
        <w:rPr>
          <w:rFonts w:cs="Arial"/>
          <w:szCs w:val="20"/>
        </w:rPr>
      </w:r>
      <w:r w:rsidRPr="001D1B19">
        <w:rPr>
          <w:rFonts w:cs="Arial"/>
          <w:szCs w:val="20"/>
        </w:rPr>
        <w:fldChar w:fldCharType="separate"/>
      </w:r>
      <w:r w:rsidR="00F84458">
        <w:rPr>
          <w:rFonts w:cs="Arial"/>
          <w:szCs w:val="20"/>
        </w:rPr>
        <w:t>Appendix C</w:t>
      </w:r>
      <w:r w:rsidRPr="001D1B19">
        <w:rPr>
          <w:rFonts w:cs="Arial"/>
          <w:szCs w:val="20"/>
        </w:rPr>
        <w:fldChar w:fldCharType="end"/>
      </w:r>
      <w:r w:rsidRPr="001D1B19">
        <w:rPr>
          <w:rFonts w:cs="Arial"/>
          <w:szCs w:val="20"/>
        </w:rPr>
        <w:t xml:space="preserve"> provides a</w:t>
      </w:r>
      <w:r w:rsidR="00E26387" w:rsidRPr="001D1B19">
        <w:rPr>
          <w:rFonts w:cs="Arial"/>
          <w:szCs w:val="20"/>
        </w:rPr>
        <w:t xml:space="preserve"> summary of the National Hospital Cost Data (NHCDC) Round 19 cost data received for 2014-15</w:t>
      </w:r>
      <w:r w:rsidR="00560AC0">
        <w:rPr>
          <w:rFonts w:cs="Arial"/>
          <w:szCs w:val="20"/>
        </w:rPr>
        <w:t>.</w:t>
      </w:r>
    </w:p>
    <w:p w14:paraId="3ECC2F78" w14:textId="5A4D18A7" w:rsidR="00E85605" w:rsidRDefault="00E26387" w:rsidP="002D606E">
      <w:pPr>
        <w:tabs>
          <w:tab w:val="left" w:pos="1162"/>
        </w:tabs>
        <w:spacing w:before="240"/>
        <w:ind w:right="-28"/>
        <w:rPr>
          <w:rFonts w:cs="Arial"/>
          <w:szCs w:val="20"/>
        </w:rPr>
      </w:pPr>
      <w:r>
        <w:rPr>
          <w:rFonts w:cs="Arial"/>
          <w:szCs w:val="20"/>
        </w:rPr>
        <w:t xml:space="preserve">The next stage in the process is to develop the 2014-15 cost </w:t>
      </w:r>
      <w:r w:rsidR="002D606E">
        <w:rPr>
          <w:rFonts w:cs="Arial"/>
          <w:szCs w:val="20"/>
        </w:rPr>
        <w:t>models;</w:t>
      </w:r>
      <w:r w:rsidR="00E85605">
        <w:rPr>
          <w:rFonts w:cs="Arial"/>
          <w:szCs w:val="20"/>
        </w:rPr>
        <w:t xml:space="preserve"> this would include deriving the various cost profiles, adjustments and relative weights of various classes within each service stream. Developments of the individual cost models are explained in further details in the corresponding sections of this document. </w:t>
      </w:r>
    </w:p>
    <w:p w14:paraId="716BDE0D" w14:textId="63E25198" w:rsidR="00E26387" w:rsidRDefault="004B081C" w:rsidP="00560AC0">
      <w:pPr>
        <w:pStyle w:val="Heading3"/>
        <w:numPr>
          <w:ilvl w:val="2"/>
          <w:numId w:val="17"/>
        </w:numPr>
        <w:spacing w:before="200" w:after="120" w:line="276" w:lineRule="auto"/>
        <w:ind w:left="567" w:hanging="567"/>
        <w:contextualSpacing w:val="0"/>
      </w:pPr>
      <w:bookmarkStart w:id="60" w:name="_Toc468204011"/>
      <w:r>
        <w:t>Conversion to a Pricing Model</w:t>
      </w:r>
      <w:bookmarkEnd w:id="60"/>
      <w:r>
        <w:t xml:space="preserve"> </w:t>
      </w:r>
    </w:p>
    <w:p w14:paraId="7A08A0E0" w14:textId="77777777" w:rsidR="004B081C" w:rsidRPr="00033F91" w:rsidRDefault="004B081C" w:rsidP="002D606E">
      <w:pPr>
        <w:spacing w:before="100" w:beforeAutospacing="1" w:after="100" w:afterAutospacing="1"/>
        <w:rPr>
          <w:rFonts w:eastAsia="Calibri" w:cstheme="minorHAnsi"/>
        </w:rPr>
      </w:pPr>
      <w:r w:rsidRPr="00033F91">
        <w:rPr>
          <w:rFonts w:eastAsia="Calibri" w:cstheme="minorHAnsi"/>
        </w:rPr>
        <w:t>There are four steps in the transformation of each year’s cost model into its associated pricing model, namely:</w:t>
      </w:r>
    </w:p>
    <w:p w14:paraId="38109F25" w14:textId="77777777" w:rsidR="004B081C" w:rsidRPr="000351BD" w:rsidRDefault="004B081C" w:rsidP="00560AC0">
      <w:pPr>
        <w:pStyle w:val="ListParagraph"/>
        <w:numPr>
          <w:ilvl w:val="0"/>
          <w:numId w:val="70"/>
        </w:numPr>
        <w:tabs>
          <w:tab w:val="left" w:pos="1162"/>
        </w:tabs>
        <w:spacing w:before="120" w:line="240" w:lineRule="auto"/>
        <w:ind w:left="709" w:right="-28" w:hanging="425"/>
        <w:contextualSpacing w:val="0"/>
        <w:rPr>
          <w:rFonts w:cs="Arial"/>
          <w:szCs w:val="20"/>
        </w:rPr>
      </w:pPr>
      <w:r w:rsidRPr="000351BD">
        <w:rPr>
          <w:rFonts w:cs="Arial"/>
          <w:szCs w:val="20"/>
        </w:rPr>
        <w:t>Identification and exclusion of costs and activity regarded under the National Health Reform Agreement as out of scope for the purpose of ABF.</w:t>
      </w:r>
    </w:p>
    <w:p w14:paraId="70B62C53" w14:textId="77777777" w:rsidR="004B081C" w:rsidRPr="000351BD" w:rsidRDefault="004B081C">
      <w:pPr>
        <w:pStyle w:val="ListParagraph"/>
        <w:numPr>
          <w:ilvl w:val="0"/>
          <w:numId w:val="70"/>
        </w:numPr>
        <w:tabs>
          <w:tab w:val="left" w:pos="1162"/>
        </w:tabs>
        <w:spacing w:before="120" w:line="240" w:lineRule="auto"/>
        <w:ind w:left="709" w:right="-28" w:hanging="425"/>
        <w:contextualSpacing w:val="0"/>
        <w:rPr>
          <w:rFonts w:cs="Arial"/>
          <w:szCs w:val="20"/>
        </w:rPr>
      </w:pPr>
      <w:r w:rsidRPr="000351BD">
        <w:rPr>
          <w:rFonts w:cs="Arial"/>
          <w:szCs w:val="20"/>
        </w:rPr>
        <w:t>Derivation of a reference cost (or standardised mean) used to transform the cost model into a cost weight model.</w:t>
      </w:r>
    </w:p>
    <w:p w14:paraId="17CF5CD9" w14:textId="77777777" w:rsidR="004B081C" w:rsidRPr="000351BD" w:rsidRDefault="004B081C">
      <w:pPr>
        <w:pStyle w:val="ListParagraph"/>
        <w:numPr>
          <w:ilvl w:val="0"/>
          <w:numId w:val="70"/>
        </w:numPr>
        <w:tabs>
          <w:tab w:val="left" w:pos="1162"/>
        </w:tabs>
        <w:spacing w:before="120" w:line="240" w:lineRule="auto"/>
        <w:ind w:left="709" w:right="-28" w:hanging="425"/>
        <w:contextualSpacing w:val="0"/>
        <w:rPr>
          <w:rFonts w:cs="Arial"/>
          <w:szCs w:val="20"/>
        </w:rPr>
      </w:pPr>
      <w:r w:rsidRPr="000351BD">
        <w:rPr>
          <w:rFonts w:cs="Arial"/>
          <w:szCs w:val="20"/>
        </w:rPr>
        <w:t xml:space="preserve">Derivation of an annual indexation rate used to inflate the cost model to a level reflective of the estimated cost of delivering hospital services in the year of the pricing model. </w:t>
      </w:r>
    </w:p>
    <w:p w14:paraId="0929AB81" w14:textId="77777777" w:rsidR="004B081C" w:rsidRPr="000351BD" w:rsidRDefault="004B081C">
      <w:pPr>
        <w:pStyle w:val="ListParagraph"/>
        <w:numPr>
          <w:ilvl w:val="0"/>
          <w:numId w:val="70"/>
        </w:numPr>
        <w:tabs>
          <w:tab w:val="left" w:pos="1162"/>
        </w:tabs>
        <w:spacing w:before="120" w:line="240" w:lineRule="auto"/>
        <w:ind w:left="709" w:right="-28" w:hanging="425"/>
        <w:contextualSpacing w:val="0"/>
        <w:rPr>
          <w:rFonts w:cs="Arial"/>
          <w:szCs w:val="20"/>
        </w:rPr>
      </w:pPr>
      <w:r w:rsidRPr="000351BD">
        <w:rPr>
          <w:rFonts w:cs="Arial"/>
          <w:szCs w:val="20"/>
        </w:rPr>
        <w:t>Transformation of the cost model to the pricing model using the results of the previous three steps.</w:t>
      </w:r>
    </w:p>
    <w:p w14:paraId="2A6189FB" w14:textId="463C3191" w:rsidR="004B081C" w:rsidRPr="004B081C" w:rsidRDefault="001D1B19">
      <w:r>
        <w:t xml:space="preserve">This is explained in further detail in Section </w:t>
      </w:r>
      <w:r>
        <w:fldChar w:fldCharType="begin"/>
      </w:r>
      <w:r>
        <w:instrText xml:space="preserve"> REF _Ref467748754 \r \h </w:instrText>
      </w:r>
      <w:r w:rsidR="00560AC0">
        <w:instrText xml:space="preserve"> \* MERGEFORMAT </w:instrText>
      </w:r>
      <w:r>
        <w:fldChar w:fldCharType="separate"/>
      </w:r>
      <w:r w:rsidR="00F84458">
        <w:t>7</w:t>
      </w:r>
      <w:r>
        <w:fldChar w:fldCharType="end"/>
      </w:r>
      <w:r w:rsidR="00686E99">
        <w:t>.</w:t>
      </w:r>
    </w:p>
    <w:p w14:paraId="773BEF35" w14:textId="77777777" w:rsidR="00E26387" w:rsidRPr="00985470" w:rsidRDefault="00E26387" w:rsidP="002D606E">
      <w:pPr>
        <w:spacing w:after="0"/>
        <w:ind w:right="-28"/>
        <w:rPr>
          <w:rFonts w:cs="Arial"/>
          <w:szCs w:val="20"/>
        </w:rPr>
      </w:pPr>
    </w:p>
    <w:p w14:paraId="387DC630" w14:textId="5578FBB7" w:rsidR="00E26387" w:rsidRPr="00686BC1" w:rsidRDefault="00E26387" w:rsidP="00560AC0">
      <w:pPr>
        <w:pStyle w:val="Heading1"/>
        <w:pageBreakBefore/>
        <w:numPr>
          <w:ilvl w:val="0"/>
          <w:numId w:val="17"/>
        </w:numPr>
        <w:spacing w:before="100" w:beforeAutospacing="1" w:after="100" w:afterAutospacing="1" w:line="240" w:lineRule="auto"/>
        <w:ind w:right="-28"/>
        <w:contextualSpacing w:val="0"/>
        <w:rPr>
          <w:szCs w:val="52"/>
        </w:rPr>
      </w:pPr>
      <w:bookmarkStart w:id="61" w:name="_Toc466468501"/>
      <w:bookmarkStart w:id="62" w:name="_Toc466469114"/>
      <w:bookmarkStart w:id="63" w:name="_Toc466470441"/>
      <w:bookmarkStart w:id="64" w:name="_Toc466475209"/>
      <w:bookmarkStart w:id="65" w:name="_Toc466535528"/>
      <w:bookmarkStart w:id="66" w:name="_Toc466535741"/>
      <w:bookmarkStart w:id="67" w:name="_Toc466553866"/>
      <w:bookmarkStart w:id="68" w:name="_Toc466556020"/>
      <w:bookmarkStart w:id="69" w:name="_Toc466556464"/>
      <w:bookmarkStart w:id="70" w:name="_Toc466636772"/>
      <w:bookmarkStart w:id="71" w:name="_Toc466636895"/>
      <w:bookmarkStart w:id="72" w:name="_Toc466642876"/>
      <w:bookmarkStart w:id="73" w:name="_Toc466647007"/>
      <w:bookmarkStart w:id="74" w:name="_Toc466884136"/>
      <w:bookmarkStart w:id="75" w:name="_Toc466468502"/>
      <w:bookmarkStart w:id="76" w:name="_Toc466469115"/>
      <w:bookmarkStart w:id="77" w:name="_Toc466470442"/>
      <w:bookmarkStart w:id="78" w:name="_Toc466475210"/>
      <w:bookmarkStart w:id="79" w:name="_Toc466535529"/>
      <w:bookmarkStart w:id="80" w:name="_Toc466535742"/>
      <w:bookmarkStart w:id="81" w:name="_Toc466553867"/>
      <w:bookmarkStart w:id="82" w:name="_Toc466556021"/>
      <w:bookmarkStart w:id="83" w:name="_Toc466556465"/>
      <w:bookmarkStart w:id="84" w:name="_Toc466636773"/>
      <w:bookmarkStart w:id="85" w:name="_Toc466636896"/>
      <w:bookmarkStart w:id="86" w:name="_Toc466642877"/>
      <w:bookmarkStart w:id="87" w:name="_Toc466647008"/>
      <w:bookmarkStart w:id="88" w:name="_Toc466884137"/>
      <w:bookmarkStart w:id="89" w:name="_Toc466468503"/>
      <w:bookmarkStart w:id="90" w:name="_Toc466469116"/>
      <w:bookmarkStart w:id="91" w:name="_Toc466470443"/>
      <w:bookmarkStart w:id="92" w:name="_Toc466475211"/>
      <w:bookmarkStart w:id="93" w:name="_Toc466535530"/>
      <w:bookmarkStart w:id="94" w:name="_Toc466535743"/>
      <w:bookmarkStart w:id="95" w:name="_Toc466553868"/>
      <w:bookmarkStart w:id="96" w:name="_Toc466556022"/>
      <w:bookmarkStart w:id="97" w:name="_Toc466556466"/>
      <w:bookmarkStart w:id="98" w:name="_Toc466636774"/>
      <w:bookmarkStart w:id="99" w:name="_Toc466636897"/>
      <w:bookmarkStart w:id="100" w:name="_Toc466642878"/>
      <w:bookmarkStart w:id="101" w:name="_Toc466647009"/>
      <w:bookmarkStart w:id="102" w:name="_Toc466884138"/>
      <w:bookmarkStart w:id="103" w:name="_Toc436150642"/>
      <w:bookmarkStart w:id="104" w:name="_Toc436211088"/>
      <w:bookmarkStart w:id="105" w:name="_Toc436217247"/>
      <w:bookmarkStart w:id="106" w:name="_Toc436222067"/>
      <w:bookmarkStart w:id="107" w:name="_Toc436228377"/>
      <w:bookmarkStart w:id="108" w:name="_Toc466468504"/>
      <w:bookmarkStart w:id="109" w:name="_Toc466469117"/>
      <w:bookmarkStart w:id="110" w:name="_Toc466470444"/>
      <w:bookmarkStart w:id="111" w:name="_Toc466475212"/>
      <w:bookmarkStart w:id="112" w:name="_Toc466535531"/>
      <w:bookmarkStart w:id="113" w:name="_Toc466535744"/>
      <w:bookmarkStart w:id="114" w:name="_Toc466553869"/>
      <w:bookmarkStart w:id="115" w:name="_Toc466556023"/>
      <w:bookmarkStart w:id="116" w:name="_Toc466556467"/>
      <w:bookmarkStart w:id="117" w:name="_Toc466636775"/>
      <w:bookmarkStart w:id="118" w:name="_Toc466636898"/>
      <w:bookmarkStart w:id="119" w:name="_Toc466642879"/>
      <w:bookmarkStart w:id="120" w:name="_Toc466647010"/>
      <w:bookmarkStart w:id="121" w:name="_Toc466884139"/>
      <w:bookmarkStart w:id="122" w:name="_Toc466468505"/>
      <w:bookmarkStart w:id="123" w:name="_Toc466469118"/>
      <w:bookmarkStart w:id="124" w:name="_Toc466470445"/>
      <w:bookmarkStart w:id="125" w:name="_Toc466475213"/>
      <w:bookmarkStart w:id="126" w:name="_Toc466535532"/>
      <w:bookmarkStart w:id="127" w:name="_Toc466535745"/>
      <w:bookmarkStart w:id="128" w:name="_Toc466553870"/>
      <w:bookmarkStart w:id="129" w:name="_Toc466556024"/>
      <w:bookmarkStart w:id="130" w:name="_Toc466556468"/>
      <w:bookmarkStart w:id="131" w:name="_Toc466636776"/>
      <w:bookmarkStart w:id="132" w:name="_Toc466636899"/>
      <w:bookmarkStart w:id="133" w:name="_Toc466642880"/>
      <w:bookmarkStart w:id="134" w:name="_Toc466647011"/>
      <w:bookmarkStart w:id="135" w:name="_Toc466884140"/>
      <w:bookmarkStart w:id="136" w:name="_Toc466468506"/>
      <w:bookmarkStart w:id="137" w:name="_Toc466469119"/>
      <w:bookmarkStart w:id="138" w:name="_Toc466470446"/>
      <w:bookmarkStart w:id="139" w:name="_Toc466475214"/>
      <w:bookmarkStart w:id="140" w:name="_Toc466535533"/>
      <w:bookmarkStart w:id="141" w:name="_Toc466535746"/>
      <w:bookmarkStart w:id="142" w:name="_Toc466553871"/>
      <w:bookmarkStart w:id="143" w:name="_Toc466556025"/>
      <w:bookmarkStart w:id="144" w:name="_Toc466556469"/>
      <w:bookmarkStart w:id="145" w:name="_Toc466636777"/>
      <w:bookmarkStart w:id="146" w:name="_Toc466636900"/>
      <w:bookmarkStart w:id="147" w:name="_Toc466642881"/>
      <w:bookmarkStart w:id="148" w:name="_Toc466647012"/>
      <w:bookmarkStart w:id="149" w:name="_Toc466884141"/>
      <w:bookmarkStart w:id="150" w:name="_Toc466468507"/>
      <w:bookmarkStart w:id="151" w:name="_Toc466469120"/>
      <w:bookmarkStart w:id="152" w:name="_Toc466470447"/>
      <w:bookmarkStart w:id="153" w:name="_Toc466475215"/>
      <w:bookmarkStart w:id="154" w:name="_Toc466535534"/>
      <w:bookmarkStart w:id="155" w:name="_Toc466535747"/>
      <w:bookmarkStart w:id="156" w:name="_Toc466553872"/>
      <w:bookmarkStart w:id="157" w:name="_Toc466556026"/>
      <w:bookmarkStart w:id="158" w:name="_Toc466556470"/>
      <w:bookmarkStart w:id="159" w:name="_Toc466636778"/>
      <w:bookmarkStart w:id="160" w:name="_Toc466636901"/>
      <w:bookmarkStart w:id="161" w:name="_Toc466642882"/>
      <w:bookmarkStart w:id="162" w:name="_Toc466647013"/>
      <w:bookmarkStart w:id="163" w:name="_Toc466884142"/>
      <w:bookmarkStart w:id="164" w:name="_Toc466468510"/>
      <w:bookmarkStart w:id="165" w:name="_Toc466469123"/>
      <w:bookmarkStart w:id="166" w:name="_Toc466470450"/>
      <w:bookmarkStart w:id="167" w:name="_Toc466475218"/>
      <w:bookmarkStart w:id="168" w:name="_Toc466535537"/>
      <w:bookmarkStart w:id="169" w:name="_Toc466535750"/>
      <w:bookmarkStart w:id="170" w:name="_Toc466553875"/>
      <w:bookmarkStart w:id="171" w:name="_Toc466556029"/>
      <w:bookmarkStart w:id="172" w:name="_Toc466556473"/>
      <w:bookmarkStart w:id="173" w:name="_Toc466636781"/>
      <w:bookmarkStart w:id="174" w:name="_Toc466636904"/>
      <w:bookmarkStart w:id="175" w:name="_Toc466642885"/>
      <w:bookmarkStart w:id="176" w:name="_Toc466647016"/>
      <w:bookmarkStart w:id="177" w:name="_Toc466884145"/>
      <w:bookmarkStart w:id="178" w:name="_Toc466468511"/>
      <w:bookmarkStart w:id="179" w:name="_Toc466469124"/>
      <w:bookmarkStart w:id="180" w:name="_Toc466470451"/>
      <w:bookmarkStart w:id="181" w:name="_Toc466475219"/>
      <w:bookmarkStart w:id="182" w:name="_Toc466535538"/>
      <w:bookmarkStart w:id="183" w:name="_Toc466535751"/>
      <w:bookmarkStart w:id="184" w:name="_Toc466553876"/>
      <w:bookmarkStart w:id="185" w:name="_Toc466556030"/>
      <w:bookmarkStart w:id="186" w:name="_Toc466556474"/>
      <w:bookmarkStart w:id="187" w:name="_Toc466636782"/>
      <w:bookmarkStart w:id="188" w:name="_Toc466636905"/>
      <w:bookmarkStart w:id="189" w:name="_Toc466642886"/>
      <w:bookmarkStart w:id="190" w:name="_Toc466647017"/>
      <w:bookmarkStart w:id="191" w:name="_Toc466884146"/>
      <w:bookmarkStart w:id="192" w:name="_Toc466468512"/>
      <w:bookmarkStart w:id="193" w:name="_Toc466469125"/>
      <w:bookmarkStart w:id="194" w:name="_Toc466470452"/>
      <w:bookmarkStart w:id="195" w:name="_Toc466475220"/>
      <w:bookmarkStart w:id="196" w:name="_Toc466535539"/>
      <w:bookmarkStart w:id="197" w:name="_Toc466535752"/>
      <w:bookmarkStart w:id="198" w:name="_Toc466553877"/>
      <w:bookmarkStart w:id="199" w:name="_Toc466556031"/>
      <w:bookmarkStart w:id="200" w:name="_Toc466556475"/>
      <w:bookmarkStart w:id="201" w:name="_Toc466636783"/>
      <w:bookmarkStart w:id="202" w:name="_Toc466636906"/>
      <w:bookmarkStart w:id="203" w:name="_Toc466642887"/>
      <w:bookmarkStart w:id="204" w:name="_Toc466647018"/>
      <w:bookmarkStart w:id="205" w:name="_Toc466884147"/>
      <w:bookmarkStart w:id="206" w:name="_Toc466468513"/>
      <w:bookmarkStart w:id="207" w:name="_Toc466469126"/>
      <w:bookmarkStart w:id="208" w:name="_Toc466470453"/>
      <w:bookmarkStart w:id="209" w:name="_Toc466475221"/>
      <w:bookmarkStart w:id="210" w:name="_Toc466535540"/>
      <w:bookmarkStart w:id="211" w:name="_Toc466535753"/>
      <w:bookmarkStart w:id="212" w:name="_Toc466553878"/>
      <w:bookmarkStart w:id="213" w:name="_Toc466556032"/>
      <w:bookmarkStart w:id="214" w:name="_Toc466556476"/>
      <w:bookmarkStart w:id="215" w:name="_Toc466636784"/>
      <w:bookmarkStart w:id="216" w:name="_Toc466636907"/>
      <w:bookmarkStart w:id="217" w:name="_Toc466642888"/>
      <w:bookmarkStart w:id="218" w:name="_Toc466647019"/>
      <w:bookmarkStart w:id="219" w:name="_Toc466884148"/>
      <w:bookmarkStart w:id="220" w:name="_Toc466468514"/>
      <w:bookmarkStart w:id="221" w:name="_Toc466469127"/>
      <w:bookmarkStart w:id="222" w:name="_Toc466470454"/>
      <w:bookmarkStart w:id="223" w:name="_Toc466475222"/>
      <w:bookmarkStart w:id="224" w:name="_Toc466535541"/>
      <w:bookmarkStart w:id="225" w:name="_Toc466535754"/>
      <w:bookmarkStart w:id="226" w:name="_Toc466553879"/>
      <w:bookmarkStart w:id="227" w:name="_Toc466556033"/>
      <w:bookmarkStart w:id="228" w:name="_Toc466556477"/>
      <w:bookmarkStart w:id="229" w:name="_Toc466636785"/>
      <w:bookmarkStart w:id="230" w:name="_Toc466636908"/>
      <w:bookmarkStart w:id="231" w:name="_Toc466642889"/>
      <w:bookmarkStart w:id="232" w:name="_Toc466647020"/>
      <w:bookmarkStart w:id="233" w:name="_Toc466884149"/>
      <w:bookmarkStart w:id="234" w:name="_Toc466468515"/>
      <w:bookmarkStart w:id="235" w:name="_Toc466469128"/>
      <w:bookmarkStart w:id="236" w:name="_Toc466470455"/>
      <w:bookmarkStart w:id="237" w:name="_Toc466475223"/>
      <w:bookmarkStart w:id="238" w:name="_Toc466535542"/>
      <w:bookmarkStart w:id="239" w:name="_Toc466535755"/>
      <w:bookmarkStart w:id="240" w:name="_Toc466553880"/>
      <w:bookmarkStart w:id="241" w:name="_Toc466556034"/>
      <w:bookmarkStart w:id="242" w:name="_Toc466556478"/>
      <w:bookmarkStart w:id="243" w:name="_Toc466636786"/>
      <w:bookmarkStart w:id="244" w:name="_Toc466636909"/>
      <w:bookmarkStart w:id="245" w:name="_Toc466642890"/>
      <w:bookmarkStart w:id="246" w:name="_Toc466647021"/>
      <w:bookmarkStart w:id="247" w:name="_Toc466884150"/>
      <w:bookmarkStart w:id="248" w:name="_Toc466468516"/>
      <w:bookmarkStart w:id="249" w:name="_Toc466469129"/>
      <w:bookmarkStart w:id="250" w:name="_Toc466470456"/>
      <w:bookmarkStart w:id="251" w:name="_Toc466475224"/>
      <w:bookmarkStart w:id="252" w:name="_Toc466535543"/>
      <w:bookmarkStart w:id="253" w:name="_Toc466535756"/>
      <w:bookmarkStart w:id="254" w:name="_Toc466553881"/>
      <w:bookmarkStart w:id="255" w:name="_Toc466556035"/>
      <w:bookmarkStart w:id="256" w:name="_Toc466556479"/>
      <w:bookmarkStart w:id="257" w:name="_Toc466636787"/>
      <w:bookmarkStart w:id="258" w:name="_Toc466636910"/>
      <w:bookmarkStart w:id="259" w:name="_Toc466642891"/>
      <w:bookmarkStart w:id="260" w:name="_Toc466647022"/>
      <w:bookmarkStart w:id="261" w:name="_Toc466884151"/>
      <w:bookmarkStart w:id="262" w:name="_Toc466468517"/>
      <w:bookmarkStart w:id="263" w:name="_Toc466469130"/>
      <w:bookmarkStart w:id="264" w:name="_Toc466470457"/>
      <w:bookmarkStart w:id="265" w:name="_Toc466475225"/>
      <w:bookmarkStart w:id="266" w:name="_Toc466535544"/>
      <w:bookmarkStart w:id="267" w:name="_Toc466535757"/>
      <w:bookmarkStart w:id="268" w:name="_Toc466553882"/>
      <w:bookmarkStart w:id="269" w:name="_Toc466556036"/>
      <w:bookmarkStart w:id="270" w:name="_Toc466556480"/>
      <w:bookmarkStart w:id="271" w:name="_Toc466636788"/>
      <w:bookmarkStart w:id="272" w:name="_Toc466636911"/>
      <w:bookmarkStart w:id="273" w:name="_Toc466642892"/>
      <w:bookmarkStart w:id="274" w:name="_Toc466647023"/>
      <w:bookmarkStart w:id="275" w:name="_Toc466884152"/>
      <w:bookmarkStart w:id="276" w:name="_Toc466468518"/>
      <w:bookmarkStart w:id="277" w:name="_Toc466469131"/>
      <w:bookmarkStart w:id="278" w:name="_Toc466470458"/>
      <w:bookmarkStart w:id="279" w:name="_Toc466475226"/>
      <w:bookmarkStart w:id="280" w:name="_Toc466535545"/>
      <w:bookmarkStart w:id="281" w:name="_Toc466535758"/>
      <w:bookmarkStart w:id="282" w:name="_Toc466553883"/>
      <w:bookmarkStart w:id="283" w:name="_Toc466556037"/>
      <w:bookmarkStart w:id="284" w:name="_Toc466556481"/>
      <w:bookmarkStart w:id="285" w:name="_Toc466636789"/>
      <w:bookmarkStart w:id="286" w:name="_Toc466636912"/>
      <w:bookmarkStart w:id="287" w:name="_Toc466642893"/>
      <w:bookmarkStart w:id="288" w:name="_Toc466647024"/>
      <w:bookmarkStart w:id="289" w:name="_Toc466884153"/>
      <w:bookmarkStart w:id="290" w:name="_Toc436211090"/>
      <w:bookmarkStart w:id="291" w:name="_Toc436217249"/>
      <w:bookmarkStart w:id="292" w:name="_Toc436222069"/>
      <w:bookmarkStart w:id="293" w:name="_Toc436228379"/>
      <w:bookmarkStart w:id="294" w:name="_Toc436211091"/>
      <w:bookmarkStart w:id="295" w:name="_Toc436217250"/>
      <w:bookmarkStart w:id="296" w:name="_Toc436222070"/>
      <w:bookmarkStart w:id="297" w:name="_Toc436228380"/>
      <w:bookmarkStart w:id="298" w:name="_Toc436211092"/>
      <w:bookmarkStart w:id="299" w:name="_Toc436217251"/>
      <w:bookmarkStart w:id="300" w:name="_Toc436222071"/>
      <w:bookmarkStart w:id="301" w:name="_Toc436228381"/>
      <w:bookmarkStart w:id="302" w:name="_Toc436211093"/>
      <w:bookmarkStart w:id="303" w:name="_Toc436217252"/>
      <w:bookmarkStart w:id="304" w:name="_Toc436222072"/>
      <w:bookmarkStart w:id="305" w:name="_Toc436228382"/>
      <w:bookmarkStart w:id="306" w:name="_Toc436211094"/>
      <w:bookmarkStart w:id="307" w:name="_Toc436217253"/>
      <w:bookmarkStart w:id="308" w:name="_Toc436222073"/>
      <w:bookmarkStart w:id="309" w:name="_Toc436228383"/>
      <w:bookmarkStart w:id="310" w:name="_Toc436211095"/>
      <w:bookmarkStart w:id="311" w:name="_Toc436217254"/>
      <w:bookmarkStart w:id="312" w:name="_Toc436222074"/>
      <w:bookmarkStart w:id="313" w:name="_Toc436228384"/>
      <w:bookmarkStart w:id="314" w:name="_Toc436211096"/>
      <w:bookmarkStart w:id="315" w:name="_Toc436217255"/>
      <w:bookmarkStart w:id="316" w:name="_Toc436222075"/>
      <w:bookmarkStart w:id="317" w:name="_Toc436228385"/>
      <w:bookmarkStart w:id="318" w:name="_Toc436211097"/>
      <w:bookmarkStart w:id="319" w:name="_Toc436217256"/>
      <w:bookmarkStart w:id="320" w:name="_Toc436222076"/>
      <w:bookmarkStart w:id="321" w:name="_Toc436228386"/>
      <w:bookmarkStart w:id="322" w:name="_Toc436211098"/>
      <w:bookmarkStart w:id="323" w:name="_Toc436217257"/>
      <w:bookmarkStart w:id="324" w:name="_Toc436222077"/>
      <w:bookmarkStart w:id="325" w:name="_Toc436228387"/>
      <w:bookmarkStart w:id="326" w:name="_Toc436211099"/>
      <w:bookmarkStart w:id="327" w:name="_Toc436217258"/>
      <w:bookmarkStart w:id="328" w:name="_Toc436222078"/>
      <w:bookmarkStart w:id="329" w:name="_Toc436228388"/>
      <w:bookmarkStart w:id="330" w:name="_Toc436211100"/>
      <w:bookmarkStart w:id="331" w:name="_Toc436217259"/>
      <w:bookmarkStart w:id="332" w:name="_Toc436222079"/>
      <w:bookmarkStart w:id="333" w:name="_Toc436228389"/>
      <w:bookmarkStart w:id="334" w:name="_Toc436211101"/>
      <w:bookmarkStart w:id="335" w:name="_Toc436217260"/>
      <w:bookmarkStart w:id="336" w:name="_Toc436222080"/>
      <w:bookmarkStart w:id="337" w:name="_Toc436228390"/>
      <w:bookmarkStart w:id="338" w:name="_Toc436211102"/>
      <w:bookmarkStart w:id="339" w:name="_Toc436217261"/>
      <w:bookmarkStart w:id="340" w:name="_Toc436222081"/>
      <w:bookmarkStart w:id="341" w:name="_Toc436228391"/>
      <w:bookmarkStart w:id="342" w:name="_Toc436211103"/>
      <w:bookmarkStart w:id="343" w:name="_Toc436217262"/>
      <w:bookmarkStart w:id="344" w:name="_Toc436222082"/>
      <w:bookmarkStart w:id="345" w:name="_Toc436228392"/>
      <w:bookmarkStart w:id="346" w:name="_Toc380754690"/>
      <w:bookmarkStart w:id="347" w:name="_Toc466884155"/>
      <w:bookmarkStart w:id="348" w:name="_Toc467505169"/>
      <w:bookmarkStart w:id="349" w:name="_Toc467676233"/>
      <w:bookmarkStart w:id="350" w:name="_Toc467745544"/>
      <w:bookmarkStart w:id="351" w:name="_Toc467759570"/>
      <w:bookmarkStart w:id="352" w:name="_Toc468204012"/>
      <w:bookmarkStart w:id="353" w:name="_Toc47630522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686BC1">
        <w:rPr>
          <w:szCs w:val="52"/>
        </w:rPr>
        <w:lastRenderedPageBreak/>
        <w:t>Admitted acute care cost model</w:t>
      </w:r>
      <w:bookmarkEnd w:id="346"/>
      <w:bookmarkEnd w:id="347"/>
      <w:bookmarkEnd w:id="348"/>
      <w:bookmarkEnd w:id="349"/>
      <w:bookmarkEnd w:id="350"/>
      <w:bookmarkEnd w:id="351"/>
      <w:bookmarkEnd w:id="352"/>
      <w:bookmarkEnd w:id="353"/>
    </w:p>
    <w:p w14:paraId="4C28FDEC" w14:textId="77777777" w:rsidR="00E26387" w:rsidRDefault="00E26387">
      <w:pPr>
        <w:pStyle w:val="Heading2"/>
        <w:numPr>
          <w:ilvl w:val="1"/>
          <w:numId w:val="17"/>
        </w:numPr>
        <w:ind w:left="567" w:right="-28" w:hanging="567"/>
      </w:pPr>
      <w:bookmarkStart w:id="354" w:name="_Ref342306458"/>
      <w:bookmarkStart w:id="355" w:name="_Ref342306469"/>
      <w:bookmarkStart w:id="356" w:name="_Ref342306477"/>
      <w:bookmarkStart w:id="357" w:name="_Ref342306483"/>
      <w:bookmarkStart w:id="358" w:name="_Toc380754691"/>
      <w:bookmarkStart w:id="359" w:name="_Toc466884156"/>
      <w:bookmarkStart w:id="360" w:name="_Toc467505170"/>
      <w:bookmarkStart w:id="361" w:name="_Toc467745545"/>
      <w:bookmarkStart w:id="362" w:name="_Toc467759571"/>
      <w:bookmarkStart w:id="363" w:name="_Toc468204013"/>
      <w:bookmarkStart w:id="364" w:name="_Toc476305226"/>
      <w:bookmarkStart w:id="365" w:name="_Toc318905722"/>
      <w:bookmarkStart w:id="366" w:name="_Toc318905721"/>
      <w:r w:rsidRPr="00AF2874">
        <w:t xml:space="preserve">General </w:t>
      </w:r>
      <w:r>
        <w:t>i</w:t>
      </w:r>
      <w:r w:rsidRPr="00AF2874">
        <w:t>ssues</w:t>
      </w:r>
      <w:bookmarkEnd w:id="354"/>
      <w:bookmarkEnd w:id="355"/>
      <w:bookmarkEnd w:id="356"/>
      <w:bookmarkEnd w:id="357"/>
      <w:bookmarkEnd w:id="358"/>
      <w:bookmarkEnd w:id="359"/>
      <w:bookmarkEnd w:id="360"/>
      <w:bookmarkEnd w:id="361"/>
      <w:bookmarkEnd w:id="362"/>
      <w:bookmarkEnd w:id="363"/>
      <w:bookmarkEnd w:id="364"/>
    </w:p>
    <w:p w14:paraId="5BA22272" w14:textId="77777777" w:rsidR="00E26387" w:rsidRPr="00BD39DD" w:rsidRDefault="00E26387">
      <w:pPr>
        <w:pStyle w:val="Heading3"/>
        <w:numPr>
          <w:ilvl w:val="2"/>
          <w:numId w:val="17"/>
        </w:numPr>
        <w:spacing w:before="200" w:after="120" w:line="276" w:lineRule="auto"/>
        <w:ind w:left="567" w:hanging="567"/>
        <w:contextualSpacing w:val="0"/>
      </w:pPr>
      <w:bookmarkStart w:id="367" w:name="_Toc380754692"/>
      <w:bookmarkStart w:id="368" w:name="_Toc466884157"/>
      <w:bookmarkStart w:id="369" w:name="_Toc467505171"/>
      <w:bookmarkStart w:id="370" w:name="_Toc467745546"/>
      <w:bookmarkStart w:id="371" w:name="_Toc468204014"/>
      <w:r>
        <w:t>Cost</w:t>
      </w:r>
      <w:r w:rsidRPr="00BD39DD">
        <w:t xml:space="preserve"> unit</w:t>
      </w:r>
      <w:bookmarkEnd w:id="365"/>
      <w:bookmarkEnd w:id="367"/>
      <w:bookmarkEnd w:id="368"/>
      <w:bookmarkEnd w:id="369"/>
      <w:bookmarkEnd w:id="370"/>
      <w:bookmarkEnd w:id="371"/>
    </w:p>
    <w:p w14:paraId="761055D7" w14:textId="77777777" w:rsidR="00E26387" w:rsidRDefault="00E26387" w:rsidP="002D606E">
      <w:pPr>
        <w:tabs>
          <w:tab w:val="left" w:pos="1162"/>
        </w:tabs>
        <w:ind w:right="-28"/>
        <w:rPr>
          <w:rFonts w:cs="Arial"/>
          <w:szCs w:val="20"/>
        </w:rPr>
      </w:pPr>
      <w:r w:rsidRPr="0006388D">
        <w:rPr>
          <w:rFonts w:cs="Arial"/>
          <w:szCs w:val="20"/>
        </w:rPr>
        <w:t xml:space="preserve">An ‘episode of admitted patient care’ is the </w:t>
      </w:r>
      <w:r>
        <w:rPr>
          <w:rFonts w:cs="Arial"/>
          <w:szCs w:val="20"/>
        </w:rPr>
        <w:t xml:space="preserve">cost </w:t>
      </w:r>
      <w:r w:rsidRPr="0006388D">
        <w:rPr>
          <w:rFonts w:cs="Arial"/>
          <w:szCs w:val="20"/>
        </w:rPr>
        <w:t xml:space="preserve">unit for </w:t>
      </w:r>
      <w:r>
        <w:rPr>
          <w:rFonts w:cs="Arial"/>
          <w:szCs w:val="20"/>
        </w:rPr>
        <w:t>admitted acute</w:t>
      </w:r>
      <w:r w:rsidRPr="0006388D">
        <w:rPr>
          <w:rFonts w:cs="Arial"/>
          <w:szCs w:val="20"/>
        </w:rPr>
        <w:t xml:space="preserve"> patients</w:t>
      </w:r>
      <w:r>
        <w:rPr>
          <w:rFonts w:cs="Arial"/>
          <w:szCs w:val="20"/>
        </w:rPr>
        <w:t>. It is “</w:t>
      </w:r>
      <w:r w:rsidRPr="00967419">
        <w:rPr>
          <w:rFonts w:cs="Arial"/>
          <w:i/>
          <w:szCs w:val="20"/>
        </w:rPr>
        <w:t>t</w:t>
      </w:r>
      <w:r w:rsidRPr="0006388D">
        <w:rPr>
          <w:rFonts w:cs="Arial"/>
          <w:i/>
          <w:szCs w:val="20"/>
        </w:rPr>
        <w:t>he period of admitted patient care … characterised by only one care type</w:t>
      </w:r>
      <w:r w:rsidRPr="0006388D">
        <w:rPr>
          <w:rFonts w:cs="Arial"/>
          <w:szCs w:val="20"/>
        </w:rPr>
        <w:t>”</w:t>
      </w:r>
      <w:r w:rsidRPr="007D74F6">
        <w:rPr>
          <w:rStyle w:val="FootnoteReference"/>
          <w:rFonts w:cs="Arial"/>
          <w:szCs w:val="20"/>
        </w:rPr>
        <w:t xml:space="preserve"> </w:t>
      </w:r>
      <w:r w:rsidRPr="0006388D">
        <w:rPr>
          <w:rStyle w:val="FootnoteReference"/>
          <w:rFonts w:cs="Arial"/>
          <w:szCs w:val="20"/>
        </w:rPr>
        <w:footnoteReference w:id="3"/>
      </w:r>
      <w:r w:rsidRPr="0006388D">
        <w:rPr>
          <w:rFonts w:cs="Arial"/>
          <w:szCs w:val="20"/>
        </w:rPr>
        <w:t>, and covers the period of care from admission to discharge</w:t>
      </w:r>
      <w:r>
        <w:rPr>
          <w:rFonts w:cs="Arial"/>
          <w:szCs w:val="20"/>
        </w:rPr>
        <w:t>.</w:t>
      </w:r>
    </w:p>
    <w:p w14:paraId="6BB9FE8E" w14:textId="7E6529DC" w:rsidR="00E26387" w:rsidRPr="00BD39DD" w:rsidRDefault="00E26387" w:rsidP="00560AC0">
      <w:pPr>
        <w:pStyle w:val="Heading3"/>
        <w:numPr>
          <w:ilvl w:val="2"/>
          <w:numId w:val="17"/>
        </w:numPr>
        <w:spacing w:before="200" w:after="120" w:line="276" w:lineRule="auto"/>
        <w:ind w:left="567" w:hanging="567"/>
        <w:contextualSpacing w:val="0"/>
      </w:pPr>
      <w:bookmarkStart w:id="372" w:name="_Toc380754693"/>
      <w:bookmarkStart w:id="373" w:name="_Toc466884158"/>
      <w:bookmarkStart w:id="374" w:name="_Toc467505172"/>
      <w:bookmarkStart w:id="375" w:name="_Toc467745547"/>
      <w:bookmarkStart w:id="376" w:name="_Toc468204015"/>
      <w:bookmarkStart w:id="377" w:name="_Ref468435427"/>
      <w:r>
        <w:t>In-s</w:t>
      </w:r>
      <w:r w:rsidRPr="00BD39DD">
        <w:t>cope</w:t>
      </w:r>
      <w:bookmarkEnd w:id="366"/>
      <w:r>
        <w:t xml:space="preserve"> activity</w:t>
      </w:r>
      <w:bookmarkEnd w:id="372"/>
      <w:bookmarkEnd w:id="373"/>
      <w:bookmarkEnd w:id="374"/>
      <w:bookmarkEnd w:id="375"/>
      <w:bookmarkEnd w:id="376"/>
      <w:bookmarkEnd w:id="377"/>
    </w:p>
    <w:p w14:paraId="4FA4EAC8" w14:textId="56E7E1EA" w:rsidR="00E26387" w:rsidRPr="00946B20" w:rsidRDefault="00E26387" w:rsidP="002D606E">
      <w:pPr>
        <w:tabs>
          <w:tab w:val="left" w:pos="1162"/>
        </w:tabs>
        <w:ind w:right="-28"/>
        <w:rPr>
          <w:rFonts w:cs="Arial"/>
          <w:szCs w:val="20"/>
        </w:rPr>
      </w:pPr>
      <w:r w:rsidRPr="00946B20">
        <w:rPr>
          <w:rFonts w:cs="Arial"/>
          <w:szCs w:val="20"/>
        </w:rPr>
        <w:t>National arrangements for ABF apply to a subset of admitted acute episodes defined by the</w:t>
      </w:r>
      <w:r w:rsidR="00E167F0">
        <w:rPr>
          <w:rFonts w:cs="Arial"/>
          <w:szCs w:val="20"/>
        </w:rPr>
        <w:t xml:space="preserve"> care type,</w:t>
      </w:r>
      <w:r w:rsidRPr="00946B20">
        <w:rPr>
          <w:rFonts w:cs="Arial"/>
          <w:szCs w:val="20"/>
        </w:rPr>
        <w:t xml:space="preserve"> funding source for the patient and the type of hospital in which the episodes occur</w:t>
      </w:r>
      <w:r w:rsidR="00E167F0">
        <w:rPr>
          <w:rFonts w:cs="Arial"/>
          <w:szCs w:val="20"/>
        </w:rPr>
        <w:t>. The breakdown for in-scope is illustrated in</w:t>
      </w:r>
      <w:r w:rsidRPr="00946B20">
        <w:rPr>
          <w:rFonts w:cs="Arial"/>
          <w:szCs w:val="20"/>
        </w:rPr>
        <w:t xml:space="preserve"> </w:t>
      </w:r>
      <w:r w:rsidRPr="00560AC0">
        <w:rPr>
          <w:rFonts w:cs="Arial"/>
          <w:szCs w:val="20"/>
        </w:rPr>
        <w:fldChar w:fldCharType="begin"/>
      </w:r>
      <w:r w:rsidRPr="00560AC0">
        <w:rPr>
          <w:rFonts w:cs="Arial"/>
          <w:szCs w:val="20"/>
        </w:rPr>
        <w:instrText xml:space="preserve"> REF _Ref466384372 \h </w:instrText>
      </w:r>
      <w:r w:rsidR="00560AC0" w:rsidRPr="002D606E">
        <w:rPr>
          <w:rFonts w:cs="Arial"/>
          <w:szCs w:val="20"/>
        </w:rPr>
        <w:instrText xml:space="preserve"> \* MERGEFORMAT </w:instrText>
      </w:r>
      <w:r w:rsidRPr="00560AC0">
        <w:rPr>
          <w:rFonts w:cs="Arial"/>
          <w:szCs w:val="20"/>
        </w:rPr>
      </w:r>
      <w:r w:rsidRPr="00560AC0">
        <w:rPr>
          <w:rFonts w:cs="Arial"/>
          <w:szCs w:val="20"/>
        </w:rPr>
        <w:fldChar w:fldCharType="separate"/>
      </w:r>
      <w:r w:rsidR="00F84458" w:rsidRPr="00F84458">
        <w:t xml:space="preserve">Table </w:t>
      </w:r>
      <w:r w:rsidR="00F84458" w:rsidRPr="00F84458">
        <w:rPr>
          <w:noProof/>
        </w:rPr>
        <w:t>1</w:t>
      </w:r>
      <w:r w:rsidRPr="00560AC0">
        <w:rPr>
          <w:rFonts w:cs="Arial"/>
          <w:szCs w:val="20"/>
        </w:rPr>
        <w:fldChar w:fldCharType="end"/>
      </w:r>
      <w:r w:rsidRPr="00946B20">
        <w:rPr>
          <w:rFonts w:cs="Arial"/>
          <w:szCs w:val="20"/>
        </w:rPr>
        <w:t xml:space="preserve">. </w:t>
      </w:r>
    </w:p>
    <w:p w14:paraId="04CFDFF7" w14:textId="77777777" w:rsidR="00E26387" w:rsidRDefault="00E26387" w:rsidP="00560AC0">
      <w:pPr>
        <w:spacing w:before="120" w:after="0" w:line="240" w:lineRule="auto"/>
        <w:rPr>
          <w:b/>
        </w:rPr>
      </w:pPr>
      <w:bookmarkStart w:id="378" w:name="_Ref466384372"/>
      <w:r w:rsidRPr="005E2928">
        <w:rPr>
          <w:b/>
        </w:rPr>
        <w:t xml:space="preserve">Table </w:t>
      </w:r>
      <w:r w:rsidRPr="005E2928">
        <w:rPr>
          <w:b/>
        </w:rPr>
        <w:fldChar w:fldCharType="begin"/>
      </w:r>
      <w:r w:rsidRPr="005E2928">
        <w:rPr>
          <w:b/>
        </w:rPr>
        <w:instrText xml:space="preserve"> SEQ Table \* ARABIC </w:instrText>
      </w:r>
      <w:r w:rsidRPr="005E2928">
        <w:rPr>
          <w:b/>
        </w:rPr>
        <w:fldChar w:fldCharType="separate"/>
      </w:r>
      <w:r w:rsidR="00F84458">
        <w:rPr>
          <w:b/>
          <w:noProof/>
        </w:rPr>
        <w:t>1</w:t>
      </w:r>
      <w:r w:rsidRPr="005E2928">
        <w:rPr>
          <w:b/>
        </w:rPr>
        <w:fldChar w:fldCharType="end"/>
      </w:r>
      <w:bookmarkEnd w:id="378"/>
      <w:r w:rsidRPr="005E2928">
        <w:rPr>
          <w:b/>
        </w:rPr>
        <w:t>: Admitted acute episodes in scope for ABF.</w:t>
      </w:r>
    </w:p>
    <w:p w14:paraId="12381A80" w14:textId="57EF67C4" w:rsidR="00510173" w:rsidRDefault="00510173" w:rsidP="009C15F1">
      <w:pPr>
        <w:spacing w:before="120" w:after="0" w:line="240" w:lineRule="auto"/>
        <w:jc w:val="center"/>
        <w:rPr>
          <w:b/>
        </w:rPr>
      </w:pPr>
      <w:r>
        <w:rPr>
          <w:b/>
          <w:noProof/>
        </w:rPr>
        <w:drawing>
          <wp:inline distT="0" distB="0" distL="0" distR="0" wp14:anchorId="3AFD571D" wp14:editId="0D210C63">
            <wp:extent cx="5730240" cy="3482340"/>
            <wp:effectExtent l="0" t="0" r="3810" b="3810"/>
            <wp:docPr id="19" name="Picture 19" title="Admitted acute episodes in scope for A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240" cy="3482340"/>
                    </a:xfrm>
                    <a:prstGeom prst="rect">
                      <a:avLst/>
                    </a:prstGeom>
                    <a:noFill/>
                    <a:ln>
                      <a:noFill/>
                    </a:ln>
                  </pic:spPr>
                </pic:pic>
              </a:graphicData>
            </a:graphic>
          </wp:inline>
        </w:drawing>
      </w:r>
    </w:p>
    <w:p w14:paraId="797B39F5" w14:textId="54E0B409" w:rsidR="007B29F7" w:rsidRPr="00C21501" w:rsidRDefault="00510173" w:rsidP="00C310EB">
      <w:pPr>
        <w:spacing w:before="120" w:after="0" w:line="240" w:lineRule="auto"/>
        <w:rPr>
          <w:sz w:val="18"/>
          <w:szCs w:val="18"/>
        </w:rPr>
      </w:pPr>
      <w:r w:rsidRPr="00C21501">
        <w:rPr>
          <w:sz w:val="18"/>
          <w:szCs w:val="18"/>
        </w:rPr>
        <w:t xml:space="preserve">* See data element </w:t>
      </w:r>
      <w:r w:rsidRPr="00C21501">
        <w:rPr>
          <w:i/>
          <w:sz w:val="18"/>
          <w:szCs w:val="18"/>
        </w:rPr>
        <w:t>Care type</w:t>
      </w:r>
      <w:r w:rsidRPr="00C21501">
        <w:rPr>
          <w:sz w:val="18"/>
          <w:szCs w:val="18"/>
        </w:rPr>
        <w:t xml:space="preserve"> [</w:t>
      </w:r>
      <w:proofErr w:type="spellStart"/>
      <w:r w:rsidRPr="00C21501">
        <w:rPr>
          <w:sz w:val="18"/>
          <w:szCs w:val="18"/>
        </w:rPr>
        <w:t>METeOR</w:t>
      </w:r>
      <w:proofErr w:type="spellEnd"/>
      <w:r w:rsidRPr="00C21501">
        <w:rPr>
          <w:sz w:val="18"/>
          <w:szCs w:val="18"/>
        </w:rPr>
        <w:t xml:space="preserve"> identifier: 584408</w:t>
      </w:r>
    </w:p>
    <w:p w14:paraId="1F16A9FF" w14:textId="4A79480E" w:rsidR="00510173" w:rsidRPr="00C21501" w:rsidRDefault="00510173" w:rsidP="00916F76">
      <w:pPr>
        <w:spacing w:before="120" w:after="0" w:line="240" w:lineRule="auto"/>
        <w:rPr>
          <w:b/>
          <w:sz w:val="18"/>
          <w:szCs w:val="18"/>
        </w:rPr>
      </w:pPr>
      <w:r w:rsidRPr="00C21501">
        <w:rPr>
          <w:sz w:val="18"/>
          <w:szCs w:val="18"/>
        </w:rPr>
        <w:t xml:space="preserve">** See object class </w:t>
      </w:r>
      <w:r w:rsidRPr="00C21501">
        <w:rPr>
          <w:i/>
          <w:sz w:val="18"/>
          <w:szCs w:val="18"/>
        </w:rPr>
        <w:t>Episode of admitted patient care</w:t>
      </w:r>
      <w:r w:rsidRPr="00C21501">
        <w:rPr>
          <w:sz w:val="18"/>
          <w:szCs w:val="18"/>
        </w:rPr>
        <w:t xml:space="preserve"> [</w:t>
      </w:r>
      <w:proofErr w:type="spellStart"/>
      <w:r w:rsidRPr="00C21501">
        <w:rPr>
          <w:sz w:val="18"/>
          <w:szCs w:val="18"/>
        </w:rPr>
        <w:t>METeOR</w:t>
      </w:r>
      <w:proofErr w:type="spellEnd"/>
      <w:r w:rsidRPr="00C21501">
        <w:rPr>
          <w:sz w:val="18"/>
          <w:szCs w:val="18"/>
        </w:rPr>
        <w:t xml:space="preserve"> identifier: 268956].</w:t>
      </w:r>
    </w:p>
    <w:p w14:paraId="703630F1" w14:textId="70E8E1A0" w:rsidR="00E26387" w:rsidRPr="007B29F7" w:rsidRDefault="00E26387" w:rsidP="002D606E">
      <w:pPr>
        <w:tabs>
          <w:tab w:val="left" w:pos="1162"/>
        </w:tabs>
        <w:spacing w:before="240"/>
        <w:ind w:right="-28"/>
        <w:rPr>
          <w:rFonts w:cs="Arial"/>
          <w:szCs w:val="20"/>
        </w:rPr>
      </w:pPr>
      <w:r w:rsidRPr="007B29F7">
        <w:rPr>
          <w:rFonts w:cs="Arial"/>
          <w:szCs w:val="20"/>
        </w:rPr>
        <w:t xml:space="preserve">All episodes from all funding sources are included in the calculation of the cost weights. This approach is taken to ensure the sample used for the development of NWAU is maximised and reflects the overall costs for the hospital. Only in-scope patients are included in the calculation of the mean cost used in the development of the NEP. All other episodes (e.g. </w:t>
      </w:r>
      <w:r w:rsidRPr="007B29F7">
        <w:rPr>
          <w:rFonts w:cs="Arial"/>
          <w:szCs w:val="20"/>
        </w:rPr>
        <w:lastRenderedPageBreak/>
        <w:t xml:space="preserve">those funded through the Department of Veterans’ Affairs (DVA) and compensable patients) are excluded from the scope of funding. </w:t>
      </w:r>
    </w:p>
    <w:p w14:paraId="6A007FF7" w14:textId="77777777" w:rsidR="00E26387" w:rsidRPr="007B29F7" w:rsidRDefault="00E26387" w:rsidP="002D606E">
      <w:pPr>
        <w:pStyle w:val="Headingnonumber"/>
        <w:ind w:right="-28"/>
        <w:jc w:val="left"/>
      </w:pPr>
      <w:r w:rsidRPr="007B29F7">
        <w:t xml:space="preserve">In-scope costs </w:t>
      </w:r>
    </w:p>
    <w:p w14:paraId="303A0EA8" w14:textId="77777777" w:rsidR="00E26387" w:rsidRPr="007B29F7" w:rsidRDefault="00E26387" w:rsidP="002D606E">
      <w:pPr>
        <w:tabs>
          <w:tab w:val="left" w:pos="1162"/>
        </w:tabs>
        <w:ind w:right="-28"/>
        <w:rPr>
          <w:rFonts w:cs="Arial"/>
          <w:szCs w:val="20"/>
        </w:rPr>
      </w:pPr>
      <w:r w:rsidRPr="007B29F7">
        <w:rPr>
          <w:rFonts w:cs="Arial"/>
          <w:szCs w:val="20"/>
        </w:rPr>
        <w:t>Factors impacting on scope of costs include:</w:t>
      </w:r>
    </w:p>
    <w:p w14:paraId="3E511A66" w14:textId="77777777" w:rsidR="00E26387" w:rsidRPr="007B29F7" w:rsidRDefault="00E26387" w:rsidP="002D606E">
      <w:pPr>
        <w:pStyle w:val="ListParagraph"/>
        <w:numPr>
          <w:ilvl w:val="0"/>
          <w:numId w:val="9"/>
        </w:numPr>
        <w:tabs>
          <w:tab w:val="left" w:pos="1162"/>
        </w:tabs>
        <w:spacing w:before="120" w:line="240" w:lineRule="auto"/>
        <w:ind w:left="714" w:right="-28" w:hanging="357"/>
        <w:contextualSpacing w:val="0"/>
        <w:rPr>
          <w:rFonts w:cs="Arial"/>
          <w:szCs w:val="20"/>
        </w:rPr>
      </w:pPr>
      <w:r w:rsidRPr="007B29F7">
        <w:rPr>
          <w:rFonts w:cs="Arial"/>
          <w:szCs w:val="20"/>
        </w:rPr>
        <w:t>Where a patient is admitted through an emergency department that is within the scope of ABF for emergency care, this component of cost is separated from the acute episode and funded through the emergency care funding model;</w:t>
      </w:r>
    </w:p>
    <w:p w14:paraId="486E8CF3" w14:textId="77777777" w:rsidR="00E26387" w:rsidRPr="007B29F7" w:rsidRDefault="00E26387" w:rsidP="002D606E">
      <w:pPr>
        <w:pStyle w:val="ListParagraph"/>
        <w:numPr>
          <w:ilvl w:val="0"/>
          <w:numId w:val="9"/>
        </w:numPr>
        <w:tabs>
          <w:tab w:val="left" w:pos="1162"/>
        </w:tabs>
        <w:spacing w:before="120" w:line="240" w:lineRule="auto"/>
        <w:ind w:left="714" w:right="-28" w:hanging="357"/>
        <w:contextualSpacing w:val="0"/>
        <w:rPr>
          <w:rFonts w:cs="Arial"/>
          <w:szCs w:val="20"/>
        </w:rPr>
      </w:pPr>
      <w:r w:rsidRPr="007B29F7">
        <w:rPr>
          <w:rFonts w:cs="Arial"/>
          <w:szCs w:val="20"/>
        </w:rPr>
        <w:t>Depreciation and other capital costs</w:t>
      </w:r>
      <w:r w:rsidRPr="007B29F7">
        <w:rPr>
          <w:rStyle w:val="FootnoteReference"/>
          <w:rFonts w:cs="Arial"/>
          <w:szCs w:val="20"/>
        </w:rPr>
        <w:footnoteReference w:id="4"/>
      </w:r>
      <w:r w:rsidRPr="007B29F7">
        <w:rPr>
          <w:rFonts w:cs="Arial"/>
          <w:szCs w:val="20"/>
        </w:rPr>
        <w:t xml:space="preserve"> (where reported) are removed;</w:t>
      </w:r>
    </w:p>
    <w:p w14:paraId="54223492" w14:textId="77777777" w:rsidR="00E26387" w:rsidRPr="007B29F7" w:rsidRDefault="00E26387" w:rsidP="002D606E">
      <w:pPr>
        <w:pStyle w:val="ListParagraph"/>
        <w:numPr>
          <w:ilvl w:val="0"/>
          <w:numId w:val="9"/>
        </w:numPr>
        <w:tabs>
          <w:tab w:val="left" w:pos="1162"/>
        </w:tabs>
        <w:spacing w:before="120" w:line="240" w:lineRule="auto"/>
        <w:ind w:left="714" w:right="-28" w:hanging="357"/>
        <w:contextualSpacing w:val="0"/>
        <w:rPr>
          <w:rFonts w:cs="Arial"/>
          <w:szCs w:val="20"/>
        </w:rPr>
      </w:pPr>
      <w:r w:rsidRPr="007B29F7">
        <w:rPr>
          <w:rFonts w:cs="Arial"/>
          <w:szCs w:val="20"/>
        </w:rPr>
        <w:t>Indirect costs for teaching, training and research (TTR) are included but any direct TTR costs are excluded and will be block funded; and</w:t>
      </w:r>
    </w:p>
    <w:p w14:paraId="3F47AD44" w14:textId="77777777" w:rsidR="00E26387" w:rsidRPr="007B29F7" w:rsidRDefault="00E26387" w:rsidP="002D606E">
      <w:pPr>
        <w:pStyle w:val="ListParagraph"/>
        <w:numPr>
          <w:ilvl w:val="0"/>
          <w:numId w:val="9"/>
        </w:numPr>
        <w:tabs>
          <w:tab w:val="left" w:pos="1162"/>
        </w:tabs>
        <w:spacing w:before="120" w:line="240" w:lineRule="auto"/>
        <w:ind w:left="714" w:right="-28" w:hanging="357"/>
        <w:contextualSpacing w:val="0"/>
        <w:rPr>
          <w:rFonts w:cs="Arial"/>
          <w:szCs w:val="20"/>
        </w:rPr>
      </w:pPr>
      <w:r w:rsidRPr="007B29F7">
        <w:rPr>
          <w:rFonts w:cs="Arial"/>
          <w:szCs w:val="20"/>
        </w:rPr>
        <w:t xml:space="preserve">Identified blood costs and Commonwealth pharmaceutical payments are also removed. </w:t>
      </w:r>
    </w:p>
    <w:p w14:paraId="3BCED695" w14:textId="65A1F1A6" w:rsidR="00E26387" w:rsidRPr="007B29F7" w:rsidRDefault="00E26387" w:rsidP="00560AC0">
      <w:pPr>
        <w:pStyle w:val="Heading3"/>
        <w:numPr>
          <w:ilvl w:val="2"/>
          <w:numId w:val="17"/>
        </w:numPr>
        <w:spacing w:before="200" w:after="120" w:line="276" w:lineRule="auto"/>
        <w:ind w:left="567" w:hanging="567"/>
        <w:contextualSpacing w:val="0"/>
      </w:pPr>
      <w:bookmarkStart w:id="379" w:name="_Toc466468525"/>
      <w:bookmarkStart w:id="380" w:name="_Toc466469138"/>
      <w:bookmarkStart w:id="381" w:name="_Toc466470465"/>
      <w:bookmarkStart w:id="382" w:name="_Toc466475233"/>
      <w:bookmarkStart w:id="383" w:name="_Toc466535552"/>
      <w:bookmarkStart w:id="384" w:name="_Toc466535765"/>
      <w:bookmarkStart w:id="385" w:name="_Toc466553890"/>
      <w:bookmarkStart w:id="386" w:name="_Toc466556044"/>
      <w:bookmarkStart w:id="387" w:name="_Toc466556488"/>
      <w:bookmarkStart w:id="388" w:name="_Toc466636796"/>
      <w:bookmarkStart w:id="389" w:name="_Toc466636919"/>
      <w:bookmarkStart w:id="390" w:name="_Toc466642900"/>
      <w:bookmarkStart w:id="391" w:name="_Toc466647031"/>
      <w:bookmarkStart w:id="392" w:name="_Toc466884160"/>
      <w:bookmarkStart w:id="393" w:name="_Toc318905723"/>
      <w:bookmarkStart w:id="394" w:name="_Toc380754695"/>
      <w:bookmarkStart w:id="395" w:name="_Toc466884161"/>
      <w:bookmarkStart w:id="396" w:name="_Toc467505174"/>
      <w:bookmarkStart w:id="397" w:name="_Toc467745548"/>
      <w:bookmarkStart w:id="398" w:name="_Toc468204016"/>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7B29F7">
        <w:t>Classification</w:t>
      </w:r>
      <w:bookmarkEnd w:id="393"/>
      <w:bookmarkEnd w:id="394"/>
      <w:bookmarkEnd w:id="395"/>
      <w:bookmarkEnd w:id="396"/>
      <w:bookmarkEnd w:id="397"/>
      <w:bookmarkEnd w:id="398"/>
    </w:p>
    <w:p w14:paraId="090AD38C" w14:textId="77777777" w:rsidR="00E26387" w:rsidRPr="007B29F7" w:rsidRDefault="00E26387" w:rsidP="002D606E">
      <w:pPr>
        <w:tabs>
          <w:tab w:val="left" w:pos="1162"/>
        </w:tabs>
        <w:ind w:right="-28"/>
        <w:rPr>
          <w:rFonts w:cs="Arial"/>
          <w:szCs w:val="20"/>
        </w:rPr>
      </w:pPr>
      <w:r w:rsidRPr="007B29F7">
        <w:rPr>
          <w:rFonts w:cs="Arial"/>
          <w:szCs w:val="20"/>
        </w:rPr>
        <w:t>Australian Refined Diagnosis Related Groups (AR-DRGs) are used to classify admitted acute care. The version applying for pricing in 2017-18 is AR-DRG v8.</w:t>
      </w:r>
    </w:p>
    <w:p w14:paraId="7F6244EC" w14:textId="18EB6AFC" w:rsidR="00E26387" w:rsidRPr="007B29F7" w:rsidRDefault="00E26387" w:rsidP="002D606E">
      <w:pPr>
        <w:tabs>
          <w:tab w:val="left" w:pos="1162"/>
        </w:tabs>
        <w:ind w:right="-28"/>
        <w:rPr>
          <w:rFonts w:cs="Arial"/>
          <w:szCs w:val="20"/>
        </w:rPr>
      </w:pPr>
      <w:r w:rsidRPr="007B29F7">
        <w:rPr>
          <w:rFonts w:cs="Arial"/>
          <w:szCs w:val="20"/>
        </w:rPr>
        <w:t xml:space="preserve">The 2014-15 activity data used to develop the NEP17 admitted acute cost model is coded using eighth edition ICD-10-AM. Under eighth edition coding, a principal diagnosis of Z50 – </w:t>
      </w:r>
      <w:r w:rsidRPr="007B29F7">
        <w:rPr>
          <w:rFonts w:cs="Arial"/>
          <w:i/>
          <w:szCs w:val="20"/>
        </w:rPr>
        <w:t>Care involving use of rehabilitation procedures,</w:t>
      </w:r>
      <w:r w:rsidRPr="007B29F7">
        <w:rPr>
          <w:rFonts w:cs="Arial"/>
          <w:szCs w:val="20"/>
        </w:rPr>
        <w:t xml:space="preserve"> is allowed to be grouped to DRGs Z60A </w:t>
      </w:r>
      <w:r w:rsidR="002D606E">
        <w:rPr>
          <w:rFonts w:cs="Arial"/>
          <w:szCs w:val="20"/>
        </w:rPr>
        <w:t>(</w:t>
      </w:r>
      <w:r w:rsidR="002D606E" w:rsidRPr="007B29F7">
        <w:rPr>
          <w:rFonts w:cs="Arial"/>
          <w:szCs w:val="20"/>
        </w:rPr>
        <w:t>Rehabilitation</w:t>
      </w:r>
      <w:r w:rsidRPr="007B29F7">
        <w:rPr>
          <w:rFonts w:cs="Arial"/>
          <w:i/>
          <w:szCs w:val="20"/>
        </w:rPr>
        <w:t>, Major Complexity</w:t>
      </w:r>
      <w:r w:rsidR="002D606E">
        <w:rPr>
          <w:rFonts w:cs="Arial"/>
          <w:i/>
          <w:szCs w:val="20"/>
        </w:rPr>
        <w:t xml:space="preserve">) </w:t>
      </w:r>
      <w:r w:rsidR="002D606E" w:rsidRPr="007B29F7">
        <w:rPr>
          <w:rFonts w:cs="Arial"/>
          <w:i/>
          <w:szCs w:val="20"/>
        </w:rPr>
        <w:t>and</w:t>
      </w:r>
      <w:r w:rsidRPr="007B29F7">
        <w:rPr>
          <w:rFonts w:cs="Arial"/>
          <w:szCs w:val="20"/>
        </w:rPr>
        <w:t xml:space="preserve"> </w:t>
      </w:r>
      <w:r w:rsidRPr="007B29F7">
        <w:rPr>
          <w:rFonts w:cs="Arial"/>
          <w:i/>
          <w:szCs w:val="20"/>
        </w:rPr>
        <w:t xml:space="preserve">Z60B </w:t>
      </w:r>
      <w:r w:rsidR="00560AC0">
        <w:rPr>
          <w:rFonts w:cs="Arial"/>
          <w:i/>
          <w:szCs w:val="20"/>
        </w:rPr>
        <w:t>(</w:t>
      </w:r>
      <w:r w:rsidRPr="007B29F7">
        <w:rPr>
          <w:rFonts w:cs="Arial"/>
          <w:i/>
          <w:szCs w:val="20"/>
        </w:rPr>
        <w:t>Rehabilitation, Minor Complexity</w:t>
      </w:r>
      <w:r w:rsidRPr="007B29F7">
        <w:rPr>
          <w:rFonts w:cs="Arial"/>
          <w:szCs w:val="20"/>
        </w:rPr>
        <w:t xml:space="preserve">).  </w:t>
      </w:r>
    </w:p>
    <w:p w14:paraId="77FB123C" w14:textId="77777777" w:rsidR="00E26387" w:rsidRPr="007B29F7" w:rsidRDefault="00E26387" w:rsidP="002D606E">
      <w:pPr>
        <w:tabs>
          <w:tab w:val="left" w:pos="1162"/>
        </w:tabs>
        <w:ind w:right="-28"/>
        <w:rPr>
          <w:rFonts w:cs="Arial"/>
          <w:szCs w:val="20"/>
        </w:rPr>
      </w:pPr>
      <w:r w:rsidRPr="007B29F7">
        <w:rPr>
          <w:rFonts w:cs="Arial"/>
          <w:szCs w:val="20"/>
        </w:rPr>
        <w:t>Ninth edition coding, introduced on 1 July 2015, disallows the Z50 diagnosis codes as a principal diagnosis. Instead, episodes that would previously have fallen into the Z60 DRGs are allocated to a DRG based on their first valid secondary diagnosis code (for example fractured neck of femur or stroke). As a result, no patients are assigned to Z60A and Z60B DRGs.</w:t>
      </w:r>
    </w:p>
    <w:p w14:paraId="75F7756A" w14:textId="17EF6F4F" w:rsidR="00E26387" w:rsidRPr="007B29F7" w:rsidRDefault="00E26387" w:rsidP="00560AC0">
      <w:pPr>
        <w:pStyle w:val="Heading2"/>
        <w:numPr>
          <w:ilvl w:val="1"/>
          <w:numId w:val="17"/>
        </w:numPr>
        <w:ind w:left="567" w:right="-28" w:hanging="567"/>
      </w:pPr>
      <w:bookmarkStart w:id="399" w:name="_Toc318905726"/>
      <w:bookmarkStart w:id="400" w:name="_Toc380754696"/>
      <w:bookmarkStart w:id="401" w:name="_Toc466884162"/>
      <w:bookmarkStart w:id="402" w:name="_Toc467505175"/>
      <w:bookmarkStart w:id="403" w:name="_Toc467745549"/>
      <w:bookmarkStart w:id="404" w:name="_Toc467759572"/>
      <w:bookmarkStart w:id="405" w:name="_Toc468204017"/>
      <w:bookmarkStart w:id="406" w:name="_Toc476305227"/>
      <w:r w:rsidRPr="007B29F7">
        <w:t>Analysis of costs to derive NWAU for admitted acute care</w:t>
      </w:r>
      <w:bookmarkEnd w:id="399"/>
      <w:bookmarkEnd w:id="400"/>
      <w:bookmarkEnd w:id="401"/>
      <w:bookmarkEnd w:id="402"/>
      <w:bookmarkEnd w:id="403"/>
      <w:bookmarkEnd w:id="404"/>
      <w:bookmarkEnd w:id="405"/>
      <w:bookmarkEnd w:id="406"/>
    </w:p>
    <w:p w14:paraId="316059D2" w14:textId="77777777" w:rsidR="00E26387" w:rsidRPr="007B29F7" w:rsidRDefault="00E26387" w:rsidP="002D606E">
      <w:pPr>
        <w:tabs>
          <w:tab w:val="left" w:pos="1162"/>
        </w:tabs>
        <w:spacing w:before="240"/>
        <w:ind w:right="-28"/>
        <w:rPr>
          <w:rFonts w:cs="Arial"/>
          <w:szCs w:val="20"/>
        </w:rPr>
      </w:pPr>
      <w:r w:rsidRPr="007B29F7">
        <w:rPr>
          <w:rFonts w:cs="Arial"/>
          <w:szCs w:val="20"/>
        </w:rPr>
        <w:t>This section provides an overview of the steps involved in developing the NWAU for admitted acute care. Detailed information in relation to each of the components of the model is included below. In summary, the steps involved in developing the NWAU for admitted acute care are:</w:t>
      </w:r>
    </w:p>
    <w:p w14:paraId="58629FEF"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Prepare data including the removal of other Commonwealth expenditure (in particular the pharmaceutical and blood programs).</w:t>
      </w:r>
    </w:p>
    <w:p w14:paraId="5A9E7B13"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Incorporate posthumous organ donation activity costs.</w:t>
      </w:r>
    </w:p>
    <w:p w14:paraId="0CE46D49"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Incorporate private patient costs.</w:t>
      </w:r>
    </w:p>
    <w:p w14:paraId="324133C8"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Stratify and weight cost data to activity data.</w:t>
      </w:r>
    </w:p>
    <w:p w14:paraId="0A6C4438"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Calculate inlier bounds from activity data.</w:t>
      </w:r>
    </w:p>
    <w:p w14:paraId="7681D389"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lastRenderedPageBreak/>
        <w:t>Classify episodes into relevant categories including inliers, short-stay and long-stay outliers, designated same-day AR-DRGs, paediatric status, Indigenous status and remoteness area status, and establishments reporting radiotherapy procedures.</w:t>
      </w:r>
    </w:p>
    <w:p w14:paraId="6D9D1BA3"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Determine cost level for ICU adjustment and deduct associated costs.</w:t>
      </w:r>
    </w:p>
    <w:p w14:paraId="3F3A3992"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Derive initial parameters for AR-DRG inlier/outlier model and ensure predicted costs align with actual costs by AR-DRG.</w:t>
      </w:r>
    </w:p>
    <w:p w14:paraId="37BF6B88" w14:textId="18D2AEAB"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 xml:space="preserve">Derive paediatric adjustment, specialist psychiatric age adjustment (see </w:t>
      </w:r>
      <w:r w:rsidR="00A83F3A">
        <w:rPr>
          <w:rFonts w:cs="Arial"/>
          <w:szCs w:val="20"/>
        </w:rPr>
        <w:t>Section</w:t>
      </w:r>
      <w:r w:rsidRPr="007B29F7">
        <w:rPr>
          <w:rFonts w:cs="Arial"/>
          <w:szCs w:val="20"/>
        </w:rPr>
        <w:t xml:space="preserve"> </w:t>
      </w:r>
      <w:r w:rsidR="00855ECB" w:rsidRPr="007B29F7">
        <w:rPr>
          <w:rFonts w:cs="Arial"/>
          <w:szCs w:val="20"/>
        </w:rPr>
        <w:t xml:space="preserve">3, </w:t>
      </w:r>
      <w:r w:rsidR="00855ECB" w:rsidRPr="007B29F7">
        <w:rPr>
          <w:rFonts w:cs="Arial"/>
          <w:szCs w:val="22"/>
        </w:rPr>
        <w:fldChar w:fldCharType="begin"/>
      </w:r>
      <w:r w:rsidR="00855ECB" w:rsidRPr="007B29F7">
        <w:rPr>
          <w:rFonts w:cs="Arial"/>
          <w:szCs w:val="22"/>
        </w:rPr>
        <w:instrText xml:space="preserve"> REF _Ref342306421 \h  \* MERGEFORMAT </w:instrText>
      </w:r>
      <w:r w:rsidR="00855ECB" w:rsidRPr="007B29F7">
        <w:rPr>
          <w:rFonts w:cs="Arial"/>
          <w:szCs w:val="22"/>
        </w:rPr>
      </w:r>
      <w:r w:rsidR="00855ECB" w:rsidRPr="007B29F7">
        <w:rPr>
          <w:rFonts w:cs="Arial"/>
          <w:szCs w:val="22"/>
        </w:rPr>
        <w:fldChar w:fldCharType="separate"/>
      </w:r>
      <w:r w:rsidR="00F84458" w:rsidRPr="00F84458">
        <w:rPr>
          <w:szCs w:val="22"/>
        </w:rPr>
        <w:t>Mental health care cost model</w:t>
      </w:r>
      <w:r w:rsidR="00855ECB" w:rsidRPr="007B29F7">
        <w:rPr>
          <w:rFonts w:cs="Arial"/>
          <w:szCs w:val="22"/>
        </w:rPr>
        <w:fldChar w:fldCharType="end"/>
      </w:r>
      <w:r w:rsidRPr="007B29F7">
        <w:rPr>
          <w:rFonts w:cs="Arial"/>
          <w:szCs w:val="20"/>
        </w:rPr>
        <w:t>), Indigenous adjustment, remoteness adjustment, radiotherapy adjustment and dialysis adjustment.</w:t>
      </w:r>
    </w:p>
    <w:p w14:paraId="458D23E9"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Derive private patient service adjustment and private patient accommodation adjustment.</w:t>
      </w:r>
    </w:p>
    <w:p w14:paraId="52A783E0"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Incorporate data trimmed in data preparation process (outlier samples of cost data).</w:t>
      </w:r>
    </w:p>
    <w:p w14:paraId="7F7B073B"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 xml:space="preserve">Convert price weights and assign NWAU. </w:t>
      </w:r>
    </w:p>
    <w:p w14:paraId="2DD160FD" w14:textId="77777777" w:rsidR="00E26387" w:rsidRPr="007B29F7" w:rsidRDefault="00E26387" w:rsidP="002D606E">
      <w:pPr>
        <w:pStyle w:val="ListParagraph"/>
        <w:numPr>
          <w:ilvl w:val="0"/>
          <w:numId w:val="10"/>
        </w:numPr>
        <w:tabs>
          <w:tab w:val="left" w:pos="1162"/>
        </w:tabs>
        <w:spacing w:before="80" w:line="240" w:lineRule="auto"/>
        <w:ind w:left="714" w:right="-28" w:hanging="357"/>
        <w:contextualSpacing w:val="0"/>
        <w:rPr>
          <w:rFonts w:cs="Arial"/>
          <w:szCs w:val="20"/>
        </w:rPr>
      </w:pPr>
      <w:r w:rsidRPr="007B29F7">
        <w:rPr>
          <w:rFonts w:cs="Arial"/>
          <w:szCs w:val="20"/>
        </w:rPr>
        <w:t>Apply stabilisation of acute weights.</w:t>
      </w:r>
    </w:p>
    <w:p w14:paraId="54829BCE" w14:textId="77777777" w:rsidR="00E26387" w:rsidRPr="007B29F7" w:rsidRDefault="00E26387" w:rsidP="002D606E">
      <w:pPr>
        <w:tabs>
          <w:tab w:val="left" w:pos="1162"/>
        </w:tabs>
        <w:spacing w:before="240"/>
        <w:ind w:right="-28"/>
        <w:rPr>
          <w:rFonts w:cs="Arial"/>
          <w:szCs w:val="20"/>
        </w:rPr>
      </w:pPr>
      <w:r w:rsidRPr="007B29F7">
        <w:rPr>
          <w:rFonts w:cs="Arial"/>
          <w:szCs w:val="20"/>
        </w:rPr>
        <w:t>These steps are described in further detail below.</w:t>
      </w:r>
    </w:p>
    <w:p w14:paraId="31A01C22" w14:textId="36163F74" w:rsidR="00E26387" w:rsidRPr="007B29F7" w:rsidRDefault="00E26387" w:rsidP="00560AC0">
      <w:pPr>
        <w:pStyle w:val="Heading3"/>
        <w:numPr>
          <w:ilvl w:val="2"/>
          <w:numId w:val="17"/>
        </w:numPr>
        <w:spacing w:before="200" w:after="120" w:line="276" w:lineRule="auto"/>
        <w:ind w:left="567" w:hanging="567"/>
        <w:contextualSpacing w:val="0"/>
      </w:pPr>
      <w:bookmarkStart w:id="407" w:name="_Ref342385231"/>
      <w:bookmarkStart w:id="408" w:name="_Toc380754697"/>
      <w:bookmarkStart w:id="409" w:name="_Toc466884163"/>
      <w:bookmarkStart w:id="410" w:name="_Toc467505176"/>
      <w:bookmarkStart w:id="411" w:name="_Toc467745550"/>
      <w:bookmarkStart w:id="412" w:name="_Toc468204018"/>
      <w:r w:rsidRPr="007B29F7">
        <w:t>Data preparation</w:t>
      </w:r>
      <w:bookmarkEnd w:id="407"/>
      <w:bookmarkEnd w:id="408"/>
      <w:bookmarkEnd w:id="409"/>
      <w:bookmarkEnd w:id="410"/>
      <w:bookmarkEnd w:id="411"/>
      <w:bookmarkEnd w:id="412"/>
    </w:p>
    <w:p w14:paraId="00E8E0F6" w14:textId="77777777" w:rsidR="00F84458" w:rsidRPr="00F84458" w:rsidRDefault="00E26387" w:rsidP="002D606E">
      <w:pPr>
        <w:tabs>
          <w:tab w:val="left" w:pos="1162"/>
        </w:tabs>
        <w:spacing w:after="240"/>
        <w:ind w:right="-28"/>
      </w:pPr>
      <w:bookmarkStart w:id="413" w:name="_Ref342305207"/>
      <w:r w:rsidRPr="007B29F7">
        <w:rPr>
          <w:rFonts w:cs="Arial"/>
          <w:szCs w:val="20"/>
        </w:rPr>
        <w:t xml:space="preserve">The 2014-15 NHCDC cost data was first adjusted to remove those costs associated with spending under other Commonwealth programs. Costs associated with the Commonwealth’s pharmaceutical programs were identified by matching the NHCDC at the patient level with a record of the Commonwealth pharmaceutical payments. The residual unmatched payments were apportioned according to the distribution of costs associated with the matched records. All reported blood costs were removed from the NHCDC. The amounts deducted from the reported costs are identified in Chapter 2 of the NEP17 Determination. </w:t>
      </w:r>
      <w:r w:rsidRPr="00E5091C">
        <w:rPr>
          <w:rFonts w:cs="Arial"/>
          <w:szCs w:val="20"/>
        </w:rPr>
        <w:fldChar w:fldCharType="begin"/>
      </w:r>
      <w:r w:rsidRPr="005D2CAB">
        <w:rPr>
          <w:rFonts w:cs="Arial"/>
          <w:szCs w:val="20"/>
        </w:rPr>
        <w:instrText xml:space="preserve"> REF _Ref466554139 \h  \* MERGEFORMAT </w:instrText>
      </w:r>
      <w:r w:rsidRPr="00E5091C">
        <w:rPr>
          <w:rFonts w:cs="Arial"/>
          <w:szCs w:val="20"/>
        </w:rPr>
      </w:r>
      <w:r w:rsidRPr="00E5091C">
        <w:rPr>
          <w:rFonts w:cs="Arial"/>
          <w:szCs w:val="20"/>
        </w:rPr>
        <w:fldChar w:fldCharType="separate"/>
      </w:r>
    </w:p>
    <w:p w14:paraId="264F38DC" w14:textId="04142F4F" w:rsidR="008D25DC" w:rsidRPr="007B29F7" w:rsidRDefault="00F84458" w:rsidP="002D606E">
      <w:pPr>
        <w:tabs>
          <w:tab w:val="left" w:pos="1162"/>
        </w:tabs>
        <w:spacing w:after="240"/>
        <w:ind w:right="-28"/>
        <w:rPr>
          <w:rFonts w:cs="Arial"/>
          <w:szCs w:val="20"/>
        </w:rPr>
      </w:pPr>
      <w:r w:rsidRPr="00F84458">
        <w:rPr>
          <w:noProof/>
        </w:rPr>
        <w:t xml:space="preserve">Table </w:t>
      </w:r>
      <w:r>
        <w:rPr>
          <w:b/>
          <w:noProof/>
        </w:rPr>
        <w:t>2</w:t>
      </w:r>
      <w:r w:rsidR="00E26387" w:rsidRPr="00E5091C">
        <w:rPr>
          <w:rFonts w:cs="Arial"/>
          <w:szCs w:val="20"/>
        </w:rPr>
        <w:fldChar w:fldCharType="end"/>
      </w:r>
      <w:r w:rsidR="00E26387" w:rsidRPr="007B29F7">
        <w:rPr>
          <w:rFonts w:cs="Arial"/>
          <w:szCs w:val="20"/>
        </w:rPr>
        <w:t xml:space="preserve"> shows the trimming stages and the number of episodes trimmed at each stage o</w:t>
      </w:r>
      <w:r w:rsidR="000267EC" w:rsidRPr="007B29F7">
        <w:rPr>
          <w:rFonts w:cs="Arial"/>
          <w:szCs w:val="20"/>
        </w:rPr>
        <w:t>f the data preparation process.</w:t>
      </w:r>
      <w:bookmarkStart w:id="414" w:name="_Ref466554139"/>
    </w:p>
    <w:p w14:paraId="48451156" w14:textId="77777777" w:rsidR="00E26387" w:rsidRPr="00E91B59" w:rsidRDefault="00E26387" w:rsidP="00560AC0">
      <w:pPr>
        <w:spacing w:before="120" w:after="0" w:line="240" w:lineRule="auto"/>
        <w:rPr>
          <w:b/>
        </w:rPr>
      </w:pPr>
      <w:r w:rsidRPr="00E91B59">
        <w:rPr>
          <w:b/>
        </w:rPr>
        <w:t xml:space="preserve">Table </w:t>
      </w:r>
      <w:r w:rsidR="00270A05" w:rsidRPr="00E91B59">
        <w:rPr>
          <w:b/>
        </w:rPr>
        <w:fldChar w:fldCharType="begin"/>
      </w:r>
      <w:r w:rsidR="00270A05" w:rsidRPr="00E91B59">
        <w:rPr>
          <w:b/>
        </w:rPr>
        <w:instrText xml:space="preserve"> SEQ Table \* ARABIC </w:instrText>
      </w:r>
      <w:r w:rsidR="00270A05" w:rsidRPr="00E91B59">
        <w:rPr>
          <w:b/>
        </w:rPr>
        <w:fldChar w:fldCharType="separate"/>
      </w:r>
      <w:r w:rsidR="00F84458">
        <w:rPr>
          <w:b/>
          <w:noProof/>
        </w:rPr>
        <w:t>2</w:t>
      </w:r>
      <w:r w:rsidR="00270A05" w:rsidRPr="00E91B59">
        <w:rPr>
          <w:b/>
        </w:rPr>
        <w:fldChar w:fldCharType="end"/>
      </w:r>
      <w:bookmarkEnd w:id="414"/>
      <w:r w:rsidRPr="00E91B59">
        <w:rPr>
          <w:b/>
        </w:rPr>
        <w:t>: Number of episodes trimmed at each data preparation stage.</w:t>
      </w:r>
    </w:p>
    <w:tbl>
      <w:tblPr>
        <w:tblStyle w:val="TableGrid"/>
        <w:tblW w:w="0" w:type="auto"/>
        <w:jc w:val="center"/>
        <w:tblInd w:w="-5" w:type="dxa"/>
        <w:tblLook w:val="04A0" w:firstRow="1" w:lastRow="0" w:firstColumn="1" w:lastColumn="0" w:noHBand="0" w:noVBand="1"/>
        <w:tblCaption w:val="Table 2: Number of episodes trimmed at each data preparation stage."/>
      </w:tblPr>
      <w:tblGrid>
        <w:gridCol w:w="330"/>
        <w:gridCol w:w="6378"/>
        <w:gridCol w:w="1276"/>
      </w:tblGrid>
      <w:tr w:rsidR="007B29F7" w:rsidRPr="00E91B59" w14:paraId="24B2424F" w14:textId="77777777" w:rsidTr="004F1030">
        <w:trPr>
          <w:trHeight w:val="288"/>
          <w:tblHeader/>
          <w:jc w:val="center"/>
        </w:trPr>
        <w:tc>
          <w:tcPr>
            <w:tcW w:w="6708" w:type="dxa"/>
            <w:gridSpan w:val="2"/>
            <w:shd w:val="clear" w:color="auto" w:fill="288A32"/>
            <w:hideMark/>
          </w:tcPr>
          <w:p w14:paraId="1CB6D9AD" w14:textId="77777777" w:rsidR="00E26387" w:rsidRPr="00E91B59" w:rsidRDefault="00E26387">
            <w:pPr>
              <w:tabs>
                <w:tab w:val="left" w:pos="1162"/>
              </w:tabs>
              <w:ind w:right="-28"/>
              <w:rPr>
                <w:rFonts w:cs="Arial"/>
                <w:b/>
                <w:bCs/>
                <w:color w:val="FFFFFF" w:themeColor="background1"/>
                <w:sz w:val="18"/>
                <w:szCs w:val="20"/>
              </w:rPr>
            </w:pPr>
            <w:r w:rsidRPr="00E91B59">
              <w:rPr>
                <w:rFonts w:cs="Arial"/>
                <w:b/>
                <w:bCs/>
                <w:color w:val="FFFFFF" w:themeColor="background1"/>
                <w:sz w:val="18"/>
                <w:szCs w:val="20"/>
              </w:rPr>
              <w:t>Trimming stage</w:t>
            </w:r>
          </w:p>
        </w:tc>
        <w:tc>
          <w:tcPr>
            <w:tcW w:w="1276" w:type="dxa"/>
            <w:shd w:val="clear" w:color="auto" w:fill="288A32"/>
            <w:hideMark/>
          </w:tcPr>
          <w:p w14:paraId="2DC975A0" w14:textId="77777777" w:rsidR="00E26387" w:rsidRPr="00E91B59" w:rsidRDefault="00E26387" w:rsidP="009C15F1">
            <w:pPr>
              <w:tabs>
                <w:tab w:val="left" w:pos="1162"/>
              </w:tabs>
              <w:ind w:right="-28"/>
              <w:jc w:val="center"/>
              <w:rPr>
                <w:rFonts w:cs="Calibri"/>
                <w:b/>
                <w:bCs/>
                <w:color w:val="FFFFFF" w:themeColor="background1"/>
                <w:sz w:val="18"/>
                <w:szCs w:val="18"/>
              </w:rPr>
            </w:pPr>
            <w:r w:rsidRPr="00E91B59">
              <w:rPr>
                <w:rFonts w:cs="Calibri"/>
                <w:b/>
                <w:bCs/>
                <w:color w:val="FFFFFF" w:themeColor="background1"/>
                <w:sz w:val="18"/>
                <w:szCs w:val="18"/>
              </w:rPr>
              <w:t>Episodes</w:t>
            </w:r>
          </w:p>
        </w:tc>
      </w:tr>
      <w:tr w:rsidR="00334D40" w:rsidRPr="0044388E" w14:paraId="4664D9EF" w14:textId="77777777" w:rsidTr="009C15F1">
        <w:trPr>
          <w:trHeight w:val="300"/>
          <w:jc w:val="center"/>
        </w:trPr>
        <w:tc>
          <w:tcPr>
            <w:tcW w:w="6708" w:type="dxa"/>
            <w:gridSpan w:val="2"/>
            <w:hideMark/>
          </w:tcPr>
          <w:p w14:paraId="65A6999A" w14:textId="5AA2F688" w:rsidR="00334D40" w:rsidRPr="0044388E" w:rsidRDefault="00334D40" w:rsidP="00560AC0">
            <w:pPr>
              <w:tabs>
                <w:tab w:val="left" w:pos="1162"/>
              </w:tabs>
              <w:ind w:right="-28"/>
              <w:rPr>
                <w:rFonts w:cs="Arial"/>
                <w:sz w:val="18"/>
                <w:szCs w:val="20"/>
                <w:highlight w:val="lightGray"/>
              </w:rPr>
            </w:pPr>
            <w:r w:rsidRPr="00B83D65">
              <w:rPr>
                <w:rFonts w:cs="Arial"/>
                <w:sz w:val="18"/>
                <w:szCs w:val="20"/>
              </w:rPr>
              <w:t>(</w:t>
            </w:r>
            <w:r>
              <w:rPr>
                <w:rFonts w:cs="Arial"/>
                <w:sz w:val="18"/>
                <w:szCs w:val="20"/>
              </w:rPr>
              <w:t xml:space="preserve">a) </w:t>
            </w:r>
            <w:r w:rsidRPr="00BD4DD8">
              <w:rPr>
                <w:rFonts w:cs="Arial"/>
                <w:sz w:val="18"/>
                <w:szCs w:val="20"/>
              </w:rPr>
              <w:t>Initial activity-level cost sample of admitted acute records</w:t>
            </w:r>
          </w:p>
        </w:tc>
        <w:tc>
          <w:tcPr>
            <w:tcW w:w="1276" w:type="dxa"/>
            <w:hideMark/>
          </w:tcPr>
          <w:p w14:paraId="435F9F08" w14:textId="6F2C509F" w:rsidR="00334D40" w:rsidRPr="0044388E" w:rsidRDefault="008C6F3C" w:rsidP="009C15F1">
            <w:pPr>
              <w:tabs>
                <w:tab w:val="left" w:pos="1162"/>
              </w:tabs>
              <w:ind w:right="-28"/>
              <w:jc w:val="center"/>
              <w:rPr>
                <w:rFonts w:eastAsiaTheme="minorHAnsi" w:cs="Arial"/>
                <w:b/>
                <w:bCs/>
                <w:noProof/>
                <w:sz w:val="18"/>
                <w:szCs w:val="20"/>
                <w:highlight w:val="lightGray"/>
              </w:rPr>
            </w:pPr>
            <w:r>
              <w:rPr>
                <w:rFonts w:cs="Arial"/>
                <w:b/>
                <w:bCs/>
                <w:sz w:val="18"/>
                <w:szCs w:val="20"/>
              </w:rPr>
              <w:t>5,158,013</w:t>
            </w:r>
          </w:p>
        </w:tc>
      </w:tr>
      <w:tr w:rsidR="00334D40" w:rsidRPr="0044388E" w14:paraId="676A1DE8" w14:textId="77777777" w:rsidTr="009C15F1">
        <w:trPr>
          <w:trHeight w:val="300"/>
          <w:jc w:val="center"/>
        </w:trPr>
        <w:tc>
          <w:tcPr>
            <w:tcW w:w="6708" w:type="dxa"/>
            <w:gridSpan w:val="2"/>
            <w:hideMark/>
          </w:tcPr>
          <w:p w14:paraId="26099279" w14:textId="41D7EDDE" w:rsidR="00334D40" w:rsidRPr="0044388E" w:rsidRDefault="00334D40" w:rsidP="00560AC0">
            <w:pPr>
              <w:tabs>
                <w:tab w:val="left" w:pos="1162"/>
              </w:tabs>
              <w:ind w:right="-28"/>
              <w:rPr>
                <w:rFonts w:cs="Arial"/>
                <w:sz w:val="18"/>
                <w:szCs w:val="20"/>
                <w:highlight w:val="lightGray"/>
              </w:rPr>
            </w:pPr>
            <w:r w:rsidRPr="00BD4DD8">
              <w:rPr>
                <w:rFonts w:cs="Arial"/>
                <w:sz w:val="18"/>
                <w:szCs w:val="20"/>
              </w:rPr>
              <w:t xml:space="preserve">  </w:t>
            </w:r>
            <w:r w:rsidRPr="00BD4DD8">
              <w:rPr>
                <w:rFonts w:cs="Arial"/>
                <w:i/>
                <w:iCs/>
                <w:sz w:val="18"/>
                <w:szCs w:val="20"/>
              </w:rPr>
              <w:t>LESS</w:t>
            </w:r>
            <w:r w:rsidRPr="00BD4DD8">
              <w:rPr>
                <w:rFonts w:cs="Arial"/>
                <w:sz w:val="18"/>
                <w:szCs w:val="20"/>
              </w:rPr>
              <w:t xml:space="preserve">  Total trimmed episodes</w:t>
            </w:r>
          </w:p>
        </w:tc>
        <w:tc>
          <w:tcPr>
            <w:tcW w:w="1276" w:type="dxa"/>
            <w:hideMark/>
          </w:tcPr>
          <w:p w14:paraId="5844EDF8" w14:textId="121DD309" w:rsidR="00334D40" w:rsidRPr="0044388E" w:rsidRDefault="00334D40" w:rsidP="009C15F1">
            <w:pPr>
              <w:tabs>
                <w:tab w:val="left" w:pos="1162"/>
              </w:tabs>
              <w:ind w:right="-28"/>
              <w:jc w:val="center"/>
              <w:rPr>
                <w:rFonts w:eastAsiaTheme="minorHAnsi" w:cs="Arial"/>
                <w:b/>
                <w:bCs/>
                <w:noProof/>
                <w:sz w:val="18"/>
                <w:szCs w:val="20"/>
                <w:highlight w:val="lightGray"/>
              </w:rPr>
            </w:pPr>
            <w:r w:rsidRPr="00B20422">
              <w:rPr>
                <w:rFonts w:cs="Arial"/>
                <w:b/>
                <w:bCs/>
                <w:sz w:val="18"/>
                <w:szCs w:val="20"/>
              </w:rPr>
              <w:t>-27,</w:t>
            </w:r>
            <w:r w:rsidR="008C6F3C">
              <w:rPr>
                <w:rFonts w:cs="Arial"/>
                <w:b/>
                <w:bCs/>
                <w:sz w:val="18"/>
                <w:szCs w:val="20"/>
              </w:rPr>
              <w:t>259</w:t>
            </w:r>
          </w:p>
        </w:tc>
      </w:tr>
      <w:tr w:rsidR="00E91B59" w:rsidRPr="0044388E" w14:paraId="132AC65C" w14:textId="77777777" w:rsidTr="009C15F1">
        <w:trPr>
          <w:trHeight w:val="576"/>
          <w:jc w:val="center"/>
        </w:trPr>
        <w:tc>
          <w:tcPr>
            <w:tcW w:w="330" w:type="dxa"/>
            <w:vMerge w:val="restart"/>
            <w:noWrap/>
            <w:hideMark/>
          </w:tcPr>
          <w:p w14:paraId="6D0A2CD0" w14:textId="08C1CEF2" w:rsidR="00E91B59" w:rsidRPr="0044388E" w:rsidRDefault="00E91B59" w:rsidP="00560AC0">
            <w:pPr>
              <w:tabs>
                <w:tab w:val="left" w:pos="1162"/>
              </w:tabs>
              <w:ind w:right="-28"/>
              <w:rPr>
                <w:rFonts w:cs="Arial"/>
                <w:sz w:val="18"/>
                <w:szCs w:val="20"/>
                <w:highlight w:val="lightGray"/>
              </w:rPr>
            </w:pPr>
            <w:r w:rsidRPr="00BD4DD8">
              <w:rPr>
                <w:rFonts w:cs="Arial"/>
                <w:sz w:val="18"/>
                <w:szCs w:val="20"/>
              </w:rPr>
              <w:t> </w:t>
            </w:r>
          </w:p>
        </w:tc>
        <w:tc>
          <w:tcPr>
            <w:tcW w:w="6378" w:type="dxa"/>
            <w:hideMark/>
          </w:tcPr>
          <w:p w14:paraId="3A66181B" w14:textId="6632599F" w:rsidR="00E91B59" w:rsidRPr="0044388E" w:rsidRDefault="00E91B59">
            <w:pPr>
              <w:tabs>
                <w:tab w:val="left" w:pos="1162"/>
              </w:tabs>
              <w:ind w:right="-28"/>
              <w:rPr>
                <w:rFonts w:cs="Arial"/>
                <w:sz w:val="18"/>
                <w:szCs w:val="20"/>
                <w:highlight w:val="lightGray"/>
              </w:rPr>
            </w:pPr>
            <w:r>
              <w:rPr>
                <w:rFonts w:cs="Arial"/>
                <w:sz w:val="18"/>
                <w:szCs w:val="20"/>
              </w:rPr>
              <w:t xml:space="preserve">(b) </w:t>
            </w:r>
            <w:r w:rsidRPr="00BD4DD8">
              <w:rPr>
                <w:rFonts w:cs="Arial"/>
                <w:sz w:val="18"/>
                <w:szCs w:val="20"/>
              </w:rPr>
              <w:t xml:space="preserve">Patient level cost data from </w:t>
            </w:r>
            <w:r>
              <w:rPr>
                <w:rFonts w:cs="Arial"/>
                <w:sz w:val="18"/>
                <w:szCs w:val="20"/>
              </w:rPr>
              <w:t>seven</w:t>
            </w:r>
            <w:r w:rsidRPr="00BD4DD8">
              <w:rPr>
                <w:rFonts w:cs="Arial"/>
                <w:sz w:val="18"/>
                <w:szCs w:val="20"/>
              </w:rPr>
              <w:t xml:space="preserve"> establishments</w:t>
            </w:r>
          </w:p>
        </w:tc>
        <w:tc>
          <w:tcPr>
            <w:tcW w:w="1276" w:type="dxa"/>
            <w:hideMark/>
          </w:tcPr>
          <w:p w14:paraId="79B7970D" w14:textId="7C03315B" w:rsidR="00E91B59" w:rsidRPr="0044388E" w:rsidRDefault="00E91B59" w:rsidP="009C15F1">
            <w:pPr>
              <w:tabs>
                <w:tab w:val="left" w:pos="1162"/>
              </w:tabs>
              <w:ind w:right="-28"/>
              <w:jc w:val="center"/>
              <w:rPr>
                <w:rFonts w:eastAsiaTheme="minorHAnsi" w:cs="Arial"/>
                <w:b/>
                <w:noProof/>
                <w:sz w:val="18"/>
                <w:szCs w:val="20"/>
                <w:highlight w:val="lightGray"/>
              </w:rPr>
            </w:pPr>
            <w:r w:rsidRPr="00B20422">
              <w:rPr>
                <w:rFonts w:cs="Arial"/>
                <w:sz w:val="18"/>
                <w:szCs w:val="20"/>
              </w:rPr>
              <w:t>-13,114</w:t>
            </w:r>
          </w:p>
        </w:tc>
      </w:tr>
      <w:tr w:rsidR="00E91B59" w:rsidRPr="0044388E" w14:paraId="546A3010" w14:textId="77777777" w:rsidTr="009C15F1">
        <w:trPr>
          <w:trHeight w:val="576"/>
          <w:jc w:val="center"/>
        </w:trPr>
        <w:tc>
          <w:tcPr>
            <w:tcW w:w="330" w:type="dxa"/>
            <w:vMerge/>
            <w:hideMark/>
          </w:tcPr>
          <w:p w14:paraId="6B087BFB" w14:textId="77777777" w:rsidR="00E91B59" w:rsidRPr="0044388E" w:rsidRDefault="00E91B59">
            <w:pPr>
              <w:tabs>
                <w:tab w:val="left" w:pos="1162"/>
              </w:tabs>
              <w:ind w:right="-28"/>
              <w:rPr>
                <w:rFonts w:cs="Arial"/>
                <w:sz w:val="18"/>
                <w:szCs w:val="20"/>
                <w:highlight w:val="lightGray"/>
              </w:rPr>
            </w:pPr>
          </w:p>
        </w:tc>
        <w:tc>
          <w:tcPr>
            <w:tcW w:w="6378" w:type="dxa"/>
            <w:hideMark/>
          </w:tcPr>
          <w:p w14:paraId="3F892DBE" w14:textId="3C02415B" w:rsidR="00E91B59" w:rsidRPr="0044388E" w:rsidRDefault="00E91B59">
            <w:pPr>
              <w:tabs>
                <w:tab w:val="left" w:pos="1162"/>
              </w:tabs>
              <w:ind w:right="-28"/>
              <w:rPr>
                <w:rFonts w:cs="Arial"/>
                <w:sz w:val="18"/>
                <w:szCs w:val="20"/>
                <w:highlight w:val="lightGray"/>
              </w:rPr>
            </w:pPr>
            <w:r>
              <w:rPr>
                <w:rFonts w:cs="Arial"/>
                <w:sz w:val="18"/>
                <w:szCs w:val="20"/>
              </w:rPr>
              <w:t>(c) Episodes from h</w:t>
            </w:r>
            <w:r w:rsidRPr="00BD4DD8">
              <w:rPr>
                <w:rFonts w:cs="Arial"/>
                <w:sz w:val="18"/>
                <w:szCs w:val="20"/>
              </w:rPr>
              <w:t>ospital-DRG combinations with extremely high or low cost-to-funding ratios</w:t>
            </w:r>
          </w:p>
        </w:tc>
        <w:tc>
          <w:tcPr>
            <w:tcW w:w="1276" w:type="dxa"/>
            <w:hideMark/>
          </w:tcPr>
          <w:p w14:paraId="0CAC98AF" w14:textId="1D35A9B5" w:rsidR="00E91B59" w:rsidRPr="0044388E" w:rsidRDefault="00E91B59" w:rsidP="009C15F1">
            <w:pPr>
              <w:tabs>
                <w:tab w:val="left" w:pos="1162"/>
              </w:tabs>
              <w:ind w:right="-28"/>
              <w:jc w:val="center"/>
              <w:rPr>
                <w:rFonts w:eastAsiaTheme="minorHAnsi" w:cs="Arial"/>
                <w:b/>
                <w:noProof/>
                <w:sz w:val="18"/>
                <w:szCs w:val="20"/>
                <w:highlight w:val="lightGray"/>
              </w:rPr>
            </w:pPr>
            <w:r w:rsidRPr="00B20422">
              <w:rPr>
                <w:rFonts w:cs="Arial"/>
                <w:sz w:val="18"/>
                <w:szCs w:val="20"/>
              </w:rPr>
              <w:t>-4,</w:t>
            </w:r>
            <w:r w:rsidR="008C6F3C">
              <w:rPr>
                <w:rFonts w:cs="Arial"/>
                <w:sz w:val="18"/>
                <w:szCs w:val="20"/>
              </w:rPr>
              <w:t>483</w:t>
            </w:r>
          </w:p>
        </w:tc>
      </w:tr>
      <w:tr w:rsidR="00E91B59" w:rsidRPr="0044388E" w14:paraId="6E60748D" w14:textId="77777777" w:rsidTr="009C15F1">
        <w:trPr>
          <w:trHeight w:val="288"/>
          <w:jc w:val="center"/>
        </w:trPr>
        <w:tc>
          <w:tcPr>
            <w:tcW w:w="330" w:type="dxa"/>
            <w:vMerge/>
            <w:hideMark/>
          </w:tcPr>
          <w:p w14:paraId="08C2C263" w14:textId="77777777" w:rsidR="00E91B59" w:rsidRPr="0044388E" w:rsidRDefault="00E91B59">
            <w:pPr>
              <w:tabs>
                <w:tab w:val="left" w:pos="1162"/>
              </w:tabs>
              <w:ind w:right="-28"/>
              <w:rPr>
                <w:rFonts w:cs="Arial"/>
                <w:sz w:val="18"/>
                <w:szCs w:val="20"/>
                <w:highlight w:val="lightGray"/>
              </w:rPr>
            </w:pPr>
          </w:p>
        </w:tc>
        <w:tc>
          <w:tcPr>
            <w:tcW w:w="6378" w:type="dxa"/>
            <w:hideMark/>
          </w:tcPr>
          <w:p w14:paraId="32A80B02" w14:textId="281DE80F" w:rsidR="00E91B59" w:rsidRPr="0044388E" w:rsidRDefault="00E91B59">
            <w:pPr>
              <w:tabs>
                <w:tab w:val="left" w:pos="1162"/>
              </w:tabs>
              <w:ind w:right="-28"/>
              <w:rPr>
                <w:rFonts w:cs="Arial"/>
                <w:sz w:val="18"/>
                <w:szCs w:val="20"/>
                <w:highlight w:val="lightGray"/>
              </w:rPr>
            </w:pPr>
            <w:r>
              <w:rPr>
                <w:rFonts w:cs="Arial"/>
                <w:sz w:val="18"/>
                <w:szCs w:val="20"/>
              </w:rPr>
              <w:t xml:space="preserve">(d) </w:t>
            </w:r>
            <w:r w:rsidRPr="00BD4DD8">
              <w:rPr>
                <w:rFonts w:cs="Arial"/>
                <w:sz w:val="18"/>
                <w:szCs w:val="20"/>
              </w:rPr>
              <w:t xml:space="preserve">Removal of records with total in-scope costs ≤ $23 </w:t>
            </w:r>
          </w:p>
        </w:tc>
        <w:tc>
          <w:tcPr>
            <w:tcW w:w="1276" w:type="dxa"/>
            <w:hideMark/>
          </w:tcPr>
          <w:p w14:paraId="73BB2AA8" w14:textId="2EBC4964" w:rsidR="00E91B59" w:rsidRPr="0044388E" w:rsidRDefault="00E91B59" w:rsidP="009C15F1">
            <w:pPr>
              <w:tabs>
                <w:tab w:val="left" w:pos="1162"/>
              </w:tabs>
              <w:ind w:right="-28"/>
              <w:jc w:val="center"/>
              <w:rPr>
                <w:rFonts w:eastAsiaTheme="minorHAnsi" w:cs="Arial"/>
                <w:b/>
                <w:noProof/>
                <w:sz w:val="18"/>
                <w:szCs w:val="20"/>
                <w:highlight w:val="lightGray"/>
              </w:rPr>
            </w:pPr>
            <w:r w:rsidRPr="00B20422">
              <w:rPr>
                <w:rFonts w:cs="Arial"/>
                <w:sz w:val="18"/>
                <w:szCs w:val="20"/>
              </w:rPr>
              <w:t>-8,</w:t>
            </w:r>
            <w:r w:rsidR="008C6F3C">
              <w:rPr>
                <w:rFonts w:cs="Arial"/>
                <w:sz w:val="18"/>
                <w:szCs w:val="20"/>
              </w:rPr>
              <w:t>952</w:t>
            </w:r>
          </w:p>
        </w:tc>
      </w:tr>
      <w:tr w:rsidR="00E91B59" w:rsidRPr="0044388E" w14:paraId="7ACB0853" w14:textId="77777777" w:rsidTr="009C15F1">
        <w:trPr>
          <w:trHeight w:val="398"/>
          <w:jc w:val="center"/>
        </w:trPr>
        <w:tc>
          <w:tcPr>
            <w:tcW w:w="330" w:type="dxa"/>
            <w:vMerge/>
            <w:hideMark/>
          </w:tcPr>
          <w:p w14:paraId="05643971" w14:textId="77777777" w:rsidR="00E91B59" w:rsidRPr="0044388E" w:rsidRDefault="00E91B59">
            <w:pPr>
              <w:tabs>
                <w:tab w:val="left" w:pos="1162"/>
              </w:tabs>
              <w:ind w:right="-28"/>
              <w:rPr>
                <w:rFonts w:cs="Arial"/>
                <w:sz w:val="18"/>
                <w:szCs w:val="20"/>
                <w:highlight w:val="lightGray"/>
              </w:rPr>
            </w:pPr>
          </w:p>
        </w:tc>
        <w:tc>
          <w:tcPr>
            <w:tcW w:w="6378" w:type="dxa"/>
            <w:hideMark/>
          </w:tcPr>
          <w:p w14:paraId="70FC4D09" w14:textId="542D9DAE" w:rsidR="00E91B59" w:rsidRPr="0044388E" w:rsidRDefault="00E91B59">
            <w:pPr>
              <w:tabs>
                <w:tab w:val="left" w:pos="1162"/>
              </w:tabs>
              <w:ind w:right="-28"/>
              <w:rPr>
                <w:rFonts w:cs="Arial"/>
                <w:sz w:val="18"/>
                <w:szCs w:val="20"/>
                <w:highlight w:val="lightGray"/>
              </w:rPr>
            </w:pPr>
            <w:r>
              <w:rPr>
                <w:rFonts w:cs="Arial"/>
                <w:sz w:val="18"/>
                <w:szCs w:val="20"/>
              </w:rPr>
              <w:t xml:space="preserve">(e) </w:t>
            </w:r>
            <w:r w:rsidRPr="00BD4DD8">
              <w:rPr>
                <w:rFonts w:cs="Arial"/>
                <w:sz w:val="18"/>
                <w:szCs w:val="20"/>
              </w:rPr>
              <w:t>Observations with extreme outlier costs</w:t>
            </w:r>
          </w:p>
        </w:tc>
        <w:tc>
          <w:tcPr>
            <w:tcW w:w="1276" w:type="dxa"/>
            <w:hideMark/>
          </w:tcPr>
          <w:p w14:paraId="1A2439D3" w14:textId="0858437E" w:rsidR="00E91B59" w:rsidRPr="0044388E" w:rsidRDefault="00E91B59" w:rsidP="009C15F1">
            <w:pPr>
              <w:tabs>
                <w:tab w:val="left" w:pos="1162"/>
              </w:tabs>
              <w:ind w:right="-28"/>
              <w:jc w:val="center"/>
              <w:rPr>
                <w:rFonts w:eastAsiaTheme="minorHAnsi" w:cs="Arial"/>
                <w:b/>
                <w:noProof/>
                <w:sz w:val="18"/>
                <w:szCs w:val="20"/>
                <w:highlight w:val="lightGray"/>
              </w:rPr>
            </w:pPr>
            <w:r w:rsidRPr="00B20422">
              <w:rPr>
                <w:rFonts w:cs="Arial"/>
                <w:sz w:val="18"/>
                <w:szCs w:val="20"/>
              </w:rPr>
              <w:t>-1</w:t>
            </w:r>
            <w:r w:rsidR="008C6F3C">
              <w:rPr>
                <w:rFonts w:cs="Arial"/>
                <w:sz w:val="18"/>
                <w:szCs w:val="20"/>
              </w:rPr>
              <w:t>31</w:t>
            </w:r>
          </w:p>
        </w:tc>
      </w:tr>
      <w:tr w:rsidR="00E91B59" w:rsidRPr="0044388E" w14:paraId="632DB179" w14:textId="77777777" w:rsidTr="009C15F1">
        <w:trPr>
          <w:trHeight w:val="576"/>
          <w:jc w:val="center"/>
        </w:trPr>
        <w:tc>
          <w:tcPr>
            <w:tcW w:w="330" w:type="dxa"/>
            <w:vMerge/>
            <w:hideMark/>
          </w:tcPr>
          <w:p w14:paraId="5A0B4C97" w14:textId="77777777" w:rsidR="00E91B59" w:rsidRPr="0044388E" w:rsidRDefault="00E91B59">
            <w:pPr>
              <w:tabs>
                <w:tab w:val="left" w:pos="1162"/>
              </w:tabs>
              <w:ind w:right="-28"/>
              <w:rPr>
                <w:rFonts w:cs="Arial"/>
                <w:sz w:val="18"/>
                <w:szCs w:val="20"/>
                <w:highlight w:val="lightGray"/>
              </w:rPr>
            </w:pPr>
          </w:p>
        </w:tc>
        <w:tc>
          <w:tcPr>
            <w:tcW w:w="6378" w:type="dxa"/>
            <w:hideMark/>
          </w:tcPr>
          <w:p w14:paraId="7E86212E" w14:textId="2A9AFA0C" w:rsidR="00E91B59" w:rsidRPr="0044388E" w:rsidRDefault="00E91B59">
            <w:pPr>
              <w:tabs>
                <w:tab w:val="left" w:pos="1162"/>
              </w:tabs>
              <w:ind w:right="-28"/>
              <w:rPr>
                <w:rFonts w:cs="Arial"/>
                <w:sz w:val="18"/>
                <w:szCs w:val="20"/>
                <w:highlight w:val="lightGray"/>
              </w:rPr>
            </w:pPr>
            <w:r>
              <w:rPr>
                <w:rFonts w:cs="Arial"/>
                <w:sz w:val="18"/>
                <w:szCs w:val="20"/>
              </w:rPr>
              <w:t xml:space="preserve">(f) </w:t>
            </w:r>
            <w:r w:rsidRPr="00BD4DD8">
              <w:rPr>
                <w:rFonts w:cs="Arial"/>
                <w:sz w:val="18"/>
                <w:szCs w:val="20"/>
              </w:rPr>
              <w:t xml:space="preserve">Extremely high or low cost ratios removed after deriving the preliminary regression model </w:t>
            </w:r>
          </w:p>
        </w:tc>
        <w:tc>
          <w:tcPr>
            <w:tcW w:w="1276" w:type="dxa"/>
            <w:hideMark/>
          </w:tcPr>
          <w:p w14:paraId="7AB3EA3A" w14:textId="3D21FB29" w:rsidR="00E91B59" w:rsidRPr="0044388E" w:rsidRDefault="00E91B59" w:rsidP="009C15F1">
            <w:pPr>
              <w:tabs>
                <w:tab w:val="left" w:pos="1162"/>
              </w:tabs>
              <w:ind w:right="-28"/>
              <w:jc w:val="center"/>
              <w:rPr>
                <w:rFonts w:eastAsiaTheme="minorHAnsi" w:cs="Arial"/>
                <w:b/>
                <w:noProof/>
                <w:sz w:val="18"/>
                <w:szCs w:val="20"/>
                <w:highlight w:val="lightGray"/>
              </w:rPr>
            </w:pPr>
            <w:r w:rsidRPr="00B20422">
              <w:rPr>
                <w:rFonts w:cs="Arial"/>
                <w:sz w:val="18"/>
                <w:szCs w:val="20"/>
              </w:rPr>
              <w:t>-</w:t>
            </w:r>
            <w:r w:rsidR="008C6F3C">
              <w:rPr>
                <w:rFonts w:cs="Arial"/>
                <w:sz w:val="18"/>
                <w:szCs w:val="20"/>
              </w:rPr>
              <w:t>579</w:t>
            </w:r>
          </w:p>
        </w:tc>
      </w:tr>
      <w:tr w:rsidR="00E91B59" w:rsidRPr="0044388E" w14:paraId="23F15125" w14:textId="77777777" w:rsidTr="009C15F1">
        <w:trPr>
          <w:trHeight w:val="675"/>
          <w:jc w:val="center"/>
        </w:trPr>
        <w:tc>
          <w:tcPr>
            <w:tcW w:w="6708" w:type="dxa"/>
            <w:gridSpan w:val="2"/>
            <w:hideMark/>
          </w:tcPr>
          <w:p w14:paraId="6AFE5947" w14:textId="7D48B0DB" w:rsidR="00E91B59" w:rsidRPr="0044388E" w:rsidRDefault="00E91B59" w:rsidP="00560AC0">
            <w:pPr>
              <w:tabs>
                <w:tab w:val="left" w:pos="1162"/>
              </w:tabs>
              <w:ind w:right="-28"/>
              <w:rPr>
                <w:rFonts w:cs="Arial"/>
                <w:sz w:val="18"/>
                <w:szCs w:val="20"/>
                <w:highlight w:val="lightGray"/>
              </w:rPr>
            </w:pPr>
            <w:r>
              <w:rPr>
                <w:rFonts w:cs="Arial"/>
                <w:sz w:val="18"/>
                <w:szCs w:val="20"/>
              </w:rPr>
              <w:t xml:space="preserve">(g) </w:t>
            </w:r>
            <w:r w:rsidRPr="00BD4DD8">
              <w:rPr>
                <w:rFonts w:cs="Arial"/>
                <w:sz w:val="18"/>
                <w:szCs w:val="20"/>
              </w:rPr>
              <w:t>Resulting sample size of separations used to create AR-DRG cost profiles</w:t>
            </w:r>
          </w:p>
        </w:tc>
        <w:tc>
          <w:tcPr>
            <w:tcW w:w="1276" w:type="dxa"/>
            <w:noWrap/>
            <w:hideMark/>
          </w:tcPr>
          <w:p w14:paraId="3AB3EF55" w14:textId="1D5E9B5E" w:rsidR="00E91B59" w:rsidRPr="00C21501" w:rsidRDefault="008C6F3C" w:rsidP="009C15F1">
            <w:pPr>
              <w:tabs>
                <w:tab w:val="left" w:pos="1162"/>
              </w:tabs>
              <w:ind w:right="-28"/>
              <w:jc w:val="center"/>
              <w:rPr>
                <w:rFonts w:eastAsiaTheme="minorHAnsi" w:cs="Arial"/>
                <w:b/>
                <w:bCs/>
                <w:noProof/>
                <w:sz w:val="18"/>
                <w:szCs w:val="20"/>
              </w:rPr>
            </w:pPr>
            <w:r w:rsidRPr="00C21501">
              <w:rPr>
                <w:rFonts w:cs="Arial"/>
                <w:b/>
                <w:bCs/>
                <w:sz w:val="18"/>
                <w:szCs w:val="20"/>
              </w:rPr>
              <w:t>5,130,754</w:t>
            </w:r>
          </w:p>
        </w:tc>
      </w:tr>
    </w:tbl>
    <w:p w14:paraId="786C86A9" w14:textId="7A40AEA2" w:rsidR="00E91B59" w:rsidRPr="008D25DC" w:rsidRDefault="00E91B59" w:rsidP="002D606E">
      <w:pPr>
        <w:pStyle w:val="ListParagraph"/>
        <w:numPr>
          <w:ilvl w:val="0"/>
          <w:numId w:val="24"/>
        </w:numPr>
        <w:tabs>
          <w:tab w:val="left" w:pos="1162"/>
        </w:tabs>
        <w:spacing w:before="80" w:line="240" w:lineRule="auto"/>
        <w:ind w:right="-28"/>
        <w:contextualSpacing w:val="0"/>
        <w:rPr>
          <w:rFonts w:cs="Arial"/>
          <w:szCs w:val="20"/>
        </w:rPr>
      </w:pPr>
      <w:r w:rsidRPr="00985470">
        <w:rPr>
          <w:rFonts w:cs="Arial"/>
          <w:szCs w:val="20"/>
        </w:rPr>
        <w:t>For the financial year 2014-15</w:t>
      </w:r>
      <w:r w:rsidRPr="00B375B1">
        <w:rPr>
          <w:rFonts w:cs="Arial"/>
          <w:szCs w:val="20"/>
        </w:rPr>
        <w:t>, an activity-level cost sample of</w:t>
      </w:r>
      <w:r w:rsidR="008C6F3C">
        <w:rPr>
          <w:rFonts w:cs="Arial"/>
          <w:szCs w:val="20"/>
        </w:rPr>
        <w:t xml:space="preserve"> 5,158,013 </w:t>
      </w:r>
      <w:r w:rsidRPr="002865A7">
        <w:rPr>
          <w:rFonts w:cs="Arial"/>
          <w:szCs w:val="20"/>
        </w:rPr>
        <w:t>admitted acute</w:t>
      </w:r>
      <w:r w:rsidRPr="00071C75">
        <w:rPr>
          <w:rFonts w:cs="Arial"/>
          <w:szCs w:val="20"/>
        </w:rPr>
        <w:t xml:space="preserve"> records (with both the admission and separation dates within this period), was </w:t>
      </w:r>
      <w:r w:rsidRPr="00071C75">
        <w:rPr>
          <w:rFonts w:cs="Arial"/>
          <w:szCs w:val="20"/>
        </w:rPr>
        <w:lastRenderedPageBreak/>
        <w:t>partitioned into two groups for modelling purposes. The first group was evaluated as fit for use to develop AR</w:t>
      </w:r>
      <w:r w:rsidRPr="00071C75">
        <w:rPr>
          <w:rFonts w:cs="Arial"/>
          <w:szCs w:val="20"/>
        </w:rPr>
        <w:noBreakHyphen/>
        <w:t xml:space="preserve">DRG cost profiles for the </w:t>
      </w:r>
      <w:r w:rsidRPr="001001CC">
        <w:rPr>
          <w:rFonts w:cs="Arial"/>
          <w:szCs w:val="20"/>
        </w:rPr>
        <w:t xml:space="preserve">2014-15 cost </w:t>
      </w:r>
      <w:proofErr w:type="gramStart"/>
      <w:r w:rsidRPr="001001CC">
        <w:rPr>
          <w:rFonts w:cs="Arial"/>
          <w:szCs w:val="20"/>
        </w:rPr>
        <w:t>model</w:t>
      </w:r>
      <w:proofErr w:type="gramEnd"/>
      <w:r w:rsidRPr="001001CC">
        <w:rPr>
          <w:rFonts w:cs="Arial"/>
          <w:szCs w:val="20"/>
        </w:rPr>
        <w:t>, and a second group identified as not fit for this purpose.</w:t>
      </w:r>
      <w:r w:rsidRPr="00D17203">
        <w:rPr>
          <w:rFonts w:cs="Arial"/>
          <w:szCs w:val="20"/>
        </w:rPr>
        <w:t xml:space="preserve"> </w:t>
      </w:r>
      <w:r w:rsidRPr="00985470">
        <w:rPr>
          <w:rFonts w:cs="Arial"/>
          <w:szCs w:val="20"/>
        </w:rPr>
        <w:t xml:space="preserve">The second group was later </w:t>
      </w:r>
      <w:r w:rsidRPr="00B375B1">
        <w:rPr>
          <w:rFonts w:cs="Arial"/>
          <w:szCs w:val="20"/>
        </w:rPr>
        <w:t>incorporated into the cost model to calibrate the overall level of costs within the model (see</w:t>
      </w:r>
      <w:r>
        <w:rPr>
          <w:rFonts w:cs="Arial"/>
          <w:szCs w:val="20"/>
        </w:rPr>
        <w:t xml:space="preserve"> </w:t>
      </w:r>
      <w:r w:rsidR="007916C6">
        <w:rPr>
          <w:rFonts w:cs="Arial"/>
          <w:szCs w:val="20"/>
        </w:rPr>
        <w:t>S</w:t>
      </w:r>
      <w:r>
        <w:rPr>
          <w:rFonts w:cs="Arial"/>
          <w:szCs w:val="20"/>
        </w:rPr>
        <w:t>ection</w:t>
      </w:r>
      <w:r w:rsidR="007916C6">
        <w:rPr>
          <w:rFonts w:cs="Arial"/>
          <w:szCs w:val="20"/>
        </w:rPr>
        <w:t xml:space="preserve"> </w:t>
      </w:r>
      <w:r w:rsidR="0095747A">
        <w:rPr>
          <w:rFonts w:cs="Arial"/>
          <w:szCs w:val="20"/>
        </w:rPr>
        <w:fldChar w:fldCharType="begin"/>
      </w:r>
      <w:r w:rsidR="0095747A">
        <w:rPr>
          <w:rFonts w:cs="Arial"/>
          <w:szCs w:val="20"/>
        </w:rPr>
        <w:instrText xml:space="preserve"> REF _Ref468432991 \r </w:instrText>
      </w:r>
      <w:r w:rsidR="0095747A">
        <w:rPr>
          <w:rFonts w:cs="Arial"/>
          <w:szCs w:val="20"/>
        </w:rPr>
        <w:fldChar w:fldCharType="separate"/>
      </w:r>
      <w:r w:rsidR="00F84458">
        <w:rPr>
          <w:rFonts w:cs="Arial"/>
          <w:szCs w:val="20"/>
        </w:rPr>
        <w:t>2.2.11</w:t>
      </w:r>
      <w:r w:rsidR="0095747A">
        <w:rPr>
          <w:rFonts w:cs="Arial"/>
          <w:szCs w:val="20"/>
        </w:rPr>
        <w:fldChar w:fldCharType="end"/>
      </w:r>
      <w:r w:rsidRPr="008D25DC">
        <w:rPr>
          <w:rFonts w:cs="Arial"/>
          <w:szCs w:val="20"/>
        </w:rPr>
        <w:t>).</w:t>
      </w:r>
    </w:p>
    <w:p w14:paraId="76770B8F" w14:textId="77777777" w:rsidR="00E91B59" w:rsidRPr="00917BC5" w:rsidRDefault="00E91B59" w:rsidP="002D606E">
      <w:pPr>
        <w:pStyle w:val="ListParagraph"/>
        <w:numPr>
          <w:ilvl w:val="0"/>
          <w:numId w:val="24"/>
        </w:numPr>
        <w:tabs>
          <w:tab w:val="left" w:pos="1162"/>
        </w:tabs>
        <w:spacing w:before="80" w:line="240" w:lineRule="auto"/>
        <w:ind w:right="-28"/>
        <w:contextualSpacing w:val="0"/>
        <w:rPr>
          <w:rFonts w:cs="Arial"/>
          <w:szCs w:val="20"/>
        </w:rPr>
      </w:pPr>
      <w:r w:rsidRPr="00917BC5">
        <w:rPr>
          <w:rFonts w:cs="Arial"/>
          <w:szCs w:val="20"/>
        </w:rPr>
        <w:t xml:space="preserve">Patient level cost data from </w:t>
      </w:r>
      <w:r>
        <w:rPr>
          <w:rFonts w:cs="Arial"/>
          <w:szCs w:val="20"/>
        </w:rPr>
        <w:t>seven</w:t>
      </w:r>
      <w:r w:rsidRPr="00917BC5">
        <w:rPr>
          <w:rFonts w:cs="Arial"/>
          <w:szCs w:val="20"/>
        </w:rPr>
        <w:t xml:space="preserve"> establishments, totalling </w:t>
      </w:r>
      <w:r>
        <w:rPr>
          <w:rFonts w:cs="Arial"/>
          <w:szCs w:val="20"/>
        </w:rPr>
        <w:t>13,114</w:t>
      </w:r>
      <w:r w:rsidRPr="00917BC5">
        <w:rPr>
          <w:rFonts w:cs="Arial"/>
          <w:szCs w:val="20"/>
        </w:rPr>
        <w:t xml:space="preserve"> episodes, was removed from the sample, based on jurisdictional advice. A preliminary model with length of stay (LOS) and Diagnosis Related Group (DRG) as explanatory variables of patient cost was derived and applied to the remaining sample. </w:t>
      </w:r>
    </w:p>
    <w:p w14:paraId="50037698" w14:textId="77777777" w:rsidR="00E91B59" w:rsidRPr="00917BC5" w:rsidRDefault="00E91B59" w:rsidP="002D606E">
      <w:pPr>
        <w:pStyle w:val="ListParagraph"/>
        <w:numPr>
          <w:ilvl w:val="0"/>
          <w:numId w:val="24"/>
        </w:numPr>
        <w:tabs>
          <w:tab w:val="left" w:pos="1162"/>
        </w:tabs>
        <w:spacing w:before="80" w:line="240" w:lineRule="auto"/>
        <w:ind w:right="-28"/>
        <w:contextualSpacing w:val="0"/>
        <w:rPr>
          <w:rFonts w:cs="Arial"/>
          <w:szCs w:val="20"/>
        </w:rPr>
      </w:pPr>
      <w:r w:rsidRPr="00917BC5">
        <w:rPr>
          <w:rFonts w:cs="Arial"/>
          <w:szCs w:val="20"/>
        </w:rPr>
        <w:t xml:space="preserve">The </w:t>
      </w:r>
      <w:r>
        <w:rPr>
          <w:rFonts w:cs="Arial"/>
          <w:szCs w:val="20"/>
        </w:rPr>
        <w:t>619</w:t>
      </w:r>
      <w:r w:rsidRPr="00917BC5">
        <w:rPr>
          <w:rFonts w:cs="Arial"/>
          <w:szCs w:val="20"/>
        </w:rPr>
        <w:t xml:space="preserve"> Hospital-DRG combinations with extremely high or low cost-to-funding ratios were also excluded from the patient level modelling.</w:t>
      </w:r>
    </w:p>
    <w:p w14:paraId="2FE9729F" w14:textId="1E78794F" w:rsidR="00E91B59" w:rsidRPr="00917BC5" w:rsidRDefault="00E91B59" w:rsidP="002D606E">
      <w:pPr>
        <w:pStyle w:val="ListParagraph"/>
        <w:numPr>
          <w:ilvl w:val="0"/>
          <w:numId w:val="24"/>
        </w:numPr>
        <w:tabs>
          <w:tab w:val="left" w:pos="1162"/>
        </w:tabs>
        <w:spacing w:before="80" w:line="240" w:lineRule="auto"/>
        <w:ind w:right="-28"/>
        <w:contextualSpacing w:val="0"/>
        <w:rPr>
          <w:rFonts w:cs="Arial"/>
          <w:szCs w:val="20"/>
        </w:rPr>
      </w:pPr>
      <w:r w:rsidRPr="00917BC5">
        <w:rPr>
          <w:rFonts w:cs="Arial"/>
          <w:szCs w:val="20"/>
        </w:rPr>
        <w:t xml:space="preserve">The sample was further reduced by </w:t>
      </w:r>
      <w:r w:rsidR="008C6F3C">
        <w:rPr>
          <w:rFonts w:cs="Arial"/>
          <w:szCs w:val="20"/>
        </w:rPr>
        <w:t>8,952</w:t>
      </w:r>
      <w:r w:rsidRPr="00917BC5">
        <w:rPr>
          <w:rFonts w:cs="Arial"/>
          <w:szCs w:val="20"/>
        </w:rPr>
        <w:t xml:space="preserve"> episodes as a result of removing records with total in-scope costs (excluding depreciation and ED costs) of </w:t>
      </w:r>
      <w:r w:rsidRPr="00801AF5">
        <w:rPr>
          <w:rFonts w:cs="Arial"/>
          <w:szCs w:val="20"/>
        </w:rPr>
        <w:t>$23</w:t>
      </w:r>
      <w:r w:rsidRPr="00917BC5">
        <w:rPr>
          <w:rFonts w:cs="Arial"/>
          <w:szCs w:val="20"/>
        </w:rPr>
        <w:t xml:space="preserve"> or less.</w:t>
      </w:r>
    </w:p>
    <w:p w14:paraId="29DF0997" w14:textId="40764434" w:rsidR="00E91B59" w:rsidRPr="00D17203" w:rsidRDefault="00E91B59" w:rsidP="002D606E">
      <w:pPr>
        <w:pStyle w:val="ListParagraph"/>
        <w:numPr>
          <w:ilvl w:val="0"/>
          <w:numId w:val="24"/>
        </w:numPr>
        <w:tabs>
          <w:tab w:val="left" w:pos="1162"/>
        </w:tabs>
        <w:spacing w:before="80" w:line="240" w:lineRule="auto"/>
        <w:ind w:right="-28"/>
        <w:contextualSpacing w:val="0"/>
      </w:pPr>
      <w:r w:rsidRPr="00A50F14">
        <w:rPr>
          <w:rFonts w:cs="Arial"/>
          <w:szCs w:val="20"/>
        </w:rPr>
        <w:t>The</w:t>
      </w:r>
      <w:r w:rsidRPr="00A50F14">
        <w:t xml:space="preserve"> remaining sample was then analysed by AR-DRG, and observations with extreme outlier costs were identified and removed. This was done by ranking observations by cost and identifying those values that recorded an extreme increase in cost over </w:t>
      </w:r>
      <w:r w:rsidRPr="00801AF5">
        <w:t>300 per cent</w:t>
      </w:r>
      <w:r w:rsidRPr="00B20422">
        <w:t xml:space="preserve"> (or a decrease in cost of less than </w:t>
      </w:r>
      <w:r w:rsidRPr="00801AF5">
        <w:t>25 per cent</w:t>
      </w:r>
      <w:r w:rsidRPr="00B20422">
        <w:t>)</w:t>
      </w:r>
      <w:r w:rsidRPr="00A50F14">
        <w:t xml:space="preserve"> from the previous observation. In total, </w:t>
      </w:r>
      <w:r w:rsidR="008C6F3C">
        <w:t>131</w:t>
      </w:r>
      <w:r w:rsidR="008C6F3C" w:rsidRPr="00A50F14">
        <w:t xml:space="preserve"> </w:t>
      </w:r>
      <w:r w:rsidRPr="00A50F14">
        <w:t xml:space="preserve">records were removed at this stage. </w:t>
      </w:r>
    </w:p>
    <w:p w14:paraId="6C7FB8CC" w14:textId="2BA548E2" w:rsidR="00E91B59" w:rsidRPr="00917BC5" w:rsidRDefault="00E91B59" w:rsidP="002D606E">
      <w:pPr>
        <w:pStyle w:val="ListParagraph"/>
        <w:numPr>
          <w:ilvl w:val="0"/>
          <w:numId w:val="24"/>
        </w:numPr>
        <w:tabs>
          <w:tab w:val="left" w:pos="1162"/>
        </w:tabs>
        <w:spacing w:before="80" w:line="240" w:lineRule="auto"/>
        <w:ind w:right="-28"/>
        <w:contextualSpacing w:val="0"/>
        <w:rPr>
          <w:rFonts w:cs="Arial"/>
          <w:szCs w:val="20"/>
        </w:rPr>
      </w:pPr>
      <w:r w:rsidRPr="00917BC5">
        <w:rPr>
          <w:rFonts w:cs="Arial"/>
          <w:szCs w:val="20"/>
        </w:rPr>
        <w:t xml:space="preserve">The final stage of extreme outlier identification was undertaken by first deriving a preliminary regression model using LOS and DRG, and analysing the resulting cost ratios. Following this, another </w:t>
      </w:r>
      <w:r w:rsidR="008C6F3C">
        <w:rPr>
          <w:rFonts w:cs="Arial"/>
          <w:szCs w:val="20"/>
        </w:rPr>
        <w:t>579</w:t>
      </w:r>
      <w:r w:rsidR="008C6F3C" w:rsidRPr="00917BC5">
        <w:rPr>
          <w:rFonts w:cs="Arial"/>
          <w:szCs w:val="20"/>
        </w:rPr>
        <w:t xml:space="preserve"> </w:t>
      </w:r>
      <w:r w:rsidRPr="00917BC5">
        <w:rPr>
          <w:rFonts w:cs="Arial"/>
          <w:szCs w:val="20"/>
        </w:rPr>
        <w:t xml:space="preserve">individual records with extremely high or low cost ratios were removed. </w:t>
      </w:r>
    </w:p>
    <w:p w14:paraId="7AE16D3B" w14:textId="7EE9C902" w:rsidR="00E91B59" w:rsidRPr="003A35C7" w:rsidRDefault="00E91B59" w:rsidP="002D606E">
      <w:pPr>
        <w:pStyle w:val="ListParagraph"/>
        <w:numPr>
          <w:ilvl w:val="0"/>
          <w:numId w:val="24"/>
        </w:numPr>
        <w:tabs>
          <w:tab w:val="left" w:pos="1162"/>
        </w:tabs>
        <w:spacing w:before="80" w:line="240" w:lineRule="auto"/>
        <w:ind w:right="-28"/>
        <w:contextualSpacing w:val="0"/>
        <w:rPr>
          <w:rFonts w:cs="Arial"/>
          <w:szCs w:val="20"/>
        </w:rPr>
      </w:pPr>
      <w:r w:rsidRPr="00917BC5">
        <w:rPr>
          <w:rFonts w:cs="Arial"/>
          <w:szCs w:val="20"/>
        </w:rPr>
        <w:t xml:space="preserve">The resulting sample of </w:t>
      </w:r>
      <w:r w:rsidR="008C6F3C">
        <w:rPr>
          <w:rFonts w:cs="Arial"/>
          <w:szCs w:val="20"/>
        </w:rPr>
        <w:t>5,130,754</w:t>
      </w:r>
      <w:r w:rsidRPr="00917BC5">
        <w:rPr>
          <w:rFonts w:cs="Arial"/>
          <w:szCs w:val="20"/>
        </w:rPr>
        <w:t xml:space="preserve"> separations was identified for use in creating AR-DRG cost profiles.</w:t>
      </w:r>
    </w:p>
    <w:p w14:paraId="30893AB9" w14:textId="77777777" w:rsidR="00E26387" w:rsidRPr="009C3B4D" w:rsidRDefault="00E26387" w:rsidP="00560AC0">
      <w:pPr>
        <w:pStyle w:val="Heading3"/>
        <w:numPr>
          <w:ilvl w:val="2"/>
          <w:numId w:val="17"/>
        </w:numPr>
        <w:spacing w:before="200" w:after="120" w:line="276" w:lineRule="auto"/>
        <w:ind w:left="567" w:hanging="567"/>
        <w:contextualSpacing w:val="0"/>
      </w:pPr>
      <w:bookmarkStart w:id="415" w:name="_Toc466884164"/>
      <w:bookmarkStart w:id="416" w:name="_Toc467505177"/>
      <w:bookmarkStart w:id="417" w:name="_Toc467745551"/>
      <w:bookmarkStart w:id="418" w:name="_Toc468204019"/>
      <w:r w:rsidRPr="009C3B4D">
        <w:t>Posthumous organ donation activity costs</w:t>
      </w:r>
      <w:bookmarkEnd w:id="415"/>
      <w:bookmarkEnd w:id="416"/>
      <w:bookmarkEnd w:id="417"/>
      <w:bookmarkEnd w:id="418"/>
    </w:p>
    <w:p w14:paraId="273D7ED3" w14:textId="73981DB0" w:rsidR="00E91B59" w:rsidRPr="00E91B59" w:rsidRDefault="00E91B59" w:rsidP="002D606E">
      <w:pPr>
        <w:tabs>
          <w:tab w:val="left" w:pos="1162"/>
        </w:tabs>
        <w:ind w:right="-28"/>
        <w:rPr>
          <w:rFonts w:cs="Arial"/>
          <w:szCs w:val="20"/>
        </w:rPr>
      </w:pPr>
      <w:r w:rsidRPr="00E91B59">
        <w:rPr>
          <w:rFonts w:cs="Arial"/>
          <w:szCs w:val="20"/>
        </w:rPr>
        <w:t xml:space="preserve">Posthumous organ donation activity was accounted for in the NEP for the first time in </w:t>
      </w:r>
      <w:r>
        <w:rPr>
          <w:rFonts w:cs="Arial"/>
          <w:szCs w:val="20"/>
        </w:rPr>
        <w:t>NEP16</w:t>
      </w:r>
      <w:r w:rsidRPr="00E91B59">
        <w:rPr>
          <w:rFonts w:cs="Arial"/>
          <w:szCs w:val="20"/>
        </w:rPr>
        <w:t>. This follows advice from the Organ and Tissue Authority (OTA) that funding provided from the OTA to jurisdictions contributes towards the costs of preparing a patient for organ donation, but not for all costs incurred thereafter. This advice from the OTA means that some of the costs of posthumous organ donation are not funded by the Commonwealth, and this should be in-scope for pricing by IHPA under the NHRA. This has not changed for NEP17.</w:t>
      </w:r>
    </w:p>
    <w:p w14:paraId="7D3735CC" w14:textId="77777777" w:rsidR="00E91B59" w:rsidRPr="00E91B59" w:rsidRDefault="00E91B59" w:rsidP="002D606E">
      <w:pPr>
        <w:tabs>
          <w:tab w:val="left" w:pos="1162"/>
        </w:tabs>
        <w:ind w:right="-28"/>
        <w:rPr>
          <w:rFonts w:cs="Arial"/>
          <w:szCs w:val="20"/>
        </w:rPr>
      </w:pPr>
      <w:r w:rsidRPr="00E91B59">
        <w:rPr>
          <w:rFonts w:cs="Arial"/>
          <w:szCs w:val="20"/>
        </w:rPr>
        <w:t xml:space="preserve">IHPA takes the costs reported against donors in ‘care type 9’ and redistributes these costs to recipient transplant AR-DRGs in the admitted acute model. The total cost associated </w:t>
      </w:r>
      <w:proofErr w:type="gramStart"/>
      <w:r w:rsidRPr="00E91B59">
        <w:rPr>
          <w:rFonts w:cs="Arial"/>
          <w:szCs w:val="20"/>
        </w:rPr>
        <w:t>with each organ procurement</w:t>
      </w:r>
      <w:proofErr w:type="gramEnd"/>
      <w:r w:rsidRPr="00E91B59">
        <w:rPr>
          <w:rFonts w:cs="Arial"/>
          <w:szCs w:val="20"/>
        </w:rPr>
        <w:t xml:space="preserve"> is accounted for by inflating the in-scope cost of patients in AR-DRGs which typically involve transplants of the relevant organ. Note that there is no mechanism to link donors with recipients, or of gauging the success of procurement or transplant.</w:t>
      </w:r>
    </w:p>
    <w:p w14:paraId="37C050E1" w14:textId="69D159CB" w:rsidR="00E91B59" w:rsidRPr="00E91B59" w:rsidRDefault="00E91B59" w:rsidP="00560AC0">
      <w:pPr>
        <w:rPr>
          <w:highlight w:val="lightGray"/>
        </w:rPr>
      </w:pPr>
      <w:r w:rsidRPr="00E91B59">
        <w:rPr>
          <w:rFonts w:cs="Arial"/>
          <w:szCs w:val="20"/>
        </w:rPr>
        <w:t xml:space="preserve">The total cost reported against posthumous organ donors in 2014-15 is $3,592,380. This results in </w:t>
      </w:r>
      <w:proofErr w:type="gramStart"/>
      <w:r w:rsidRPr="00E91B59">
        <w:rPr>
          <w:rFonts w:cs="Arial"/>
          <w:szCs w:val="20"/>
        </w:rPr>
        <w:t>a national</w:t>
      </w:r>
      <w:proofErr w:type="gramEnd"/>
      <w:r w:rsidRPr="00E91B59">
        <w:rPr>
          <w:rFonts w:cs="Arial"/>
          <w:szCs w:val="20"/>
        </w:rPr>
        <w:t xml:space="preserve"> cost inflation in the admitted acute stream of 0.014%</w:t>
      </w:r>
      <w:r w:rsidR="000E7C9E">
        <w:rPr>
          <w:rFonts w:cs="Arial"/>
          <w:szCs w:val="20"/>
        </w:rPr>
        <w:t>.</w:t>
      </w:r>
    </w:p>
    <w:p w14:paraId="2E4931F1" w14:textId="77777777" w:rsidR="00E26387" w:rsidRPr="00E91B59" w:rsidRDefault="00E26387">
      <w:pPr>
        <w:pStyle w:val="Heading3"/>
        <w:numPr>
          <w:ilvl w:val="2"/>
          <w:numId w:val="17"/>
        </w:numPr>
        <w:spacing w:before="200" w:after="120" w:line="276" w:lineRule="auto"/>
        <w:ind w:left="567" w:hanging="567"/>
        <w:contextualSpacing w:val="0"/>
      </w:pPr>
      <w:bookmarkStart w:id="419" w:name="_Toc466884165"/>
      <w:bookmarkStart w:id="420" w:name="_Toc467505178"/>
      <w:bookmarkStart w:id="421" w:name="_Toc467745552"/>
      <w:bookmarkStart w:id="422" w:name="_Toc468204020"/>
      <w:r w:rsidRPr="00E91B59">
        <w:t>Private patient costs</w:t>
      </w:r>
      <w:bookmarkEnd w:id="419"/>
      <w:bookmarkEnd w:id="420"/>
      <w:bookmarkEnd w:id="421"/>
      <w:bookmarkEnd w:id="422"/>
    </w:p>
    <w:p w14:paraId="5636D3A2" w14:textId="77777777" w:rsidR="00E91B59" w:rsidRPr="00E91B59" w:rsidRDefault="00E91B59" w:rsidP="002D606E">
      <w:pPr>
        <w:tabs>
          <w:tab w:val="left" w:pos="1162"/>
        </w:tabs>
        <w:ind w:right="-28"/>
        <w:rPr>
          <w:rFonts w:cs="Arial"/>
          <w:szCs w:val="20"/>
        </w:rPr>
      </w:pPr>
      <w:bookmarkStart w:id="423" w:name="_Ref342385246"/>
      <w:bookmarkStart w:id="424" w:name="_Toc380754698"/>
      <w:bookmarkStart w:id="425" w:name="_Toc466884166"/>
      <w:bookmarkStart w:id="426" w:name="_Toc467505179"/>
      <w:bookmarkEnd w:id="413"/>
      <w:r w:rsidRPr="00E91B59">
        <w:rPr>
          <w:rFonts w:cs="Arial"/>
          <w:szCs w:val="20"/>
        </w:rPr>
        <w:t xml:space="preserve">Private patient episodes in scope for ABF include those episodes occurring in a public hospital with a funding source of either ‘09 Private health insurance’ or ‘13 Self-funded’ in the 2014-15 data sets. The NHRA requires that in setting NEP17, IHPA must take into account costs of private patients that are met through alternative funding sources. These alternative sources include medical benefits payments by the Australian Government, private health insurance benefits payments and payments made by patients. </w:t>
      </w:r>
    </w:p>
    <w:p w14:paraId="1061D1BC" w14:textId="77777777" w:rsidR="00E91B59" w:rsidRPr="00E91B59" w:rsidRDefault="00E91B59" w:rsidP="002D606E">
      <w:pPr>
        <w:tabs>
          <w:tab w:val="left" w:pos="1162"/>
        </w:tabs>
        <w:ind w:right="-28"/>
        <w:rPr>
          <w:rFonts w:cs="Arial"/>
          <w:szCs w:val="20"/>
        </w:rPr>
      </w:pPr>
      <w:r w:rsidRPr="00E91B59">
        <w:rPr>
          <w:rFonts w:cs="Arial"/>
          <w:szCs w:val="20"/>
        </w:rPr>
        <w:lastRenderedPageBreak/>
        <w:t xml:space="preserve">A revised methodology was introduced in NEP14 and maintained in NEP15 and NEP16 to make use of the Hospital </w:t>
      </w:r>
      <w:proofErr w:type="spellStart"/>
      <w:r w:rsidRPr="00E91B59">
        <w:rPr>
          <w:rFonts w:cs="Arial"/>
          <w:szCs w:val="20"/>
        </w:rPr>
        <w:t>Casemix</w:t>
      </w:r>
      <w:proofErr w:type="spellEnd"/>
      <w:r w:rsidRPr="00E91B59">
        <w:rPr>
          <w:rFonts w:cs="Arial"/>
          <w:szCs w:val="20"/>
        </w:rPr>
        <w:t xml:space="preserve"> Protocol (HCP) data set, which is reported by private insurance companies. HCP data identifies both the charges and benefits paid for private patients receiving public hospital services. This method has been used again in the calculation of NEP17; the private patient records in the HCP data were matched with the records in the APC and NHCDC data sets, and this process resulted in a sample of 73.6 per cent matched records, which is substantially better than that achieved in NEP16. Those private patient records in the NHCDC that were not matched to the HCP data were assumed to have similar characteristics to the matched data set.</w:t>
      </w:r>
    </w:p>
    <w:p w14:paraId="13B7D1A5" w14:textId="7EC4DE11" w:rsidR="00E91B59" w:rsidRPr="00E91B59" w:rsidRDefault="00E91B59" w:rsidP="002D606E">
      <w:pPr>
        <w:tabs>
          <w:tab w:val="left" w:pos="1162"/>
        </w:tabs>
        <w:spacing w:after="240"/>
        <w:ind w:right="-28"/>
        <w:rPr>
          <w:rFonts w:cstheme="minorHAnsi"/>
          <w:b/>
          <w:color w:val="000000"/>
          <w:sz w:val="20"/>
          <w:szCs w:val="20"/>
        </w:rPr>
      </w:pPr>
      <w:r w:rsidRPr="00E91B59">
        <w:rPr>
          <w:rFonts w:cs="Arial"/>
          <w:szCs w:val="20"/>
        </w:rPr>
        <w:t>Using the HCP data, a more accurate estimate could be made of the amount of private patient costs that were not included in the NHCDC costing data and needed a correction factor applied. A correction factor of 1.5 per cent was determined for NEP17, which is higher than the 1.4 per cent in NEP1</w:t>
      </w:r>
      <w:r w:rsidR="00DE2D48">
        <w:rPr>
          <w:rFonts w:cs="Arial"/>
          <w:szCs w:val="20"/>
        </w:rPr>
        <w:t>6</w:t>
      </w:r>
      <w:r w:rsidRPr="00E91B59">
        <w:rPr>
          <w:rFonts w:cs="Arial"/>
          <w:szCs w:val="20"/>
        </w:rPr>
        <w:t xml:space="preserve">. </w:t>
      </w:r>
    </w:p>
    <w:p w14:paraId="6C83DFB0" w14:textId="158FBF44" w:rsidR="00E26387" w:rsidRPr="00E91B59" w:rsidRDefault="00E26387" w:rsidP="00560AC0">
      <w:pPr>
        <w:pStyle w:val="Heading3"/>
        <w:numPr>
          <w:ilvl w:val="2"/>
          <w:numId w:val="17"/>
        </w:numPr>
        <w:spacing w:before="200" w:after="120" w:line="276" w:lineRule="auto"/>
        <w:ind w:left="567" w:hanging="567"/>
        <w:contextualSpacing w:val="0"/>
      </w:pPr>
      <w:bookmarkStart w:id="427" w:name="_Toc467745553"/>
      <w:bookmarkStart w:id="428" w:name="_Toc468204021"/>
      <w:r w:rsidRPr="00E91B59">
        <w:t>Stratification and weighting</w:t>
      </w:r>
      <w:bookmarkEnd w:id="423"/>
      <w:bookmarkEnd w:id="424"/>
      <w:bookmarkEnd w:id="425"/>
      <w:bookmarkEnd w:id="426"/>
      <w:bookmarkEnd w:id="427"/>
      <w:bookmarkEnd w:id="428"/>
    </w:p>
    <w:p w14:paraId="53A63A58" w14:textId="2C7AA5CE" w:rsidR="00E91B59" w:rsidRPr="00E91B59" w:rsidRDefault="00E91B59" w:rsidP="002D606E">
      <w:pPr>
        <w:tabs>
          <w:tab w:val="left" w:pos="1162"/>
        </w:tabs>
        <w:ind w:right="-28"/>
        <w:rPr>
          <w:rFonts w:cs="Arial"/>
          <w:szCs w:val="20"/>
        </w:rPr>
      </w:pPr>
      <w:bookmarkStart w:id="429" w:name="_Ref342387300"/>
      <w:bookmarkStart w:id="430" w:name="_Toc380754699"/>
      <w:bookmarkStart w:id="431" w:name="_Toc466884167"/>
      <w:bookmarkStart w:id="432" w:name="_Toc467505180"/>
      <w:r w:rsidRPr="00E91B59">
        <w:rPr>
          <w:rFonts w:cs="Arial"/>
          <w:szCs w:val="20"/>
        </w:rPr>
        <w:t>The sample of costed activity from ABF establishments make up 94.1</w:t>
      </w:r>
      <w:r w:rsidR="000E7C9E">
        <w:rPr>
          <w:rFonts w:cs="Arial"/>
          <w:szCs w:val="20"/>
        </w:rPr>
        <w:t xml:space="preserve"> </w:t>
      </w:r>
      <w:r w:rsidRPr="00E91B59">
        <w:rPr>
          <w:rFonts w:cs="Arial"/>
          <w:szCs w:val="20"/>
        </w:rPr>
        <w:t>per cent of all in-scope admitted acute activity (population). To take account of the un-costed activity, IHPA has weighted the costed sample to the population. Weighting of the costed sample has been applied to ensure a true representation of the entire population. This weighting process is performed in two stages, outlined below.</w:t>
      </w:r>
    </w:p>
    <w:p w14:paraId="2B192E04" w14:textId="77777777" w:rsidR="00E91B59" w:rsidRPr="00E91B59" w:rsidRDefault="00E91B59" w:rsidP="002D606E">
      <w:pPr>
        <w:tabs>
          <w:tab w:val="left" w:pos="1162"/>
        </w:tabs>
        <w:ind w:right="-28"/>
        <w:rPr>
          <w:rFonts w:cs="Arial"/>
          <w:i/>
          <w:szCs w:val="20"/>
          <w:u w:val="single"/>
        </w:rPr>
      </w:pPr>
      <w:r w:rsidRPr="00E91B59">
        <w:rPr>
          <w:rFonts w:cs="Arial"/>
          <w:i/>
          <w:szCs w:val="20"/>
          <w:u w:val="single"/>
        </w:rPr>
        <w:t>Stage 1 (episodes on or after 1 July 2014)</w:t>
      </w:r>
    </w:p>
    <w:p w14:paraId="00072673" w14:textId="77777777" w:rsidR="00E91B59" w:rsidRPr="00E91B59" w:rsidRDefault="00E91B59" w:rsidP="002D606E">
      <w:pPr>
        <w:tabs>
          <w:tab w:val="left" w:pos="1162"/>
        </w:tabs>
        <w:ind w:right="-28"/>
        <w:rPr>
          <w:rFonts w:cs="Arial"/>
          <w:szCs w:val="20"/>
        </w:rPr>
      </w:pPr>
      <w:r w:rsidRPr="00E91B59">
        <w:rPr>
          <w:rFonts w:cs="Arial"/>
          <w:szCs w:val="20"/>
        </w:rPr>
        <w:t xml:space="preserve">The first stage of the weighting process stratified and weighted the ABF sample to reflect the population of all 2014-15 ABF admitted acute activity with an admission date </w:t>
      </w:r>
      <w:r w:rsidRPr="00E91B59">
        <w:rPr>
          <w:rFonts w:cs="Arial"/>
          <w:i/>
          <w:szCs w:val="20"/>
        </w:rPr>
        <w:t>on or after</w:t>
      </w:r>
      <w:r w:rsidRPr="00E91B59">
        <w:rPr>
          <w:rFonts w:cs="Arial"/>
          <w:szCs w:val="20"/>
        </w:rPr>
        <w:t xml:space="preserve"> 1 July 2014. The stratification was based on establishment state/territory, size, location and paediatric specialty. Establishments were classified by size using 2016-17 admitted acute NWAU calculated on 2014-15 activity data (i.e. NWAU16 calculator applied to 2014-15 data). </w:t>
      </w:r>
    </w:p>
    <w:p w14:paraId="2D5AB8D5" w14:textId="77777777" w:rsidR="00E91B59" w:rsidRPr="00E91B59" w:rsidRDefault="00E91B59" w:rsidP="002D606E">
      <w:pPr>
        <w:tabs>
          <w:tab w:val="left" w:pos="1162"/>
        </w:tabs>
        <w:ind w:right="-28"/>
        <w:rPr>
          <w:rFonts w:cs="Arial"/>
          <w:i/>
          <w:szCs w:val="20"/>
          <w:u w:val="single"/>
        </w:rPr>
      </w:pPr>
      <w:r w:rsidRPr="00E91B59">
        <w:rPr>
          <w:rFonts w:cs="Arial"/>
          <w:i/>
          <w:szCs w:val="20"/>
          <w:u w:val="single"/>
        </w:rPr>
        <w:t>Stage 2 (episodes prior to 1 July 2014)</w:t>
      </w:r>
    </w:p>
    <w:p w14:paraId="0C719FEC" w14:textId="77777777" w:rsidR="00E91B59" w:rsidRPr="00E91B59" w:rsidRDefault="00E91B59" w:rsidP="002D606E">
      <w:pPr>
        <w:tabs>
          <w:tab w:val="left" w:pos="1162"/>
        </w:tabs>
        <w:ind w:right="-28"/>
        <w:rPr>
          <w:rFonts w:cs="Arial"/>
          <w:szCs w:val="20"/>
        </w:rPr>
      </w:pPr>
      <w:r w:rsidRPr="00E91B59">
        <w:rPr>
          <w:rFonts w:cs="Arial"/>
          <w:szCs w:val="20"/>
        </w:rPr>
        <w:t xml:space="preserve">The second stage of the weighting process weighted the 2014-15 activity with an admission date </w:t>
      </w:r>
      <w:r w:rsidRPr="00E91B59">
        <w:rPr>
          <w:rFonts w:cs="Arial"/>
          <w:i/>
          <w:szCs w:val="20"/>
        </w:rPr>
        <w:t>prior</w:t>
      </w:r>
      <w:r w:rsidRPr="00E91B59">
        <w:rPr>
          <w:rFonts w:cs="Arial"/>
          <w:szCs w:val="20"/>
        </w:rPr>
        <w:t xml:space="preserve"> to 1 July 2014, up to all activity with separation dates within 2014-15. This weighting is done by length of stay (LOS) quartiles within AR-DRG. Same-day activity received a weight of 1 in this process, as there are no 2014-15 same-day separations with admission dates prior to 1 July 2014.</w:t>
      </w:r>
    </w:p>
    <w:p w14:paraId="7E10C7FE" w14:textId="77777777" w:rsidR="00E91B59" w:rsidRPr="00E91B59" w:rsidRDefault="00E91B59" w:rsidP="002D606E">
      <w:pPr>
        <w:tabs>
          <w:tab w:val="left" w:pos="1162"/>
        </w:tabs>
        <w:ind w:right="-28"/>
        <w:rPr>
          <w:rFonts w:cs="Arial"/>
        </w:rPr>
      </w:pPr>
      <w:r w:rsidRPr="00E91B59">
        <w:rPr>
          <w:rFonts w:cs="Arial"/>
        </w:rPr>
        <w:t>The resulting sample-to-population weights were used throughout all stages of the cost model development.</w:t>
      </w:r>
    </w:p>
    <w:p w14:paraId="57DB1DB7" w14:textId="389DDCCE" w:rsidR="00E26387" w:rsidRPr="00E91B59" w:rsidRDefault="00E26387" w:rsidP="00560AC0">
      <w:pPr>
        <w:pStyle w:val="Heading3"/>
        <w:numPr>
          <w:ilvl w:val="2"/>
          <w:numId w:val="17"/>
        </w:numPr>
        <w:spacing w:before="200" w:after="120" w:line="276" w:lineRule="auto"/>
        <w:ind w:left="567" w:hanging="567"/>
        <w:contextualSpacing w:val="0"/>
      </w:pPr>
      <w:bookmarkStart w:id="433" w:name="_Toc467745554"/>
      <w:bookmarkStart w:id="434" w:name="_Toc468204022"/>
      <w:r w:rsidRPr="00E91B59">
        <w:t>Inlier bounds</w:t>
      </w:r>
      <w:bookmarkEnd w:id="429"/>
      <w:bookmarkEnd w:id="430"/>
      <w:bookmarkEnd w:id="431"/>
      <w:bookmarkEnd w:id="432"/>
      <w:bookmarkEnd w:id="433"/>
      <w:bookmarkEnd w:id="434"/>
    </w:p>
    <w:p w14:paraId="0C0FE607" w14:textId="40A43470" w:rsidR="00E26387" w:rsidRPr="00E91B59" w:rsidRDefault="00E26387" w:rsidP="002D606E">
      <w:pPr>
        <w:tabs>
          <w:tab w:val="left" w:pos="1162"/>
        </w:tabs>
        <w:ind w:right="-28"/>
        <w:rPr>
          <w:rFonts w:cs="Arial"/>
          <w:szCs w:val="20"/>
        </w:rPr>
      </w:pPr>
      <w:r w:rsidRPr="00E91B59">
        <w:rPr>
          <w:rFonts w:cs="Arial"/>
          <w:szCs w:val="20"/>
        </w:rPr>
        <w:t xml:space="preserve">The L3H3 method was applied to the population of in-scope activity from ABF establishments to identify inlier bounds outside of which are short-stay and long-stay outliers, as illustrated in </w:t>
      </w:r>
      <w:r w:rsidRPr="00E91B59">
        <w:rPr>
          <w:rFonts w:cs="Arial"/>
          <w:szCs w:val="20"/>
        </w:rPr>
        <w:fldChar w:fldCharType="begin"/>
      </w:r>
      <w:r w:rsidRPr="00E91B59">
        <w:rPr>
          <w:rFonts w:cs="Arial"/>
          <w:szCs w:val="20"/>
        </w:rPr>
        <w:instrText xml:space="preserve"> REF _Ref466384076 \h  \* MERGEFORMAT </w:instrText>
      </w:r>
      <w:r w:rsidRPr="00E91B59">
        <w:rPr>
          <w:rFonts w:cs="Arial"/>
          <w:szCs w:val="20"/>
        </w:rPr>
      </w:r>
      <w:r w:rsidRPr="00E91B59">
        <w:rPr>
          <w:rFonts w:cs="Arial"/>
          <w:szCs w:val="20"/>
        </w:rPr>
        <w:fldChar w:fldCharType="separate"/>
      </w:r>
      <w:r w:rsidR="00F84458" w:rsidRPr="00F84458">
        <w:t xml:space="preserve">Figure </w:t>
      </w:r>
      <w:r w:rsidR="00F84458" w:rsidRPr="00F84458">
        <w:rPr>
          <w:rFonts w:asciiTheme="minorHAnsi" w:hAnsiTheme="minorHAnsi" w:cstheme="minorBidi"/>
          <w:noProof/>
        </w:rPr>
        <w:t>2</w:t>
      </w:r>
      <w:r w:rsidRPr="00E91B59">
        <w:rPr>
          <w:rFonts w:cs="Arial"/>
          <w:szCs w:val="20"/>
        </w:rPr>
        <w:fldChar w:fldCharType="end"/>
      </w:r>
      <w:r w:rsidRPr="00E91B59">
        <w:rPr>
          <w:rFonts w:cs="Arial"/>
          <w:szCs w:val="20"/>
        </w:rPr>
        <w:t>. The method excludes same-day episodes occurring in AR</w:t>
      </w:r>
      <w:r w:rsidRPr="00E91B59">
        <w:rPr>
          <w:rFonts w:cs="Arial"/>
          <w:szCs w:val="20"/>
        </w:rPr>
        <w:noBreakHyphen/>
        <w:t xml:space="preserve">DRGs designated for a separate same-day payment, and uses LOS adjusted to remove ICU days for ICU-unbundled AR-DRGs. </w:t>
      </w:r>
    </w:p>
    <w:p w14:paraId="58F84746" w14:textId="77777777" w:rsidR="00F430BA" w:rsidRDefault="00F430BA" w:rsidP="002D606E">
      <w:pPr>
        <w:tabs>
          <w:tab w:val="left" w:pos="1162"/>
        </w:tabs>
        <w:ind w:right="-28"/>
        <w:rPr>
          <w:rFonts w:cs="Arial"/>
          <w:szCs w:val="20"/>
          <w:highlight w:val="lightGray"/>
        </w:rPr>
      </w:pPr>
    </w:p>
    <w:p w14:paraId="3097A5AB" w14:textId="44BB6963" w:rsidR="00E91B59" w:rsidRDefault="00E91B59" w:rsidP="00560AC0">
      <w:pPr>
        <w:spacing w:after="0" w:line="240" w:lineRule="auto"/>
        <w:rPr>
          <w:rFonts w:cs="Arial"/>
          <w:szCs w:val="20"/>
          <w:highlight w:val="lightGray"/>
        </w:rPr>
      </w:pPr>
      <w:r>
        <w:rPr>
          <w:rFonts w:cs="Arial"/>
          <w:szCs w:val="20"/>
          <w:highlight w:val="lightGray"/>
        </w:rPr>
        <w:br w:type="page"/>
      </w:r>
    </w:p>
    <w:p w14:paraId="47D33321" w14:textId="7DB53614" w:rsidR="00E26387" w:rsidRPr="00E91B59" w:rsidRDefault="00E26387" w:rsidP="00560AC0">
      <w:pPr>
        <w:spacing w:before="120" w:after="0" w:line="240" w:lineRule="auto"/>
        <w:rPr>
          <w:b/>
        </w:rPr>
      </w:pPr>
      <w:bookmarkStart w:id="435" w:name="_Ref466384076"/>
      <w:r w:rsidRPr="00E91B59">
        <w:rPr>
          <w:b/>
        </w:rPr>
        <w:lastRenderedPageBreak/>
        <w:t xml:space="preserve">Figure </w:t>
      </w:r>
      <w:r w:rsidRPr="00E91B59">
        <w:rPr>
          <w:b/>
        </w:rPr>
        <w:fldChar w:fldCharType="begin"/>
      </w:r>
      <w:r w:rsidRPr="00E91B59">
        <w:rPr>
          <w:b/>
        </w:rPr>
        <w:instrText xml:space="preserve"> SEQ Figure \* ARABIC </w:instrText>
      </w:r>
      <w:r w:rsidRPr="00E91B59">
        <w:rPr>
          <w:b/>
        </w:rPr>
        <w:fldChar w:fldCharType="separate"/>
      </w:r>
      <w:r w:rsidR="00F84458">
        <w:rPr>
          <w:b/>
          <w:noProof/>
        </w:rPr>
        <w:t>2</w:t>
      </w:r>
      <w:r w:rsidRPr="00E91B59">
        <w:rPr>
          <w:b/>
        </w:rPr>
        <w:fldChar w:fldCharType="end"/>
      </w:r>
      <w:bookmarkEnd w:id="435"/>
      <w:r w:rsidRPr="00E91B59">
        <w:rPr>
          <w:b/>
        </w:rPr>
        <w:t>: Inlier bound calculations.</w:t>
      </w:r>
    </w:p>
    <w:p w14:paraId="0C5D45A5" w14:textId="77777777" w:rsidR="00F430BA" w:rsidRPr="0044388E" w:rsidRDefault="00E26387">
      <w:pPr>
        <w:tabs>
          <w:tab w:val="left" w:pos="1162"/>
        </w:tabs>
        <w:ind w:right="-28"/>
        <w:rPr>
          <w:rFonts w:cs="Arial"/>
          <w:szCs w:val="20"/>
          <w:highlight w:val="lightGray"/>
        </w:rPr>
      </w:pPr>
      <w:r w:rsidRPr="0044388E">
        <w:rPr>
          <w:rFonts w:cs="Arial"/>
          <w:noProof/>
          <w:szCs w:val="20"/>
          <w:highlight w:val="lightGray"/>
        </w:rPr>
        <w:drawing>
          <wp:inline distT="0" distB="0" distL="0" distR="0" wp14:anchorId="3B15C843" wp14:editId="15E43631">
            <wp:extent cx="5732145" cy="4453351"/>
            <wp:effectExtent l="19050" t="19050" r="20955" b="23495"/>
            <wp:docPr id="34" name="Picture 34" descr="D:\ALOS chart 1.PNG" title="Figure 2: Inlier bound calc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ALOS chart 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2145" cy="4453351"/>
                    </a:xfrm>
                    <a:prstGeom prst="rect">
                      <a:avLst/>
                    </a:prstGeom>
                    <a:noFill/>
                    <a:ln>
                      <a:solidFill>
                        <a:schemeClr val="accent1"/>
                      </a:solidFill>
                    </a:ln>
                  </pic:spPr>
                </pic:pic>
              </a:graphicData>
            </a:graphic>
          </wp:inline>
        </w:drawing>
      </w:r>
    </w:p>
    <w:p w14:paraId="71457772" w14:textId="77777777" w:rsidR="00F430BA" w:rsidRPr="0044388E" w:rsidRDefault="00F430BA">
      <w:pPr>
        <w:tabs>
          <w:tab w:val="left" w:pos="1162"/>
        </w:tabs>
        <w:ind w:right="-28"/>
        <w:rPr>
          <w:rFonts w:cs="Arial"/>
          <w:szCs w:val="20"/>
          <w:highlight w:val="lightGray"/>
        </w:rPr>
      </w:pPr>
    </w:p>
    <w:p w14:paraId="11044C93" w14:textId="25C090C4" w:rsidR="00F430BA" w:rsidRPr="00E91B59" w:rsidRDefault="00E91B59" w:rsidP="002D606E">
      <w:pPr>
        <w:tabs>
          <w:tab w:val="left" w:pos="1162"/>
        </w:tabs>
        <w:spacing w:after="360"/>
        <w:ind w:right="-28"/>
        <w:rPr>
          <w:rFonts w:cs="Arial"/>
          <w:szCs w:val="20"/>
          <w:highlight w:val="yellow"/>
        </w:rPr>
      </w:pPr>
      <w:r w:rsidRPr="005D2CAB">
        <w:rPr>
          <w:rFonts w:cs="Arial"/>
          <w:szCs w:val="20"/>
        </w:rPr>
        <w:t xml:space="preserve">L1.5H1.5 was approved for Mental Health Major Diagnostic Categories (MDC) 19 and 20, as well as 21 DRGs that had very high cost long stay outliers. The list of 21 DRGs where the L1.5H1.5 method has been used to determine the inlier bounds is provided </w:t>
      </w:r>
      <w:r w:rsidRPr="005D2CAB">
        <w:rPr>
          <w:rFonts w:asciiTheme="minorHAnsi" w:hAnsiTheme="minorHAnsi" w:cstheme="minorHAnsi"/>
          <w:szCs w:val="22"/>
        </w:rPr>
        <w:t xml:space="preserve">in </w:t>
      </w:r>
      <w:r w:rsidR="005D2CAB" w:rsidRPr="000351BD">
        <w:rPr>
          <w:rFonts w:cs="Arial"/>
          <w:szCs w:val="20"/>
        </w:rPr>
        <w:fldChar w:fldCharType="begin"/>
      </w:r>
      <w:r w:rsidR="005D2CAB" w:rsidRPr="000351BD">
        <w:rPr>
          <w:rFonts w:cs="Arial"/>
          <w:szCs w:val="20"/>
        </w:rPr>
        <w:instrText xml:space="preserve"> REF _Ref468263716 \r \h </w:instrText>
      </w:r>
      <w:r w:rsidR="005D2CAB">
        <w:rPr>
          <w:rFonts w:cs="Arial"/>
          <w:szCs w:val="20"/>
        </w:rPr>
        <w:instrText xml:space="preserve"> \* MERGEFORMAT </w:instrText>
      </w:r>
      <w:r w:rsidR="005D2CAB" w:rsidRPr="000351BD">
        <w:rPr>
          <w:rFonts w:cs="Arial"/>
          <w:szCs w:val="20"/>
        </w:rPr>
      </w:r>
      <w:r w:rsidR="005D2CAB" w:rsidRPr="000351BD">
        <w:rPr>
          <w:rFonts w:cs="Arial"/>
          <w:szCs w:val="20"/>
        </w:rPr>
        <w:fldChar w:fldCharType="separate"/>
      </w:r>
      <w:r w:rsidR="00F84458">
        <w:rPr>
          <w:rFonts w:cs="Arial"/>
          <w:szCs w:val="20"/>
        </w:rPr>
        <w:t>Appendix D</w:t>
      </w:r>
      <w:r w:rsidR="005D2CAB" w:rsidRPr="000351BD">
        <w:rPr>
          <w:rFonts w:cs="Arial"/>
          <w:szCs w:val="20"/>
        </w:rPr>
        <w:fldChar w:fldCharType="end"/>
      </w:r>
      <w:r w:rsidR="005D2CAB" w:rsidRPr="000351BD">
        <w:rPr>
          <w:rFonts w:cs="Arial"/>
          <w:szCs w:val="20"/>
        </w:rPr>
        <w:t>.</w:t>
      </w:r>
    </w:p>
    <w:p w14:paraId="6CFA5620" w14:textId="77777777" w:rsidR="00E26387" w:rsidRPr="00E91B59" w:rsidRDefault="00E26387" w:rsidP="002D606E">
      <w:pPr>
        <w:tabs>
          <w:tab w:val="left" w:pos="1162"/>
        </w:tabs>
        <w:spacing w:after="240"/>
        <w:ind w:right="-28"/>
        <w:rPr>
          <w:rFonts w:cs="Arial"/>
          <w:szCs w:val="20"/>
        </w:rPr>
      </w:pPr>
      <w:r w:rsidRPr="00E91B59">
        <w:rPr>
          <w:rFonts w:cs="Arial"/>
          <w:szCs w:val="20"/>
        </w:rPr>
        <w:t>The steps are:</w:t>
      </w:r>
    </w:p>
    <w:p w14:paraId="5AC708B4" w14:textId="77777777" w:rsidR="00E26387" w:rsidRPr="00E91B59" w:rsidRDefault="00E26387" w:rsidP="002D606E">
      <w:pPr>
        <w:pStyle w:val="ListParagraph"/>
        <w:numPr>
          <w:ilvl w:val="0"/>
          <w:numId w:val="20"/>
        </w:numPr>
        <w:tabs>
          <w:tab w:val="left" w:pos="1162"/>
        </w:tabs>
        <w:spacing w:before="80" w:line="240" w:lineRule="auto"/>
        <w:ind w:right="-28"/>
        <w:contextualSpacing w:val="0"/>
        <w:rPr>
          <w:rFonts w:cs="Arial"/>
          <w:szCs w:val="20"/>
        </w:rPr>
      </w:pPr>
      <w:r w:rsidRPr="00E91B59">
        <w:rPr>
          <w:rFonts w:cs="Arial"/>
          <w:szCs w:val="20"/>
        </w:rPr>
        <w:t xml:space="preserve">Calculate the national average length of stay (ALOS) for each AR-DRG. </w:t>
      </w:r>
    </w:p>
    <w:p w14:paraId="20A5BDA1" w14:textId="77777777" w:rsidR="00E26387" w:rsidRPr="00E91B59" w:rsidRDefault="00E26387" w:rsidP="002D606E">
      <w:pPr>
        <w:pStyle w:val="ListParagraph"/>
        <w:numPr>
          <w:ilvl w:val="0"/>
          <w:numId w:val="20"/>
        </w:numPr>
        <w:tabs>
          <w:tab w:val="left" w:pos="1162"/>
        </w:tabs>
        <w:spacing w:before="80" w:line="240" w:lineRule="auto"/>
        <w:ind w:left="714" w:right="-28" w:hanging="357"/>
        <w:contextualSpacing w:val="0"/>
        <w:rPr>
          <w:rFonts w:cs="Arial"/>
          <w:szCs w:val="20"/>
        </w:rPr>
      </w:pPr>
      <w:r w:rsidRPr="00E91B59">
        <w:rPr>
          <w:rFonts w:cs="Arial"/>
          <w:szCs w:val="20"/>
        </w:rPr>
        <w:t xml:space="preserve">Calculate the inlier lower bound for each AR-DRG. This is based on the calculation: national average length of stay divided by 3 (1.5 for Mental Health and the 21 specified DRGs). </w:t>
      </w:r>
    </w:p>
    <w:p w14:paraId="116893F8" w14:textId="77777777" w:rsidR="00E26387" w:rsidRPr="00E91B59" w:rsidRDefault="00E26387" w:rsidP="002D606E">
      <w:pPr>
        <w:pStyle w:val="ListParagraph"/>
        <w:tabs>
          <w:tab w:val="left" w:pos="1162"/>
        </w:tabs>
        <w:spacing w:after="240"/>
        <w:ind w:left="714" w:right="-28"/>
        <w:contextualSpacing w:val="0"/>
        <w:rPr>
          <w:rFonts w:cs="Arial"/>
          <w:szCs w:val="20"/>
        </w:rPr>
      </w:pPr>
      <w:r w:rsidRPr="00E91B59">
        <w:rPr>
          <w:rFonts w:cs="Arial"/>
          <w:szCs w:val="20"/>
        </w:rPr>
        <w:t>Inlier lower bound = ALOS / 3</w:t>
      </w:r>
    </w:p>
    <w:p w14:paraId="740159B2" w14:textId="77777777" w:rsidR="00E26387" w:rsidRPr="00E91B59" w:rsidRDefault="00E26387" w:rsidP="002D606E">
      <w:pPr>
        <w:pStyle w:val="ListParagraph"/>
        <w:tabs>
          <w:tab w:val="left" w:pos="1162"/>
        </w:tabs>
        <w:spacing w:before="80"/>
        <w:ind w:left="714" w:right="-28"/>
        <w:contextualSpacing w:val="0"/>
        <w:rPr>
          <w:rFonts w:cs="Arial"/>
          <w:szCs w:val="20"/>
        </w:rPr>
      </w:pPr>
      <w:r w:rsidRPr="00E91B59">
        <w:rPr>
          <w:rFonts w:cs="Arial"/>
          <w:szCs w:val="20"/>
        </w:rPr>
        <w:t>The result was truncated; this means that it was rounded down to the next lowest integer (e.g. if the result was 3.6, the inlier lower bound was set to 3).</w:t>
      </w:r>
    </w:p>
    <w:p w14:paraId="72DB023D" w14:textId="77777777" w:rsidR="00E26387" w:rsidRPr="00E91B59" w:rsidRDefault="00E26387" w:rsidP="002D606E">
      <w:pPr>
        <w:pStyle w:val="ListParagraph"/>
        <w:numPr>
          <w:ilvl w:val="0"/>
          <w:numId w:val="20"/>
        </w:numPr>
        <w:tabs>
          <w:tab w:val="left" w:pos="1162"/>
        </w:tabs>
        <w:spacing w:before="80" w:line="240" w:lineRule="auto"/>
        <w:ind w:left="714" w:right="-28" w:hanging="357"/>
        <w:contextualSpacing w:val="0"/>
        <w:rPr>
          <w:rFonts w:cs="Arial"/>
          <w:szCs w:val="20"/>
        </w:rPr>
      </w:pPr>
      <w:r w:rsidRPr="00E91B59">
        <w:rPr>
          <w:rFonts w:cs="Arial"/>
          <w:szCs w:val="20"/>
        </w:rPr>
        <w:t xml:space="preserve">Calculate the inlier upper bound for each AR-DRG. This is based on the calculation: national average length of stay multiplied by 3 (1.5 for Mental Health and the 21 specified DRGs). </w:t>
      </w:r>
    </w:p>
    <w:p w14:paraId="56F1D2AC" w14:textId="77777777" w:rsidR="00E26387" w:rsidRPr="00E91B59" w:rsidRDefault="00E26387" w:rsidP="002D606E">
      <w:pPr>
        <w:pStyle w:val="ListParagraph"/>
        <w:tabs>
          <w:tab w:val="left" w:pos="1162"/>
        </w:tabs>
        <w:spacing w:after="240"/>
        <w:ind w:left="714" w:right="-28"/>
        <w:contextualSpacing w:val="0"/>
        <w:rPr>
          <w:rFonts w:cs="Arial"/>
          <w:szCs w:val="20"/>
        </w:rPr>
      </w:pPr>
      <w:r w:rsidRPr="00E91B59">
        <w:rPr>
          <w:rFonts w:cs="Arial"/>
          <w:szCs w:val="20"/>
        </w:rPr>
        <w:t>Inlier upper bound = ALOS x 3</w:t>
      </w:r>
    </w:p>
    <w:p w14:paraId="162BFBB6" w14:textId="77777777" w:rsidR="00E26387" w:rsidRPr="00E91B59" w:rsidRDefault="00E26387" w:rsidP="002D606E">
      <w:pPr>
        <w:pStyle w:val="ListParagraph"/>
        <w:tabs>
          <w:tab w:val="left" w:pos="1162"/>
        </w:tabs>
        <w:spacing w:before="80"/>
        <w:ind w:left="714" w:right="-28"/>
        <w:contextualSpacing w:val="0"/>
        <w:rPr>
          <w:rFonts w:cs="Arial"/>
          <w:szCs w:val="20"/>
        </w:rPr>
      </w:pPr>
      <w:r w:rsidRPr="00E91B59">
        <w:rPr>
          <w:rFonts w:cs="Arial"/>
          <w:szCs w:val="20"/>
        </w:rPr>
        <w:t>The result was rounded to the nearest integer (e.g. 10.2 would result in the upper bound being set to 10, whereas 10.7 would result in the upper bound being set to 11).</w:t>
      </w:r>
    </w:p>
    <w:p w14:paraId="306425D2" w14:textId="77777777" w:rsidR="00E26387" w:rsidRPr="00E91B59" w:rsidRDefault="00E26387" w:rsidP="002D606E">
      <w:pPr>
        <w:pStyle w:val="ListParagraph"/>
        <w:numPr>
          <w:ilvl w:val="0"/>
          <w:numId w:val="20"/>
        </w:numPr>
        <w:tabs>
          <w:tab w:val="left" w:pos="1162"/>
        </w:tabs>
        <w:spacing w:before="80" w:line="240" w:lineRule="auto"/>
        <w:ind w:left="714" w:right="-28" w:hanging="357"/>
        <w:contextualSpacing w:val="0"/>
        <w:rPr>
          <w:rFonts w:cs="Arial"/>
          <w:szCs w:val="20"/>
        </w:rPr>
      </w:pPr>
      <w:r w:rsidRPr="00E91B59">
        <w:rPr>
          <w:rFonts w:cs="Arial"/>
          <w:szCs w:val="20"/>
        </w:rPr>
        <w:lastRenderedPageBreak/>
        <w:t>Episodes with an ICU-adjusted LOS equal to or between the two inlier bounds of the AR</w:t>
      </w:r>
      <w:r w:rsidRPr="00E91B59">
        <w:rPr>
          <w:rFonts w:cs="Arial"/>
          <w:szCs w:val="20"/>
        </w:rPr>
        <w:noBreakHyphen/>
        <w:t>DRG to which they belong are considered inlier episodes.</w:t>
      </w:r>
    </w:p>
    <w:p w14:paraId="0D0BC5AE" w14:textId="77777777" w:rsidR="00E26387" w:rsidRPr="00E91B59" w:rsidRDefault="00E26387" w:rsidP="002D606E">
      <w:pPr>
        <w:tabs>
          <w:tab w:val="left" w:pos="1162"/>
        </w:tabs>
        <w:spacing w:before="240"/>
        <w:ind w:right="-28"/>
        <w:rPr>
          <w:rFonts w:cs="Arial"/>
          <w:szCs w:val="20"/>
        </w:rPr>
      </w:pPr>
      <w:r w:rsidRPr="00E91B59">
        <w:rPr>
          <w:rFonts w:cs="Arial"/>
          <w:szCs w:val="20"/>
        </w:rPr>
        <w:t xml:space="preserve">Further to the above process, changes with respect to inlier bounds from the 2013-14 cost </w:t>
      </w:r>
      <w:proofErr w:type="gramStart"/>
      <w:r w:rsidRPr="00E91B59">
        <w:rPr>
          <w:rFonts w:cs="Arial"/>
          <w:szCs w:val="20"/>
        </w:rPr>
        <w:t>model</w:t>
      </w:r>
      <w:proofErr w:type="gramEnd"/>
      <w:r w:rsidRPr="00E91B59">
        <w:rPr>
          <w:rFonts w:cs="Arial"/>
          <w:szCs w:val="20"/>
        </w:rPr>
        <w:t xml:space="preserve"> were monitored to ensure they were the result of real change and were not due to statistical noise. </w:t>
      </w:r>
      <w:r w:rsidRPr="005D2CAB">
        <w:rPr>
          <w:rFonts w:cs="Arial"/>
          <w:szCs w:val="20"/>
        </w:rPr>
        <w:t>Wherever an AR-DRG has not been significantly affected by a specific change in methodology, 95 per cent confidence intervals around bounds are used to evaluate changes as significant or not. Changes are also evaluated in terms of their materiality (required to affect at least 1 per cent of an AR</w:t>
      </w:r>
      <w:r w:rsidRPr="005D2CAB">
        <w:rPr>
          <w:rFonts w:cs="Arial"/>
          <w:szCs w:val="20"/>
        </w:rPr>
        <w:noBreakHyphen/>
        <w:t>DRG’s separations and at least 10</w:t>
      </w:r>
      <w:r w:rsidRPr="005D2CAB">
        <w:t> </w:t>
      </w:r>
      <w:r w:rsidRPr="005D2CAB">
        <w:rPr>
          <w:rFonts w:cs="Arial"/>
          <w:szCs w:val="20"/>
        </w:rPr>
        <w:t>separations).</w:t>
      </w:r>
    </w:p>
    <w:p w14:paraId="17AB5644" w14:textId="4E23ABF9" w:rsidR="00E26387" w:rsidRPr="00B737BE" w:rsidRDefault="00E26387" w:rsidP="00560AC0">
      <w:pPr>
        <w:pStyle w:val="Heading3"/>
        <w:numPr>
          <w:ilvl w:val="2"/>
          <w:numId w:val="17"/>
        </w:numPr>
        <w:spacing w:before="200" w:after="120" w:line="276" w:lineRule="auto"/>
        <w:ind w:left="567" w:hanging="567"/>
        <w:contextualSpacing w:val="0"/>
      </w:pPr>
      <w:bookmarkStart w:id="436" w:name="_Ref319574396"/>
      <w:bookmarkStart w:id="437" w:name="_Ref319940031"/>
      <w:bookmarkStart w:id="438" w:name="_Toc380754700"/>
      <w:bookmarkStart w:id="439" w:name="_Toc466884168"/>
      <w:bookmarkStart w:id="440" w:name="_Toc467505181"/>
      <w:bookmarkStart w:id="441" w:name="_Toc467745555"/>
      <w:bookmarkStart w:id="442" w:name="_Toc468204023"/>
      <w:r w:rsidRPr="00B737BE">
        <w:t>Classification of patient-level cost data in relevant categories</w:t>
      </w:r>
      <w:bookmarkEnd w:id="436"/>
      <w:bookmarkEnd w:id="437"/>
      <w:bookmarkEnd w:id="438"/>
      <w:bookmarkEnd w:id="439"/>
      <w:bookmarkEnd w:id="440"/>
      <w:bookmarkEnd w:id="441"/>
      <w:bookmarkEnd w:id="442"/>
    </w:p>
    <w:p w14:paraId="23192F12" w14:textId="77777777" w:rsidR="00E26387" w:rsidRPr="00B737BE" w:rsidRDefault="00E26387" w:rsidP="002D606E">
      <w:pPr>
        <w:tabs>
          <w:tab w:val="left" w:pos="1162"/>
        </w:tabs>
        <w:spacing w:after="240"/>
        <w:ind w:right="-28"/>
        <w:rPr>
          <w:rFonts w:cs="Arial"/>
          <w:szCs w:val="20"/>
        </w:rPr>
      </w:pPr>
      <w:r w:rsidRPr="00B737BE">
        <w:rPr>
          <w:rFonts w:cs="Arial"/>
          <w:szCs w:val="20"/>
        </w:rPr>
        <w:t xml:space="preserve">Prior to analysing costs, episodes are assigned to categories reflecting the relevant adjustments to be made through the 2014-15 cost </w:t>
      </w:r>
      <w:proofErr w:type="gramStart"/>
      <w:r w:rsidRPr="00B737BE">
        <w:rPr>
          <w:rFonts w:cs="Arial"/>
          <w:szCs w:val="20"/>
        </w:rPr>
        <w:t>model</w:t>
      </w:r>
      <w:proofErr w:type="gramEnd"/>
      <w:r w:rsidRPr="00B737BE">
        <w:rPr>
          <w:rFonts w:cs="Arial"/>
          <w:szCs w:val="20"/>
        </w:rPr>
        <w:t>. The steps involved include:</w:t>
      </w:r>
    </w:p>
    <w:p w14:paraId="182F7A24" w14:textId="77777777" w:rsidR="00E26387" w:rsidRPr="00B737BE" w:rsidRDefault="00E26387" w:rsidP="002D606E">
      <w:pPr>
        <w:pStyle w:val="ListParagraph"/>
        <w:numPr>
          <w:ilvl w:val="0"/>
          <w:numId w:val="21"/>
        </w:numPr>
        <w:tabs>
          <w:tab w:val="left" w:pos="1162"/>
        </w:tabs>
        <w:spacing w:before="80" w:line="240" w:lineRule="auto"/>
        <w:ind w:right="-28"/>
        <w:contextualSpacing w:val="0"/>
        <w:rPr>
          <w:rFonts w:cs="Arial"/>
          <w:i/>
          <w:szCs w:val="20"/>
        </w:rPr>
      </w:pPr>
      <w:r w:rsidRPr="00B737BE">
        <w:rPr>
          <w:rFonts w:cs="Arial"/>
          <w:i/>
          <w:szCs w:val="20"/>
        </w:rPr>
        <w:t>Assigning one of the following categories to each episode:</w:t>
      </w:r>
    </w:p>
    <w:p w14:paraId="706D7E2F" w14:textId="77777777" w:rsidR="00E26387" w:rsidRPr="00B737BE" w:rsidRDefault="00E26387" w:rsidP="002D606E">
      <w:pPr>
        <w:pStyle w:val="ListParagraph"/>
        <w:numPr>
          <w:ilvl w:val="1"/>
          <w:numId w:val="21"/>
        </w:numPr>
        <w:tabs>
          <w:tab w:val="left" w:pos="1162"/>
        </w:tabs>
        <w:spacing w:before="80" w:line="240" w:lineRule="auto"/>
        <w:ind w:left="1434" w:right="-28" w:hanging="357"/>
        <w:contextualSpacing w:val="0"/>
        <w:rPr>
          <w:rFonts w:cs="Arial"/>
          <w:szCs w:val="20"/>
        </w:rPr>
      </w:pPr>
      <w:r w:rsidRPr="00B737BE">
        <w:rPr>
          <w:rFonts w:cs="Arial"/>
          <w:szCs w:val="20"/>
        </w:rPr>
        <w:t>Same-day separation from an AR-DRG on the Designated Same-Day Payment list;</w:t>
      </w:r>
    </w:p>
    <w:p w14:paraId="338EB960" w14:textId="77777777" w:rsidR="00E26387" w:rsidRPr="00B737BE" w:rsidRDefault="00E26387" w:rsidP="002D606E">
      <w:pPr>
        <w:pStyle w:val="ListParagraph"/>
        <w:numPr>
          <w:ilvl w:val="1"/>
          <w:numId w:val="21"/>
        </w:numPr>
        <w:tabs>
          <w:tab w:val="left" w:pos="1162"/>
        </w:tabs>
        <w:spacing w:before="80" w:line="240" w:lineRule="auto"/>
        <w:ind w:left="1434" w:right="-28" w:hanging="357"/>
        <w:contextualSpacing w:val="0"/>
        <w:rPr>
          <w:rFonts w:cs="Arial"/>
          <w:szCs w:val="20"/>
        </w:rPr>
      </w:pPr>
      <w:r w:rsidRPr="00B737BE">
        <w:rPr>
          <w:rFonts w:cs="Arial"/>
          <w:szCs w:val="20"/>
        </w:rPr>
        <w:t>Short stay outlier;</w:t>
      </w:r>
    </w:p>
    <w:p w14:paraId="056A6BB9" w14:textId="77777777" w:rsidR="00E26387" w:rsidRPr="00B737BE" w:rsidRDefault="00E26387" w:rsidP="002D606E">
      <w:pPr>
        <w:pStyle w:val="ListParagraph"/>
        <w:numPr>
          <w:ilvl w:val="1"/>
          <w:numId w:val="21"/>
        </w:numPr>
        <w:tabs>
          <w:tab w:val="left" w:pos="1162"/>
        </w:tabs>
        <w:spacing w:before="80" w:line="240" w:lineRule="auto"/>
        <w:ind w:left="1434" w:right="-28" w:hanging="357"/>
        <w:contextualSpacing w:val="0"/>
        <w:rPr>
          <w:rFonts w:cs="Arial"/>
          <w:szCs w:val="20"/>
        </w:rPr>
      </w:pPr>
      <w:r w:rsidRPr="00B737BE">
        <w:rPr>
          <w:rFonts w:cs="Arial"/>
          <w:szCs w:val="20"/>
        </w:rPr>
        <w:t>Inlier;</w:t>
      </w:r>
    </w:p>
    <w:p w14:paraId="5EB3557F" w14:textId="77777777" w:rsidR="00E26387" w:rsidRPr="00B737BE" w:rsidRDefault="00E26387" w:rsidP="002D606E">
      <w:pPr>
        <w:pStyle w:val="ListParagraph"/>
        <w:numPr>
          <w:ilvl w:val="1"/>
          <w:numId w:val="21"/>
        </w:numPr>
        <w:tabs>
          <w:tab w:val="left" w:pos="1162"/>
        </w:tabs>
        <w:spacing w:before="80" w:after="240" w:line="240" w:lineRule="auto"/>
        <w:ind w:left="1434" w:right="-28" w:hanging="357"/>
        <w:contextualSpacing w:val="0"/>
        <w:rPr>
          <w:rFonts w:cs="Arial"/>
          <w:szCs w:val="20"/>
        </w:rPr>
      </w:pPr>
      <w:r w:rsidRPr="00B737BE">
        <w:rPr>
          <w:rFonts w:cs="Arial"/>
          <w:szCs w:val="20"/>
        </w:rPr>
        <w:t>Long stay outlier.</w:t>
      </w:r>
    </w:p>
    <w:p w14:paraId="20E3D94E" w14:textId="77777777" w:rsidR="00E26387" w:rsidRPr="00B737BE" w:rsidRDefault="00E26387" w:rsidP="002D606E">
      <w:pPr>
        <w:pStyle w:val="ListParagraph"/>
        <w:numPr>
          <w:ilvl w:val="0"/>
          <w:numId w:val="21"/>
        </w:numPr>
        <w:tabs>
          <w:tab w:val="left" w:pos="1162"/>
        </w:tabs>
        <w:spacing w:before="80" w:line="240" w:lineRule="auto"/>
        <w:ind w:left="714" w:right="-28" w:hanging="357"/>
        <w:contextualSpacing w:val="0"/>
        <w:rPr>
          <w:rFonts w:cs="Arial"/>
          <w:i/>
          <w:szCs w:val="20"/>
        </w:rPr>
      </w:pPr>
      <w:bookmarkStart w:id="443" w:name="_Ref319574423"/>
      <w:r w:rsidRPr="00B737BE">
        <w:rPr>
          <w:rFonts w:cs="Arial"/>
          <w:i/>
          <w:szCs w:val="20"/>
        </w:rPr>
        <w:t>Flagging episodes that are eligible for the paediatric adjustment.</w:t>
      </w:r>
      <w:r w:rsidRPr="00B737BE">
        <w:rPr>
          <w:rFonts w:cs="Arial"/>
          <w:szCs w:val="20"/>
        </w:rPr>
        <w:t xml:space="preserve"> These are episodes that:</w:t>
      </w:r>
      <w:bookmarkEnd w:id="443"/>
    </w:p>
    <w:p w14:paraId="60145BF4" w14:textId="77777777" w:rsidR="00E26387" w:rsidRPr="00B737BE" w:rsidRDefault="00E26387" w:rsidP="002D606E">
      <w:pPr>
        <w:pStyle w:val="ListParagraph"/>
        <w:numPr>
          <w:ilvl w:val="1"/>
          <w:numId w:val="21"/>
        </w:numPr>
        <w:tabs>
          <w:tab w:val="left" w:pos="1162"/>
        </w:tabs>
        <w:spacing w:before="80" w:line="240" w:lineRule="auto"/>
        <w:ind w:left="1434" w:right="-28" w:hanging="357"/>
        <w:contextualSpacing w:val="0"/>
        <w:rPr>
          <w:rFonts w:cs="Arial"/>
          <w:szCs w:val="20"/>
        </w:rPr>
      </w:pPr>
      <w:r w:rsidRPr="00B737BE">
        <w:rPr>
          <w:rFonts w:cs="Arial"/>
          <w:szCs w:val="20"/>
        </w:rPr>
        <w:t xml:space="preserve">Occur in establishments identified as delivering specialised paediatric services (listed in Appendix E the NEP17 Determination); </w:t>
      </w:r>
    </w:p>
    <w:p w14:paraId="08187896" w14:textId="77777777" w:rsidR="00E26387" w:rsidRPr="00B737BE" w:rsidRDefault="00E26387" w:rsidP="002D606E">
      <w:pPr>
        <w:pStyle w:val="ListParagraph"/>
        <w:numPr>
          <w:ilvl w:val="1"/>
          <w:numId w:val="21"/>
        </w:numPr>
        <w:tabs>
          <w:tab w:val="left" w:pos="1162"/>
        </w:tabs>
        <w:spacing w:before="80" w:line="240" w:lineRule="auto"/>
        <w:ind w:left="1434" w:right="-28" w:hanging="357"/>
        <w:contextualSpacing w:val="0"/>
        <w:rPr>
          <w:rFonts w:cs="Arial"/>
          <w:szCs w:val="20"/>
        </w:rPr>
      </w:pPr>
      <w:r w:rsidRPr="00B737BE">
        <w:rPr>
          <w:rFonts w:cs="Arial"/>
          <w:szCs w:val="20"/>
        </w:rPr>
        <w:t>Have an AR-DRG which is not within MDC 15 (Newborns and other neonates); and</w:t>
      </w:r>
    </w:p>
    <w:p w14:paraId="2DD6B6E9" w14:textId="77777777" w:rsidR="00E26387" w:rsidRPr="00B737BE" w:rsidRDefault="00E26387" w:rsidP="002D606E">
      <w:pPr>
        <w:pStyle w:val="ListParagraph"/>
        <w:numPr>
          <w:ilvl w:val="1"/>
          <w:numId w:val="21"/>
        </w:numPr>
        <w:tabs>
          <w:tab w:val="left" w:pos="1162"/>
        </w:tabs>
        <w:spacing w:before="80" w:after="240" w:line="240" w:lineRule="auto"/>
        <w:ind w:left="1434" w:right="-28" w:hanging="357"/>
        <w:contextualSpacing w:val="0"/>
        <w:rPr>
          <w:rFonts w:cs="Arial"/>
          <w:szCs w:val="20"/>
        </w:rPr>
      </w:pPr>
      <w:r w:rsidRPr="00B737BE">
        <w:rPr>
          <w:rFonts w:cs="Arial"/>
          <w:szCs w:val="20"/>
        </w:rPr>
        <w:t xml:space="preserve">Have patient age at admission of 17 years or less. </w:t>
      </w:r>
    </w:p>
    <w:p w14:paraId="2133C6C3" w14:textId="767C7D62" w:rsidR="00E26387" w:rsidRPr="00B737BE" w:rsidRDefault="00E26387" w:rsidP="002D606E">
      <w:pPr>
        <w:pStyle w:val="ListParagraph"/>
        <w:numPr>
          <w:ilvl w:val="0"/>
          <w:numId w:val="21"/>
        </w:numPr>
        <w:tabs>
          <w:tab w:val="left" w:pos="1162"/>
        </w:tabs>
        <w:spacing w:before="80" w:after="240" w:line="240" w:lineRule="auto"/>
        <w:ind w:left="714" w:right="-28" w:hanging="357"/>
        <w:contextualSpacing w:val="0"/>
        <w:rPr>
          <w:rFonts w:cs="Arial"/>
          <w:i/>
          <w:szCs w:val="20"/>
        </w:rPr>
      </w:pPr>
      <w:r w:rsidRPr="00B737BE">
        <w:rPr>
          <w:rFonts w:cs="Arial"/>
          <w:i/>
          <w:szCs w:val="20"/>
        </w:rPr>
        <w:t>Flagging episodes that are eligible for the specialist psychiatric age adjustment.</w:t>
      </w:r>
      <w:r w:rsidRPr="00B737BE">
        <w:rPr>
          <w:rFonts w:cs="Arial"/>
          <w:szCs w:val="20"/>
        </w:rPr>
        <w:t xml:space="preserve"> These are episodes that have patient psychiatric care days and fall within the age categories specific to the adjustment (see </w:t>
      </w:r>
      <w:r w:rsidR="00A83F3A">
        <w:rPr>
          <w:rFonts w:cs="Arial"/>
          <w:szCs w:val="22"/>
        </w:rPr>
        <w:t>Section</w:t>
      </w:r>
      <w:r w:rsidR="00B6192B" w:rsidRPr="00B737BE">
        <w:rPr>
          <w:rFonts w:cs="Arial"/>
          <w:szCs w:val="22"/>
        </w:rPr>
        <w:t xml:space="preserve"> 3,</w:t>
      </w:r>
      <w:r w:rsidRPr="00B737BE">
        <w:rPr>
          <w:rFonts w:cs="Arial"/>
          <w:szCs w:val="22"/>
        </w:rPr>
        <w:t xml:space="preserve"> </w:t>
      </w:r>
      <w:r w:rsidR="00B6192B" w:rsidRPr="00B737BE">
        <w:rPr>
          <w:rFonts w:cs="Arial"/>
          <w:szCs w:val="22"/>
        </w:rPr>
        <w:fldChar w:fldCharType="begin"/>
      </w:r>
      <w:r w:rsidR="00B6192B" w:rsidRPr="00B737BE">
        <w:rPr>
          <w:rFonts w:cs="Arial"/>
          <w:szCs w:val="22"/>
        </w:rPr>
        <w:instrText xml:space="preserve"> REF _Ref342306421 \h  \* MERGEFORMAT </w:instrText>
      </w:r>
      <w:r w:rsidR="00B6192B" w:rsidRPr="00B737BE">
        <w:rPr>
          <w:rFonts w:cs="Arial"/>
          <w:szCs w:val="22"/>
        </w:rPr>
      </w:r>
      <w:r w:rsidR="00B6192B" w:rsidRPr="00B737BE">
        <w:rPr>
          <w:rFonts w:cs="Arial"/>
          <w:szCs w:val="22"/>
        </w:rPr>
        <w:fldChar w:fldCharType="separate"/>
      </w:r>
      <w:proofErr w:type="gramStart"/>
      <w:r w:rsidR="00F84458" w:rsidRPr="00F84458">
        <w:rPr>
          <w:szCs w:val="22"/>
        </w:rPr>
        <w:t>Mental</w:t>
      </w:r>
      <w:proofErr w:type="gramEnd"/>
      <w:r w:rsidR="00F84458" w:rsidRPr="00F84458">
        <w:rPr>
          <w:szCs w:val="22"/>
        </w:rPr>
        <w:t xml:space="preserve"> health care cost model</w:t>
      </w:r>
      <w:r w:rsidR="00B6192B" w:rsidRPr="00B737BE">
        <w:rPr>
          <w:rFonts w:cs="Arial"/>
          <w:szCs w:val="22"/>
        </w:rPr>
        <w:fldChar w:fldCharType="end"/>
      </w:r>
      <w:r w:rsidRPr="00B737BE">
        <w:rPr>
          <w:rFonts w:cs="Arial"/>
          <w:szCs w:val="22"/>
        </w:rPr>
        <w:t>).</w:t>
      </w:r>
      <w:r w:rsidRPr="00B737BE">
        <w:rPr>
          <w:rFonts w:cs="Arial"/>
          <w:i/>
          <w:szCs w:val="22"/>
        </w:rPr>
        <w:t xml:space="preserve"> </w:t>
      </w:r>
      <w:r w:rsidRPr="00B737BE">
        <w:rPr>
          <w:rFonts w:cs="Arial"/>
          <w:szCs w:val="22"/>
        </w:rPr>
        <w:t>Togeth</w:t>
      </w:r>
      <w:r w:rsidRPr="00B737BE">
        <w:rPr>
          <w:rFonts w:cs="Arial"/>
          <w:szCs w:val="20"/>
        </w:rPr>
        <w:t xml:space="preserve">er with all the episodes in MDCs 19 and 20 (Mental Diseases and Disorders, and Alcohol/Drug Use and Alcohol/Drug Induced Organic Mental Disorders respectively), these episodes are considered part of the mental health model and are explained in </w:t>
      </w:r>
      <w:r w:rsidR="007916C6">
        <w:rPr>
          <w:rFonts w:cs="Arial"/>
          <w:szCs w:val="20"/>
        </w:rPr>
        <w:t>S</w:t>
      </w:r>
      <w:r w:rsidRPr="00B737BE">
        <w:rPr>
          <w:rFonts w:cs="Arial"/>
          <w:szCs w:val="20"/>
        </w:rPr>
        <w:t xml:space="preserve">ection </w:t>
      </w:r>
      <w:r w:rsidR="00B6192B" w:rsidRPr="00B737BE">
        <w:rPr>
          <w:rFonts w:cs="Arial"/>
          <w:szCs w:val="20"/>
        </w:rPr>
        <w:t>3</w:t>
      </w:r>
      <w:r w:rsidRPr="00B737BE">
        <w:rPr>
          <w:rFonts w:cs="Arial"/>
          <w:szCs w:val="20"/>
        </w:rPr>
        <w:t>.</w:t>
      </w:r>
    </w:p>
    <w:p w14:paraId="5A5CF091" w14:textId="77777777" w:rsidR="00E26387" w:rsidRPr="00B737BE" w:rsidRDefault="00E26387" w:rsidP="002D606E">
      <w:pPr>
        <w:pStyle w:val="ListParagraph"/>
        <w:numPr>
          <w:ilvl w:val="0"/>
          <w:numId w:val="21"/>
        </w:numPr>
        <w:tabs>
          <w:tab w:val="left" w:pos="1162"/>
        </w:tabs>
        <w:spacing w:before="80" w:after="240" w:line="240" w:lineRule="auto"/>
        <w:ind w:left="714" w:right="-28" w:hanging="357"/>
        <w:contextualSpacing w:val="0"/>
        <w:rPr>
          <w:rFonts w:cs="Arial"/>
          <w:szCs w:val="20"/>
        </w:rPr>
      </w:pPr>
      <w:r w:rsidRPr="00B737BE">
        <w:rPr>
          <w:rFonts w:cs="Arial"/>
          <w:i/>
          <w:szCs w:val="20"/>
        </w:rPr>
        <w:t xml:space="preserve">Flagging episodes that are eligible for the Indigenous adjustment. </w:t>
      </w:r>
      <w:r w:rsidRPr="00B737BE">
        <w:rPr>
          <w:rFonts w:cs="Arial"/>
          <w:szCs w:val="20"/>
        </w:rPr>
        <w:t>These are episodes with Indigenous status</w:t>
      </w:r>
      <w:r w:rsidRPr="00B737BE">
        <w:rPr>
          <w:rFonts w:cs="Arial"/>
          <w:szCs w:val="20"/>
          <w:vertAlign w:val="superscript"/>
        </w:rPr>
        <w:footnoteReference w:id="5"/>
      </w:r>
      <w:r w:rsidRPr="00B737BE">
        <w:rPr>
          <w:rFonts w:cs="Arial"/>
          <w:szCs w:val="20"/>
        </w:rPr>
        <w:t xml:space="preserve"> of Aboriginal and/or Torres Strait Islander origin.</w:t>
      </w:r>
    </w:p>
    <w:p w14:paraId="3A85E0B0" w14:textId="77777777" w:rsidR="00E26387" w:rsidRPr="00B737BE" w:rsidRDefault="00E26387" w:rsidP="002D606E">
      <w:pPr>
        <w:pStyle w:val="ListParagraph"/>
        <w:numPr>
          <w:ilvl w:val="0"/>
          <w:numId w:val="21"/>
        </w:numPr>
        <w:tabs>
          <w:tab w:val="left" w:pos="1162"/>
        </w:tabs>
        <w:spacing w:before="80" w:line="240" w:lineRule="auto"/>
        <w:ind w:left="714" w:right="-28" w:hanging="357"/>
        <w:contextualSpacing w:val="0"/>
        <w:rPr>
          <w:rFonts w:cs="Arial"/>
          <w:i/>
          <w:szCs w:val="20"/>
        </w:rPr>
      </w:pPr>
      <w:r w:rsidRPr="00B737BE">
        <w:rPr>
          <w:rFonts w:cs="Arial"/>
          <w:i/>
          <w:szCs w:val="20"/>
        </w:rPr>
        <w:t>Flagging episodes that are eligible for the remoteness adjustment.</w:t>
      </w:r>
      <w:r w:rsidRPr="00B737BE">
        <w:rPr>
          <w:rFonts w:cs="Arial"/>
          <w:szCs w:val="20"/>
        </w:rPr>
        <w:t xml:space="preserve"> These are episodes where the patient’s place of usual residence</w:t>
      </w:r>
      <w:r w:rsidRPr="00B737BE">
        <w:rPr>
          <w:rFonts w:cs="Arial"/>
          <w:szCs w:val="20"/>
          <w:vertAlign w:val="superscript"/>
        </w:rPr>
        <w:t xml:space="preserve"> </w:t>
      </w:r>
      <w:r w:rsidRPr="00B737BE">
        <w:rPr>
          <w:rFonts w:cs="Arial"/>
          <w:szCs w:val="20"/>
        </w:rPr>
        <w:t>has been assigned to a remoteness area</w:t>
      </w:r>
      <w:r w:rsidRPr="00B737BE">
        <w:rPr>
          <w:rFonts w:cs="Arial"/>
          <w:szCs w:val="20"/>
          <w:vertAlign w:val="superscript"/>
        </w:rPr>
        <w:footnoteReference w:id="6"/>
      </w:r>
      <w:r w:rsidRPr="00B737BE">
        <w:rPr>
          <w:rFonts w:cs="Arial"/>
          <w:szCs w:val="20"/>
          <w:vertAlign w:val="superscript"/>
        </w:rPr>
        <w:t xml:space="preserve"> </w:t>
      </w:r>
      <w:r w:rsidRPr="00B737BE">
        <w:rPr>
          <w:rFonts w:cs="Arial"/>
          <w:szCs w:val="20"/>
        </w:rPr>
        <w:t>of:</w:t>
      </w:r>
    </w:p>
    <w:p w14:paraId="3D099D00" w14:textId="77777777" w:rsidR="00E26387" w:rsidRPr="00B737BE" w:rsidRDefault="00E26387" w:rsidP="002D606E">
      <w:pPr>
        <w:pStyle w:val="ListParagraph"/>
        <w:numPr>
          <w:ilvl w:val="1"/>
          <w:numId w:val="21"/>
        </w:numPr>
        <w:tabs>
          <w:tab w:val="left" w:pos="1162"/>
        </w:tabs>
        <w:spacing w:before="80" w:line="240" w:lineRule="auto"/>
        <w:ind w:left="1434" w:right="-28" w:hanging="357"/>
        <w:contextualSpacing w:val="0"/>
        <w:rPr>
          <w:rFonts w:cs="Arial"/>
          <w:szCs w:val="20"/>
        </w:rPr>
      </w:pPr>
      <w:r w:rsidRPr="00B737BE">
        <w:rPr>
          <w:rFonts w:cs="Arial"/>
          <w:szCs w:val="20"/>
        </w:rPr>
        <w:lastRenderedPageBreak/>
        <w:t>RA2 - Outer Regional Australia;</w:t>
      </w:r>
    </w:p>
    <w:p w14:paraId="34D8D368" w14:textId="77777777" w:rsidR="00E26387" w:rsidRPr="00B737BE" w:rsidRDefault="00E26387" w:rsidP="002D606E">
      <w:pPr>
        <w:pStyle w:val="ListParagraph"/>
        <w:numPr>
          <w:ilvl w:val="1"/>
          <w:numId w:val="21"/>
        </w:numPr>
        <w:tabs>
          <w:tab w:val="left" w:pos="1162"/>
        </w:tabs>
        <w:spacing w:before="80" w:line="240" w:lineRule="auto"/>
        <w:ind w:left="1434" w:right="-28" w:hanging="357"/>
        <w:contextualSpacing w:val="0"/>
        <w:rPr>
          <w:rFonts w:cs="Arial"/>
          <w:szCs w:val="20"/>
        </w:rPr>
      </w:pPr>
      <w:r w:rsidRPr="00B737BE">
        <w:rPr>
          <w:rFonts w:cs="Arial"/>
          <w:szCs w:val="20"/>
        </w:rPr>
        <w:t xml:space="preserve">RA3 - Remote Australia; and </w:t>
      </w:r>
    </w:p>
    <w:p w14:paraId="7D32FE6A" w14:textId="77777777" w:rsidR="00E26387" w:rsidRPr="00B737BE" w:rsidRDefault="00E26387" w:rsidP="00560AC0">
      <w:pPr>
        <w:pStyle w:val="ListParagraph"/>
        <w:numPr>
          <w:ilvl w:val="1"/>
          <w:numId w:val="21"/>
        </w:numPr>
        <w:tabs>
          <w:tab w:val="left" w:pos="1162"/>
        </w:tabs>
        <w:spacing w:before="80" w:line="240" w:lineRule="auto"/>
        <w:ind w:left="1434" w:right="-28" w:hanging="357"/>
        <w:contextualSpacing w:val="0"/>
        <w:rPr>
          <w:rFonts w:cs="Arial"/>
          <w:szCs w:val="20"/>
        </w:rPr>
      </w:pPr>
      <w:r w:rsidRPr="00B737BE">
        <w:rPr>
          <w:rFonts w:cs="Arial"/>
          <w:szCs w:val="20"/>
        </w:rPr>
        <w:t>RA4 - Very Remote Australia.</w:t>
      </w:r>
    </w:p>
    <w:p w14:paraId="28572D35" w14:textId="77777777" w:rsidR="00E26387" w:rsidRPr="00B737BE" w:rsidRDefault="00E26387" w:rsidP="002D606E">
      <w:pPr>
        <w:pStyle w:val="ListParagraph"/>
        <w:tabs>
          <w:tab w:val="left" w:pos="1162"/>
        </w:tabs>
        <w:spacing w:before="200"/>
        <w:ind w:right="-28"/>
        <w:rPr>
          <w:rFonts w:cs="Arial"/>
          <w:szCs w:val="20"/>
        </w:rPr>
      </w:pPr>
      <w:r w:rsidRPr="00B737BE">
        <w:rPr>
          <w:rFonts w:cs="Arial"/>
          <w:szCs w:val="20"/>
        </w:rPr>
        <w:t>Three flags are used: one for outer regional Australia, one for remote Australia and one for very remote Australia. The remoteness area of the usual residence of a patient is determined using the following process:</w:t>
      </w:r>
    </w:p>
    <w:p w14:paraId="219F9316" w14:textId="5C07E776" w:rsidR="00E26387" w:rsidRDefault="00953216" w:rsidP="002D606E">
      <w:pPr>
        <w:pStyle w:val="ListParagraph"/>
        <w:numPr>
          <w:ilvl w:val="1"/>
          <w:numId w:val="21"/>
        </w:numPr>
        <w:tabs>
          <w:tab w:val="left" w:pos="1162"/>
        </w:tabs>
        <w:spacing w:before="80" w:line="240" w:lineRule="auto"/>
        <w:ind w:left="1434" w:right="-28" w:hanging="357"/>
        <w:contextualSpacing w:val="0"/>
        <w:rPr>
          <w:rFonts w:cs="Arial"/>
          <w:szCs w:val="20"/>
        </w:rPr>
      </w:pPr>
      <w:r w:rsidRPr="00B737BE">
        <w:rPr>
          <w:rFonts w:cs="Arial"/>
          <w:szCs w:val="20"/>
        </w:rPr>
        <w:t>The patient’s</w:t>
      </w:r>
      <w:r w:rsidRPr="00B737BE" w:rsidDel="00953216">
        <w:rPr>
          <w:rFonts w:cs="Arial"/>
          <w:szCs w:val="20"/>
        </w:rPr>
        <w:t xml:space="preserve"> </w:t>
      </w:r>
      <w:r w:rsidR="00E26387" w:rsidRPr="00B737BE">
        <w:rPr>
          <w:rFonts w:cs="Arial"/>
          <w:szCs w:val="20"/>
        </w:rPr>
        <w:t>ASGS</w:t>
      </w:r>
      <w:r>
        <w:rPr>
          <w:rFonts w:cs="Arial"/>
          <w:szCs w:val="20"/>
        </w:rPr>
        <w:t xml:space="preserve"> SA2</w:t>
      </w:r>
      <w:r w:rsidR="00E26387" w:rsidRPr="00B737BE">
        <w:rPr>
          <w:rFonts w:cs="Arial"/>
          <w:szCs w:val="20"/>
        </w:rPr>
        <w:t xml:space="preserve"> code is </w:t>
      </w:r>
      <w:r>
        <w:rPr>
          <w:rFonts w:cs="Arial"/>
          <w:szCs w:val="20"/>
        </w:rPr>
        <w:t>mapped to remoteness areas</w:t>
      </w:r>
      <w:r w:rsidR="005D0E05" w:rsidRPr="00C21501">
        <w:rPr>
          <w:rFonts w:cs="Arial"/>
          <w:szCs w:val="20"/>
        </w:rPr>
        <w:t>.</w:t>
      </w:r>
    </w:p>
    <w:p w14:paraId="5FACCC6A" w14:textId="34F83CFD" w:rsidR="00953216" w:rsidRPr="00B737BE" w:rsidRDefault="00953216" w:rsidP="00953216">
      <w:pPr>
        <w:pStyle w:val="ListParagraph"/>
        <w:numPr>
          <w:ilvl w:val="1"/>
          <w:numId w:val="21"/>
        </w:numPr>
        <w:tabs>
          <w:tab w:val="left" w:pos="1162"/>
        </w:tabs>
        <w:spacing w:before="80" w:line="240" w:lineRule="auto"/>
        <w:ind w:left="1434" w:right="-28" w:hanging="357"/>
        <w:contextualSpacing w:val="0"/>
        <w:rPr>
          <w:rFonts w:cs="Arial"/>
          <w:szCs w:val="20"/>
        </w:rPr>
      </w:pPr>
      <w:r>
        <w:rPr>
          <w:rFonts w:cs="Arial"/>
          <w:szCs w:val="20"/>
        </w:rPr>
        <w:t>IF the supplied SA2 code is missing or invalid, t</w:t>
      </w:r>
      <w:r w:rsidRPr="00B737BE">
        <w:rPr>
          <w:rFonts w:cs="Arial"/>
          <w:szCs w:val="20"/>
        </w:rPr>
        <w:t xml:space="preserve">he patient’s postcode of usual residence is </w:t>
      </w:r>
      <w:r>
        <w:rPr>
          <w:rFonts w:cs="Arial"/>
          <w:szCs w:val="20"/>
        </w:rPr>
        <w:t>used</w:t>
      </w:r>
      <w:r w:rsidR="005D0E05">
        <w:rPr>
          <w:rFonts w:cs="Arial"/>
          <w:szCs w:val="20"/>
        </w:rPr>
        <w:t>.</w:t>
      </w:r>
    </w:p>
    <w:p w14:paraId="01DA6D37" w14:textId="5BDBED56" w:rsidR="00E26387" w:rsidRPr="00B737BE" w:rsidRDefault="00E26387" w:rsidP="002D606E">
      <w:pPr>
        <w:pStyle w:val="ListParagraph"/>
        <w:numPr>
          <w:ilvl w:val="1"/>
          <w:numId w:val="21"/>
        </w:numPr>
        <w:tabs>
          <w:tab w:val="left" w:pos="1162"/>
        </w:tabs>
        <w:spacing w:before="80" w:line="240" w:lineRule="auto"/>
        <w:ind w:left="1434" w:right="-28" w:hanging="357"/>
        <w:contextualSpacing w:val="0"/>
        <w:rPr>
          <w:rFonts w:cs="Arial"/>
          <w:szCs w:val="20"/>
        </w:rPr>
      </w:pPr>
      <w:r w:rsidRPr="00B737BE">
        <w:rPr>
          <w:rFonts w:cs="Arial"/>
          <w:szCs w:val="20"/>
        </w:rPr>
        <w:t xml:space="preserve">If the </w:t>
      </w:r>
      <w:r w:rsidR="00953216">
        <w:rPr>
          <w:rFonts w:cs="Arial"/>
          <w:szCs w:val="20"/>
        </w:rPr>
        <w:t>post</w:t>
      </w:r>
      <w:r w:rsidRPr="00B737BE">
        <w:rPr>
          <w:rFonts w:cs="Arial"/>
          <w:szCs w:val="20"/>
        </w:rPr>
        <w:t>code is missing or invalid, then the supplied SLA code is used</w:t>
      </w:r>
      <w:r w:rsidR="005D0E05">
        <w:rPr>
          <w:rFonts w:cs="Arial"/>
          <w:szCs w:val="20"/>
        </w:rPr>
        <w:t>.</w:t>
      </w:r>
    </w:p>
    <w:p w14:paraId="339C8FA1" w14:textId="77777777" w:rsidR="00E26387" w:rsidRPr="00B737BE" w:rsidRDefault="00E26387" w:rsidP="002D606E">
      <w:pPr>
        <w:pStyle w:val="ListParagraph"/>
        <w:numPr>
          <w:ilvl w:val="1"/>
          <w:numId w:val="21"/>
        </w:numPr>
        <w:tabs>
          <w:tab w:val="left" w:pos="1162"/>
        </w:tabs>
        <w:spacing w:before="80" w:line="240" w:lineRule="auto"/>
        <w:ind w:left="1434" w:right="-28" w:hanging="357"/>
        <w:contextualSpacing w:val="0"/>
        <w:rPr>
          <w:rFonts w:cs="Arial"/>
          <w:szCs w:val="20"/>
        </w:rPr>
      </w:pPr>
      <w:r w:rsidRPr="00B737BE">
        <w:rPr>
          <w:rFonts w:cs="Arial"/>
          <w:szCs w:val="20"/>
        </w:rPr>
        <w:t>If the SLA code is also missing or invalid, then the remoteness area of the hospital is used. The remoteness code of the hospital is based on the remoteness area of the ABS collection district within which the hospital is located.</w:t>
      </w:r>
    </w:p>
    <w:p w14:paraId="183ED342" w14:textId="77777777" w:rsidR="00E26387" w:rsidRPr="00B737BE" w:rsidRDefault="00E26387" w:rsidP="002D606E">
      <w:pPr>
        <w:pStyle w:val="ListParagraph"/>
        <w:numPr>
          <w:ilvl w:val="0"/>
          <w:numId w:val="21"/>
        </w:numPr>
        <w:tabs>
          <w:tab w:val="left" w:pos="1162"/>
        </w:tabs>
        <w:spacing w:before="120" w:line="240" w:lineRule="auto"/>
        <w:ind w:left="714" w:right="-28" w:hanging="357"/>
        <w:contextualSpacing w:val="0"/>
        <w:rPr>
          <w:rFonts w:cs="Arial"/>
          <w:szCs w:val="20"/>
        </w:rPr>
      </w:pPr>
      <w:r w:rsidRPr="00B737BE">
        <w:rPr>
          <w:rFonts w:cs="Arial"/>
          <w:i/>
          <w:szCs w:val="20"/>
        </w:rPr>
        <w:t>Flagging episodes that are eligible for the radiotherapy adjustment.</w:t>
      </w:r>
      <w:r w:rsidRPr="00B737BE">
        <w:rPr>
          <w:rFonts w:cs="Arial"/>
          <w:szCs w:val="20"/>
        </w:rPr>
        <w:t xml:space="preserve"> These are episodes where the patient is eligible if they have recorded a radiotherapy-related procedure as defined in Appendix B of the NEP17 Determination.</w:t>
      </w:r>
    </w:p>
    <w:p w14:paraId="3D3B4532" w14:textId="77777777" w:rsidR="00E26387" w:rsidRPr="00B737BE" w:rsidRDefault="00E26387" w:rsidP="002D606E">
      <w:pPr>
        <w:pStyle w:val="ListParagraph"/>
        <w:numPr>
          <w:ilvl w:val="0"/>
          <w:numId w:val="21"/>
        </w:numPr>
        <w:tabs>
          <w:tab w:val="left" w:pos="1162"/>
        </w:tabs>
        <w:spacing w:before="120" w:line="240" w:lineRule="auto"/>
        <w:ind w:left="714" w:right="-28" w:hanging="357"/>
        <w:contextualSpacing w:val="0"/>
        <w:rPr>
          <w:rFonts w:cs="Arial"/>
          <w:szCs w:val="20"/>
        </w:rPr>
      </w:pPr>
      <w:r w:rsidRPr="00B737BE">
        <w:rPr>
          <w:rFonts w:cs="Arial"/>
          <w:i/>
          <w:szCs w:val="20"/>
        </w:rPr>
        <w:t>Flagging episodes that are eligible for the dialysis adjustment.</w:t>
      </w:r>
      <w:r w:rsidRPr="00B737BE">
        <w:rPr>
          <w:rFonts w:cs="Arial"/>
          <w:szCs w:val="20"/>
        </w:rPr>
        <w:t xml:space="preserve"> These are episodes where the patient is eligible if they are outside the specified dialysis AR-DRGs L61Z and L68Z, and have recorded a dialysis-related procedure as defined in Appendix C of the NEP17 Determination.</w:t>
      </w:r>
    </w:p>
    <w:p w14:paraId="25DA6E2D" w14:textId="77777777" w:rsidR="00E26387" w:rsidRPr="00B737BE" w:rsidRDefault="00E26387" w:rsidP="002D606E">
      <w:pPr>
        <w:pStyle w:val="ListParagraph"/>
        <w:numPr>
          <w:ilvl w:val="0"/>
          <w:numId w:val="21"/>
        </w:numPr>
        <w:tabs>
          <w:tab w:val="left" w:pos="1162"/>
        </w:tabs>
        <w:spacing w:before="120" w:line="240" w:lineRule="auto"/>
        <w:ind w:left="714" w:right="-28" w:hanging="357"/>
        <w:contextualSpacing w:val="0"/>
        <w:rPr>
          <w:rFonts w:cs="Arial"/>
          <w:szCs w:val="20"/>
        </w:rPr>
      </w:pPr>
      <w:r w:rsidRPr="00B737BE">
        <w:rPr>
          <w:rFonts w:cs="Arial"/>
          <w:i/>
          <w:szCs w:val="20"/>
        </w:rPr>
        <w:t>Flagging episodes eligible for ICU adjustment.</w:t>
      </w:r>
      <w:r w:rsidRPr="00B737BE">
        <w:rPr>
          <w:rFonts w:cs="Arial"/>
          <w:szCs w:val="20"/>
        </w:rPr>
        <w:t xml:space="preserve"> These are episodes that occur in hospitals identified by IHPA as eligible for ICU adjustment as defined in Appendix D of the NEP17 Determination and have an AR</w:t>
      </w:r>
      <w:r w:rsidRPr="00B737BE">
        <w:rPr>
          <w:rFonts w:cs="Arial"/>
          <w:szCs w:val="20"/>
        </w:rPr>
        <w:noBreakHyphen/>
        <w:t>DRG not on the Bundled ICU list (i.e. not from MDC 15 for newborns and other neonates).</w:t>
      </w:r>
    </w:p>
    <w:p w14:paraId="47C1741D" w14:textId="77777777" w:rsidR="00E26387" w:rsidRPr="00B737BE" w:rsidRDefault="00E26387" w:rsidP="002D606E">
      <w:pPr>
        <w:pStyle w:val="ListParagraph"/>
        <w:numPr>
          <w:ilvl w:val="0"/>
          <w:numId w:val="21"/>
        </w:numPr>
        <w:tabs>
          <w:tab w:val="left" w:pos="1162"/>
        </w:tabs>
        <w:spacing w:before="120" w:line="240" w:lineRule="auto"/>
        <w:ind w:right="-28"/>
        <w:contextualSpacing w:val="0"/>
        <w:rPr>
          <w:rFonts w:cs="Arial"/>
          <w:i/>
          <w:szCs w:val="20"/>
        </w:rPr>
      </w:pPr>
      <w:r w:rsidRPr="00B737BE">
        <w:rPr>
          <w:rFonts w:cs="Arial"/>
          <w:i/>
          <w:szCs w:val="20"/>
        </w:rPr>
        <w:t xml:space="preserve">Flagging private episodes. </w:t>
      </w:r>
      <w:r w:rsidRPr="00B737BE">
        <w:rPr>
          <w:rFonts w:cs="Arial"/>
          <w:szCs w:val="20"/>
        </w:rPr>
        <w:t>These are episodes with a funding source</w:t>
      </w:r>
      <w:r w:rsidRPr="00B737BE">
        <w:rPr>
          <w:rStyle w:val="FootnoteReference"/>
          <w:rFonts w:cs="Arial"/>
          <w:szCs w:val="20"/>
        </w:rPr>
        <w:footnoteReference w:id="7"/>
      </w:r>
      <w:r w:rsidRPr="00B737BE">
        <w:rPr>
          <w:rFonts w:cs="Arial"/>
          <w:szCs w:val="20"/>
        </w:rPr>
        <w:t xml:space="preserve"> of ‘09 Private health insurance’ or ‘13 Self-funded’.</w:t>
      </w:r>
    </w:p>
    <w:p w14:paraId="6390461D" w14:textId="77777777" w:rsidR="00E26387" w:rsidRPr="00B737BE" w:rsidRDefault="00E26387" w:rsidP="00560AC0">
      <w:pPr>
        <w:pStyle w:val="Heading3"/>
        <w:numPr>
          <w:ilvl w:val="2"/>
          <w:numId w:val="17"/>
        </w:numPr>
        <w:spacing w:before="200" w:after="120" w:line="276" w:lineRule="auto"/>
        <w:ind w:left="567" w:hanging="567"/>
        <w:contextualSpacing w:val="0"/>
      </w:pPr>
      <w:bookmarkStart w:id="444" w:name="_Toc380754701"/>
      <w:bookmarkStart w:id="445" w:name="_Toc466884169"/>
      <w:bookmarkStart w:id="446" w:name="_Toc467505182"/>
      <w:bookmarkStart w:id="447" w:name="_Toc467745556"/>
      <w:bookmarkStart w:id="448" w:name="_Toc468204024"/>
      <w:bookmarkStart w:id="449" w:name="_Ref319574618"/>
      <w:r w:rsidRPr="00B737BE">
        <w:t>Determine ICU adjustment level and deduct associated costs</w:t>
      </w:r>
      <w:bookmarkEnd w:id="444"/>
      <w:bookmarkEnd w:id="445"/>
      <w:bookmarkEnd w:id="446"/>
      <w:bookmarkEnd w:id="447"/>
      <w:bookmarkEnd w:id="448"/>
    </w:p>
    <w:p w14:paraId="729C9D2F" w14:textId="77777777" w:rsidR="00B737BE" w:rsidRPr="00B737BE" w:rsidRDefault="00B737BE" w:rsidP="002D606E">
      <w:pPr>
        <w:tabs>
          <w:tab w:val="left" w:pos="1162"/>
        </w:tabs>
        <w:ind w:right="-28"/>
        <w:rPr>
          <w:rFonts w:cs="Arial"/>
          <w:szCs w:val="20"/>
        </w:rPr>
      </w:pPr>
      <w:bookmarkStart w:id="450" w:name="_Ref342387309"/>
      <w:bookmarkStart w:id="451" w:name="_Toc380754702"/>
      <w:bookmarkStart w:id="452" w:name="_Toc466884170"/>
      <w:bookmarkStart w:id="453" w:name="_Toc467505183"/>
      <w:bookmarkEnd w:id="449"/>
      <w:r w:rsidRPr="00B737BE">
        <w:rPr>
          <w:rFonts w:cs="Arial"/>
          <w:szCs w:val="20"/>
        </w:rPr>
        <w:t>Patient-level cost data for episodes in hospitals with an eligible ICU or Paediatric ICU (PICU) with ICU hours reported are analysed to estimate an average cost per ICU hour. The eligible ICUs and PICUs are those belonging to hospitals that report more than 24,000 ICU hours and have more than 20 per cent of those hours reported with the use of mechanical ventilation. The specified hospitals with eligible ICUs and/or PICUs are listed at Appendix D of the NEP17 Determination</w:t>
      </w:r>
      <w:r w:rsidRPr="00B737BE">
        <w:rPr>
          <w:rFonts w:cs="Arial"/>
          <w:i/>
          <w:szCs w:val="20"/>
        </w:rPr>
        <w:t>.</w:t>
      </w:r>
      <w:r w:rsidRPr="00B737BE">
        <w:rPr>
          <w:rFonts w:cs="Arial"/>
          <w:szCs w:val="20"/>
        </w:rPr>
        <w:t xml:space="preserve"> A total sample of 72,086 separations with ICU hours and costs from establishments with eligible ICUs/PICUs was used.</w:t>
      </w:r>
    </w:p>
    <w:p w14:paraId="7D47074F" w14:textId="77777777" w:rsidR="00B737BE" w:rsidRPr="00B737BE" w:rsidRDefault="00B737BE" w:rsidP="002D606E">
      <w:pPr>
        <w:tabs>
          <w:tab w:val="left" w:pos="1162"/>
        </w:tabs>
        <w:ind w:right="-28"/>
        <w:rPr>
          <w:rFonts w:cs="Arial"/>
          <w:szCs w:val="20"/>
        </w:rPr>
      </w:pPr>
      <w:r w:rsidRPr="00B737BE">
        <w:rPr>
          <w:rFonts w:cs="Arial"/>
          <w:szCs w:val="20"/>
        </w:rPr>
        <w:lastRenderedPageBreak/>
        <w:t>Linear regression by state/territory was used to derive state/territory hourly ICU costs. DFFITS statistics are used to exclude overly influential observations. The weighted mean of the hourly ICU costs taken across states was used to derive a national ICU rate of $200.</w:t>
      </w:r>
    </w:p>
    <w:p w14:paraId="28F06FFD" w14:textId="77777777" w:rsidR="00B737BE" w:rsidRPr="00B737BE" w:rsidRDefault="00B737BE" w:rsidP="002D606E">
      <w:pPr>
        <w:tabs>
          <w:tab w:val="left" w:pos="1162"/>
        </w:tabs>
        <w:ind w:right="-28"/>
        <w:rPr>
          <w:rFonts w:cs="Arial"/>
          <w:szCs w:val="20"/>
        </w:rPr>
      </w:pPr>
      <w:r w:rsidRPr="00B737BE">
        <w:rPr>
          <w:rFonts w:cs="Arial"/>
          <w:szCs w:val="20"/>
        </w:rPr>
        <w:t>For ICU-eligible episodes, an ICU adjustment is calculated using the estimated ICU cost per hour and the reported number of whole ICU hours. This amount is deducted from the in-scope costs used for modelling the same-day payment AR-DRG, short stay outlier, inlier and long stay outlier costs and associated adjustments, but added back in for the ICU adjustment. Whole ICU days are also removed from each eligible episode’s LOS.</w:t>
      </w:r>
    </w:p>
    <w:p w14:paraId="5994E400" w14:textId="0E8DD72C" w:rsidR="00E26387" w:rsidRPr="00B737BE" w:rsidRDefault="00E26387" w:rsidP="00560AC0">
      <w:pPr>
        <w:pStyle w:val="Heading3"/>
        <w:numPr>
          <w:ilvl w:val="2"/>
          <w:numId w:val="17"/>
        </w:numPr>
        <w:spacing w:before="200" w:after="120" w:line="276" w:lineRule="auto"/>
        <w:ind w:left="567" w:hanging="567"/>
        <w:contextualSpacing w:val="0"/>
      </w:pPr>
      <w:bookmarkStart w:id="454" w:name="_Toc467745557"/>
      <w:bookmarkStart w:id="455" w:name="_Toc468204025"/>
      <w:r w:rsidRPr="00B737BE">
        <w:t>DRG Inlier/Outlier Model</w:t>
      </w:r>
      <w:bookmarkEnd w:id="450"/>
      <w:bookmarkEnd w:id="451"/>
      <w:bookmarkEnd w:id="452"/>
      <w:bookmarkEnd w:id="453"/>
      <w:bookmarkEnd w:id="454"/>
      <w:bookmarkEnd w:id="455"/>
    </w:p>
    <w:p w14:paraId="3FFBB555" w14:textId="41166136" w:rsidR="00E26387" w:rsidRPr="00B737BE" w:rsidRDefault="00E26387" w:rsidP="002D606E">
      <w:pPr>
        <w:tabs>
          <w:tab w:val="left" w:pos="1162"/>
        </w:tabs>
        <w:ind w:right="-28"/>
      </w:pPr>
      <w:r w:rsidRPr="00B737BE">
        <w:fldChar w:fldCharType="begin"/>
      </w:r>
      <w:r w:rsidRPr="00B737BE">
        <w:instrText xml:space="preserve"> REF _Ref466384114 \h  \* MERGEFORMAT </w:instrText>
      </w:r>
      <w:r w:rsidRPr="00B737BE">
        <w:fldChar w:fldCharType="separate"/>
      </w:r>
      <w:r w:rsidR="00F84458" w:rsidRPr="00F84458">
        <w:t xml:space="preserve">Figure </w:t>
      </w:r>
      <w:r w:rsidR="00F84458" w:rsidRPr="00F84458">
        <w:rPr>
          <w:rFonts w:asciiTheme="minorHAnsi" w:hAnsiTheme="minorHAnsi" w:cstheme="minorBidi"/>
          <w:noProof/>
        </w:rPr>
        <w:t>3</w:t>
      </w:r>
      <w:r w:rsidRPr="00B737BE">
        <w:fldChar w:fldCharType="end"/>
      </w:r>
      <w:r w:rsidRPr="00B737BE">
        <w:t xml:space="preserve"> illustrates the general form of the cost model within each AR-DRG. However, an AR-DRG’s form may differ depending on whether it has a designated same-day separation category, a short-stay outlier category, or a long-stay outlier category. </w:t>
      </w:r>
    </w:p>
    <w:p w14:paraId="5BB222BF" w14:textId="70E8FD9B" w:rsidR="00E26387" w:rsidRPr="00B737BE" w:rsidRDefault="00E26387" w:rsidP="00560AC0">
      <w:pPr>
        <w:spacing w:before="120" w:after="0" w:line="240" w:lineRule="auto"/>
        <w:rPr>
          <w:b/>
        </w:rPr>
      </w:pPr>
      <w:bookmarkStart w:id="456" w:name="_Ref466384114"/>
      <w:r w:rsidRPr="00B737BE">
        <w:rPr>
          <w:b/>
        </w:rPr>
        <w:t xml:space="preserve">Figure </w:t>
      </w:r>
      <w:r w:rsidRPr="00B737BE">
        <w:rPr>
          <w:b/>
        </w:rPr>
        <w:fldChar w:fldCharType="begin"/>
      </w:r>
      <w:r w:rsidRPr="00B737BE">
        <w:rPr>
          <w:b/>
        </w:rPr>
        <w:instrText xml:space="preserve"> SEQ Figure \* ARABIC </w:instrText>
      </w:r>
      <w:r w:rsidRPr="00B737BE">
        <w:rPr>
          <w:b/>
        </w:rPr>
        <w:fldChar w:fldCharType="separate"/>
      </w:r>
      <w:r w:rsidR="00F84458">
        <w:rPr>
          <w:b/>
          <w:noProof/>
        </w:rPr>
        <w:t>3</w:t>
      </w:r>
      <w:r w:rsidRPr="00B737BE">
        <w:rPr>
          <w:b/>
        </w:rPr>
        <w:fldChar w:fldCharType="end"/>
      </w:r>
      <w:bookmarkEnd w:id="456"/>
      <w:r w:rsidRPr="00B737BE">
        <w:rPr>
          <w:b/>
        </w:rPr>
        <w:t xml:space="preserve">: Initial parameters for the assignment of cost weights. </w:t>
      </w:r>
    </w:p>
    <w:p w14:paraId="5BEBED13" w14:textId="77777777" w:rsidR="00E26387" w:rsidRPr="0044388E" w:rsidRDefault="00E26387">
      <w:pPr>
        <w:tabs>
          <w:tab w:val="left" w:pos="1162"/>
        </w:tabs>
        <w:ind w:right="-28"/>
        <w:rPr>
          <w:noProof/>
          <w:highlight w:val="lightGray"/>
        </w:rPr>
      </w:pPr>
      <w:r w:rsidRPr="0044388E">
        <w:rPr>
          <w:noProof/>
          <w:highlight w:val="lightGray"/>
        </w:rPr>
        <w:drawing>
          <wp:inline distT="0" distB="0" distL="0" distR="0" wp14:anchorId="0A5782DE" wp14:editId="60616239">
            <wp:extent cx="5599245" cy="4047066"/>
            <wp:effectExtent l="19050" t="19050" r="20955" b="10795"/>
            <wp:docPr id="31" name="Picture 31" descr="D:\ALOS chart 2.PNG" title="Figure 3: Initial parameters for the assignment of cost weigh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LOS chart 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0035" cy="4069321"/>
                    </a:xfrm>
                    <a:prstGeom prst="rect">
                      <a:avLst/>
                    </a:prstGeom>
                    <a:noFill/>
                    <a:ln>
                      <a:solidFill>
                        <a:schemeClr val="tx1"/>
                      </a:solidFill>
                    </a:ln>
                  </pic:spPr>
                </pic:pic>
              </a:graphicData>
            </a:graphic>
          </wp:inline>
        </w:drawing>
      </w:r>
    </w:p>
    <w:p w14:paraId="04F2DD21" w14:textId="77777777" w:rsidR="00E26387" w:rsidRPr="0044388E" w:rsidRDefault="00E26387">
      <w:pPr>
        <w:tabs>
          <w:tab w:val="left" w:pos="1162"/>
        </w:tabs>
        <w:ind w:right="-28"/>
        <w:rPr>
          <w:highlight w:val="lightGray"/>
        </w:rPr>
      </w:pPr>
    </w:p>
    <w:p w14:paraId="7419EBB0" w14:textId="77777777" w:rsidR="00E26387" w:rsidRPr="00CA1D45" w:rsidRDefault="00E26387" w:rsidP="002D606E">
      <w:pPr>
        <w:tabs>
          <w:tab w:val="left" w:pos="1162"/>
        </w:tabs>
        <w:ind w:right="-28"/>
        <w:rPr>
          <w:rFonts w:cs="Arial"/>
          <w:szCs w:val="20"/>
        </w:rPr>
      </w:pPr>
      <w:r w:rsidRPr="00CA1D45">
        <w:rPr>
          <w:rFonts w:cs="Arial"/>
          <w:szCs w:val="20"/>
        </w:rPr>
        <w:t>Initial parameters are derived for designated same-day payment AR-DRG episodes, short-stay outlier episodes, inlier episodes, and long-stay outlier episodes. The steps involved are as follows:</w:t>
      </w:r>
    </w:p>
    <w:p w14:paraId="2173C1B1" w14:textId="77777777" w:rsidR="00E26387" w:rsidRPr="00CA1D45" w:rsidRDefault="00E26387" w:rsidP="002D606E">
      <w:pPr>
        <w:pStyle w:val="ListParagraph"/>
        <w:numPr>
          <w:ilvl w:val="0"/>
          <w:numId w:val="11"/>
        </w:numPr>
        <w:tabs>
          <w:tab w:val="left" w:pos="1162"/>
        </w:tabs>
        <w:spacing w:before="120" w:line="240" w:lineRule="auto"/>
        <w:ind w:right="-28"/>
        <w:contextualSpacing w:val="0"/>
        <w:rPr>
          <w:rFonts w:cs="Arial"/>
          <w:szCs w:val="20"/>
        </w:rPr>
      </w:pPr>
      <w:r w:rsidRPr="00CA1D45">
        <w:rPr>
          <w:rFonts w:cs="Arial"/>
          <w:i/>
          <w:szCs w:val="20"/>
        </w:rPr>
        <w:t xml:space="preserve">Designated same-day AR-DRG episodes: </w:t>
      </w:r>
      <w:r w:rsidRPr="00CA1D45">
        <w:rPr>
          <w:rFonts w:cs="Arial"/>
          <w:szCs w:val="20"/>
        </w:rPr>
        <w:t>calculate the mean cost per episode.</w:t>
      </w:r>
    </w:p>
    <w:p w14:paraId="70DA556D" w14:textId="77777777" w:rsidR="00E26387" w:rsidRPr="00CA1D45" w:rsidRDefault="00E26387" w:rsidP="002D606E">
      <w:pPr>
        <w:pStyle w:val="ListParagraph"/>
        <w:numPr>
          <w:ilvl w:val="0"/>
          <w:numId w:val="11"/>
        </w:numPr>
        <w:tabs>
          <w:tab w:val="left" w:pos="1162"/>
        </w:tabs>
        <w:spacing w:before="120" w:line="240" w:lineRule="auto"/>
        <w:ind w:right="-28"/>
        <w:contextualSpacing w:val="0"/>
        <w:rPr>
          <w:rFonts w:cs="Arial"/>
          <w:szCs w:val="20"/>
        </w:rPr>
      </w:pPr>
      <w:r w:rsidRPr="00CA1D45">
        <w:rPr>
          <w:rFonts w:cs="Arial"/>
          <w:i/>
          <w:szCs w:val="20"/>
        </w:rPr>
        <w:t>Inlier episodes:</w:t>
      </w:r>
      <w:r w:rsidRPr="00CA1D45">
        <w:rPr>
          <w:rFonts w:cs="Arial"/>
          <w:szCs w:val="20"/>
        </w:rPr>
        <w:t xml:space="preserve"> calculate the mean cost per episode.</w:t>
      </w:r>
    </w:p>
    <w:p w14:paraId="030C244C" w14:textId="77777777" w:rsidR="00E26387" w:rsidRPr="00CA1D45" w:rsidRDefault="00E26387" w:rsidP="002D606E">
      <w:pPr>
        <w:pStyle w:val="ListParagraph"/>
        <w:numPr>
          <w:ilvl w:val="0"/>
          <w:numId w:val="11"/>
        </w:numPr>
        <w:tabs>
          <w:tab w:val="left" w:pos="1162"/>
        </w:tabs>
        <w:spacing w:before="120" w:line="240" w:lineRule="auto"/>
        <w:ind w:right="-28"/>
        <w:contextualSpacing w:val="0"/>
        <w:rPr>
          <w:rFonts w:cs="Arial"/>
          <w:szCs w:val="20"/>
        </w:rPr>
      </w:pPr>
      <w:r w:rsidRPr="00CA1D45">
        <w:rPr>
          <w:rFonts w:cs="Arial"/>
          <w:i/>
          <w:szCs w:val="20"/>
        </w:rPr>
        <w:t>Short-stay outlier episodes:</w:t>
      </w:r>
      <w:r w:rsidRPr="00CA1D45">
        <w:rPr>
          <w:rFonts w:cs="Arial"/>
          <w:szCs w:val="20"/>
        </w:rPr>
        <w:t xml:space="preserve"> calculate the base cost as the average of total Operating Room, SPS and Prosthesis costs, and then calculate the cost per diem to ensure an even growth in cost to that of the inlier episode.</w:t>
      </w:r>
    </w:p>
    <w:p w14:paraId="03D92818" w14:textId="77777777" w:rsidR="00E26387" w:rsidRPr="00CA1D45" w:rsidRDefault="00E26387" w:rsidP="002D606E">
      <w:pPr>
        <w:pStyle w:val="ListParagraph"/>
        <w:numPr>
          <w:ilvl w:val="0"/>
          <w:numId w:val="11"/>
        </w:numPr>
        <w:tabs>
          <w:tab w:val="left" w:pos="1162"/>
        </w:tabs>
        <w:spacing w:before="120" w:line="240" w:lineRule="auto"/>
        <w:ind w:right="-28"/>
        <w:contextualSpacing w:val="0"/>
        <w:rPr>
          <w:rFonts w:cs="Arial"/>
          <w:i/>
          <w:szCs w:val="20"/>
        </w:rPr>
      </w:pPr>
      <w:r w:rsidRPr="00CA1D45">
        <w:rPr>
          <w:rFonts w:cs="Arial"/>
          <w:i/>
          <w:szCs w:val="20"/>
        </w:rPr>
        <w:t xml:space="preserve">Long-stay outlier episodes. </w:t>
      </w:r>
      <w:r w:rsidRPr="00CA1D45">
        <w:rPr>
          <w:rFonts w:cs="Arial"/>
          <w:szCs w:val="20"/>
        </w:rPr>
        <w:t>The mean inlier cost is assigned to each episode as a base amount. A per diem for each outlier day is calculated using one of two methods:</w:t>
      </w:r>
    </w:p>
    <w:p w14:paraId="3CE3C1D7" w14:textId="77777777" w:rsidR="00E26387" w:rsidRPr="00CA1D45" w:rsidRDefault="00E26387" w:rsidP="002D606E">
      <w:pPr>
        <w:pStyle w:val="ListParagraph"/>
        <w:numPr>
          <w:ilvl w:val="1"/>
          <w:numId w:val="11"/>
        </w:numPr>
        <w:tabs>
          <w:tab w:val="left" w:pos="1162"/>
        </w:tabs>
        <w:spacing w:before="120" w:line="240" w:lineRule="auto"/>
        <w:ind w:right="-28"/>
        <w:contextualSpacing w:val="0"/>
        <w:rPr>
          <w:rFonts w:cs="Arial"/>
          <w:i/>
          <w:szCs w:val="20"/>
        </w:rPr>
      </w:pPr>
      <w:r w:rsidRPr="00CA1D45">
        <w:rPr>
          <w:rFonts w:cs="Arial"/>
          <w:szCs w:val="20"/>
        </w:rPr>
        <w:lastRenderedPageBreak/>
        <w:t>In AR-DRGs where the LOS profile was adequately wide enough and regular to allow robust regression analysis to be undertaken, the per diem cost was taken as the LOS regression coefficient; this process excluded designated same-day episodes and overly influential observations (as determined by the DFFITS statistical measure).</w:t>
      </w:r>
    </w:p>
    <w:p w14:paraId="08902A85" w14:textId="77777777" w:rsidR="00E26387" w:rsidRPr="00CA1D45" w:rsidRDefault="00E26387" w:rsidP="002D606E">
      <w:pPr>
        <w:pStyle w:val="ListParagraph"/>
        <w:numPr>
          <w:ilvl w:val="1"/>
          <w:numId w:val="11"/>
        </w:numPr>
        <w:tabs>
          <w:tab w:val="left" w:pos="1162"/>
        </w:tabs>
        <w:spacing w:before="120" w:line="240" w:lineRule="auto"/>
        <w:ind w:right="-28"/>
        <w:contextualSpacing w:val="0"/>
        <w:rPr>
          <w:rFonts w:cs="Arial"/>
          <w:i/>
          <w:szCs w:val="20"/>
        </w:rPr>
      </w:pPr>
      <w:r w:rsidRPr="00CA1D45">
        <w:rPr>
          <w:rFonts w:cs="Arial"/>
          <w:szCs w:val="20"/>
        </w:rPr>
        <w:t>In the remaining AR-DRGs, cost buckets were partitioned into ‘fixed’ and ‘variable’ (similar to the short-stay outlier process for surgical AR-DRGs), and the per diem cost was taken as the mean variable cost per patient day.</w:t>
      </w:r>
    </w:p>
    <w:p w14:paraId="1DBBD735" w14:textId="77777777" w:rsidR="00E26387" w:rsidRDefault="00E26387" w:rsidP="002D606E">
      <w:pPr>
        <w:tabs>
          <w:tab w:val="left" w:pos="1162"/>
        </w:tabs>
        <w:ind w:right="-28"/>
      </w:pPr>
      <w:r w:rsidRPr="00CA1D45">
        <w:t xml:space="preserve">Where there are fewer than 100 separations in an AR-DRG the separations are combined with those from 2013-14, indexed appropriately, to calculate the cost parameter. All AR-DRG parameters are then uniformly calibrated to ensure the modelled costs are equalised against actual costs. </w:t>
      </w:r>
    </w:p>
    <w:p w14:paraId="1308EB76" w14:textId="29F41EB3" w:rsidR="00CA1D45" w:rsidRPr="00B85B5A" w:rsidRDefault="00CA1D45" w:rsidP="00560AC0">
      <w:pPr>
        <w:pStyle w:val="Heading3"/>
        <w:numPr>
          <w:ilvl w:val="2"/>
          <w:numId w:val="17"/>
        </w:numPr>
        <w:spacing w:before="200" w:after="120" w:line="276" w:lineRule="auto"/>
        <w:ind w:left="567" w:hanging="567"/>
        <w:contextualSpacing w:val="0"/>
      </w:pPr>
      <w:bookmarkStart w:id="457" w:name="_Toc467745558"/>
      <w:bookmarkStart w:id="458" w:name="_Toc468204026"/>
      <w:r>
        <w:t>Calculation of additional adjustments</w:t>
      </w:r>
      <w:bookmarkEnd w:id="457"/>
      <w:bookmarkEnd w:id="458"/>
    </w:p>
    <w:p w14:paraId="583DCE28" w14:textId="77777777" w:rsidR="00CA1D45" w:rsidRDefault="00CA1D45" w:rsidP="002D606E">
      <w:pPr>
        <w:tabs>
          <w:tab w:val="left" w:pos="1162"/>
        </w:tabs>
        <w:ind w:right="-28"/>
        <w:rPr>
          <w:rFonts w:cs="Arial"/>
          <w:szCs w:val="20"/>
        </w:rPr>
      </w:pPr>
      <w:r w:rsidRPr="00901D61">
        <w:rPr>
          <w:rFonts w:cs="Arial"/>
          <w:szCs w:val="20"/>
        </w:rPr>
        <w:t>After the</w:t>
      </w:r>
      <w:r>
        <w:rPr>
          <w:rFonts w:cs="Arial"/>
          <w:szCs w:val="20"/>
        </w:rPr>
        <w:t xml:space="preserve"> AR-DRG inlier/outlier</w:t>
      </w:r>
      <w:r w:rsidRPr="00901D61">
        <w:rPr>
          <w:rFonts w:cs="Arial"/>
          <w:szCs w:val="20"/>
        </w:rPr>
        <w:t xml:space="preserve"> model was derived, the following </w:t>
      </w:r>
      <w:r w:rsidRPr="00801AF5">
        <w:rPr>
          <w:rFonts w:cs="Arial"/>
          <w:szCs w:val="20"/>
        </w:rPr>
        <w:t>four sets</w:t>
      </w:r>
      <w:r>
        <w:rPr>
          <w:rFonts w:cs="Arial"/>
          <w:szCs w:val="20"/>
        </w:rPr>
        <w:t xml:space="preserve"> of </w:t>
      </w:r>
      <w:r w:rsidRPr="00901D61">
        <w:rPr>
          <w:rFonts w:cs="Arial"/>
          <w:szCs w:val="20"/>
        </w:rPr>
        <w:t>adjustments were calculated based on factors considered to have a material impact on the cost of acute services</w:t>
      </w:r>
      <w:r>
        <w:rPr>
          <w:rFonts w:cs="Arial"/>
          <w:szCs w:val="20"/>
        </w:rPr>
        <w:t>.</w:t>
      </w:r>
    </w:p>
    <w:p w14:paraId="561AA886" w14:textId="77777777" w:rsidR="00CA1D45" w:rsidRPr="00901D61" w:rsidRDefault="00CA1D45" w:rsidP="002D606E">
      <w:pPr>
        <w:pStyle w:val="Headingnonumber"/>
        <w:ind w:right="-28"/>
        <w:jc w:val="left"/>
      </w:pPr>
      <w:r w:rsidRPr="00901D61">
        <w:t xml:space="preserve">Paediatric </w:t>
      </w:r>
      <w:r>
        <w:t>a</w:t>
      </w:r>
      <w:r w:rsidRPr="00901D61">
        <w:t>djustment</w:t>
      </w:r>
    </w:p>
    <w:p w14:paraId="57C00E45" w14:textId="77777777" w:rsidR="00CA1D45" w:rsidRPr="00881D94" w:rsidRDefault="00CA1D45" w:rsidP="002D606E">
      <w:pPr>
        <w:tabs>
          <w:tab w:val="left" w:pos="1162"/>
        </w:tabs>
        <w:ind w:right="-28"/>
        <w:rPr>
          <w:rFonts w:cs="Arial"/>
          <w:szCs w:val="20"/>
        </w:rPr>
      </w:pPr>
      <w:r w:rsidRPr="00DF77B4">
        <w:rPr>
          <w:rFonts w:cs="Arial"/>
          <w:szCs w:val="20"/>
        </w:rPr>
        <w:t xml:space="preserve">A paediatric adjustment </w:t>
      </w:r>
      <w:r w:rsidRPr="00881D94">
        <w:rPr>
          <w:rFonts w:cs="Arial"/>
          <w:szCs w:val="20"/>
        </w:rPr>
        <w:t xml:space="preserve">is derived by AR-DRG using a process similar </w:t>
      </w:r>
      <w:r w:rsidRPr="0092298F">
        <w:rPr>
          <w:rFonts w:cs="Arial"/>
          <w:szCs w:val="20"/>
        </w:rPr>
        <w:t>to the 2014-15 admitted acute cost model. Specialised paediatric patients are identified as being less than or equal to 17</w:t>
      </w:r>
      <w:r>
        <w:rPr>
          <w:rFonts w:cs="Arial"/>
          <w:szCs w:val="20"/>
        </w:rPr>
        <w:t xml:space="preserve"> </w:t>
      </w:r>
      <w:r w:rsidRPr="0092298F">
        <w:rPr>
          <w:rFonts w:cs="Arial"/>
          <w:szCs w:val="20"/>
        </w:rPr>
        <w:t>years of age, from an establishment identified as delivering specialised paediatric services (listed in Appendix E of the NEP17 Determination as Specialised Children’s</w:t>
      </w:r>
      <w:r w:rsidRPr="00881D94">
        <w:rPr>
          <w:rFonts w:cs="Arial"/>
          <w:szCs w:val="20"/>
        </w:rPr>
        <w:t xml:space="preserve"> Hospitals), and excluding AR-DRGs from MDC 15 (newborns and other neonates).</w:t>
      </w:r>
    </w:p>
    <w:p w14:paraId="7DF054FD" w14:textId="77777777" w:rsidR="00CA1D45" w:rsidRPr="00E33EAE" w:rsidRDefault="00CA1D45" w:rsidP="00560AC0">
      <w:pPr>
        <w:tabs>
          <w:tab w:val="left" w:pos="1162"/>
        </w:tabs>
        <w:spacing w:after="240"/>
        <w:ind w:right="-28"/>
        <w:rPr>
          <w:rFonts w:cs="Arial"/>
          <w:szCs w:val="20"/>
        </w:rPr>
      </w:pPr>
      <w:r w:rsidRPr="00E33EAE">
        <w:rPr>
          <w:rFonts w:cs="Arial"/>
          <w:szCs w:val="20"/>
        </w:rPr>
        <w:t>The paediatric adjustment for each AR-DRG is:</w:t>
      </w:r>
    </w:p>
    <w:p w14:paraId="07F96BA5" w14:textId="77777777" w:rsidR="00CA1D45" w:rsidRPr="00E33EAE" w:rsidRDefault="00CA1D45">
      <w:pPr>
        <w:pStyle w:val="ListParagraph"/>
        <w:numPr>
          <w:ilvl w:val="0"/>
          <w:numId w:val="12"/>
        </w:numPr>
        <w:tabs>
          <w:tab w:val="left" w:pos="1162"/>
        </w:tabs>
        <w:spacing w:before="80" w:line="240" w:lineRule="auto"/>
        <w:ind w:left="714" w:right="-28" w:hanging="357"/>
        <w:contextualSpacing w:val="0"/>
        <w:rPr>
          <w:rFonts w:cs="Arial"/>
          <w:szCs w:val="20"/>
        </w:rPr>
      </w:pPr>
      <w:r w:rsidRPr="00E33EAE">
        <w:rPr>
          <w:rFonts w:cs="Arial"/>
          <w:szCs w:val="20"/>
        </w:rPr>
        <w:t>Rounded to the nearest whole per cent;</w:t>
      </w:r>
    </w:p>
    <w:p w14:paraId="06A344A1" w14:textId="77777777" w:rsidR="00CA1D45" w:rsidRPr="00E33EAE" w:rsidRDefault="00CA1D45">
      <w:pPr>
        <w:pStyle w:val="ListParagraph"/>
        <w:numPr>
          <w:ilvl w:val="0"/>
          <w:numId w:val="12"/>
        </w:numPr>
        <w:tabs>
          <w:tab w:val="left" w:pos="1162"/>
        </w:tabs>
        <w:spacing w:before="80" w:line="240" w:lineRule="auto"/>
        <w:ind w:left="714" w:right="-28" w:hanging="357"/>
        <w:contextualSpacing w:val="0"/>
        <w:rPr>
          <w:rFonts w:cs="Arial"/>
          <w:szCs w:val="20"/>
        </w:rPr>
      </w:pPr>
      <w:r w:rsidRPr="00E33EAE">
        <w:rPr>
          <w:rFonts w:cs="Arial"/>
          <w:szCs w:val="20"/>
        </w:rPr>
        <w:t xml:space="preserve">Capped and floored at </w:t>
      </w:r>
      <w:r w:rsidRPr="00801AF5">
        <w:rPr>
          <w:rFonts w:cs="Arial"/>
          <w:szCs w:val="20"/>
        </w:rPr>
        <w:t>2.0 and 0.8 respectively</w:t>
      </w:r>
      <w:r w:rsidRPr="00E33EAE">
        <w:rPr>
          <w:rFonts w:cs="Arial"/>
          <w:szCs w:val="20"/>
        </w:rPr>
        <w:t>; and</w:t>
      </w:r>
    </w:p>
    <w:p w14:paraId="408C83FE" w14:textId="77777777" w:rsidR="00CA1D45" w:rsidRPr="00E33EAE" w:rsidRDefault="00CA1D45">
      <w:pPr>
        <w:pStyle w:val="ListParagraph"/>
        <w:numPr>
          <w:ilvl w:val="0"/>
          <w:numId w:val="12"/>
        </w:numPr>
        <w:tabs>
          <w:tab w:val="left" w:pos="1162"/>
        </w:tabs>
        <w:spacing w:before="80" w:line="240" w:lineRule="auto"/>
        <w:ind w:left="714" w:right="-28" w:hanging="357"/>
        <w:contextualSpacing w:val="0"/>
        <w:rPr>
          <w:rFonts w:cs="Arial"/>
          <w:szCs w:val="20"/>
        </w:rPr>
      </w:pPr>
      <w:r w:rsidRPr="00E33EAE">
        <w:rPr>
          <w:rFonts w:cs="Arial"/>
          <w:szCs w:val="20"/>
        </w:rPr>
        <w:t xml:space="preserve">Set </w:t>
      </w:r>
      <w:r w:rsidRPr="00A97E21">
        <w:rPr>
          <w:rFonts w:cs="Arial"/>
          <w:szCs w:val="20"/>
        </w:rPr>
        <w:t xml:space="preserve">to </w:t>
      </w:r>
      <w:r w:rsidRPr="00801AF5">
        <w:rPr>
          <w:rFonts w:cs="Arial"/>
          <w:szCs w:val="20"/>
        </w:rPr>
        <w:t>1 (i.e. no adjustment) if the adjustment was less than 0.05 either side of 1</w:t>
      </w:r>
      <w:r w:rsidRPr="00A97E21">
        <w:rPr>
          <w:rFonts w:cs="Arial"/>
          <w:szCs w:val="20"/>
        </w:rPr>
        <w:t>.</w:t>
      </w:r>
    </w:p>
    <w:p w14:paraId="69B08741" w14:textId="77777777" w:rsidR="00CA1D45" w:rsidRPr="00DF77B4" w:rsidRDefault="00CA1D45" w:rsidP="002D606E">
      <w:pPr>
        <w:tabs>
          <w:tab w:val="left" w:pos="1162"/>
        </w:tabs>
        <w:spacing w:before="240"/>
        <w:ind w:right="-28"/>
        <w:rPr>
          <w:rFonts w:cs="Arial"/>
          <w:szCs w:val="20"/>
        </w:rPr>
      </w:pPr>
      <w:r w:rsidRPr="00E33EAE">
        <w:rPr>
          <w:rFonts w:cs="Arial"/>
          <w:szCs w:val="20"/>
        </w:rPr>
        <w:t>Further to this,</w:t>
      </w:r>
      <w:r>
        <w:rPr>
          <w:rFonts w:cs="Arial"/>
          <w:szCs w:val="20"/>
        </w:rPr>
        <w:t xml:space="preserve"> </w:t>
      </w:r>
      <w:r w:rsidRPr="00E33EAE">
        <w:rPr>
          <w:rFonts w:cs="Arial"/>
          <w:szCs w:val="20"/>
        </w:rPr>
        <w:t xml:space="preserve">the paediatric adjustment </w:t>
      </w:r>
      <w:r>
        <w:rPr>
          <w:rFonts w:cs="Arial"/>
          <w:szCs w:val="20"/>
        </w:rPr>
        <w:t xml:space="preserve">for the 2014-15 cost </w:t>
      </w:r>
      <w:proofErr w:type="gramStart"/>
      <w:r>
        <w:rPr>
          <w:rFonts w:cs="Arial"/>
          <w:szCs w:val="20"/>
        </w:rPr>
        <w:t>model</w:t>
      </w:r>
      <w:proofErr w:type="gramEnd"/>
      <w:r>
        <w:rPr>
          <w:rFonts w:cs="Arial"/>
          <w:szCs w:val="20"/>
        </w:rPr>
        <w:t xml:space="preserve"> </w:t>
      </w:r>
      <w:r w:rsidRPr="00E33EAE">
        <w:rPr>
          <w:rFonts w:cs="Arial"/>
          <w:szCs w:val="20"/>
        </w:rPr>
        <w:t xml:space="preserve">is compared against that </w:t>
      </w:r>
      <w:r w:rsidRPr="0092298F">
        <w:rPr>
          <w:rFonts w:cs="Arial"/>
          <w:szCs w:val="20"/>
        </w:rPr>
        <w:t>of the 201</w:t>
      </w:r>
      <w:r>
        <w:rPr>
          <w:rFonts w:cs="Arial"/>
          <w:szCs w:val="20"/>
        </w:rPr>
        <w:t>3</w:t>
      </w:r>
      <w:r w:rsidRPr="0092298F">
        <w:rPr>
          <w:rFonts w:cs="Arial"/>
          <w:szCs w:val="20"/>
        </w:rPr>
        <w:t>-1</w:t>
      </w:r>
      <w:r>
        <w:rPr>
          <w:rFonts w:cs="Arial"/>
          <w:szCs w:val="20"/>
        </w:rPr>
        <w:t>4</w:t>
      </w:r>
      <w:r w:rsidRPr="0092298F">
        <w:rPr>
          <w:rFonts w:cs="Arial"/>
          <w:szCs w:val="20"/>
        </w:rPr>
        <w:t xml:space="preserve"> cost</w:t>
      </w:r>
      <w:r w:rsidRPr="00E33EAE">
        <w:rPr>
          <w:rFonts w:cs="Arial"/>
          <w:szCs w:val="20"/>
        </w:rPr>
        <w:t xml:space="preserve"> model and changes are stabilised for AR</w:t>
      </w:r>
      <w:r w:rsidRPr="00E33EAE">
        <w:rPr>
          <w:rFonts w:cs="Arial"/>
          <w:szCs w:val="20"/>
        </w:rPr>
        <w:noBreakHyphen/>
        <w:t>DRGs where either of the cost data samples (</w:t>
      </w:r>
      <w:r>
        <w:rPr>
          <w:rFonts w:cs="Arial"/>
          <w:szCs w:val="20"/>
        </w:rPr>
        <w:t xml:space="preserve">i.e. </w:t>
      </w:r>
      <w:r w:rsidRPr="00E33EAE">
        <w:rPr>
          <w:rFonts w:cs="Arial"/>
          <w:szCs w:val="20"/>
        </w:rPr>
        <w:t xml:space="preserve">paediatric or non-paediatric) contain fewer than </w:t>
      </w:r>
      <w:r w:rsidRPr="00801AF5">
        <w:rPr>
          <w:rFonts w:cs="Arial"/>
          <w:szCs w:val="20"/>
        </w:rPr>
        <w:t>500</w:t>
      </w:r>
      <w:r w:rsidRPr="00E33EAE">
        <w:rPr>
          <w:rFonts w:cs="Arial"/>
          <w:szCs w:val="20"/>
        </w:rPr>
        <w:t xml:space="preserve"> observations. This stabilisation involves taking the average adjustment across the two years.</w:t>
      </w:r>
    </w:p>
    <w:p w14:paraId="3441BC9A" w14:textId="77777777" w:rsidR="00CA1D45" w:rsidRPr="0049513E" w:rsidRDefault="00CA1D45" w:rsidP="002D606E">
      <w:pPr>
        <w:tabs>
          <w:tab w:val="left" w:pos="1162"/>
        </w:tabs>
        <w:spacing w:before="180"/>
        <w:ind w:right="-28"/>
        <w:rPr>
          <w:rFonts w:cs="Arial"/>
          <w:szCs w:val="20"/>
        </w:rPr>
      </w:pPr>
      <w:r w:rsidRPr="00DF77B4">
        <w:rPr>
          <w:rFonts w:cs="Arial"/>
          <w:szCs w:val="20"/>
        </w:rPr>
        <w:t>The cost parameters of each AR-DRG are then calibrated to ensure that the modelled</w:t>
      </w:r>
      <w:r>
        <w:rPr>
          <w:rFonts w:cs="Arial"/>
          <w:szCs w:val="20"/>
        </w:rPr>
        <w:t xml:space="preserve"> costs, with paediatric adjustment applied, are equal to the actual costs of the AR-DRG. </w:t>
      </w:r>
    </w:p>
    <w:p w14:paraId="58ED40AD" w14:textId="77777777" w:rsidR="00CA1D45" w:rsidRPr="00901D61" w:rsidRDefault="00CA1D45" w:rsidP="002D606E">
      <w:pPr>
        <w:pStyle w:val="Headingnonumber"/>
        <w:ind w:right="-28"/>
        <w:jc w:val="left"/>
      </w:pPr>
      <w:r>
        <w:t>Specialist psychiatric age adjustment</w:t>
      </w:r>
    </w:p>
    <w:p w14:paraId="20D719CC" w14:textId="129C1B81" w:rsidR="00CA1D45" w:rsidRDefault="00CA1D45" w:rsidP="002D606E">
      <w:pPr>
        <w:tabs>
          <w:tab w:val="left" w:pos="1162"/>
        </w:tabs>
        <w:ind w:right="-28"/>
        <w:rPr>
          <w:rFonts w:cs="Arial"/>
          <w:szCs w:val="20"/>
        </w:rPr>
      </w:pPr>
      <w:r>
        <w:rPr>
          <w:rFonts w:cs="Arial"/>
          <w:szCs w:val="20"/>
        </w:rPr>
        <w:t xml:space="preserve">See </w:t>
      </w:r>
      <w:r w:rsidR="00A83F3A">
        <w:rPr>
          <w:rFonts w:cs="Arial"/>
          <w:szCs w:val="20"/>
        </w:rPr>
        <w:t>Section</w:t>
      </w:r>
      <w:r>
        <w:rPr>
          <w:rFonts w:cs="Arial"/>
          <w:szCs w:val="20"/>
        </w:rPr>
        <w:t xml:space="preserve"> 3 </w:t>
      </w:r>
      <w:r w:rsidRPr="007040C9">
        <w:rPr>
          <w:rFonts w:cs="Arial"/>
          <w:szCs w:val="22"/>
        </w:rPr>
        <w:t>(</w:t>
      </w:r>
      <w:r w:rsidRPr="007040C9">
        <w:rPr>
          <w:rFonts w:cs="Arial"/>
          <w:szCs w:val="22"/>
        </w:rPr>
        <w:fldChar w:fldCharType="begin"/>
      </w:r>
      <w:r w:rsidRPr="007040C9">
        <w:rPr>
          <w:rFonts w:cs="Arial"/>
          <w:szCs w:val="22"/>
        </w:rPr>
        <w:instrText xml:space="preserve"> REF _Ref342306421 \h </w:instrText>
      </w:r>
      <w:r>
        <w:rPr>
          <w:rFonts w:cs="Arial"/>
          <w:szCs w:val="22"/>
        </w:rPr>
        <w:instrText xml:space="preserve"> \* MERGEFORMAT </w:instrText>
      </w:r>
      <w:r w:rsidRPr="007040C9">
        <w:rPr>
          <w:rFonts w:cs="Arial"/>
          <w:szCs w:val="22"/>
        </w:rPr>
      </w:r>
      <w:r w:rsidRPr="007040C9">
        <w:rPr>
          <w:rFonts w:cs="Arial"/>
          <w:szCs w:val="22"/>
        </w:rPr>
        <w:fldChar w:fldCharType="separate"/>
      </w:r>
      <w:r w:rsidR="00F84458" w:rsidRPr="00F84458">
        <w:rPr>
          <w:szCs w:val="22"/>
        </w:rPr>
        <w:t>Mental health care cost model</w:t>
      </w:r>
      <w:r w:rsidRPr="007040C9">
        <w:rPr>
          <w:rFonts w:cs="Arial"/>
          <w:szCs w:val="22"/>
        </w:rPr>
        <w:fldChar w:fldCharType="end"/>
      </w:r>
      <w:r w:rsidRPr="007040C9">
        <w:rPr>
          <w:rFonts w:cs="Arial"/>
          <w:szCs w:val="22"/>
        </w:rPr>
        <w:t>).</w:t>
      </w:r>
    </w:p>
    <w:p w14:paraId="77055EA1" w14:textId="77777777" w:rsidR="00CA1D45" w:rsidRPr="00901D61" w:rsidRDefault="00CA1D45" w:rsidP="002D606E">
      <w:pPr>
        <w:pStyle w:val="Headingnonumber"/>
        <w:ind w:right="-28"/>
        <w:jc w:val="left"/>
      </w:pPr>
      <w:r>
        <w:t>Indigenous</w:t>
      </w:r>
      <w:r w:rsidRPr="00901D61">
        <w:t xml:space="preserve"> </w:t>
      </w:r>
      <w:r>
        <w:t>a</w:t>
      </w:r>
      <w:r w:rsidRPr="00901D61">
        <w:t xml:space="preserve">djustment and </w:t>
      </w:r>
      <w:r>
        <w:t>remoteness</w:t>
      </w:r>
      <w:r w:rsidRPr="00901D61">
        <w:t xml:space="preserve"> </w:t>
      </w:r>
      <w:r>
        <w:t>a</w:t>
      </w:r>
      <w:r w:rsidRPr="00901D61">
        <w:t>djustment</w:t>
      </w:r>
    </w:p>
    <w:p w14:paraId="240C372F" w14:textId="77777777" w:rsidR="00CA1D45" w:rsidRPr="00FF4DCF" w:rsidRDefault="00CA1D45" w:rsidP="002D606E">
      <w:pPr>
        <w:tabs>
          <w:tab w:val="left" w:pos="1162"/>
        </w:tabs>
        <w:ind w:right="-28"/>
        <w:rPr>
          <w:rFonts w:cs="Arial"/>
          <w:szCs w:val="20"/>
        </w:rPr>
      </w:pPr>
      <w:r w:rsidRPr="00FF4DCF">
        <w:rPr>
          <w:rFonts w:cs="Arial"/>
          <w:szCs w:val="20"/>
        </w:rPr>
        <w:t xml:space="preserve">These adjustments are derived in the same way </w:t>
      </w:r>
      <w:r>
        <w:rPr>
          <w:rFonts w:cs="Arial"/>
          <w:szCs w:val="20"/>
        </w:rPr>
        <w:t xml:space="preserve">since </w:t>
      </w:r>
      <w:r w:rsidRPr="00A97E21">
        <w:rPr>
          <w:rFonts w:cs="Arial"/>
          <w:szCs w:val="20"/>
        </w:rPr>
        <w:t xml:space="preserve">the </w:t>
      </w:r>
      <w:r w:rsidRPr="00801AF5">
        <w:rPr>
          <w:rFonts w:cs="Arial"/>
          <w:szCs w:val="20"/>
        </w:rPr>
        <w:t xml:space="preserve">2009-10 cost </w:t>
      </w:r>
      <w:proofErr w:type="gramStart"/>
      <w:r w:rsidRPr="00801AF5">
        <w:rPr>
          <w:rFonts w:cs="Arial"/>
          <w:szCs w:val="20"/>
        </w:rPr>
        <w:t>model</w:t>
      </w:r>
      <w:proofErr w:type="gramEnd"/>
      <w:r w:rsidRPr="00801AF5">
        <w:rPr>
          <w:rFonts w:cs="Arial"/>
          <w:szCs w:val="20"/>
        </w:rPr>
        <w:t>:</w:t>
      </w:r>
    </w:p>
    <w:p w14:paraId="03ADC0BF" w14:textId="77777777" w:rsidR="00CA1D45" w:rsidRPr="00901D61" w:rsidRDefault="00CA1D45" w:rsidP="002D606E">
      <w:pPr>
        <w:pStyle w:val="ListParagraph"/>
        <w:numPr>
          <w:ilvl w:val="0"/>
          <w:numId w:val="22"/>
        </w:numPr>
        <w:tabs>
          <w:tab w:val="left" w:pos="1162"/>
        </w:tabs>
        <w:spacing w:before="80" w:line="240" w:lineRule="auto"/>
        <w:ind w:left="714" w:right="-28" w:hanging="357"/>
        <w:contextualSpacing w:val="0"/>
        <w:rPr>
          <w:rFonts w:cs="Arial"/>
          <w:szCs w:val="20"/>
        </w:rPr>
      </w:pPr>
      <w:r w:rsidRPr="00901D61">
        <w:rPr>
          <w:rFonts w:cs="Arial"/>
          <w:szCs w:val="20"/>
        </w:rPr>
        <w:t>A multivariate least squares weighted regression mo</w:t>
      </w:r>
      <w:r>
        <w:rPr>
          <w:rFonts w:cs="Arial"/>
          <w:szCs w:val="20"/>
        </w:rPr>
        <w:t>del is used to estimate the extent to which Indigenous</w:t>
      </w:r>
      <w:r w:rsidRPr="00901D61">
        <w:rPr>
          <w:rFonts w:cs="Arial"/>
          <w:szCs w:val="20"/>
        </w:rPr>
        <w:t xml:space="preserve"> status </w:t>
      </w:r>
      <w:r>
        <w:rPr>
          <w:rFonts w:cs="Arial"/>
          <w:szCs w:val="20"/>
        </w:rPr>
        <w:t xml:space="preserve">and remoteness of a patient’s usual residence </w:t>
      </w:r>
      <w:r w:rsidRPr="00901D61">
        <w:rPr>
          <w:rFonts w:cs="Arial"/>
          <w:szCs w:val="20"/>
        </w:rPr>
        <w:t>explain</w:t>
      </w:r>
      <w:r>
        <w:rPr>
          <w:rFonts w:cs="Arial"/>
          <w:szCs w:val="20"/>
        </w:rPr>
        <w:t>s the</w:t>
      </w:r>
      <w:r w:rsidRPr="00901D61">
        <w:rPr>
          <w:rFonts w:cs="Arial"/>
          <w:szCs w:val="20"/>
        </w:rPr>
        <w:t xml:space="preserve"> variation in the </w:t>
      </w:r>
      <w:r>
        <w:rPr>
          <w:rFonts w:cs="Arial"/>
          <w:szCs w:val="20"/>
        </w:rPr>
        <w:t xml:space="preserve">mean </w:t>
      </w:r>
      <w:r w:rsidRPr="00901D61">
        <w:rPr>
          <w:rFonts w:cs="Arial"/>
          <w:szCs w:val="20"/>
        </w:rPr>
        <w:t>cost per weighted episode</w:t>
      </w:r>
      <w:r>
        <w:rPr>
          <w:rFonts w:cs="Arial"/>
          <w:szCs w:val="20"/>
        </w:rPr>
        <w:t>. Episodes are weighted to control the level to which the model already explains costs (i.e. through the AR</w:t>
      </w:r>
      <w:r>
        <w:rPr>
          <w:rFonts w:cs="Arial"/>
          <w:szCs w:val="20"/>
        </w:rPr>
        <w:noBreakHyphen/>
        <w:t xml:space="preserve">DRG inlier/outlier model together with the paediatric and specialist psychiatric age </w:t>
      </w:r>
      <w:r>
        <w:rPr>
          <w:rFonts w:cs="Arial"/>
          <w:szCs w:val="20"/>
        </w:rPr>
        <w:lastRenderedPageBreak/>
        <w:t xml:space="preserve">adjustments). </w:t>
      </w:r>
      <w:r w:rsidRPr="00901D61">
        <w:rPr>
          <w:rFonts w:cs="Arial"/>
          <w:szCs w:val="20"/>
        </w:rPr>
        <w:t xml:space="preserve">The </w:t>
      </w:r>
      <w:r>
        <w:rPr>
          <w:rFonts w:cs="Arial"/>
          <w:szCs w:val="20"/>
        </w:rPr>
        <w:t xml:space="preserve">coefficients </w:t>
      </w:r>
      <w:r w:rsidRPr="00901D61">
        <w:rPr>
          <w:rFonts w:cs="Arial"/>
          <w:szCs w:val="20"/>
        </w:rPr>
        <w:t xml:space="preserve">estimated from this model indicate the extent to which </w:t>
      </w:r>
      <w:r>
        <w:rPr>
          <w:rFonts w:cs="Arial"/>
          <w:szCs w:val="20"/>
        </w:rPr>
        <w:t>Indigenous status and remoteness of a patient’s usual residence</w:t>
      </w:r>
      <w:r w:rsidRPr="00901D61">
        <w:rPr>
          <w:rFonts w:cs="Arial"/>
          <w:szCs w:val="20"/>
        </w:rPr>
        <w:t xml:space="preserve"> explain</w:t>
      </w:r>
      <w:r>
        <w:rPr>
          <w:rFonts w:cs="Arial"/>
          <w:szCs w:val="20"/>
        </w:rPr>
        <w:t>s</w:t>
      </w:r>
      <w:r w:rsidRPr="00901D61">
        <w:rPr>
          <w:rFonts w:cs="Arial"/>
          <w:szCs w:val="20"/>
        </w:rPr>
        <w:t xml:space="preserve"> </w:t>
      </w:r>
      <w:r>
        <w:rPr>
          <w:rFonts w:cs="Arial"/>
          <w:szCs w:val="20"/>
        </w:rPr>
        <w:t xml:space="preserve">residual </w:t>
      </w:r>
      <w:r w:rsidRPr="00901D61">
        <w:rPr>
          <w:rFonts w:cs="Arial"/>
          <w:szCs w:val="20"/>
        </w:rPr>
        <w:t>variation in cost</w:t>
      </w:r>
      <w:r>
        <w:rPr>
          <w:rFonts w:cs="Arial"/>
          <w:szCs w:val="20"/>
        </w:rPr>
        <w:t xml:space="preserve">s. </w:t>
      </w:r>
    </w:p>
    <w:p w14:paraId="3BC81B7B" w14:textId="77777777" w:rsidR="00CA1D45" w:rsidRPr="00901D61" w:rsidRDefault="00CA1D45" w:rsidP="002D606E">
      <w:pPr>
        <w:pStyle w:val="ListParagraph"/>
        <w:numPr>
          <w:ilvl w:val="0"/>
          <w:numId w:val="22"/>
        </w:numPr>
        <w:tabs>
          <w:tab w:val="left" w:pos="1162"/>
        </w:tabs>
        <w:spacing w:before="80" w:line="240" w:lineRule="auto"/>
        <w:ind w:left="714" w:right="-28" w:hanging="357"/>
        <w:contextualSpacing w:val="0"/>
        <w:rPr>
          <w:rFonts w:cs="Arial"/>
          <w:szCs w:val="20"/>
        </w:rPr>
      </w:pPr>
      <w:r w:rsidRPr="00901D61">
        <w:rPr>
          <w:rFonts w:cs="Arial"/>
          <w:szCs w:val="20"/>
        </w:rPr>
        <w:t>The anal</w:t>
      </w:r>
      <w:r>
        <w:rPr>
          <w:rFonts w:cs="Arial"/>
          <w:szCs w:val="20"/>
        </w:rPr>
        <w:t>ysis yields an adjustment for Indigenous</w:t>
      </w:r>
      <w:r w:rsidRPr="00901D61">
        <w:rPr>
          <w:rFonts w:cs="Arial"/>
          <w:szCs w:val="20"/>
        </w:rPr>
        <w:t xml:space="preserve"> patients and three adjustments for patients resid</w:t>
      </w:r>
      <w:r>
        <w:rPr>
          <w:rFonts w:cs="Arial"/>
          <w:szCs w:val="20"/>
        </w:rPr>
        <w:t>ing</w:t>
      </w:r>
      <w:r w:rsidRPr="00901D61">
        <w:rPr>
          <w:rFonts w:cs="Arial"/>
          <w:szCs w:val="20"/>
        </w:rPr>
        <w:t xml:space="preserve"> in outer regional, remote and very remote areas</w:t>
      </w:r>
      <w:r>
        <w:rPr>
          <w:rFonts w:cs="Arial"/>
          <w:szCs w:val="20"/>
        </w:rPr>
        <w:t>.</w:t>
      </w:r>
    </w:p>
    <w:p w14:paraId="06D30B17" w14:textId="77777777" w:rsidR="00CA1D45" w:rsidRPr="00063E42" w:rsidRDefault="00CA1D45" w:rsidP="002D606E">
      <w:pPr>
        <w:pStyle w:val="ListParagraph"/>
        <w:numPr>
          <w:ilvl w:val="0"/>
          <w:numId w:val="22"/>
        </w:numPr>
        <w:tabs>
          <w:tab w:val="left" w:pos="1162"/>
        </w:tabs>
        <w:spacing w:before="80" w:line="240" w:lineRule="auto"/>
        <w:ind w:left="714" w:right="-28" w:hanging="357"/>
        <w:contextualSpacing w:val="0"/>
        <w:rPr>
          <w:rFonts w:cs="Arial"/>
          <w:szCs w:val="20"/>
        </w:rPr>
      </w:pPr>
      <w:r w:rsidRPr="00901D61">
        <w:rPr>
          <w:rFonts w:cs="Arial"/>
          <w:szCs w:val="20"/>
        </w:rPr>
        <w:t>The adjustments are additive where more than one adjustment applies</w:t>
      </w:r>
      <w:r>
        <w:rPr>
          <w:rFonts w:cs="Arial"/>
          <w:szCs w:val="20"/>
        </w:rPr>
        <w:t xml:space="preserve">, for example, where </w:t>
      </w:r>
      <w:r w:rsidRPr="00901D61">
        <w:rPr>
          <w:rFonts w:cs="Arial"/>
          <w:szCs w:val="20"/>
        </w:rPr>
        <w:t xml:space="preserve">an </w:t>
      </w:r>
      <w:r>
        <w:rPr>
          <w:rFonts w:cs="Arial"/>
          <w:szCs w:val="20"/>
        </w:rPr>
        <w:t>Indigenous</w:t>
      </w:r>
      <w:r w:rsidRPr="00901D61">
        <w:rPr>
          <w:rFonts w:cs="Arial"/>
          <w:szCs w:val="20"/>
        </w:rPr>
        <w:t xml:space="preserve"> patient resid</w:t>
      </w:r>
      <w:r>
        <w:rPr>
          <w:rFonts w:cs="Arial"/>
          <w:szCs w:val="20"/>
        </w:rPr>
        <w:t>es</w:t>
      </w:r>
      <w:r w:rsidRPr="00901D61">
        <w:rPr>
          <w:rFonts w:cs="Arial"/>
          <w:szCs w:val="20"/>
        </w:rPr>
        <w:t xml:space="preserve"> in </w:t>
      </w:r>
      <w:r>
        <w:rPr>
          <w:rFonts w:cs="Arial"/>
          <w:szCs w:val="20"/>
        </w:rPr>
        <w:t xml:space="preserve">a </w:t>
      </w:r>
      <w:r w:rsidRPr="00901D61">
        <w:rPr>
          <w:rFonts w:cs="Arial"/>
          <w:szCs w:val="20"/>
        </w:rPr>
        <w:t>remote area</w:t>
      </w:r>
      <w:r>
        <w:rPr>
          <w:rFonts w:cs="Arial"/>
          <w:szCs w:val="20"/>
        </w:rPr>
        <w:t xml:space="preserve">, an adjustment equal to the addition of the Indigenous and </w:t>
      </w:r>
      <w:r w:rsidRPr="00901D61">
        <w:rPr>
          <w:rFonts w:cs="Arial"/>
          <w:szCs w:val="20"/>
        </w:rPr>
        <w:t>remote</w:t>
      </w:r>
      <w:r>
        <w:rPr>
          <w:rFonts w:cs="Arial"/>
          <w:szCs w:val="20"/>
        </w:rPr>
        <w:t>ness</w:t>
      </w:r>
      <w:r w:rsidRPr="00901D61">
        <w:rPr>
          <w:rFonts w:cs="Arial"/>
          <w:szCs w:val="20"/>
        </w:rPr>
        <w:t xml:space="preserve"> adjustment</w:t>
      </w:r>
      <w:r>
        <w:rPr>
          <w:rFonts w:cs="Arial"/>
          <w:szCs w:val="20"/>
        </w:rPr>
        <w:t>s is applicable</w:t>
      </w:r>
      <w:r w:rsidRPr="00901D61">
        <w:rPr>
          <w:rFonts w:cs="Arial"/>
          <w:szCs w:val="20"/>
        </w:rPr>
        <w:t>.</w:t>
      </w:r>
    </w:p>
    <w:p w14:paraId="695D16D1" w14:textId="77777777" w:rsidR="00CA1D45" w:rsidRPr="00901D61" w:rsidRDefault="00CA1D45" w:rsidP="002D606E">
      <w:pPr>
        <w:pStyle w:val="Headingnonumber"/>
        <w:ind w:right="-28"/>
        <w:jc w:val="left"/>
      </w:pPr>
      <w:r>
        <w:t>Radiotherapy</w:t>
      </w:r>
      <w:r w:rsidRPr="00901D61">
        <w:t xml:space="preserve"> </w:t>
      </w:r>
      <w:r>
        <w:t>and dialysis a</w:t>
      </w:r>
      <w:r w:rsidRPr="00901D61">
        <w:t>djustment</w:t>
      </w:r>
    </w:p>
    <w:p w14:paraId="3341493C" w14:textId="77777777" w:rsidR="00CA1D45" w:rsidRPr="0092298F" w:rsidRDefault="00CA1D45" w:rsidP="002D606E">
      <w:pPr>
        <w:tabs>
          <w:tab w:val="left" w:pos="1162"/>
        </w:tabs>
        <w:ind w:right="-28"/>
        <w:rPr>
          <w:rFonts w:cs="Arial"/>
          <w:szCs w:val="20"/>
        </w:rPr>
      </w:pPr>
      <w:r w:rsidRPr="00901D61">
        <w:rPr>
          <w:rFonts w:cs="Arial"/>
          <w:szCs w:val="20"/>
        </w:rPr>
        <w:t>Th</w:t>
      </w:r>
      <w:r>
        <w:rPr>
          <w:rFonts w:cs="Arial"/>
          <w:szCs w:val="20"/>
        </w:rPr>
        <w:t>e</w:t>
      </w:r>
      <w:r w:rsidRPr="00901D61">
        <w:rPr>
          <w:rFonts w:cs="Arial"/>
          <w:szCs w:val="20"/>
        </w:rPr>
        <w:t xml:space="preserve"> </w:t>
      </w:r>
      <w:r>
        <w:rPr>
          <w:rFonts w:cs="Arial"/>
          <w:szCs w:val="20"/>
        </w:rPr>
        <w:t xml:space="preserve">dialysis adjustment is derived in the same was as </w:t>
      </w:r>
      <w:r w:rsidRPr="0092298F">
        <w:rPr>
          <w:rFonts w:cs="Arial"/>
          <w:szCs w:val="20"/>
        </w:rPr>
        <w:t>in the 201</w:t>
      </w:r>
      <w:r>
        <w:rPr>
          <w:rFonts w:cs="Arial"/>
          <w:szCs w:val="20"/>
        </w:rPr>
        <w:t>2</w:t>
      </w:r>
      <w:r w:rsidRPr="0092298F">
        <w:rPr>
          <w:rFonts w:cs="Arial"/>
          <w:szCs w:val="20"/>
        </w:rPr>
        <w:t>-1</w:t>
      </w:r>
      <w:r>
        <w:rPr>
          <w:rFonts w:cs="Arial"/>
          <w:szCs w:val="20"/>
        </w:rPr>
        <w:t>3 and 2013-14</w:t>
      </w:r>
      <w:r w:rsidRPr="0092298F">
        <w:rPr>
          <w:rFonts w:cs="Arial"/>
          <w:szCs w:val="20"/>
        </w:rPr>
        <w:t xml:space="preserve"> cost model</w:t>
      </w:r>
      <w:r>
        <w:rPr>
          <w:rFonts w:cs="Arial"/>
          <w:szCs w:val="20"/>
        </w:rPr>
        <w:t>s</w:t>
      </w:r>
      <w:r w:rsidRPr="0092298F">
        <w:rPr>
          <w:rFonts w:cs="Arial"/>
          <w:szCs w:val="20"/>
        </w:rPr>
        <w:t xml:space="preserve"> and at the same time as the Indigenous and remoteness adjustments. Together with the radiotherapy adjustment, the adjustments compensate for the extra costs of dialysis-related and radiotherapy-related procedures, as specified in Appendices B and C of the NEP17 Determination. </w:t>
      </w:r>
    </w:p>
    <w:p w14:paraId="6AA35F8E" w14:textId="77777777" w:rsidR="00CA1D45" w:rsidRDefault="00CA1D45" w:rsidP="002D606E">
      <w:pPr>
        <w:tabs>
          <w:tab w:val="left" w:pos="1162"/>
        </w:tabs>
        <w:ind w:right="-28"/>
        <w:rPr>
          <w:rFonts w:cs="Arial"/>
          <w:szCs w:val="20"/>
        </w:rPr>
      </w:pPr>
      <w:r w:rsidRPr="0092298F">
        <w:rPr>
          <w:rFonts w:cs="Arial"/>
          <w:szCs w:val="20"/>
        </w:rPr>
        <w:t>These two adjustments are additive with the Indigenous and</w:t>
      </w:r>
      <w:r>
        <w:rPr>
          <w:rFonts w:cs="Arial"/>
          <w:szCs w:val="20"/>
        </w:rPr>
        <w:t xml:space="preserve"> remoteness adjustments. AR-DRG cost parameters are then uniformly calibrated to ensure cost neutrality of the model (including Indigenous, remoteness, radiotherapy and dialysis adjustments) against actual costs.</w:t>
      </w:r>
    </w:p>
    <w:p w14:paraId="1895C5D9" w14:textId="3FAD3DF6" w:rsidR="00CA1D45" w:rsidRPr="00B85B5A" w:rsidRDefault="00CA1D45" w:rsidP="00560AC0">
      <w:pPr>
        <w:pStyle w:val="Heading3"/>
        <w:numPr>
          <w:ilvl w:val="2"/>
          <w:numId w:val="17"/>
        </w:numPr>
        <w:spacing w:before="200" w:after="120" w:line="276" w:lineRule="auto"/>
        <w:ind w:left="851" w:hanging="851"/>
        <w:contextualSpacing w:val="0"/>
      </w:pPr>
      <w:bookmarkStart w:id="459" w:name="_Toc467745559"/>
      <w:bookmarkStart w:id="460" w:name="_Toc468204027"/>
      <w:bookmarkStart w:id="461" w:name="_Ref468436814"/>
      <w:bookmarkStart w:id="462" w:name="_Ref468442021"/>
      <w:r>
        <w:t>Private patient adjustments</w:t>
      </w:r>
      <w:bookmarkEnd w:id="459"/>
      <w:bookmarkEnd w:id="460"/>
      <w:bookmarkEnd w:id="461"/>
      <w:bookmarkEnd w:id="462"/>
    </w:p>
    <w:p w14:paraId="44D3C197" w14:textId="77777777" w:rsidR="00CA1D45" w:rsidRDefault="00CA1D45" w:rsidP="002D606E">
      <w:pPr>
        <w:tabs>
          <w:tab w:val="left" w:pos="1162"/>
        </w:tabs>
        <w:spacing w:after="240"/>
        <w:ind w:right="-28"/>
        <w:rPr>
          <w:rFonts w:cs="Arial"/>
          <w:szCs w:val="20"/>
        </w:rPr>
      </w:pPr>
      <w:r>
        <w:rPr>
          <w:rFonts w:cs="Arial"/>
          <w:szCs w:val="20"/>
        </w:rPr>
        <w:t>Further adjustments are applied to private patients to account for the private benefit received from MBS and private insurers. These adjustments cover the service and accommodation of private patients.</w:t>
      </w:r>
    </w:p>
    <w:p w14:paraId="0AB69AB2" w14:textId="77777777" w:rsidR="00CA1D45" w:rsidRPr="001B4DCE" w:rsidRDefault="00CA1D45" w:rsidP="002D606E">
      <w:pPr>
        <w:tabs>
          <w:tab w:val="left" w:pos="1162"/>
        </w:tabs>
        <w:ind w:right="-28"/>
        <w:rPr>
          <w:rFonts w:cs="Arial"/>
          <w:i/>
          <w:szCs w:val="20"/>
          <w:u w:val="single"/>
        </w:rPr>
      </w:pPr>
      <w:r w:rsidRPr="001B4DCE">
        <w:rPr>
          <w:rFonts w:cs="Arial"/>
          <w:i/>
          <w:szCs w:val="20"/>
          <w:u w:val="single"/>
        </w:rPr>
        <w:t xml:space="preserve">Private patient </w:t>
      </w:r>
      <w:r>
        <w:rPr>
          <w:rFonts w:cs="Arial"/>
          <w:i/>
          <w:szCs w:val="20"/>
          <w:u w:val="single"/>
        </w:rPr>
        <w:t>service</w:t>
      </w:r>
      <w:r w:rsidRPr="001B4DCE">
        <w:rPr>
          <w:rFonts w:cs="Arial"/>
          <w:i/>
          <w:szCs w:val="20"/>
          <w:u w:val="single"/>
        </w:rPr>
        <w:t xml:space="preserve"> adjustment</w:t>
      </w:r>
    </w:p>
    <w:p w14:paraId="1A59542A" w14:textId="77777777" w:rsidR="00CA1D45" w:rsidRDefault="00CA1D45" w:rsidP="002D606E">
      <w:pPr>
        <w:tabs>
          <w:tab w:val="left" w:pos="1162"/>
        </w:tabs>
        <w:ind w:right="-28"/>
        <w:rPr>
          <w:rFonts w:cs="Arial"/>
          <w:szCs w:val="20"/>
        </w:rPr>
      </w:pPr>
      <w:r w:rsidRPr="004F047B">
        <w:rPr>
          <w:rFonts w:cs="Arial"/>
          <w:szCs w:val="20"/>
        </w:rPr>
        <w:t>The HCP data provide</w:t>
      </w:r>
      <w:r>
        <w:rPr>
          <w:rFonts w:cs="Arial"/>
          <w:szCs w:val="20"/>
        </w:rPr>
        <w:t>s</w:t>
      </w:r>
      <w:r w:rsidRPr="004F047B">
        <w:rPr>
          <w:rFonts w:cs="Arial"/>
          <w:szCs w:val="20"/>
        </w:rPr>
        <w:t xml:space="preserve"> a more accurate amount of benefits received from MBS and private insurers for medical hospital services and prostheses</w:t>
      </w:r>
      <w:r>
        <w:rPr>
          <w:rFonts w:cs="Arial"/>
          <w:szCs w:val="20"/>
        </w:rPr>
        <w:t xml:space="preserve"> than provided by the NHCDC.</w:t>
      </w:r>
      <w:r w:rsidRPr="004F047B">
        <w:rPr>
          <w:rFonts w:cs="Arial"/>
          <w:szCs w:val="20"/>
        </w:rPr>
        <w:t xml:space="preserve"> </w:t>
      </w:r>
      <w:r>
        <w:rPr>
          <w:rFonts w:cs="Arial"/>
          <w:szCs w:val="20"/>
        </w:rPr>
        <w:t xml:space="preserve">These benefits are </w:t>
      </w:r>
      <w:r w:rsidRPr="004F047B">
        <w:rPr>
          <w:rFonts w:cs="Arial"/>
          <w:szCs w:val="20"/>
        </w:rPr>
        <w:t>used</w:t>
      </w:r>
      <w:r>
        <w:rPr>
          <w:rFonts w:cs="Arial"/>
          <w:szCs w:val="20"/>
        </w:rPr>
        <w:t xml:space="preserve"> to calculate the private patient service adjustment. The adjustment was </w:t>
      </w:r>
      <w:r w:rsidRPr="00922B83">
        <w:rPr>
          <w:rFonts w:cs="Arial"/>
          <w:szCs w:val="20"/>
        </w:rPr>
        <w:t>calculated at the AR-DRG level, although for some AR</w:t>
      </w:r>
      <w:r>
        <w:rPr>
          <w:rFonts w:cs="Arial"/>
          <w:szCs w:val="20"/>
        </w:rPr>
        <w:noBreakHyphen/>
      </w:r>
      <w:r w:rsidRPr="00922B83">
        <w:rPr>
          <w:rFonts w:cs="Arial"/>
          <w:szCs w:val="20"/>
        </w:rPr>
        <w:t>DRG</w:t>
      </w:r>
      <w:r>
        <w:rPr>
          <w:rFonts w:cs="Arial"/>
          <w:szCs w:val="20"/>
        </w:rPr>
        <w:t>s</w:t>
      </w:r>
      <w:r w:rsidRPr="00922B83">
        <w:rPr>
          <w:rFonts w:cs="Arial"/>
          <w:szCs w:val="20"/>
        </w:rPr>
        <w:t xml:space="preserve"> with small samples,</w:t>
      </w:r>
      <w:r>
        <w:rPr>
          <w:rFonts w:cs="Arial"/>
          <w:szCs w:val="20"/>
        </w:rPr>
        <w:t xml:space="preserve"> the adjustment was derived at a more aggregate level</w:t>
      </w:r>
      <w:r w:rsidRPr="00922B83">
        <w:rPr>
          <w:rFonts w:cs="Arial"/>
          <w:szCs w:val="20"/>
        </w:rPr>
        <w:t xml:space="preserve">. </w:t>
      </w:r>
    </w:p>
    <w:p w14:paraId="6FFE9D41" w14:textId="77777777" w:rsidR="00CA1D45" w:rsidRDefault="00CA1D45" w:rsidP="002D606E">
      <w:pPr>
        <w:tabs>
          <w:tab w:val="left" w:pos="1162"/>
        </w:tabs>
        <w:ind w:right="-28"/>
        <w:rPr>
          <w:rFonts w:cs="Arial"/>
          <w:szCs w:val="20"/>
        </w:rPr>
      </w:pPr>
      <w:r>
        <w:rPr>
          <w:rFonts w:cs="Arial"/>
          <w:szCs w:val="20"/>
        </w:rPr>
        <w:t>The following ratio was taken at the AR-DRG level:</w:t>
      </w:r>
    </w:p>
    <w:p w14:paraId="15E3CA31" w14:textId="77777777" w:rsidR="00CA1D45" w:rsidRPr="008D5E09" w:rsidRDefault="00CA1D45" w:rsidP="002D606E">
      <w:pPr>
        <w:tabs>
          <w:tab w:val="left" w:pos="1162"/>
        </w:tabs>
        <w:ind w:left="360" w:right="-28"/>
        <w:rPr>
          <w:rFonts w:cs="Arial"/>
          <w:i/>
          <w:szCs w:val="20"/>
        </w:rPr>
      </w:pPr>
      <w:r>
        <w:rPr>
          <w:rFonts w:cs="Arial"/>
          <w:i/>
          <w:szCs w:val="20"/>
        </w:rPr>
        <w:t>Private patient service adjustment (</w:t>
      </w:r>
      <m:oMath>
        <m:sSub>
          <m:sSubPr>
            <m:ctrlPr>
              <w:rPr>
                <w:rFonts w:ascii="Cambria Math" w:hAnsi="Cambria Math" w:cs="Arial"/>
                <w:sz w:val="18"/>
                <w:szCs w:val="20"/>
              </w:rPr>
            </m:ctrlPr>
          </m:sSubPr>
          <m:e>
            <m:r>
              <m:rPr>
                <m:sty m:val="p"/>
              </m:rPr>
              <w:rPr>
                <w:rFonts w:ascii="Cambria Math" w:hAnsi="Cambria Math" w:cs="Arial"/>
                <w:sz w:val="18"/>
                <w:szCs w:val="20"/>
              </w:rPr>
              <m:t>A</m:t>
            </m:r>
          </m:e>
          <m:sub>
            <m:r>
              <m:rPr>
                <m:sty m:val="p"/>
              </m:rPr>
              <w:rPr>
                <w:rFonts w:ascii="Cambria Math" w:hAnsi="Cambria Math" w:cs="Arial"/>
                <w:sz w:val="18"/>
                <w:szCs w:val="20"/>
              </w:rPr>
              <m:t>PPS</m:t>
            </m:r>
          </m:sub>
        </m:sSub>
      </m:oMath>
      <w:r>
        <w:rPr>
          <w:rFonts w:cs="Arial"/>
          <w:i/>
          <w:szCs w:val="20"/>
        </w:rPr>
        <w:t>) = R</w:t>
      </w:r>
      <w:proofErr w:type="spellStart"/>
      <w:r w:rsidRPr="00E93E7F">
        <w:rPr>
          <w:rFonts w:cs="Arial"/>
          <w:i/>
          <w:szCs w:val="20"/>
        </w:rPr>
        <w:t>emoved</w:t>
      </w:r>
      <w:proofErr w:type="spellEnd"/>
      <w:r w:rsidRPr="00E93E7F">
        <w:rPr>
          <w:rFonts w:cs="Arial"/>
          <w:i/>
          <w:szCs w:val="20"/>
        </w:rPr>
        <w:t xml:space="preserve"> </w:t>
      </w:r>
      <w:r>
        <w:rPr>
          <w:rFonts w:cs="Arial"/>
          <w:i/>
          <w:szCs w:val="20"/>
        </w:rPr>
        <w:t xml:space="preserve">costs </w:t>
      </w:r>
      <w:r w:rsidRPr="00E93E7F">
        <w:rPr>
          <w:rFonts w:cs="Arial"/>
          <w:i/>
          <w:szCs w:val="20"/>
        </w:rPr>
        <w:t xml:space="preserve">/ Total </w:t>
      </w:r>
      <w:r>
        <w:rPr>
          <w:rFonts w:cs="Arial"/>
          <w:i/>
          <w:szCs w:val="20"/>
        </w:rPr>
        <w:t>AR-DRG model costs</w:t>
      </w:r>
    </w:p>
    <w:p w14:paraId="5ED06BC7" w14:textId="77777777" w:rsidR="00CA1D45" w:rsidRDefault="00CA1D45" w:rsidP="002D606E">
      <w:pPr>
        <w:tabs>
          <w:tab w:val="left" w:pos="1162"/>
        </w:tabs>
        <w:ind w:right="-28"/>
        <w:rPr>
          <w:rFonts w:cs="Arial"/>
          <w:szCs w:val="20"/>
        </w:rPr>
      </w:pPr>
      <w:r>
        <w:rPr>
          <w:rFonts w:cs="Arial"/>
          <w:szCs w:val="20"/>
        </w:rPr>
        <w:t xml:space="preserve">It should be noted that the AR-DRG model costs referred to in this document exclude the application of any other adjustments. That is, the private patient service adjustment </w:t>
      </w:r>
      <w:r>
        <w:rPr>
          <w:rFonts w:cs="Arial"/>
          <w:i/>
          <w:szCs w:val="20"/>
        </w:rPr>
        <w:t>(</w:t>
      </w:r>
      <m:oMath>
        <m:sSub>
          <m:sSubPr>
            <m:ctrlPr>
              <w:rPr>
                <w:rFonts w:ascii="Cambria Math" w:hAnsi="Cambria Math" w:cs="Arial"/>
                <w:sz w:val="18"/>
                <w:szCs w:val="20"/>
              </w:rPr>
            </m:ctrlPr>
          </m:sSubPr>
          <m:e>
            <m:r>
              <m:rPr>
                <m:sty m:val="p"/>
              </m:rPr>
              <w:rPr>
                <w:rFonts w:ascii="Cambria Math" w:hAnsi="Cambria Math" w:cs="Arial"/>
                <w:sz w:val="18"/>
                <w:szCs w:val="20"/>
              </w:rPr>
              <m:t>A</m:t>
            </m:r>
          </m:e>
          <m:sub>
            <m:r>
              <m:rPr>
                <m:sty m:val="p"/>
              </m:rPr>
              <w:rPr>
                <w:rFonts w:ascii="Cambria Math" w:hAnsi="Cambria Math" w:cs="Arial"/>
                <w:sz w:val="18"/>
                <w:szCs w:val="20"/>
              </w:rPr>
              <m:t>PPS</m:t>
            </m:r>
          </m:sub>
        </m:sSub>
      </m:oMath>
      <w:r>
        <w:rPr>
          <w:rFonts w:cs="Arial"/>
          <w:i/>
          <w:szCs w:val="20"/>
        </w:rPr>
        <w:t xml:space="preserve">) </w:t>
      </w:r>
      <w:r>
        <w:rPr>
          <w:rFonts w:cs="Arial"/>
          <w:szCs w:val="20"/>
        </w:rPr>
        <w:t xml:space="preserve">is calculated in such a way that </w:t>
      </w:r>
      <w:r w:rsidRPr="00E57951">
        <w:rPr>
          <w:rFonts w:cs="Arial"/>
          <w:szCs w:val="20"/>
        </w:rPr>
        <w:t>excludes any effect o</w:t>
      </w:r>
      <w:r>
        <w:rPr>
          <w:rFonts w:cs="Arial"/>
          <w:szCs w:val="20"/>
        </w:rPr>
        <w:t>n</w:t>
      </w:r>
      <w:r w:rsidRPr="00E57951">
        <w:rPr>
          <w:rFonts w:cs="Arial"/>
          <w:szCs w:val="20"/>
        </w:rPr>
        <w:t xml:space="preserve"> the paediatric, specialist psychiatric, </w:t>
      </w:r>
      <w:r>
        <w:rPr>
          <w:rFonts w:cs="Arial"/>
          <w:szCs w:val="20"/>
        </w:rPr>
        <w:t>Indigenous,</w:t>
      </w:r>
      <w:r w:rsidRPr="00E57951">
        <w:rPr>
          <w:rFonts w:cs="Arial"/>
          <w:szCs w:val="20"/>
        </w:rPr>
        <w:t xml:space="preserve"> remoteness</w:t>
      </w:r>
      <w:r>
        <w:rPr>
          <w:rFonts w:cs="Arial"/>
          <w:szCs w:val="20"/>
        </w:rPr>
        <w:t>, and radiotherapy or dialysis</w:t>
      </w:r>
      <w:r w:rsidRPr="00E57951">
        <w:rPr>
          <w:rFonts w:cs="Arial"/>
          <w:szCs w:val="20"/>
        </w:rPr>
        <w:t xml:space="preserve"> adjustments</w:t>
      </w:r>
      <w:r w:rsidRPr="00063E42">
        <w:rPr>
          <w:rFonts w:cs="Arial"/>
          <w:szCs w:val="20"/>
        </w:rPr>
        <w:t>.</w:t>
      </w:r>
    </w:p>
    <w:p w14:paraId="7CC3910C" w14:textId="77777777" w:rsidR="00CA1D45" w:rsidRDefault="00CA1D45" w:rsidP="002D606E">
      <w:pPr>
        <w:tabs>
          <w:tab w:val="left" w:pos="1162"/>
        </w:tabs>
        <w:spacing w:after="240"/>
        <w:ind w:right="-28"/>
        <w:rPr>
          <w:rFonts w:cs="Arial"/>
          <w:szCs w:val="20"/>
        </w:rPr>
      </w:pPr>
      <w:r>
        <w:rPr>
          <w:rFonts w:cs="Arial"/>
          <w:szCs w:val="20"/>
        </w:rPr>
        <w:t>The AR-DRG cost parameters were then uniformly calibrated to ensure cost neutrality of the cost model (including the private patient service adjustment and previously derived adjustments) against actual costs.</w:t>
      </w:r>
    </w:p>
    <w:p w14:paraId="75A07ECE" w14:textId="77777777" w:rsidR="00CA1D45" w:rsidRPr="00BD4DD8" w:rsidRDefault="00CA1D45" w:rsidP="002D606E">
      <w:pPr>
        <w:tabs>
          <w:tab w:val="left" w:pos="1162"/>
        </w:tabs>
        <w:ind w:right="-28"/>
        <w:rPr>
          <w:rFonts w:cs="Arial"/>
          <w:i/>
          <w:szCs w:val="20"/>
          <w:u w:val="single"/>
        </w:rPr>
      </w:pPr>
      <w:r w:rsidRPr="00BD4DD8">
        <w:rPr>
          <w:rFonts w:cs="Arial"/>
          <w:i/>
          <w:szCs w:val="20"/>
          <w:u w:val="single"/>
        </w:rPr>
        <w:t>Private patient accommodation adjustment</w:t>
      </w:r>
    </w:p>
    <w:p w14:paraId="292D9202" w14:textId="77777777" w:rsidR="00CA1D45" w:rsidRPr="00922B83" w:rsidRDefault="00CA1D45" w:rsidP="002D606E">
      <w:pPr>
        <w:tabs>
          <w:tab w:val="left" w:pos="1162"/>
        </w:tabs>
        <w:spacing w:after="360"/>
        <w:ind w:right="-28"/>
        <w:rPr>
          <w:rFonts w:cs="Arial"/>
          <w:szCs w:val="20"/>
        </w:rPr>
      </w:pPr>
      <w:r w:rsidRPr="00922B83">
        <w:rPr>
          <w:rFonts w:cs="Arial"/>
          <w:szCs w:val="20"/>
        </w:rPr>
        <w:t>In addition to medical and prostheses cost</w:t>
      </w:r>
      <w:r>
        <w:rPr>
          <w:rFonts w:cs="Arial"/>
          <w:szCs w:val="20"/>
        </w:rPr>
        <w:t>s</w:t>
      </w:r>
      <w:r w:rsidRPr="00922B83">
        <w:rPr>
          <w:rFonts w:cs="Arial"/>
          <w:szCs w:val="20"/>
        </w:rPr>
        <w:t xml:space="preserve">, insurers are also charged for </w:t>
      </w:r>
      <w:r w:rsidRPr="00A24619">
        <w:rPr>
          <w:rFonts w:cs="Arial"/>
          <w:szCs w:val="20"/>
        </w:rPr>
        <w:t>accommodation</w:t>
      </w:r>
      <w:r w:rsidRPr="004F047B">
        <w:rPr>
          <w:rFonts w:cs="Arial"/>
          <w:szCs w:val="20"/>
        </w:rPr>
        <w:t xml:space="preserve">. A </w:t>
      </w:r>
      <w:r w:rsidRPr="00B20CF2">
        <w:rPr>
          <w:rFonts w:cs="Arial"/>
          <w:szCs w:val="20"/>
        </w:rPr>
        <w:t>p</w:t>
      </w:r>
      <w:r w:rsidRPr="004F047B">
        <w:rPr>
          <w:rFonts w:cs="Arial"/>
          <w:szCs w:val="20"/>
        </w:rPr>
        <w:t xml:space="preserve">rivate patient accommodation adjustment </w:t>
      </w:r>
      <w:r>
        <w:rPr>
          <w:rFonts w:cs="Arial"/>
          <w:szCs w:val="20"/>
        </w:rPr>
        <w:t>(</w:t>
      </w:r>
      <m:oMath>
        <m:sSub>
          <m:sSubPr>
            <m:ctrlPr>
              <w:rPr>
                <w:rFonts w:ascii="Cambria Math" w:hAnsi="Cambria Math" w:cs="Arial"/>
                <w:sz w:val="18"/>
                <w:szCs w:val="20"/>
              </w:rPr>
            </m:ctrlPr>
          </m:sSubPr>
          <m:e>
            <m:r>
              <m:rPr>
                <m:sty m:val="p"/>
              </m:rPr>
              <w:rPr>
                <w:rFonts w:ascii="Cambria Math" w:hAnsi="Cambria Math" w:cs="Arial"/>
                <w:sz w:val="18"/>
                <w:szCs w:val="20"/>
              </w:rPr>
              <m:t>A</m:t>
            </m:r>
          </m:e>
          <m:sub>
            <m:r>
              <m:rPr>
                <m:sty m:val="p"/>
              </m:rPr>
              <w:rPr>
                <w:rFonts w:ascii="Cambria Math" w:hAnsi="Cambria Math" w:cs="Arial"/>
                <w:sz w:val="18"/>
                <w:szCs w:val="20"/>
              </w:rPr>
              <m:t>Acc</m:t>
            </m:r>
          </m:sub>
        </m:sSub>
      </m:oMath>
      <w:r>
        <w:rPr>
          <w:rFonts w:eastAsiaTheme="minorEastAsia" w:cs="Arial"/>
          <w:sz w:val="18"/>
          <w:szCs w:val="20"/>
        </w:rPr>
        <w:t xml:space="preserve">) </w:t>
      </w:r>
      <w:r w:rsidRPr="004F047B">
        <w:rPr>
          <w:rFonts w:cs="Arial"/>
          <w:szCs w:val="20"/>
        </w:rPr>
        <w:t>is applied to account for revenue received in relation to these charges. For the purpose of deriving th</w:t>
      </w:r>
      <w:r>
        <w:rPr>
          <w:rFonts w:cs="Arial"/>
          <w:szCs w:val="20"/>
        </w:rPr>
        <w:t>e adjustment associated with</w:t>
      </w:r>
      <w:r w:rsidRPr="004F047B">
        <w:rPr>
          <w:rFonts w:cs="Arial"/>
          <w:szCs w:val="20"/>
        </w:rPr>
        <w:t xml:space="preserve"> </w:t>
      </w:r>
      <w:r w:rsidRPr="00801AF5">
        <w:rPr>
          <w:rFonts w:cs="Arial"/>
          <w:szCs w:val="20"/>
        </w:rPr>
        <w:t>NEP17,</w:t>
      </w:r>
      <w:r w:rsidRPr="004F047B">
        <w:rPr>
          <w:rFonts w:cs="Arial"/>
          <w:szCs w:val="20"/>
        </w:rPr>
        <w:t xml:space="preserve"> </w:t>
      </w:r>
      <w:r w:rsidRPr="00801AF5">
        <w:rPr>
          <w:rFonts w:cs="Arial"/>
          <w:szCs w:val="20"/>
        </w:rPr>
        <w:t>2016-1</w:t>
      </w:r>
      <w:r w:rsidRPr="00A97E21">
        <w:rPr>
          <w:rFonts w:cs="Arial"/>
          <w:szCs w:val="20"/>
        </w:rPr>
        <w:t>7</w:t>
      </w:r>
      <w:r w:rsidRPr="00A24619">
        <w:rPr>
          <w:rFonts w:cs="Arial"/>
          <w:szCs w:val="20"/>
        </w:rPr>
        <w:t xml:space="preserve"> </w:t>
      </w:r>
      <w:r w:rsidRPr="004F047B">
        <w:rPr>
          <w:rFonts w:cs="Arial"/>
          <w:szCs w:val="20"/>
        </w:rPr>
        <w:t xml:space="preserve">average </w:t>
      </w:r>
      <w:r w:rsidRPr="00B20CF2">
        <w:rPr>
          <w:rFonts w:cs="Arial"/>
          <w:szCs w:val="20"/>
        </w:rPr>
        <w:t xml:space="preserve">default </w:t>
      </w:r>
      <w:r w:rsidRPr="004F047B">
        <w:rPr>
          <w:rFonts w:cs="Arial"/>
          <w:szCs w:val="20"/>
        </w:rPr>
        <w:t>benefits for private health insurers by state/territory were indexed forward one</w:t>
      </w:r>
      <w:r>
        <w:rPr>
          <w:rFonts w:cs="Arial"/>
          <w:szCs w:val="20"/>
        </w:rPr>
        <w:t xml:space="preserve"> year </w:t>
      </w:r>
      <w:r w:rsidRPr="00801AF5">
        <w:rPr>
          <w:rFonts w:cs="Arial"/>
          <w:szCs w:val="20"/>
        </w:rPr>
        <w:t>by 2.25 per cent (i.e</w:t>
      </w:r>
      <w:r w:rsidRPr="00A97E21">
        <w:rPr>
          <w:rFonts w:cs="Arial"/>
          <w:szCs w:val="20"/>
        </w:rPr>
        <w:t>.</w:t>
      </w:r>
      <w:r>
        <w:rPr>
          <w:rFonts w:cs="Arial"/>
          <w:szCs w:val="20"/>
        </w:rPr>
        <w:t xml:space="preserve"> by CPI as required by legislation) </w:t>
      </w:r>
      <w:r w:rsidRPr="00801AF5">
        <w:rPr>
          <w:rFonts w:cs="Arial"/>
          <w:szCs w:val="20"/>
        </w:rPr>
        <w:t>to 2017-18</w:t>
      </w:r>
      <w:r>
        <w:rPr>
          <w:rFonts w:cs="Arial"/>
          <w:szCs w:val="20"/>
        </w:rPr>
        <w:t>.</w:t>
      </w:r>
    </w:p>
    <w:p w14:paraId="5447233A" w14:textId="1895A1C2" w:rsidR="00CA1D45" w:rsidRDefault="00CA1D45" w:rsidP="00560AC0">
      <w:pPr>
        <w:pStyle w:val="Heading3"/>
        <w:numPr>
          <w:ilvl w:val="2"/>
          <w:numId w:val="17"/>
        </w:numPr>
        <w:spacing w:before="200" w:after="120" w:line="276" w:lineRule="auto"/>
        <w:ind w:left="851" w:hanging="851"/>
        <w:contextualSpacing w:val="0"/>
      </w:pPr>
      <w:bookmarkStart w:id="463" w:name="_Toc467745560"/>
      <w:bookmarkStart w:id="464" w:name="_Toc468204028"/>
      <w:bookmarkStart w:id="465" w:name="_Ref468263658"/>
      <w:bookmarkStart w:id="466" w:name="_Ref468432991"/>
      <w:r>
        <w:lastRenderedPageBreak/>
        <w:t>Incorporation of outlier samples of cost data</w:t>
      </w:r>
      <w:bookmarkEnd w:id="463"/>
      <w:bookmarkEnd w:id="464"/>
      <w:bookmarkEnd w:id="465"/>
      <w:bookmarkEnd w:id="466"/>
    </w:p>
    <w:p w14:paraId="481F535E" w14:textId="77777777" w:rsidR="00CA1D45" w:rsidRDefault="00CA1D45" w:rsidP="002D606E">
      <w:pPr>
        <w:tabs>
          <w:tab w:val="left" w:pos="1162"/>
        </w:tabs>
        <w:ind w:right="-28"/>
        <w:rPr>
          <w:rFonts w:cs="Arial"/>
          <w:szCs w:val="20"/>
        </w:rPr>
      </w:pPr>
      <w:r>
        <w:rPr>
          <w:rFonts w:cs="Arial"/>
          <w:szCs w:val="20"/>
        </w:rPr>
        <w:t>The development of the cost model to this point is based on the sample of patient-level cost data evaluated as fit for use to develop AR-DRG cost profiles. Thus, the sample of patient-level cost data identified as not fit for use at the AR-DRG level have not been used within the cost model.</w:t>
      </w:r>
    </w:p>
    <w:p w14:paraId="74CE1B2E" w14:textId="77777777" w:rsidR="00CA1D45" w:rsidRPr="00901D61" w:rsidRDefault="00CA1D45" w:rsidP="002D606E">
      <w:pPr>
        <w:tabs>
          <w:tab w:val="left" w:pos="1162"/>
        </w:tabs>
        <w:ind w:right="-28"/>
        <w:rPr>
          <w:rFonts w:cs="Arial"/>
          <w:szCs w:val="20"/>
        </w:rPr>
      </w:pPr>
      <w:r>
        <w:rPr>
          <w:rFonts w:cs="Arial"/>
          <w:szCs w:val="20"/>
        </w:rPr>
        <w:t>T</w:t>
      </w:r>
      <w:r w:rsidRPr="00901D61">
        <w:rPr>
          <w:rFonts w:cs="Arial"/>
          <w:szCs w:val="20"/>
        </w:rPr>
        <w:t xml:space="preserve">he </w:t>
      </w:r>
      <w:r>
        <w:rPr>
          <w:rFonts w:cs="Arial"/>
          <w:szCs w:val="20"/>
        </w:rPr>
        <w:t>following process is used to calibrate the cost model against the entire sample of cost data</w:t>
      </w:r>
      <w:r w:rsidRPr="00901D61">
        <w:rPr>
          <w:rFonts w:cs="Arial"/>
          <w:szCs w:val="20"/>
        </w:rPr>
        <w:t>:</w:t>
      </w:r>
    </w:p>
    <w:p w14:paraId="21F5B258" w14:textId="77777777" w:rsidR="00CA1D45" w:rsidRDefault="00CA1D45" w:rsidP="002D606E">
      <w:pPr>
        <w:pStyle w:val="ListParagraph"/>
        <w:numPr>
          <w:ilvl w:val="0"/>
          <w:numId w:val="23"/>
        </w:numPr>
        <w:tabs>
          <w:tab w:val="left" w:pos="1162"/>
        </w:tabs>
        <w:spacing w:before="80" w:line="240" w:lineRule="auto"/>
        <w:ind w:left="714" w:right="-28" w:hanging="357"/>
        <w:contextualSpacing w:val="0"/>
        <w:rPr>
          <w:rFonts w:cs="Arial"/>
          <w:szCs w:val="20"/>
        </w:rPr>
      </w:pPr>
      <w:r w:rsidRPr="00901D61">
        <w:rPr>
          <w:rFonts w:cs="Arial"/>
          <w:szCs w:val="20"/>
        </w:rPr>
        <w:t xml:space="preserve">The </w:t>
      </w:r>
      <w:r>
        <w:rPr>
          <w:rFonts w:cs="Arial"/>
          <w:szCs w:val="20"/>
        </w:rPr>
        <w:t xml:space="preserve">cost model developed to this point, including all adjustments (except the private patient adjustments) is applied to the entire cost data sample. This process results in model costs across the entire sample of cost data. </w:t>
      </w:r>
    </w:p>
    <w:p w14:paraId="69C78C8B" w14:textId="77777777" w:rsidR="00CA1D45" w:rsidRDefault="00CA1D45" w:rsidP="002D606E">
      <w:pPr>
        <w:pStyle w:val="ListParagraph"/>
        <w:numPr>
          <w:ilvl w:val="0"/>
          <w:numId w:val="23"/>
        </w:numPr>
        <w:tabs>
          <w:tab w:val="left" w:pos="1162"/>
        </w:tabs>
        <w:spacing w:before="80" w:line="240" w:lineRule="auto"/>
        <w:ind w:left="714" w:right="-28" w:hanging="357"/>
        <w:contextualSpacing w:val="0"/>
        <w:rPr>
          <w:rFonts w:cs="Arial"/>
          <w:szCs w:val="20"/>
        </w:rPr>
      </w:pPr>
      <w:r>
        <w:rPr>
          <w:rFonts w:cs="Arial"/>
          <w:szCs w:val="20"/>
        </w:rPr>
        <w:t>The AR-DRG cost parameters are then uniformly adjusted to ensure the resulting total modelled cost across the entire sample is equalised against the total actual costs of the entire sample.</w:t>
      </w:r>
    </w:p>
    <w:p w14:paraId="2767A1A4" w14:textId="77777777" w:rsidR="00CA1D45" w:rsidRDefault="00CA1D45" w:rsidP="002D606E">
      <w:pPr>
        <w:tabs>
          <w:tab w:val="left" w:pos="1162"/>
        </w:tabs>
        <w:spacing w:before="240"/>
        <w:ind w:right="-28"/>
        <w:rPr>
          <w:rFonts w:cs="Arial"/>
          <w:szCs w:val="20"/>
        </w:rPr>
      </w:pPr>
      <w:r w:rsidRPr="00147DC1">
        <w:rPr>
          <w:rFonts w:cs="Arial"/>
          <w:szCs w:val="20"/>
        </w:rPr>
        <w:t xml:space="preserve">It should be noted </w:t>
      </w:r>
      <w:r>
        <w:rPr>
          <w:rFonts w:cs="Arial"/>
          <w:szCs w:val="20"/>
        </w:rPr>
        <w:t xml:space="preserve">again </w:t>
      </w:r>
      <w:r w:rsidRPr="00147DC1">
        <w:rPr>
          <w:rFonts w:cs="Arial"/>
          <w:szCs w:val="20"/>
        </w:rPr>
        <w:t>that sample</w:t>
      </w:r>
      <w:r>
        <w:rPr>
          <w:rFonts w:cs="Arial"/>
          <w:szCs w:val="20"/>
        </w:rPr>
        <w:t>-</w:t>
      </w:r>
      <w:r w:rsidRPr="00147DC1">
        <w:rPr>
          <w:rFonts w:cs="Arial"/>
          <w:szCs w:val="20"/>
        </w:rPr>
        <w:t>to</w:t>
      </w:r>
      <w:r>
        <w:rPr>
          <w:rFonts w:cs="Arial"/>
          <w:szCs w:val="20"/>
        </w:rPr>
        <w:t>-</w:t>
      </w:r>
      <w:r w:rsidRPr="00147DC1">
        <w:rPr>
          <w:rFonts w:cs="Arial"/>
          <w:szCs w:val="20"/>
        </w:rPr>
        <w:t xml:space="preserve">population weights </w:t>
      </w:r>
      <w:r>
        <w:rPr>
          <w:rFonts w:cs="Arial"/>
          <w:szCs w:val="20"/>
        </w:rPr>
        <w:t>are</w:t>
      </w:r>
      <w:r w:rsidRPr="00147DC1">
        <w:rPr>
          <w:rFonts w:cs="Arial"/>
          <w:szCs w:val="20"/>
        </w:rPr>
        <w:t xml:space="preserve"> </w:t>
      </w:r>
      <w:r>
        <w:rPr>
          <w:rFonts w:cs="Arial"/>
          <w:szCs w:val="20"/>
        </w:rPr>
        <w:t>used</w:t>
      </w:r>
      <w:r w:rsidRPr="00147DC1">
        <w:rPr>
          <w:rFonts w:cs="Arial"/>
          <w:szCs w:val="20"/>
        </w:rPr>
        <w:t xml:space="preserve"> throughout all stages </w:t>
      </w:r>
      <w:r>
        <w:rPr>
          <w:rFonts w:cs="Arial"/>
          <w:szCs w:val="20"/>
        </w:rPr>
        <w:t>in the development of the cost model.</w:t>
      </w:r>
    </w:p>
    <w:p w14:paraId="4DB0CEB1" w14:textId="2EB9AD82" w:rsidR="00CA1D45" w:rsidRPr="00B85B5A" w:rsidRDefault="00CA1D45" w:rsidP="00560AC0">
      <w:pPr>
        <w:pStyle w:val="Heading3"/>
        <w:numPr>
          <w:ilvl w:val="2"/>
          <w:numId w:val="17"/>
        </w:numPr>
        <w:spacing w:before="200" w:after="120" w:line="276" w:lineRule="auto"/>
        <w:ind w:left="851" w:hanging="851"/>
        <w:contextualSpacing w:val="0"/>
      </w:pPr>
      <w:bookmarkStart w:id="467" w:name="_Toc467745561"/>
      <w:bookmarkStart w:id="468" w:name="_Toc468204029"/>
      <w:bookmarkStart w:id="469" w:name="_Ref468263918"/>
      <w:r>
        <w:t>Price weights and NWAU</w:t>
      </w:r>
      <w:bookmarkEnd w:id="467"/>
      <w:bookmarkEnd w:id="468"/>
      <w:bookmarkEnd w:id="469"/>
    </w:p>
    <w:p w14:paraId="12F64C66" w14:textId="77777777" w:rsidR="00CA1D45" w:rsidRDefault="00CA1D45" w:rsidP="002D606E">
      <w:pPr>
        <w:tabs>
          <w:tab w:val="left" w:pos="1162"/>
        </w:tabs>
        <w:ind w:right="-28"/>
        <w:rPr>
          <w:rFonts w:cs="Arial"/>
          <w:szCs w:val="20"/>
        </w:rPr>
      </w:pPr>
      <w:r w:rsidRPr="00922B83">
        <w:rPr>
          <w:rFonts w:cs="Arial"/>
          <w:szCs w:val="20"/>
        </w:rPr>
        <w:t>The fi</w:t>
      </w:r>
      <w:r>
        <w:rPr>
          <w:rFonts w:cs="Arial"/>
          <w:szCs w:val="20"/>
        </w:rPr>
        <w:t>nal step in the process involves</w:t>
      </w:r>
      <w:r w:rsidRPr="00922B83">
        <w:rPr>
          <w:rFonts w:cs="Arial"/>
          <w:szCs w:val="20"/>
        </w:rPr>
        <w:t xml:space="preserve"> </w:t>
      </w:r>
      <w:r>
        <w:rPr>
          <w:rFonts w:cs="Arial"/>
          <w:szCs w:val="20"/>
        </w:rPr>
        <w:t xml:space="preserve">the </w:t>
      </w:r>
      <w:r w:rsidRPr="00922B83">
        <w:rPr>
          <w:rFonts w:cs="Arial"/>
          <w:szCs w:val="20"/>
        </w:rPr>
        <w:t xml:space="preserve">conversion of </w:t>
      </w:r>
      <w:r>
        <w:rPr>
          <w:rFonts w:cs="Arial"/>
          <w:szCs w:val="20"/>
        </w:rPr>
        <w:t xml:space="preserve">the </w:t>
      </w:r>
      <w:r w:rsidRPr="00801AF5">
        <w:rPr>
          <w:rFonts w:cs="Arial"/>
          <w:szCs w:val="20"/>
        </w:rPr>
        <w:t>2014-15</w:t>
      </w:r>
      <w:r>
        <w:rPr>
          <w:rFonts w:cs="Arial"/>
          <w:szCs w:val="20"/>
        </w:rPr>
        <w:t xml:space="preserve"> cost model parameters </w:t>
      </w:r>
      <w:r w:rsidRPr="00922B83">
        <w:rPr>
          <w:rFonts w:cs="Arial"/>
          <w:szCs w:val="20"/>
        </w:rPr>
        <w:t xml:space="preserve">to cost weight values by dividing the cost </w:t>
      </w:r>
      <w:r>
        <w:rPr>
          <w:rFonts w:cs="Arial"/>
          <w:szCs w:val="20"/>
        </w:rPr>
        <w:t xml:space="preserve">parameters </w:t>
      </w:r>
      <w:r w:rsidRPr="00922B83">
        <w:rPr>
          <w:rFonts w:cs="Arial"/>
          <w:szCs w:val="20"/>
        </w:rPr>
        <w:t xml:space="preserve">by </w:t>
      </w:r>
      <w:r>
        <w:rPr>
          <w:rFonts w:cs="Arial"/>
          <w:szCs w:val="20"/>
        </w:rPr>
        <w:t>a reference cost.</w:t>
      </w:r>
    </w:p>
    <w:p w14:paraId="0DDD8E58" w14:textId="77777777" w:rsidR="00CA1D45" w:rsidRDefault="00CA1D45" w:rsidP="002D606E">
      <w:pPr>
        <w:tabs>
          <w:tab w:val="left" w:pos="1162"/>
        </w:tabs>
        <w:ind w:right="-28"/>
        <w:rPr>
          <w:rFonts w:cs="Arial"/>
          <w:szCs w:val="20"/>
        </w:rPr>
      </w:pPr>
      <w:r>
        <w:rPr>
          <w:rFonts w:cs="Arial"/>
          <w:szCs w:val="20"/>
        </w:rPr>
        <w:t xml:space="preserve">The reference cost used was the </w:t>
      </w:r>
      <w:r w:rsidRPr="00801AF5">
        <w:rPr>
          <w:rFonts w:cs="Arial"/>
          <w:szCs w:val="20"/>
        </w:rPr>
        <w:t>2013-14</w:t>
      </w:r>
      <w:r>
        <w:rPr>
          <w:rFonts w:cs="Arial"/>
          <w:szCs w:val="20"/>
        </w:rPr>
        <w:t xml:space="preserve"> reference cost indexed one year by the growth rate in the consecutive years’ cost models, where this growth rate is standardised against the </w:t>
      </w:r>
      <w:r w:rsidRPr="00801AF5">
        <w:rPr>
          <w:rFonts w:cs="Arial"/>
          <w:szCs w:val="20"/>
        </w:rPr>
        <w:t>2014-15</w:t>
      </w:r>
      <w:r>
        <w:rPr>
          <w:rFonts w:cs="Arial"/>
          <w:szCs w:val="20"/>
        </w:rPr>
        <w:t xml:space="preserve"> activity data. Specifically, the standardised growth rate was derived by applying the </w:t>
      </w:r>
      <w:r w:rsidRPr="00801AF5">
        <w:rPr>
          <w:rFonts w:cs="Arial"/>
          <w:szCs w:val="20"/>
        </w:rPr>
        <w:t>2013-14 and 2014-15</w:t>
      </w:r>
      <w:r>
        <w:rPr>
          <w:rFonts w:cs="Arial"/>
          <w:szCs w:val="20"/>
        </w:rPr>
        <w:t xml:space="preserve"> cost models (excluding private patient adjustments) to the </w:t>
      </w:r>
      <w:r w:rsidRPr="00801AF5">
        <w:rPr>
          <w:rFonts w:cs="Arial"/>
          <w:szCs w:val="20"/>
        </w:rPr>
        <w:t>2014-15</w:t>
      </w:r>
      <w:r>
        <w:rPr>
          <w:rFonts w:cs="Arial"/>
          <w:szCs w:val="20"/>
        </w:rPr>
        <w:t xml:space="preserve"> activity data, and calculating the change in total modelled costs between the two models. </w:t>
      </w:r>
    </w:p>
    <w:p w14:paraId="07AA7CAC" w14:textId="3E0C2BA2" w:rsidR="00CA1D45" w:rsidRDefault="00CA1D45" w:rsidP="002D606E">
      <w:pPr>
        <w:tabs>
          <w:tab w:val="left" w:pos="1162"/>
        </w:tabs>
        <w:ind w:right="-28"/>
        <w:rPr>
          <w:rFonts w:cs="Arial"/>
          <w:szCs w:val="20"/>
        </w:rPr>
      </w:pPr>
      <w:r>
        <w:rPr>
          <w:rFonts w:cs="Arial"/>
          <w:szCs w:val="20"/>
        </w:rPr>
        <w:t xml:space="preserve">This is the same methodology used to calculate the </w:t>
      </w:r>
      <w:r w:rsidRPr="00801AF5">
        <w:rPr>
          <w:rFonts w:cs="Arial"/>
          <w:szCs w:val="20"/>
        </w:rPr>
        <w:t>2013-14</w:t>
      </w:r>
      <w:r>
        <w:rPr>
          <w:rFonts w:cs="Arial"/>
          <w:szCs w:val="20"/>
        </w:rPr>
        <w:t xml:space="preserve"> reference cost from the </w:t>
      </w:r>
      <w:r w:rsidRPr="00801AF5">
        <w:rPr>
          <w:rFonts w:cs="Arial"/>
          <w:szCs w:val="20"/>
        </w:rPr>
        <w:t>2012-13</w:t>
      </w:r>
      <w:r>
        <w:rPr>
          <w:rFonts w:cs="Arial"/>
          <w:szCs w:val="20"/>
        </w:rPr>
        <w:t xml:space="preserve"> reference cost. The resulting cost weights are then converted to the price weights that are used to assign NWAU, as explained further </w:t>
      </w:r>
      <w:r>
        <w:rPr>
          <w:rFonts w:asciiTheme="minorHAnsi" w:hAnsiTheme="minorHAnsi" w:cstheme="minorHAnsi"/>
          <w:szCs w:val="22"/>
        </w:rPr>
        <w:t>in</w:t>
      </w:r>
      <w:r w:rsidR="005D2CAB">
        <w:rPr>
          <w:rFonts w:asciiTheme="minorHAnsi" w:hAnsiTheme="minorHAnsi" w:cstheme="minorHAnsi"/>
          <w:szCs w:val="22"/>
        </w:rPr>
        <w:t xml:space="preserve"> Section</w:t>
      </w:r>
      <w:r w:rsidRPr="00BA7BF2">
        <w:rPr>
          <w:rFonts w:asciiTheme="minorHAnsi" w:hAnsiTheme="minorHAnsi" w:cstheme="minorHAnsi"/>
          <w:szCs w:val="22"/>
        </w:rPr>
        <w:t xml:space="preserve"> </w:t>
      </w:r>
      <w:r w:rsidR="005D2CAB">
        <w:rPr>
          <w:rFonts w:cs="Arial"/>
          <w:szCs w:val="20"/>
        </w:rPr>
        <w:fldChar w:fldCharType="begin"/>
      </w:r>
      <w:r w:rsidR="005D2CAB">
        <w:rPr>
          <w:rFonts w:cs="Arial"/>
          <w:szCs w:val="20"/>
        </w:rPr>
        <w:instrText xml:space="preserve"> REF _Ref468263782 \r \h </w:instrText>
      </w:r>
      <w:r w:rsidR="00560AC0">
        <w:rPr>
          <w:rFonts w:cs="Arial"/>
          <w:szCs w:val="20"/>
        </w:rPr>
        <w:instrText xml:space="preserve"> \* MERGEFORMAT </w:instrText>
      </w:r>
      <w:r w:rsidR="005D2CAB">
        <w:rPr>
          <w:rFonts w:cs="Arial"/>
          <w:szCs w:val="20"/>
        </w:rPr>
      </w:r>
      <w:r w:rsidR="005D2CAB">
        <w:rPr>
          <w:rFonts w:cs="Arial"/>
          <w:szCs w:val="20"/>
        </w:rPr>
        <w:fldChar w:fldCharType="separate"/>
      </w:r>
      <w:r w:rsidR="00F84458">
        <w:rPr>
          <w:rFonts w:cs="Arial"/>
          <w:szCs w:val="20"/>
        </w:rPr>
        <w:t>7</w:t>
      </w:r>
      <w:r w:rsidR="005D2CAB">
        <w:rPr>
          <w:rFonts w:cs="Arial"/>
          <w:szCs w:val="20"/>
        </w:rPr>
        <w:fldChar w:fldCharType="end"/>
      </w:r>
      <w:r w:rsidR="005D2CAB">
        <w:rPr>
          <w:rFonts w:cs="Arial"/>
          <w:szCs w:val="20"/>
        </w:rPr>
        <w:t>.</w:t>
      </w:r>
    </w:p>
    <w:p w14:paraId="327D7687" w14:textId="5DD5CA2A" w:rsidR="00CA1D45" w:rsidRPr="008B385E" w:rsidRDefault="00CA1D45" w:rsidP="00560AC0">
      <w:pPr>
        <w:pStyle w:val="Heading3"/>
        <w:numPr>
          <w:ilvl w:val="2"/>
          <w:numId w:val="17"/>
        </w:numPr>
        <w:spacing w:before="200" w:after="120" w:line="276" w:lineRule="auto"/>
        <w:ind w:left="851" w:hanging="851"/>
        <w:contextualSpacing w:val="0"/>
      </w:pPr>
      <w:bookmarkStart w:id="470" w:name="_Toc467745562"/>
      <w:bookmarkStart w:id="471" w:name="_Toc468204030"/>
      <w:bookmarkStart w:id="472" w:name="_Ref468264184"/>
      <w:r>
        <w:t>Stabilisation of acute weights</w:t>
      </w:r>
      <w:bookmarkEnd w:id="470"/>
      <w:bookmarkEnd w:id="471"/>
      <w:bookmarkEnd w:id="472"/>
    </w:p>
    <w:p w14:paraId="1238DAAF" w14:textId="77777777" w:rsidR="00CA1D45" w:rsidRDefault="00CA1D45">
      <w:pPr>
        <w:ind w:right="-28"/>
      </w:pPr>
      <w:r>
        <w:t xml:space="preserve">The </w:t>
      </w:r>
      <w:r w:rsidRPr="008B385E">
        <w:rPr>
          <w:i/>
        </w:rPr>
        <w:t>National Pricing Model Stability Policy</w:t>
      </w:r>
      <w:r>
        <w:t xml:space="preserve"> states that inlier price weight movements between years will be capped to ±20% for AR-DRGs deemed comparable between years where the impact will be minimal. See the Stability Policy</w:t>
      </w:r>
      <w:r>
        <w:rPr>
          <w:rStyle w:val="FootnoteReference"/>
        </w:rPr>
        <w:footnoteReference w:id="8"/>
      </w:r>
      <w:r>
        <w:t xml:space="preserve"> on the IHPA website for specific details on stability criteria.</w:t>
      </w:r>
    </w:p>
    <w:p w14:paraId="2A2A238C" w14:textId="77777777" w:rsidR="00CA1D45" w:rsidRPr="00BD4DD8" w:rsidRDefault="00CA1D45">
      <w:pPr>
        <w:ind w:right="-28"/>
      </w:pPr>
      <w:r>
        <w:t xml:space="preserve">Stabilisation of inlier weights is done simultaneously. An adjustment factor is calculated for each cost parameter so that the associated price weight is ±20% of the previous year’s price weight. This adjustment factor is then applied to the same-day, short-stay base, and </w:t>
      </w:r>
      <w:r>
        <w:br/>
        <w:t>short-stay outlier per diem weights if they exist. Long-stay outlier per-diem weights are not scaled in this way in order to avoid potential unintended extreme cost ratios for very long stay outliers. The entire cost model is then recalibrated to ensure that the total actual costs and the total modelled costs are equal across the entire sample.</w:t>
      </w:r>
    </w:p>
    <w:p w14:paraId="4D1FCFE8" w14:textId="53E30096" w:rsidR="00E26387" w:rsidRPr="00CA1D45" w:rsidRDefault="00E26387">
      <w:pPr>
        <w:pStyle w:val="Heading2"/>
        <w:numPr>
          <w:ilvl w:val="1"/>
          <w:numId w:val="17"/>
        </w:numPr>
        <w:ind w:left="567" w:right="-28" w:hanging="567"/>
      </w:pPr>
      <w:bookmarkStart w:id="473" w:name="_Toc349759232"/>
      <w:bookmarkStart w:id="474" w:name="_Toc349761969"/>
      <w:bookmarkStart w:id="475" w:name="_Toc349765508"/>
      <w:bookmarkStart w:id="476" w:name="_Toc349769963"/>
      <w:bookmarkStart w:id="477" w:name="_Toc349770648"/>
      <w:bookmarkStart w:id="478" w:name="_Toc349771624"/>
      <w:bookmarkStart w:id="479" w:name="_Toc349771743"/>
      <w:bookmarkStart w:id="480" w:name="_Toc349771862"/>
      <w:bookmarkStart w:id="481" w:name="_Toc349772080"/>
      <w:bookmarkStart w:id="482" w:name="_Toc380754707"/>
      <w:bookmarkStart w:id="483" w:name="_Toc466884176"/>
      <w:bookmarkStart w:id="484" w:name="_Toc467505189"/>
      <w:bookmarkStart w:id="485" w:name="_Toc467745563"/>
      <w:bookmarkStart w:id="486" w:name="_Toc467759573"/>
      <w:bookmarkStart w:id="487" w:name="_Toc468204031"/>
      <w:bookmarkStart w:id="488" w:name="_Ref468263889"/>
      <w:bookmarkStart w:id="489" w:name="_Ref468264119"/>
      <w:bookmarkStart w:id="490" w:name="_Toc476305228"/>
      <w:bookmarkEnd w:id="473"/>
      <w:bookmarkEnd w:id="474"/>
      <w:bookmarkEnd w:id="475"/>
      <w:bookmarkEnd w:id="476"/>
      <w:bookmarkEnd w:id="477"/>
      <w:bookmarkEnd w:id="478"/>
      <w:bookmarkEnd w:id="479"/>
      <w:bookmarkEnd w:id="480"/>
      <w:bookmarkEnd w:id="481"/>
      <w:r w:rsidRPr="00CA1D45">
        <w:lastRenderedPageBreak/>
        <w:t>Applying the NEP</w:t>
      </w:r>
      <w:bookmarkEnd w:id="482"/>
      <w:bookmarkEnd w:id="483"/>
      <w:bookmarkEnd w:id="484"/>
      <w:bookmarkEnd w:id="485"/>
      <w:bookmarkEnd w:id="486"/>
      <w:bookmarkEnd w:id="487"/>
      <w:bookmarkEnd w:id="488"/>
      <w:bookmarkEnd w:id="489"/>
      <w:bookmarkEnd w:id="490"/>
    </w:p>
    <w:p w14:paraId="5877C894" w14:textId="77777777" w:rsidR="00E26387" w:rsidRPr="00CA1D45" w:rsidRDefault="00E26387" w:rsidP="002D606E">
      <w:pPr>
        <w:tabs>
          <w:tab w:val="left" w:pos="1162"/>
        </w:tabs>
        <w:spacing w:before="120"/>
        <w:ind w:right="-28"/>
        <w:rPr>
          <w:rFonts w:cs="Arial"/>
          <w:szCs w:val="20"/>
        </w:rPr>
      </w:pPr>
      <w:bookmarkStart w:id="491" w:name="_Toc326738640"/>
      <w:r w:rsidRPr="00CA1D45">
        <w:rPr>
          <w:rFonts w:cs="Arial"/>
          <w:szCs w:val="20"/>
        </w:rPr>
        <w:t>As set out in the NEP17 Determination, the price of an ABF Activity is calculated using the following formula, with adjustments applied as applicable:</w:t>
      </w:r>
    </w:p>
    <w:p w14:paraId="0656B2AE" w14:textId="77777777" w:rsidR="00E26387" w:rsidRPr="00CA1D45" w:rsidRDefault="00E26387" w:rsidP="00560AC0">
      <w:pPr>
        <w:tabs>
          <w:tab w:val="left" w:pos="1162"/>
        </w:tabs>
        <w:spacing w:before="120"/>
        <w:ind w:right="-28"/>
        <w:rPr>
          <w:rFonts w:cs="Arial"/>
          <w:b/>
          <w:szCs w:val="20"/>
        </w:rPr>
      </w:pPr>
      <w:r w:rsidRPr="00CA1D45">
        <w:rPr>
          <w:rFonts w:cs="Arial"/>
          <w:b/>
          <w:szCs w:val="20"/>
        </w:rPr>
        <w:t>Price of an admitted acute ABF activity</w:t>
      </w:r>
    </w:p>
    <w:p w14:paraId="471179AE" w14:textId="77777777" w:rsidR="00E26387" w:rsidRPr="00CA1D45" w:rsidRDefault="00E26387">
      <w:pPr>
        <w:tabs>
          <w:tab w:val="left" w:pos="1162"/>
        </w:tabs>
        <w:ind w:right="-28"/>
        <w:rPr>
          <w:rFonts w:cs="Arial"/>
          <w:szCs w:val="20"/>
        </w:rPr>
      </w:pPr>
      <m:oMathPara>
        <m:oMath>
          <m:r>
            <m:rPr>
              <m:sty m:val="p"/>
            </m:rPr>
            <w:rPr>
              <w:rFonts w:ascii="Cambria Math" w:hAnsi="Cambria Math" w:cs="Arial"/>
              <w:szCs w:val="20"/>
            </w:rPr>
            <m:t>={</m:t>
          </m:r>
          <m:d>
            <m:dPr>
              <m:begChr m:val="["/>
              <m:endChr m:val="]"/>
              <m:ctrlPr>
                <w:rPr>
                  <w:rFonts w:ascii="Cambria Math" w:hAnsi="Cambria Math" w:cs="Arial"/>
                  <w:szCs w:val="20"/>
                </w:rPr>
              </m:ctrlPr>
            </m:dPr>
            <m:e>
              <m:r>
                <m:rPr>
                  <m:sty m:val="p"/>
                </m:rPr>
                <w:rPr>
                  <w:rFonts w:ascii="Cambria Math" w:hAnsi="Cambria Math" w:cs="Arial"/>
                  <w:szCs w:val="20"/>
                </w:rPr>
                <m:t>PW×</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Paed</m:t>
                  </m:r>
                </m:sub>
              </m:sSub>
              <m:r>
                <m:rPr>
                  <m:sty m:val="p"/>
                </m:rPr>
                <w:rPr>
                  <w:rFonts w:ascii="Cambria Math" w:hAnsi="Cambria Math" w:cs="Arial"/>
                  <w:szCs w:val="20"/>
                </w:rPr>
                <m:t>×</m:t>
              </m:r>
              <m:d>
                <m:dPr>
                  <m:ctrlPr>
                    <w:rPr>
                      <w:rFonts w:ascii="Cambria Math" w:hAnsi="Cambria Math" w:cs="Arial"/>
                      <w:szCs w:val="20"/>
                    </w:rPr>
                  </m:ctrlPr>
                </m:dPr>
                <m:e>
                  <m:r>
                    <m:rPr>
                      <m:sty m:val="p"/>
                    </m:rPr>
                    <w:rPr>
                      <w:rFonts w:ascii="Cambria Math" w:hAnsi="Cambria Math" w:cs="Arial"/>
                      <w:szCs w:val="20"/>
                    </w:rPr>
                    <m:t>1+</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SPA</m:t>
                      </m:r>
                    </m:sub>
                  </m:sSub>
                </m:e>
              </m:d>
              <m:r>
                <m:rPr>
                  <m:sty m:val="p"/>
                </m:rPr>
                <w:rPr>
                  <w:rFonts w:ascii="Cambria Math" w:hAnsi="Cambria Math" w:cs="Arial"/>
                  <w:szCs w:val="20"/>
                </w:rPr>
                <m:t>×</m:t>
              </m:r>
              <m:d>
                <m:dPr>
                  <m:ctrlPr>
                    <w:rPr>
                      <w:rFonts w:ascii="Cambria Math" w:hAnsi="Cambria Math" w:cs="Arial"/>
                      <w:szCs w:val="20"/>
                    </w:rPr>
                  </m:ctrlPr>
                </m:dPr>
                <m:e>
                  <m:r>
                    <m:rPr>
                      <m:sty m:val="p"/>
                    </m:rPr>
                    <w:rPr>
                      <w:rFonts w:ascii="Cambria Math" w:hAnsi="Cambria Math" w:cs="Arial"/>
                      <w:szCs w:val="20"/>
                    </w:rPr>
                    <m:t>1+</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Ind</m:t>
                      </m:r>
                    </m:sub>
                  </m:sSub>
                  <m:r>
                    <m:rPr>
                      <m:sty m:val="p"/>
                    </m:rP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m:t>
                      </m:r>
                    </m:sub>
                  </m:sSub>
                  <m:r>
                    <m:rPr>
                      <m:sty m:val="p"/>
                    </m:rP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RT</m:t>
                      </m:r>
                    </m:sub>
                  </m:sSub>
                  <m: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Dia</m:t>
                      </m:r>
                    </m:sub>
                  </m:sSub>
                </m:e>
              </m:d>
              <m:r>
                <m:rPr>
                  <m:sty m:val="p"/>
                </m:rPr>
                <w:rPr>
                  <w:rFonts w:ascii="Cambria Math" w:hAnsi="Cambria Math" w:cs="Arial"/>
                  <w:szCs w:val="20"/>
                </w:rPr>
                <m:t>+</m:t>
              </m:r>
              <m:d>
                <m:dPr>
                  <m:ctrlPr>
                    <w:rPr>
                      <w:rFonts w:ascii="Cambria Math" w:hAnsi="Cambria Math" w:cs="Arial"/>
                      <w:szCs w:val="20"/>
                    </w:rPr>
                  </m:ctrlPr>
                </m:dPr>
                <m:e>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ICU</m:t>
                      </m:r>
                    </m:sub>
                  </m:sSub>
                  <m:r>
                    <m:rPr>
                      <m:sty m:val="p"/>
                    </m:rPr>
                    <w:rPr>
                      <w:rFonts w:ascii="Cambria Math" w:hAnsi="Cambria Math" w:cs="Arial"/>
                      <w:szCs w:val="20"/>
                    </w:rPr>
                    <m:t>×ICU hours</m:t>
                  </m:r>
                </m:e>
              </m:d>
            </m:e>
          </m:d>
          <m:r>
            <m:rPr>
              <m:sty m:val="p"/>
            </m:rPr>
            <w:rPr>
              <w:rFonts w:ascii="Cambria Math" w:hAnsi="Cambria Math" w:cs="Arial"/>
              <w:szCs w:val="20"/>
            </w:rPr>
            <m:t>-[</m:t>
          </m:r>
          <m:d>
            <m:dPr>
              <m:ctrlPr>
                <w:rPr>
                  <w:rFonts w:ascii="Cambria Math" w:hAnsi="Cambria Math" w:cs="Arial"/>
                  <w:szCs w:val="20"/>
                </w:rPr>
              </m:ctrlPr>
            </m:dPr>
            <m:e>
              <m:r>
                <m:rPr>
                  <m:sty m:val="p"/>
                </m:rPr>
                <w:rPr>
                  <w:rFonts w:ascii="Cambria Math" w:hAnsi="Cambria Math" w:cs="Arial"/>
                  <w:szCs w:val="20"/>
                </w:rPr>
                <m:t>PW+</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ICU</m:t>
                  </m:r>
                </m:sub>
              </m:sSub>
              <m:r>
                <m:rPr>
                  <m:sty m:val="p"/>
                </m:rPr>
                <w:rPr>
                  <w:rFonts w:ascii="Cambria Math" w:hAnsi="Cambria Math" w:cs="Arial"/>
                  <w:szCs w:val="20"/>
                </w:rPr>
                <m:t>×ICU hours</m:t>
              </m:r>
            </m:e>
          </m:d>
          <m:r>
            <m:rPr>
              <m:sty m:val="p"/>
            </m:rP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PPS</m:t>
              </m:r>
            </m:sub>
          </m:sSub>
          <m:r>
            <m:rPr>
              <m:sty m:val="p"/>
            </m:rPr>
            <w:rPr>
              <w:rFonts w:ascii="Cambria Math" w:hAnsi="Cambria Math" w:cs="Arial"/>
              <w:szCs w:val="20"/>
            </w:rPr>
            <m:t>+LOS×</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Acc</m:t>
              </m:r>
            </m:sub>
          </m:sSub>
          <m:r>
            <m:rPr>
              <m:sty m:val="p"/>
            </m:rPr>
            <w:rPr>
              <w:rFonts w:ascii="Cambria Math" w:hAnsi="Cambria Math" w:cs="Arial"/>
              <w:szCs w:val="20"/>
            </w:rPr>
            <m:t xml:space="preserve">]}×NEP </m:t>
          </m:r>
        </m:oMath>
      </m:oMathPara>
    </w:p>
    <w:p w14:paraId="3D18F20F" w14:textId="77777777" w:rsidR="00CA1D45" w:rsidRPr="000306BE" w:rsidRDefault="00CA1D45">
      <w:pPr>
        <w:rPr>
          <w:rFonts w:cs="Arial"/>
        </w:rPr>
      </w:pPr>
      <w:r w:rsidRPr="000306BE">
        <w:rPr>
          <w:rFonts w:cs="Arial"/>
        </w:rPr>
        <w:t>Where:</w:t>
      </w:r>
      <w:r w:rsidRPr="002A1927">
        <w:rPr>
          <w:rFonts w:cs="Arial"/>
          <w:noProof/>
        </w:rPr>
        <w:t xml:space="preserve"> </w:t>
      </w:r>
    </w:p>
    <w:p w14:paraId="010AF941" w14:textId="77777777" w:rsidR="00CA1D45" w:rsidRPr="000306BE" w:rsidRDefault="00CA1D45">
      <w:pPr>
        <w:spacing w:after="180"/>
        <w:ind w:left="1985" w:hanging="1985"/>
        <w:rPr>
          <w:rFonts w:cs="Arial"/>
          <w:i/>
        </w:rPr>
      </w:pPr>
      <w:proofErr w:type="spellStart"/>
      <w:r w:rsidRPr="000306BE">
        <w:rPr>
          <w:rFonts w:cs="Arial"/>
          <w:b/>
        </w:rPr>
        <w:t>A</w:t>
      </w:r>
      <w:r w:rsidRPr="000306BE">
        <w:rPr>
          <w:rFonts w:cs="Arial"/>
          <w:b/>
          <w:vertAlign w:val="subscript"/>
        </w:rPr>
        <w:t>Paed</w:t>
      </w:r>
      <w:proofErr w:type="spellEnd"/>
      <w:r w:rsidRPr="000306BE">
        <w:rPr>
          <w:rFonts w:cs="Arial"/>
          <w:vertAlign w:val="subscript"/>
        </w:rPr>
        <w:tab/>
      </w:r>
      <w:r w:rsidRPr="000306BE">
        <w:rPr>
          <w:rFonts w:cs="Arial"/>
        </w:rPr>
        <w:t xml:space="preserve">means the </w:t>
      </w:r>
      <w:r w:rsidRPr="000306BE">
        <w:rPr>
          <w:rFonts w:cs="Arial"/>
          <w:i/>
        </w:rPr>
        <w:t>Paediatric Adjustment</w:t>
      </w:r>
    </w:p>
    <w:p w14:paraId="1D08D0E3" w14:textId="77777777" w:rsidR="00CA1D45" w:rsidRDefault="00CA1D45">
      <w:pPr>
        <w:autoSpaceDE w:val="0"/>
        <w:autoSpaceDN w:val="0"/>
        <w:adjustRightInd w:val="0"/>
        <w:spacing w:after="180"/>
        <w:ind w:left="1985" w:hanging="1985"/>
        <w:rPr>
          <w:rFonts w:cs="Arial"/>
          <w:i/>
          <w:color w:val="000000"/>
        </w:rPr>
      </w:pPr>
      <w:r w:rsidRPr="000306BE">
        <w:rPr>
          <w:rFonts w:cs="Arial"/>
          <w:b/>
          <w:color w:val="000000"/>
        </w:rPr>
        <w:t>A</w:t>
      </w:r>
      <w:r w:rsidRPr="000306BE">
        <w:rPr>
          <w:rFonts w:cs="Arial"/>
          <w:b/>
          <w:color w:val="000000"/>
          <w:vertAlign w:val="subscript"/>
        </w:rPr>
        <w:t>SPA</w:t>
      </w:r>
      <w:r>
        <w:rPr>
          <w:rFonts w:cs="Arial"/>
          <w:color w:val="000000"/>
        </w:rPr>
        <w:t xml:space="preserve"> </w:t>
      </w:r>
      <w:r>
        <w:rPr>
          <w:rFonts w:cs="Arial"/>
          <w:color w:val="000000"/>
        </w:rPr>
        <w:tab/>
      </w:r>
      <w:r w:rsidRPr="000306BE">
        <w:rPr>
          <w:rFonts w:cs="Arial"/>
          <w:color w:val="000000"/>
        </w:rPr>
        <w:t xml:space="preserve">means the </w:t>
      </w:r>
      <w:r w:rsidRPr="006928E7">
        <w:rPr>
          <w:rFonts w:cs="Arial"/>
          <w:i/>
          <w:color w:val="000000"/>
        </w:rPr>
        <w:t>Specialist Psychiatric Age Adjustment</w:t>
      </w:r>
    </w:p>
    <w:p w14:paraId="764256A0" w14:textId="77777777" w:rsidR="00CA1D45" w:rsidRDefault="00CA1D45">
      <w:pPr>
        <w:spacing w:after="180"/>
        <w:ind w:left="1985" w:hanging="1985"/>
        <w:rPr>
          <w:rFonts w:cs="Arial"/>
          <w:i/>
        </w:rPr>
      </w:pPr>
      <w:r w:rsidRPr="000306BE">
        <w:rPr>
          <w:rFonts w:cs="Arial"/>
          <w:b/>
        </w:rPr>
        <w:t>A</w:t>
      </w:r>
      <w:r w:rsidRPr="000306BE">
        <w:rPr>
          <w:rFonts w:cs="Arial"/>
          <w:b/>
          <w:vertAlign w:val="subscript"/>
        </w:rPr>
        <w:t>A</w:t>
      </w:r>
      <w:r w:rsidRPr="000306BE">
        <w:rPr>
          <w:rFonts w:cs="Arial"/>
          <w:vertAlign w:val="subscript"/>
        </w:rPr>
        <w:tab/>
      </w:r>
      <w:r w:rsidRPr="000306BE">
        <w:rPr>
          <w:rFonts w:cs="Arial"/>
        </w:rPr>
        <w:t xml:space="preserve">means each or any </w:t>
      </w:r>
      <w:r w:rsidRPr="000306BE">
        <w:rPr>
          <w:rFonts w:cs="Arial"/>
          <w:i/>
        </w:rPr>
        <w:t>Remoteness</w:t>
      </w:r>
      <w:r w:rsidRPr="000306BE">
        <w:rPr>
          <w:rFonts w:cs="Arial"/>
        </w:rPr>
        <w:t xml:space="preserve"> </w:t>
      </w:r>
      <w:r w:rsidRPr="000306BE">
        <w:rPr>
          <w:rFonts w:cs="Arial"/>
          <w:i/>
        </w:rPr>
        <w:t>Area Adjustment</w:t>
      </w:r>
    </w:p>
    <w:p w14:paraId="6A022C60" w14:textId="77777777" w:rsidR="00CA1D45" w:rsidRDefault="00CA1D45">
      <w:pPr>
        <w:spacing w:after="180"/>
        <w:ind w:left="1985" w:hanging="1985"/>
        <w:rPr>
          <w:rFonts w:cs="Arial"/>
          <w:b/>
        </w:rPr>
      </w:pPr>
      <w:proofErr w:type="spellStart"/>
      <w:r w:rsidRPr="000306BE">
        <w:rPr>
          <w:rFonts w:cs="Arial"/>
          <w:b/>
        </w:rPr>
        <w:t>A</w:t>
      </w:r>
      <w:r w:rsidRPr="000306BE">
        <w:rPr>
          <w:rFonts w:cs="Arial"/>
          <w:b/>
          <w:vertAlign w:val="subscript"/>
        </w:rPr>
        <w:t>Ind</w:t>
      </w:r>
      <w:proofErr w:type="spellEnd"/>
      <w:r w:rsidRPr="000306BE">
        <w:rPr>
          <w:rFonts w:cs="Arial"/>
          <w:vertAlign w:val="subscript"/>
        </w:rPr>
        <w:tab/>
      </w:r>
      <w:r w:rsidRPr="000306BE">
        <w:rPr>
          <w:rFonts w:cs="Arial"/>
        </w:rPr>
        <w:t xml:space="preserve">means the </w:t>
      </w:r>
      <w:r w:rsidRPr="000306BE">
        <w:rPr>
          <w:rFonts w:cs="Arial"/>
          <w:i/>
        </w:rPr>
        <w:t>Indigenous Adjustment</w:t>
      </w:r>
    </w:p>
    <w:p w14:paraId="706D44DA" w14:textId="77777777" w:rsidR="00CA1D45" w:rsidRDefault="00CA1D45">
      <w:pPr>
        <w:spacing w:after="180"/>
        <w:ind w:left="1985" w:hanging="1985"/>
        <w:rPr>
          <w:rFonts w:cs="Arial"/>
          <w:i/>
        </w:rPr>
      </w:pPr>
      <w:r w:rsidRPr="000306BE">
        <w:rPr>
          <w:rFonts w:cs="Arial"/>
          <w:b/>
        </w:rPr>
        <w:t>A</w:t>
      </w:r>
      <w:r>
        <w:rPr>
          <w:rFonts w:cs="Arial"/>
          <w:b/>
          <w:vertAlign w:val="subscript"/>
        </w:rPr>
        <w:t>RT</w:t>
      </w:r>
      <w:r w:rsidRPr="000306BE">
        <w:rPr>
          <w:rFonts w:cs="Arial"/>
          <w:vertAlign w:val="subscript"/>
        </w:rPr>
        <w:tab/>
      </w:r>
      <w:r w:rsidRPr="000306BE">
        <w:rPr>
          <w:rFonts w:cs="Arial"/>
        </w:rPr>
        <w:t xml:space="preserve">means the </w:t>
      </w:r>
      <w:r>
        <w:rPr>
          <w:rFonts w:cs="Arial"/>
          <w:i/>
        </w:rPr>
        <w:t>Radiotherapy Adjustment</w:t>
      </w:r>
    </w:p>
    <w:p w14:paraId="2AF74134" w14:textId="77777777" w:rsidR="00CA1D45" w:rsidRDefault="00CA1D45">
      <w:pPr>
        <w:spacing w:after="180"/>
        <w:ind w:left="1985" w:hanging="1985"/>
        <w:rPr>
          <w:rFonts w:cs="Arial"/>
          <w:i/>
        </w:rPr>
      </w:pPr>
      <w:proofErr w:type="spellStart"/>
      <w:r>
        <w:rPr>
          <w:rFonts w:cs="Arial"/>
          <w:b/>
        </w:rPr>
        <w:t>A</w:t>
      </w:r>
      <w:r>
        <w:rPr>
          <w:rFonts w:cs="Arial"/>
          <w:b/>
          <w:vertAlign w:val="subscript"/>
        </w:rPr>
        <w:t>Dia</w:t>
      </w:r>
      <w:proofErr w:type="spellEnd"/>
      <w:r>
        <w:rPr>
          <w:rFonts w:cs="Arial"/>
          <w:b/>
        </w:rPr>
        <w:tab/>
      </w:r>
      <w:r w:rsidRPr="00FE6316">
        <w:rPr>
          <w:rFonts w:cs="Arial"/>
        </w:rPr>
        <w:t xml:space="preserve">means the </w:t>
      </w:r>
      <w:r w:rsidRPr="00FE6316">
        <w:rPr>
          <w:rFonts w:cs="Arial"/>
          <w:i/>
        </w:rPr>
        <w:t>Dialysis Adjustment</w:t>
      </w:r>
    </w:p>
    <w:p w14:paraId="6A8D31D8" w14:textId="77777777" w:rsidR="00CA1D45" w:rsidRPr="000306BE" w:rsidRDefault="00CA1D45">
      <w:pPr>
        <w:spacing w:after="180"/>
        <w:ind w:left="1985" w:hanging="1985"/>
        <w:rPr>
          <w:rFonts w:cs="Arial"/>
        </w:rPr>
      </w:pPr>
      <w:r w:rsidRPr="000306BE">
        <w:rPr>
          <w:rFonts w:cs="Arial"/>
          <w:b/>
        </w:rPr>
        <w:t>A</w:t>
      </w:r>
      <w:r w:rsidRPr="000306BE">
        <w:rPr>
          <w:rFonts w:cs="Arial"/>
          <w:b/>
          <w:vertAlign w:val="subscript"/>
        </w:rPr>
        <w:t>ICU</w:t>
      </w:r>
      <w:r w:rsidRPr="000306BE">
        <w:rPr>
          <w:rFonts w:cs="Arial"/>
          <w:b/>
          <w:vertAlign w:val="subscript"/>
        </w:rPr>
        <w:tab/>
      </w:r>
      <w:r w:rsidRPr="000306BE">
        <w:rPr>
          <w:rFonts w:cs="Arial"/>
        </w:rPr>
        <w:t xml:space="preserve">means the </w:t>
      </w:r>
      <w:r w:rsidRPr="000306BE">
        <w:rPr>
          <w:rFonts w:cs="Arial"/>
          <w:i/>
        </w:rPr>
        <w:t>I</w:t>
      </w:r>
      <w:r>
        <w:rPr>
          <w:rFonts w:cs="Arial"/>
          <w:i/>
        </w:rPr>
        <w:t xml:space="preserve">ntensive </w:t>
      </w:r>
      <w:r w:rsidRPr="000306BE">
        <w:rPr>
          <w:rFonts w:cs="Arial"/>
          <w:i/>
        </w:rPr>
        <w:t>C</w:t>
      </w:r>
      <w:r>
        <w:rPr>
          <w:rFonts w:cs="Arial"/>
          <w:i/>
        </w:rPr>
        <w:t xml:space="preserve">are </w:t>
      </w:r>
      <w:r w:rsidRPr="000306BE">
        <w:rPr>
          <w:rFonts w:cs="Arial"/>
          <w:i/>
        </w:rPr>
        <w:t>U</w:t>
      </w:r>
      <w:r>
        <w:rPr>
          <w:rFonts w:cs="Arial"/>
          <w:i/>
        </w:rPr>
        <w:t>nit (ICU)</w:t>
      </w:r>
      <w:r w:rsidRPr="000306BE">
        <w:rPr>
          <w:rFonts w:cs="Arial"/>
          <w:i/>
        </w:rPr>
        <w:t xml:space="preserve"> Adjustment</w:t>
      </w:r>
    </w:p>
    <w:p w14:paraId="45BE1006" w14:textId="77777777" w:rsidR="00CA1D45" w:rsidRPr="000306BE" w:rsidRDefault="00CA1D45">
      <w:pPr>
        <w:spacing w:after="180"/>
        <w:ind w:left="1985" w:hanging="1985"/>
        <w:rPr>
          <w:rFonts w:cs="Arial"/>
        </w:rPr>
      </w:pPr>
      <w:r w:rsidRPr="000306BE">
        <w:rPr>
          <w:rFonts w:cs="Arial"/>
          <w:b/>
        </w:rPr>
        <w:t>A</w:t>
      </w:r>
      <w:r w:rsidRPr="000306BE">
        <w:rPr>
          <w:rFonts w:cs="Arial"/>
          <w:b/>
          <w:vertAlign w:val="subscript"/>
        </w:rPr>
        <w:t>PPS</w:t>
      </w:r>
      <w:r w:rsidRPr="000306BE">
        <w:rPr>
          <w:rFonts w:cs="Arial"/>
          <w:vertAlign w:val="subscript"/>
        </w:rPr>
        <w:tab/>
      </w:r>
      <w:r w:rsidRPr="000306BE">
        <w:rPr>
          <w:rFonts w:cs="Arial"/>
        </w:rPr>
        <w:t xml:space="preserve">means the </w:t>
      </w:r>
      <w:r w:rsidRPr="000306BE">
        <w:rPr>
          <w:rFonts w:cs="Arial"/>
          <w:i/>
        </w:rPr>
        <w:t>Private Patient Service Adjustment</w:t>
      </w:r>
    </w:p>
    <w:p w14:paraId="277986E1" w14:textId="77777777" w:rsidR="00CA1D45" w:rsidRPr="000306BE" w:rsidRDefault="00CA1D45">
      <w:pPr>
        <w:spacing w:after="180"/>
        <w:ind w:left="1985" w:hanging="1985"/>
        <w:rPr>
          <w:rFonts w:cs="Arial"/>
        </w:rPr>
      </w:pPr>
      <w:proofErr w:type="spellStart"/>
      <w:r w:rsidRPr="000306BE">
        <w:rPr>
          <w:rFonts w:cs="Arial"/>
          <w:b/>
        </w:rPr>
        <w:t>A</w:t>
      </w:r>
      <w:r w:rsidRPr="000306BE">
        <w:rPr>
          <w:rFonts w:cs="Arial"/>
          <w:b/>
          <w:vertAlign w:val="subscript"/>
        </w:rPr>
        <w:t>Acc</w:t>
      </w:r>
      <w:proofErr w:type="spellEnd"/>
      <w:r w:rsidRPr="000306BE">
        <w:rPr>
          <w:rFonts w:cs="Arial"/>
          <w:b/>
          <w:vertAlign w:val="subscript"/>
        </w:rPr>
        <w:tab/>
      </w:r>
      <w:r w:rsidRPr="000306BE">
        <w:rPr>
          <w:rFonts w:cs="Arial"/>
        </w:rPr>
        <w:t xml:space="preserve">means the </w:t>
      </w:r>
      <w:r w:rsidRPr="000306BE">
        <w:rPr>
          <w:rFonts w:cs="Arial"/>
          <w:i/>
        </w:rPr>
        <w:t xml:space="preserve">Private Patient Accommodation Adjustment </w:t>
      </w:r>
      <w:r w:rsidRPr="000306BE">
        <w:rPr>
          <w:rFonts w:cs="Arial"/>
        </w:rPr>
        <w:t xml:space="preserve">applicable to the </w:t>
      </w:r>
      <w:r>
        <w:rPr>
          <w:rFonts w:cs="Arial"/>
        </w:rPr>
        <w:t>s</w:t>
      </w:r>
      <w:r w:rsidRPr="000306BE">
        <w:rPr>
          <w:rFonts w:cs="Arial"/>
        </w:rPr>
        <w:t>tate of hospitalisation and length of stay</w:t>
      </w:r>
    </w:p>
    <w:p w14:paraId="71D1BB08" w14:textId="77777777" w:rsidR="00CA1D45" w:rsidRPr="000306BE" w:rsidRDefault="00CA1D45">
      <w:pPr>
        <w:spacing w:after="180"/>
        <w:ind w:left="1985" w:hanging="1985"/>
        <w:rPr>
          <w:rFonts w:cs="Arial"/>
          <w:i/>
        </w:rPr>
      </w:pPr>
      <w:r w:rsidRPr="000306BE">
        <w:rPr>
          <w:rFonts w:cs="Arial"/>
          <w:b/>
        </w:rPr>
        <w:t>ICU hours</w:t>
      </w:r>
      <w:r w:rsidRPr="000306BE">
        <w:rPr>
          <w:rFonts w:cs="Arial"/>
        </w:rPr>
        <w:tab/>
        <w:t xml:space="preserve">means the number of hours spent by a person within a </w:t>
      </w:r>
      <w:r w:rsidRPr="000306BE">
        <w:rPr>
          <w:rFonts w:cs="Arial"/>
          <w:i/>
        </w:rPr>
        <w:t>Specified</w:t>
      </w:r>
      <w:r>
        <w:rPr>
          <w:rFonts w:cs="Arial"/>
          <w:i/>
        </w:rPr>
        <w:t xml:space="preserve"> ICU</w:t>
      </w:r>
    </w:p>
    <w:p w14:paraId="160122A3" w14:textId="77777777" w:rsidR="00CA1D45" w:rsidRPr="006928E7" w:rsidRDefault="00CA1D45">
      <w:pPr>
        <w:spacing w:after="180"/>
        <w:ind w:left="1985" w:hanging="1985"/>
        <w:rPr>
          <w:rFonts w:cs="Arial"/>
          <w:i/>
        </w:rPr>
      </w:pPr>
      <w:r w:rsidRPr="000306BE">
        <w:rPr>
          <w:rFonts w:cs="Arial"/>
          <w:b/>
        </w:rPr>
        <w:t>LOS</w:t>
      </w:r>
      <w:r w:rsidRPr="000306BE">
        <w:rPr>
          <w:rFonts w:cs="Arial"/>
        </w:rPr>
        <w:tab/>
        <w:t xml:space="preserve">means </w:t>
      </w:r>
      <w:r w:rsidRPr="00687CB0">
        <w:rPr>
          <w:rFonts w:cs="Arial"/>
        </w:rPr>
        <w:t>length of stay in hospital (in days)</w:t>
      </w:r>
    </w:p>
    <w:p w14:paraId="449A7D17" w14:textId="77777777" w:rsidR="00CA1D45" w:rsidRPr="000306BE" w:rsidRDefault="00CA1D45">
      <w:pPr>
        <w:spacing w:after="180"/>
        <w:ind w:left="1985" w:hanging="1985"/>
        <w:rPr>
          <w:rFonts w:cs="Arial"/>
        </w:rPr>
      </w:pPr>
      <w:r w:rsidRPr="000306BE">
        <w:rPr>
          <w:rFonts w:cs="Arial"/>
          <w:b/>
        </w:rPr>
        <w:t>NEP</w:t>
      </w:r>
      <w:r w:rsidRPr="000306BE">
        <w:rPr>
          <w:rFonts w:cs="Arial"/>
        </w:rPr>
        <w:tab/>
        <w:t xml:space="preserve">National Efficient Price </w:t>
      </w:r>
      <w:r>
        <w:rPr>
          <w:rFonts w:cs="Arial"/>
        </w:rPr>
        <w:t>2017-18</w:t>
      </w:r>
    </w:p>
    <w:p w14:paraId="75BDA5D5" w14:textId="34086D8E" w:rsidR="00CA1D45" w:rsidRPr="000306BE" w:rsidRDefault="00CA1D45">
      <w:pPr>
        <w:spacing w:after="0"/>
        <w:ind w:left="1985" w:hanging="1985"/>
        <w:rPr>
          <w:rFonts w:cs="Arial"/>
          <w:b/>
        </w:rPr>
      </w:pPr>
      <w:r w:rsidRPr="000306BE">
        <w:rPr>
          <w:rFonts w:cs="Arial"/>
          <w:b/>
        </w:rPr>
        <w:t>PW</w:t>
      </w:r>
      <w:r w:rsidRPr="000306BE">
        <w:rPr>
          <w:rFonts w:cs="Arial"/>
          <w:b/>
        </w:rPr>
        <w:tab/>
      </w:r>
      <w:r w:rsidRPr="00CA1D45">
        <w:rPr>
          <w:rFonts w:cs="Arial"/>
        </w:rPr>
        <w:t>Price Weight for an ABF activity as set out at Appendix B of the NEP17 Determination</w:t>
      </w:r>
    </w:p>
    <w:p w14:paraId="323BDB11" w14:textId="77777777" w:rsidR="00E26387" w:rsidRDefault="00E26387" w:rsidP="002D606E">
      <w:pPr>
        <w:tabs>
          <w:tab w:val="left" w:pos="1162"/>
        </w:tabs>
        <w:autoSpaceDE w:val="0"/>
        <w:autoSpaceDN w:val="0"/>
        <w:adjustRightInd w:val="0"/>
        <w:spacing w:before="240"/>
        <w:ind w:right="-28"/>
        <w:rPr>
          <w:rFonts w:cs="Arial"/>
          <w:szCs w:val="20"/>
        </w:rPr>
      </w:pPr>
      <w:r w:rsidRPr="00CA1D45">
        <w:rPr>
          <w:rFonts w:cs="Arial"/>
          <w:szCs w:val="20"/>
        </w:rPr>
        <w:t xml:space="preserve">In the event that the application of the private patient adjustments return a negative </w:t>
      </w:r>
      <w:proofErr w:type="gramStart"/>
      <w:r w:rsidRPr="00CA1D45">
        <w:rPr>
          <w:rFonts w:cs="Arial"/>
          <w:szCs w:val="20"/>
        </w:rPr>
        <w:t>NWAU(</w:t>
      </w:r>
      <w:proofErr w:type="gramEnd"/>
      <w:r w:rsidRPr="00CA1D45">
        <w:rPr>
          <w:rFonts w:cs="Arial"/>
          <w:szCs w:val="20"/>
        </w:rPr>
        <w:t>17) value for a particular patient, the NWAU(17) value is held to be zero; that is, negative NWAU(17) values are not permitted for any patients under the National Pricing Model.</w:t>
      </w:r>
    </w:p>
    <w:p w14:paraId="1D7D9953" w14:textId="71EAAD14" w:rsidR="00245AD7" w:rsidRDefault="007570BE" w:rsidP="002D606E">
      <w:pPr>
        <w:tabs>
          <w:tab w:val="left" w:pos="1162"/>
        </w:tabs>
        <w:autoSpaceDE w:val="0"/>
        <w:autoSpaceDN w:val="0"/>
        <w:adjustRightInd w:val="0"/>
        <w:spacing w:before="240"/>
        <w:ind w:right="-28"/>
        <w:rPr>
          <w:rFonts w:cs="Arial"/>
          <w:szCs w:val="20"/>
        </w:rPr>
      </w:pPr>
      <w:r>
        <w:rPr>
          <w:rFonts w:cs="Arial"/>
          <w:szCs w:val="20"/>
        </w:rPr>
        <w:t xml:space="preserve">The table below outlines the required information in order to apply the above formula. </w:t>
      </w:r>
      <w:bookmarkStart w:id="492" w:name="_Ref342308999"/>
      <w:bookmarkEnd w:id="491"/>
    </w:p>
    <w:p w14:paraId="52FEC4FC" w14:textId="77777777" w:rsidR="00245AD7" w:rsidRDefault="00245AD7" w:rsidP="00560AC0">
      <w:pPr>
        <w:spacing w:after="0" w:line="240" w:lineRule="auto"/>
        <w:rPr>
          <w:rFonts w:cs="Arial"/>
          <w:szCs w:val="20"/>
        </w:rPr>
      </w:pPr>
      <w:r>
        <w:rPr>
          <w:rFonts w:cs="Arial"/>
          <w:szCs w:val="20"/>
        </w:rPr>
        <w:br w:type="page"/>
      </w:r>
    </w:p>
    <w:p w14:paraId="2DBFC63B" w14:textId="77777777" w:rsidR="00E26387" w:rsidRPr="00F6422F" w:rsidRDefault="00E26387" w:rsidP="00560AC0">
      <w:pPr>
        <w:spacing w:before="120" w:after="0" w:line="240" w:lineRule="auto"/>
        <w:rPr>
          <w:b/>
        </w:rPr>
      </w:pPr>
      <w:bookmarkStart w:id="493" w:name="_Ref466384245"/>
      <w:bookmarkStart w:id="494" w:name="_Ref342307829"/>
      <w:bookmarkEnd w:id="492"/>
      <w:r w:rsidRPr="00F6422F">
        <w:rPr>
          <w:b/>
        </w:rPr>
        <w:lastRenderedPageBreak/>
        <w:t xml:space="preserve">Table </w:t>
      </w:r>
      <w:r w:rsidRPr="00F6422F">
        <w:rPr>
          <w:b/>
        </w:rPr>
        <w:fldChar w:fldCharType="begin"/>
      </w:r>
      <w:r w:rsidRPr="00F6422F">
        <w:rPr>
          <w:b/>
        </w:rPr>
        <w:instrText xml:space="preserve"> SEQ Table \* ARABIC </w:instrText>
      </w:r>
      <w:r w:rsidRPr="00F6422F">
        <w:rPr>
          <w:b/>
        </w:rPr>
        <w:fldChar w:fldCharType="separate"/>
      </w:r>
      <w:r w:rsidR="00F84458">
        <w:rPr>
          <w:b/>
          <w:noProof/>
        </w:rPr>
        <w:t>3</w:t>
      </w:r>
      <w:r w:rsidRPr="00F6422F">
        <w:rPr>
          <w:b/>
        </w:rPr>
        <w:fldChar w:fldCharType="end"/>
      </w:r>
      <w:bookmarkEnd w:id="493"/>
      <w:r w:rsidRPr="00F6422F">
        <w:rPr>
          <w:b/>
        </w:rPr>
        <w:t>: Dataset and tables required for assignment of NWAU to admitted acute patient data</w:t>
      </w:r>
      <w:r w:rsidR="00043CA7" w:rsidRPr="00F6422F">
        <w:rPr>
          <w:b/>
        </w:rPr>
        <w:t>.</w:t>
      </w:r>
    </w:p>
    <w:tbl>
      <w:tblPr>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A summary of table 4 is outlined in the text prior to this table."/>
      </w:tblPr>
      <w:tblGrid>
        <w:gridCol w:w="2606"/>
        <w:gridCol w:w="6411"/>
      </w:tblGrid>
      <w:tr w:rsidR="00CC033E" w:rsidRPr="0044388E" w14:paraId="0388ACFC" w14:textId="77777777" w:rsidTr="00F6422F">
        <w:trPr>
          <w:cantSplit/>
          <w:tblHeader/>
        </w:trPr>
        <w:tc>
          <w:tcPr>
            <w:tcW w:w="2606" w:type="dxa"/>
            <w:shd w:val="clear" w:color="auto" w:fill="288A32"/>
          </w:tcPr>
          <w:p w14:paraId="3124893F" w14:textId="77777777" w:rsidR="00E26387" w:rsidRPr="00F6422F" w:rsidRDefault="00E26387">
            <w:pPr>
              <w:tabs>
                <w:tab w:val="left" w:pos="1162"/>
              </w:tabs>
              <w:spacing w:before="80" w:after="80"/>
              <w:ind w:right="-28"/>
              <w:rPr>
                <w:rFonts w:cs="Arial"/>
                <w:b/>
                <w:color w:val="FFFFFF" w:themeColor="background1"/>
                <w:sz w:val="18"/>
                <w:szCs w:val="20"/>
              </w:rPr>
            </w:pPr>
            <w:r w:rsidRPr="00F6422F">
              <w:rPr>
                <w:rFonts w:cs="Arial"/>
                <w:b/>
                <w:color w:val="FFFFFF" w:themeColor="background1"/>
                <w:sz w:val="18"/>
                <w:szCs w:val="20"/>
              </w:rPr>
              <w:t>Input dataset or table</w:t>
            </w:r>
          </w:p>
        </w:tc>
        <w:tc>
          <w:tcPr>
            <w:tcW w:w="6411" w:type="dxa"/>
            <w:shd w:val="clear" w:color="auto" w:fill="288A32"/>
          </w:tcPr>
          <w:p w14:paraId="61B1F81F" w14:textId="77777777" w:rsidR="00E26387" w:rsidRPr="00F6422F" w:rsidRDefault="00E26387">
            <w:pPr>
              <w:tabs>
                <w:tab w:val="left" w:pos="1162"/>
              </w:tabs>
              <w:spacing w:before="80" w:after="80"/>
              <w:ind w:right="-28"/>
              <w:rPr>
                <w:rFonts w:cs="Arial"/>
                <w:b/>
                <w:color w:val="FFFFFF" w:themeColor="background1"/>
                <w:sz w:val="18"/>
                <w:szCs w:val="20"/>
              </w:rPr>
            </w:pPr>
            <w:r w:rsidRPr="00F6422F">
              <w:rPr>
                <w:rFonts w:cs="Arial"/>
                <w:b/>
                <w:color w:val="FFFFFF" w:themeColor="background1"/>
                <w:sz w:val="18"/>
                <w:szCs w:val="20"/>
              </w:rPr>
              <w:t>Description</w:t>
            </w:r>
          </w:p>
        </w:tc>
      </w:tr>
      <w:tr w:rsidR="00CC033E" w:rsidRPr="0044388E" w14:paraId="235DFA51" w14:textId="77777777" w:rsidTr="006C42C4">
        <w:trPr>
          <w:cantSplit/>
        </w:trPr>
        <w:tc>
          <w:tcPr>
            <w:tcW w:w="2606" w:type="dxa"/>
          </w:tcPr>
          <w:p w14:paraId="2D60EC5B" w14:textId="77777777" w:rsidR="00E26387" w:rsidRPr="00040F29" w:rsidRDefault="00E26387" w:rsidP="00560AC0">
            <w:pPr>
              <w:tabs>
                <w:tab w:val="left" w:pos="1162"/>
              </w:tabs>
              <w:spacing w:before="80" w:after="80"/>
              <w:ind w:right="-28"/>
              <w:rPr>
                <w:rFonts w:cs="Arial"/>
                <w:sz w:val="18"/>
                <w:szCs w:val="20"/>
              </w:rPr>
            </w:pPr>
            <w:r w:rsidRPr="00040F29">
              <w:rPr>
                <w:rFonts w:cs="Arial"/>
                <w:sz w:val="18"/>
                <w:szCs w:val="20"/>
              </w:rPr>
              <w:t xml:space="preserve">APC NMDS </w:t>
            </w:r>
          </w:p>
        </w:tc>
        <w:tc>
          <w:tcPr>
            <w:tcW w:w="6411" w:type="dxa"/>
          </w:tcPr>
          <w:p w14:paraId="7A582A5C" w14:textId="187D0683" w:rsidR="00E26387" w:rsidRPr="00040F29" w:rsidRDefault="00E26387">
            <w:pPr>
              <w:tabs>
                <w:tab w:val="left" w:pos="1162"/>
              </w:tabs>
              <w:spacing w:before="80" w:after="80"/>
              <w:ind w:right="-28"/>
              <w:rPr>
                <w:rFonts w:cs="Arial"/>
                <w:sz w:val="18"/>
                <w:szCs w:val="20"/>
              </w:rPr>
            </w:pPr>
            <w:r w:rsidRPr="00040F29">
              <w:rPr>
                <w:rFonts w:cs="Arial"/>
                <w:sz w:val="18"/>
                <w:szCs w:val="20"/>
              </w:rPr>
              <w:t xml:space="preserve">Dataset based </w:t>
            </w:r>
            <w:proofErr w:type="gramStart"/>
            <w:r w:rsidRPr="00040F29">
              <w:rPr>
                <w:rFonts w:cs="Arial"/>
                <w:sz w:val="18"/>
                <w:szCs w:val="20"/>
              </w:rPr>
              <w:t xml:space="preserve">on the </w:t>
            </w:r>
            <w:r w:rsidR="00941B8B" w:rsidRPr="00040F29">
              <w:rPr>
                <w:rFonts w:cs="Arial"/>
                <w:sz w:val="18"/>
                <w:szCs w:val="20"/>
              </w:rPr>
              <w:t>2014</w:t>
            </w:r>
            <w:r w:rsidRPr="00040F29">
              <w:rPr>
                <w:rFonts w:cs="Arial"/>
                <w:sz w:val="18"/>
                <w:szCs w:val="20"/>
              </w:rPr>
              <w:t>-1</w:t>
            </w:r>
            <w:r w:rsidR="00941B8B" w:rsidRPr="00040F29">
              <w:rPr>
                <w:rFonts w:cs="Arial"/>
                <w:sz w:val="18"/>
                <w:szCs w:val="20"/>
              </w:rPr>
              <w:t>5</w:t>
            </w:r>
            <w:r w:rsidRPr="00040F29">
              <w:rPr>
                <w:rFonts w:cs="Arial"/>
                <w:sz w:val="18"/>
                <w:szCs w:val="20"/>
              </w:rPr>
              <w:t xml:space="preserve"> Admitted Patient Care National Minimum Data Set (APC NMDS)</w:t>
            </w:r>
            <w:proofErr w:type="gramEnd"/>
            <w:r w:rsidRPr="00040F29">
              <w:rPr>
                <w:rFonts w:cs="Arial"/>
                <w:sz w:val="18"/>
                <w:szCs w:val="20"/>
              </w:rPr>
              <w:t>.</w:t>
            </w:r>
          </w:p>
        </w:tc>
      </w:tr>
      <w:tr w:rsidR="00CC033E" w:rsidRPr="0044388E" w14:paraId="1B1C16E4" w14:textId="77777777" w:rsidTr="006C42C4">
        <w:trPr>
          <w:cantSplit/>
        </w:trPr>
        <w:tc>
          <w:tcPr>
            <w:tcW w:w="2606" w:type="dxa"/>
          </w:tcPr>
          <w:p w14:paraId="6758C8AB" w14:textId="77777777" w:rsidR="00E26387" w:rsidRPr="00F6422F" w:rsidRDefault="00E26387" w:rsidP="00560AC0">
            <w:pPr>
              <w:tabs>
                <w:tab w:val="left" w:pos="1162"/>
              </w:tabs>
              <w:spacing w:before="80" w:after="80"/>
              <w:ind w:right="-28"/>
              <w:rPr>
                <w:rFonts w:cs="Arial"/>
                <w:sz w:val="18"/>
                <w:szCs w:val="20"/>
              </w:rPr>
            </w:pPr>
            <w:r w:rsidRPr="00F6422F">
              <w:rPr>
                <w:rFonts w:cs="Arial"/>
                <w:sz w:val="18"/>
                <w:szCs w:val="20"/>
              </w:rPr>
              <w:t>ICU Rate and Paediatric Adjustment eligibility table</w:t>
            </w:r>
          </w:p>
        </w:tc>
        <w:tc>
          <w:tcPr>
            <w:tcW w:w="6411" w:type="dxa"/>
          </w:tcPr>
          <w:p w14:paraId="541740C1" w14:textId="77777777" w:rsidR="00E26387" w:rsidRPr="00F6422F" w:rsidRDefault="00E26387">
            <w:pPr>
              <w:tabs>
                <w:tab w:val="left" w:pos="1162"/>
              </w:tabs>
              <w:spacing w:before="80" w:after="80"/>
              <w:ind w:right="-28"/>
              <w:rPr>
                <w:rFonts w:cs="Arial"/>
                <w:sz w:val="18"/>
                <w:szCs w:val="20"/>
              </w:rPr>
            </w:pPr>
            <w:r w:rsidRPr="00F6422F">
              <w:rPr>
                <w:rFonts w:cs="Arial"/>
                <w:sz w:val="18"/>
                <w:szCs w:val="20"/>
              </w:rPr>
              <w:t xml:space="preserve">Table listing establishments with an eligible ICU or PICU, found in the NEP17 Determination and Glossary.  </w:t>
            </w:r>
          </w:p>
        </w:tc>
      </w:tr>
      <w:tr w:rsidR="00CC033E" w:rsidRPr="0044388E" w14:paraId="03DAC732" w14:textId="77777777" w:rsidTr="006C42C4">
        <w:trPr>
          <w:cantSplit/>
        </w:trPr>
        <w:tc>
          <w:tcPr>
            <w:tcW w:w="2606" w:type="dxa"/>
          </w:tcPr>
          <w:p w14:paraId="1FA6D616" w14:textId="77777777" w:rsidR="00E26387" w:rsidRPr="00F6422F" w:rsidRDefault="00E26387" w:rsidP="00560AC0">
            <w:pPr>
              <w:tabs>
                <w:tab w:val="left" w:pos="1162"/>
              </w:tabs>
              <w:spacing w:before="80" w:after="80"/>
              <w:ind w:right="-28"/>
              <w:rPr>
                <w:rFonts w:cs="Arial"/>
                <w:sz w:val="18"/>
                <w:szCs w:val="20"/>
              </w:rPr>
            </w:pPr>
            <w:r w:rsidRPr="00F6422F">
              <w:rPr>
                <w:rFonts w:cs="Arial"/>
                <w:sz w:val="18"/>
                <w:szCs w:val="20"/>
              </w:rPr>
              <w:t>Postcode table</w:t>
            </w:r>
          </w:p>
        </w:tc>
        <w:tc>
          <w:tcPr>
            <w:tcW w:w="6411" w:type="dxa"/>
          </w:tcPr>
          <w:p w14:paraId="5E6FD8BE" w14:textId="77777777" w:rsidR="00E26387" w:rsidRPr="00F6422F" w:rsidRDefault="00E26387">
            <w:pPr>
              <w:tabs>
                <w:tab w:val="left" w:pos="1162"/>
              </w:tabs>
              <w:spacing w:before="80" w:after="80"/>
              <w:ind w:right="-28"/>
              <w:rPr>
                <w:rFonts w:cs="Arial"/>
                <w:sz w:val="18"/>
                <w:szCs w:val="20"/>
              </w:rPr>
            </w:pPr>
            <w:r w:rsidRPr="00F6422F">
              <w:rPr>
                <w:rFonts w:cs="Arial"/>
                <w:sz w:val="18"/>
                <w:szCs w:val="20"/>
              </w:rPr>
              <w:t>Table of postcodes mapped to the 2011 ASGS Remoteness Area classification. Each postcode is mapped to the Remoteness Area category within which the majority of the postcode’s population resides. PO Box postcodes are mapped to the Remoteness Area category within which the Post Office is located.</w:t>
            </w:r>
          </w:p>
        </w:tc>
      </w:tr>
      <w:tr w:rsidR="00CC033E" w:rsidRPr="0044388E" w14:paraId="467B7FFB" w14:textId="77777777" w:rsidTr="006C42C4">
        <w:trPr>
          <w:cantSplit/>
        </w:trPr>
        <w:tc>
          <w:tcPr>
            <w:tcW w:w="2606" w:type="dxa"/>
          </w:tcPr>
          <w:p w14:paraId="7B18784A" w14:textId="77777777" w:rsidR="00E26387" w:rsidRPr="00F6422F" w:rsidRDefault="00E26387" w:rsidP="00560AC0">
            <w:pPr>
              <w:tabs>
                <w:tab w:val="left" w:pos="1162"/>
              </w:tabs>
              <w:spacing w:before="80" w:after="80"/>
              <w:ind w:right="-28"/>
              <w:rPr>
                <w:rFonts w:cs="Arial"/>
                <w:sz w:val="18"/>
                <w:szCs w:val="20"/>
              </w:rPr>
            </w:pPr>
            <w:r w:rsidRPr="00F6422F">
              <w:rPr>
                <w:rFonts w:cs="Arial"/>
                <w:sz w:val="18"/>
                <w:szCs w:val="20"/>
              </w:rPr>
              <w:t>ASGS table</w:t>
            </w:r>
          </w:p>
        </w:tc>
        <w:tc>
          <w:tcPr>
            <w:tcW w:w="6411" w:type="dxa"/>
          </w:tcPr>
          <w:p w14:paraId="74CBB8BF" w14:textId="77777777" w:rsidR="00E26387" w:rsidRPr="00F6422F" w:rsidRDefault="00E26387">
            <w:pPr>
              <w:tabs>
                <w:tab w:val="left" w:pos="1162"/>
              </w:tabs>
              <w:spacing w:before="80" w:after="80"/>
              <w:ind w:right="-28"/>
              <w:rPr>
                <w:rFonts w:cs="Arial"/>
                <w:sz w:val="18"/>
                <w:szCs w:val="20"/>
              </w:rPr>
            </w:pPr>
            <w:r w:rsidRPr="00F6422F">
              <w:rPr>
                <w:rFonts w:cs="Arial"/>
                <w:sz w:val="18"/>
                <w:szCs w:val="20"/>
              </w:rPr>
              <w:t>Table of Australian Statistical Geography Standard (ASGS) mapped to the Remoteness Area category within which the majority of the ASGS’s population resides.</w:t>
            </w:r>
          </w:p>
        </w:tc>
      </w:tr>
      <w:tr w:rsidR="00CC033E" w:rsidRPr="0044388E" w14:paraId="31230A27" w14:textId="77777777" w:rsidTr="006C42C4">
        <w:trPr>
          <w:cantSplit/>
        </w:trPr>
        <w:tc>
          <w:tcPr>
            <w:tcW w:w="2606" w:type="dxa"/>
          </w:tcPr>
          <w:p w14:paraId="0AE99F1F" w14:textId="77777777" w:rsidR="00E26387" w:rsidRPr="00F6422F" w:rsidRDefault="00E26387" w:rsidP="00560AC0">
            <w:pPr>
              <w:tabs>
                <w:tab w:val="left" w:pos="1162"/>
              </w:tabs>
              <w:spacing w:before="80" w:after="80"/>
              <w:ind w:right="-28"/>
              <w:rPr>
                <w:rFonts w:cs="Arial"/>
                <w:sz w:val="18"/>
                <w:szCs w:val="20"/>
              </w:rPr>
            </w:pPr>
            <w:r w:rsidRPr="00F6422F">
              <w:rPr>
                <w:rFonts w:cs="Arial"/>
                <w:sz w:val="18"/>
                <w:szCs w:val="20"/>
              </w:rPr>
              <w:t>SLA table</w:t>
            </w:r>
          </w:p>
        </w:tc>
        <w:tc>
          <w:tcPr>
            <w:tcW w:w="6411" w:type="dxa"/>
          </w:tcPr>
          <w:p w14:paraId="3F8A210F" w14:textId="77777777" w:rsidR="00E26387" w:rsidRPr="00F6422F" w:rsidRDefault="00E26387">
            <w:pPr>
              <w:tabs>
                <w:tab w:val="left" w:pos="1162"/>
              </w:tabs>
              <w:spacing w:before="80" w:after="80"/>
              <w:ind w:right="-28"/>
              <w:rPr>
                <w:rFonts w:cs="Arial"/>
                <w:sz w:val="18"/>
                <w:szCs w:val="20"/>
              </w:rPr>
            </w:pPr>
            <w:r w:rsidRPr="00F6422F">
              <w:rPr>
                <w:rFonts w:cs="Arial"/>
                <w:sz w:val="18"/>
                <w:szCs w:val="20"/>
              </w:rPr>
              <w:t>Table of Statistical Local Areas (SLAs) mapped to the 2011 ASGS Remoteness Area classification. Each SLA is mapped to the Remoteness Area category within which the majority of the SLA’s population resides.</w:t>
            </w:r>
          </w:p>
        </w:tc>
      </w:tr>
      <w:tr w:rsidR="00CC033E" w:rsidRPr="0044388E" w14:paraId="75F9BA32" w14:textId="77777777" w:rsidTr="006C42C4">
        <w:trPr>
          <w:cantSplit/>
        </w:trPr>
        <w:tc>
          <w:tcPr>
            <w:tcW w:w="2606" w:type="dxa"/>
          </w:tcPr>
          <w:p w14:paraId="28493B82" w14:textId="77777777" w:rsidR="00E26387" w:rsidRPr="00F6422F" w:rsidRDefault="00E26387" w:rsidP="00560AC0">
            <w:pPr>
              <w:tabs>
                <w:tab w:val="left" w:pos="1162"/>
              </w:tabs>
              <w:spacing w:before="80" w:after="80"/>
              <w:ind w:right="-28"/>
              <w:rPr>
                <w:rFonts w:cs="Arial"/>
                <w:sz w:val="18"/>
                <w:szCs w:val="20"/>
              </w:rPr>
            </w:pPr>
            <w:r w:rsidRPr="00F6422F">
              <w:rPr>
                <w:rFonts w:cs="Arial"/>
                <w:sz w:val="18"/>
                <w:szCs w:val="20"/>
              </w:rPr>
              <w:t>2017-18 NWAU Price Weight table</w:t>
            </w:r>
          </w:p>
        </w:tc>
        <w:tc>
          <w:tcPr>
            <w:tcW w:w="6411" w:type="dxa"/>
          </w:tcPr>
          <w:p w14:paraId="1C7CACB1" w14:textId="77777777" w:rsidR="00E26387" w:rsidRPr="00F6422F" w:rsidRDefault="00E26387">
            <w:pPr>
              <w:tabs>
                <w:tab w:val="left" w:pos="1162"/>
              </w:tabs>
              <w:spacing w:before="80" w:after="80"/>
              <w:ind w:right="-28"/>
              <w:rPr>
                <w:rFonts w:cs="Arial"/>
                <w:sz w:val="18"/>
                <w:szCs w:val="20"/>
              </w:rPr>
            </w:pPr>
            <w:r w:rsidRPr="00F6422F">
              <w:rPr>
                <w:rFonts w:cs="Arial"/>
                <w:sz w:val="18"/>
                <w:szCs w:val="20"/>
              </w:rPr>
              <w:t>2017-18 Admitted acute NWAU Price Weight table, found in the NEP17</w:t>
            </w:r>
            <w:r w:rsidRPr="00F6422F">
              <w:rPr>
                <w:sz w:val="18"/>
              </w:rPr>
              <w:t> </w:t>
            </w:r>
            <w:r w:rsidRPr="00F6422F">
              <w:rPr>
                <w:rFonts w:cs="Arial"/>
                <w:sz w:val="18"/>
                <w:szCs w:val="20"/>
              </w:rPr>
              <w:t>Determination.</w:t>
            </w:r>
          </w:p>
        </w:tc>
      </w:tr>
      <w:tr w:rsidR="00CC033E" w:rsidRPr="0044388E" w14:paraId="23AF9C53" w14:textId="77777777" w:rsidTr="006C42C4">
        <w:trPr>
          <w:cantSplit/>
        </w:trPr>
        <w:tc>
          <w:tcPr>
            <w:tcW w:w="2606" w:type="dxa"/>
          </w:tcPr>
          <w:p w14:paraId="0868FD57" w14:textId="77777777" w:rsidR="00E26387" w:rsidRPr="00F6422F" w:rsidRDefault="00E26387" w:rsidP="00560AC0">
            <w:pPr>
              <w:tabs>
                <w:tab w:val="left" w:pos="1162"/>
              </w:tabs>
              <w:spacing w:before="80" w:after="80"/>
              <w:ind w:right="-28"/>
              <w:rPr>
                <w:rFonts w:cs="Arial"/>
                <w:sz w:val="18"/>
                <w:szCs w:val="20"/>
              </w:rPr>
            </w:pPr>
            <w:r w:rsidRPr="00F6422F">
              <w:rPr>
                <w:rFonts w:cs="Arial"/>
                <w:sz w:val="18"/>
                <w:szCs w:val="20"/>
              </w:rPr>
              <w:t>2017-18 NWAU Adjustments</w:t>
            </w:r>
          </w:p>
        </w:tc>
        <w:tc>
          <w:tcPr>
            <w:tcW w:w="6411" w:type="dxa"/>
          </w:tcPr>
          <w:p w14:paraId="3ECB98BF" w14:textId="77777777" w:rsidR="00E26387" w:rsidRPr="00F6422F" w:rsidRDefault="00E26387">
            <w:pPr>
              <w:tabs>
                <w:tab w:val="left" w:pos="1162"/>
              </w:tabs>
              <w:spacing w:before="80" w:after="80"/>
              <w:ind w:right="-28"/>
              <w:rPr>
                <w:rFonts w:cs="Arial"/>
                <w:sz w:val="18"/>
                <w:szCs w:val="20"/>
              </w:rPr>
            </w:pPr>
            <w:r w:rsidRPr="00F6422F">
              <w:rPr>
                <w:rFonts w:cs="Arial"/>
                <w:sz w:val="18"/>
                <w:szCs w:val="20"/>
              </w:rPr>
              <w:t>2017-18 Admitted acute NWAU Adjustments, found in the NEP17 Determination.</w:t>
            </w:r>
          </w:p>
        </w:tc>
      </w:tr>
    </w:tbl>
    <w:p w14:paraId="2E5FFEC6" w14:textId="77777777" w:rsidR="00F6422F" w:rsidRDefault="00F6422F" w:rsidP="00560AC0">
      <w:pPr>
        <w:pStyle w:val="Caption"/>
        <w:keepNext/>
        <w:ind w:right="-28"/>
        <w:rPr>
          <w:color w:val="auto"/>
          <w:highlight w:val="lightGray"/>
        </w:rPr>
      </w:pPr>
      <w:bookmarkStart w:id="495" w:name="_Ref466384303"/>
      <w:bookmarkStart w:id="496" w:name="_Ref342307855"/>
      <w:bookmarkEnd w:id="494"/>
    </w:p>
    <w:p w14:paraId="3522B4CE" w14:textId="78245178" w:rsidR="00E26387" w:rsidRPr="00F6422F" w:rsidRDefault="00E26387">
      <w:pPr>
        <w:spacing w:before="120" w:after="0" w:line="240" w:lineRule="auto"/>
        <w:rPr>
          <w:b/>
        </w:rPr>
      </w:pPr>
      <w:r w:rsidRPr="00F6422F">
        <w:rPr>
          <w:b/>
        </w:rPr>
        <w:t xml:space="preserve">Table </w:t>
      </w:r>
      <w:r w:rsidRPr="00F6422F">
        <w:rPr>
          <w:b/>
        </w:rPr>
        <w:fldChar w:fldCharType="begin"/>
      </w:r>
      <w:r w:rsidRPr="00F6422F">
        <w:rPr>
          <w:b/>
        </w:rPr>
        <w:instrText xml:space="preserve"> SEQ Table \* ARABIC </w:instrText>
      </w:r>
      <w:r w:rsidRPr="00F6422F">
        <w:rPr>
          <w:b/>
        </w:rPr>
        <w:fldChar w:fldCharType="separate"/>
      </w:r>
      <w:r w:rsidR="00F84458">
        <w:rPr>
          <w:b/>
          <w:noProof/>
        </w:rPr>
        <w:t>4</w:t>
      </w:r>
      <w:r w:rsidRPr="00F6422F">
        <w:rPr>
          <w:b/>
        </w:rPr>
        <w:fldChar w:fldCharType="end"/>
      </w:r>
      <w:bookmarkEnd w:id="495"/>
      <w:r w:rsidRPr="00F6422F">
        <w:rPr>
          <w:b/>
        </w:rPr>
        <w:t>: APC NMDS variables used to calculate 2017-18 admitted acute NWAU.</w:t>
      </w:r>
      <w:bookmarkEnd w:id="496"/>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Description w:val="The table consists of one column that lists the Australian Patient Care National Minimum Data Set (APC NMDS) variables used to calculate 2015-16 acute admitted National Weighted Activity Units (NWAUs).  "/>
      </w:tblPr>
      <w:tblGrid>
        <w:gridCol w:w="6601"/>
      </w:tblGrid>
      <w:tr w:rsidR="00E26387" w:rsidRPr="0044388E" w14:paraId="17F8077E" w14:textId="77777777" w:rsidTr="00F6422F">
        <w:trPr>
          <w:cantSplit/>
          <w:trHeight w:val="255"/>
          <w:tblHeader/>
          <w:jc w:val="center"/>
        </w:trPr>
        <w:tc>
          <w:tcPr>
            <w:tcW w:w="6601" w:type="dxa"/>
            <w:shd w:val="clear" w:color="auto" w:fill="288A32"/>
            <w:noWrap/>
          </w:tcPr>
          <w:p w14:paraId="0F7F0BE5" w14:textId="77777777" w:rsidR="00E26387" w:rsidRPr="00F6422F" w:rsidRDefault="00E26387">
            <w:pPr>
              <w:tabs>
                <w:tab w:val="left" w:pos="-327"/>
              </w:tabs>
              <w:spacing w:before="40" w:after="40"/>
              <w:ind w:right="-28"/>
              <w:rPr>
                <w:rFonts w:cs="Arial"/>
                <w:b/>
                <w:color w:val="FFFFFF" w:themeColor="background1"/>
                <w:sz w:val="20"/>
                <w:szCs w:val="20"/>
              </w:rPr>
            </w:pPr>
            <w:r w:rsidRPr="00F6422F">
              <w:rPr>
                <w:rFonts w:cs="Arial"/>
                <w:b/>
                <w:color w:val="FFFFFF" w:themeColor="background1"/>
                <w:sz w:val="20"/>
                <w:szCs w:val="20"/>
              </w:rPr>
              <w:t>APC NMDS Variable</w:t>
            </w:r>
          </w:p>
        </w:tc>
      </w:tr>
      <w:tr w:rsidR="00E26387" w:rsidRPr="0044388E" w14:paraId="4DE0C58F" w14:textId="77777777" w:rsidTr="006A1074">
        <w:trPr>
          <w:cantSplit/>
          <w:trHeight w:val="255"/>
          <w:jc w:val="center"/>
        </w:trPr>
        <w:tc>
          <w:tcPr>
            <w:tcW w:w="6601" w:type="dxa"/>
            <w:shd w:val="clear" w:color="auto" w:fill="auto"/>
            <w:noWrap/>
            <w:hideMark/>
          </w:tcPr>
          <w:p w14:paraId="21442233"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State Identifier</w:t>
            </w:r>
          </w:p>
        </w:tc>
      </w:tr>
      <w:tr w:rsidR="00E26387" w:rsidRPr="0044388E" w14:paraId="20340220" w14:textId="77777777" w:rsidTr="006A1074">
        <w:trPr>
          <w:cantSplit/>
          <w:trHeight w:val="255"/>
          <w:jc w:val="center"/>
        </w:trPr>
        <w:tc>
          <w:tcPr>
            <w:tcW w:w="6601" w:type="dxa"/>
            <w:shd w:val="clear" w:color="auto" w:fill="auto"/>
            <w:noWrap/>
            <w:hideMark/>
          </w:tcPr>
          <w:p w14:paraId="4307E048"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Establishment Identifier</w:t>
            </w:r>
          </w:p>
        </w:tc>
      </w:tr>
      <w:tr w:rsidR="00E26387" w:rsidRPr="0044388E" w14:paraId="36FF9BD3" w14:textId="77777777" w:rsidTr="006A1074">
        <w:trPr>
          <w:cantSplit/>
          <w:trHeight w:val="255"/>
          <w:jc w:val="center"/>
        </w:trPr>
        <w:tc>
          <w:tcPr>
            <w:tcW w:w="6601" w:type="dxa"/>
            <w:shd w:val="clear" w:color="auto" w:fill="auto"/>
            <w:noWrap/>
          </w:tcPr>
          <w:p w14:paraId="0642428C"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Hospital geographical Indicator</w:t>
            </w:r>
          </w:p>
        </w:tc>
      </w:tr>
      <w:tr w:rsidR="00E26387" w:rsidRPr="0044388E" w14:paraId="1A1222A9" w14:textId="77777777" w:rsidTr="006A1074">
        <w:trPr>
          <w:cantSplit/>
          <w:trHeight w:val="255"/>
          <w:jc w:val="center"/>
        </w:trPr>
        <w:tc>
          <w:tcPr>
            <w:tcW w:w="6601" w:type="dxa"/>
            <w:shd w:val="clear" w:color="auto" w:fill="auto"/>
            <w:noWrap/>
            <w:hideMark/>
          </w:tcPr>
          <w:p w14:paraId="0709B284"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Date of Birth</w:t>
            </w:r>
          </w:p>
        </w:tc>
      </w:tr>
      <w:tr w:rsidR="00E26387" w:rsidRPr="0044388E" w14:paraId="569AD849" w14:textId="77777777" w:rsidTr="006A1074">
        <w:trPr>
          <w:cantSplit/>
          <w:trHeight w:val="255"/>
          <w:jc w:val="center"/>
        </w:trPr>
        <w:tc>
          <w:tcPr>
            <w:tcW w:w="6601" w:type="dxa"/>
            <w:shd w:val="clear" w:color="auto" w:fill="auto"/>
            <w:noWrap/>
            <w:hideMark/>
          </w:tcPr>
          <w:p w14:paraId="44C8636B"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Date of Admission</w:t>
            </w:r>
          </w:p>
        </w:tc>
      </w:tr>
      <w:tr w:rsidR="00E26387" w:rsidRPr="0044388E" w14:paraId="75B4FED9" w14:textId="77777777" w:rsidTr="006A1074">
        <w:trPr>
          <w:cantSplit/>
          <w:trHeight w:val="255"/>
          <w:jc w:val="center"/>
        </w:trPr>
        <w:tc>
          <w:tcPr>
            <w:tcW w:w="6601" w:type="dxa"/>
            <w:shd w:val="clear" w:color="auto" w:fill="auto"/>
            <w:noWrap/>
            <w:hideMark/>
          </w:tcPr>
          <w:p w14:paraId="0D684F40"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Date of Separation</w:t>
            </w:r>
          </w:p>
        </w:tc>
      </w:tr>
      <w:tr w:rsidR="00E26387" w:rsidRPr="0044388E" w14:paraId="46284A59" w14:textId="77777777" w:rsidTr="006A1074">
        <w:trPr>
          <w:cantSplit/>
          <w:trHeight w:val="255"/>
          <w:jc w:val="center"/>
        </w:trPr>
        <w:tc>
          <w:tcPr>
            <w:tcW w:w="6601" w:type="dxa"/>
            <w:shd w:val="clear" w:color="auto" w:fill="auto"/>
            <w:noWrap/>
            <w:hideMark/>
          </w:tcPr>
          <w:p w14:paraId="3BA1B84E"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Care Type</w:t>
            </w:r>
          </w:p>
        </w:tc>
      </w:tr>
      <w:tr w:rsidR="00E26387" w:rsidRPr="0044388E" w14:paraId="612051F9" w14:textId="77777777" w:rsidTr="006A1074">
        <w:trPr>
          <w:cantSplit/>
          <w:trHeight w:val="255"/>
          <w:jc w:val="center"/>
        </w:trPr>
        <w:tc>
          <w:tcPr>
            <w:tcW w:w="6601" w:type="dxa"/>
            <w:shd w:val="clear" w:color="auto" w:fill="auto"/>
            <w:noWrap/>
            <w:hideMark/>
          </w:tcPr>
          <w:p w14:paraId="12B91326"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Number of Qualified Days for Newborns</w:t>
            </w:r>
          </w:p>
        </w:tc>
      </w:tr>
      <w:tr w:rsidR="00E26387" w:rsidRPr="0044388E" w14:paraId="7F210918" w14:textId="77777777" w:rsidTr="006A1074">
        <w:trPr>
          <w:cantSplit/>
          <w:trHeight w:val="255"/>
          <w:jc w:val="center"/>
        </w:trPr>
        <w:tc>
          <w:tcPr>
            <w:tcW w:w="6601" w:type="dxa"/>
            <w:shd w:val="clear" w:color="auto" w:fill="auto"/>
            <w:noWrap/>
            <w:hideMark/>
          </w:tcPr>
          <w:p w14:paraId="2FF5AE00"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Total Psychiatric Care Days</w:t>
            </w:r>
          </w:p>
        </w:tc>
      </w:tr>
      <w:tr w:rsidR="00E26387" w:rsidRPr="0044388E" w14:paraId="4F237D86" w14:textId="77777777" w:rsidTr="006A1074">
        <w:trPr>
          <w:cantSplit/>
          <w:trHeight w:val="255"/>
          <w:jc w:val="center"/>
        </w:trPr>
        <w:tc>
          <w:tcPr>
            <w:tcW w:w="6601" w:type="dxa"/>
            <w:shd w:val="clear" w:color="auto" w:fill="auto"/>
            <w:noWrap/>
            <w:hideMark/>
          </w:tcPr>
          <w:p w14:paraId="3166C86B"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Indigenous Status</w:t>
            </w:r>
          </w:p>
        </w:tc>
      </w:tr>
      <w:tr w:rsidR="00E26387" w:rsidRPr="0044388E" w14:paraId="71860703" w14:textId="77777777" w:rsidTr="006A1074">
        <w:trPr>
          <w:cantSplit/>
          <w:trHeight w:val="255"/>
          <w:jc w:val="center"/>
        </w:trPr>
        <w:tc>
          <w:tcPr>
            <w:tcW w:w="6601" w:type="dxa"/>
            <w:shd w:val="clear" w:color="auto" w:fill="auto"/>
            <w:noWrap/>
            <w:hideMark/>
          </w:tcPr>
          <w:p w14:paraId="1F93508D"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Funding Source</w:t>
            </w:r>
            <w:r w:rsidRPr="00F6422F">
              <w:rPr>
                <w:rStyle w:val="FootnoteReference"/>
                <w:rFonts w:cs="Arial"/>
                <w:color w:val="000000"/>
                <w:sz w:val="18"/>
                <w:szCs w:val="20"/>
              </w:rPr>
              <w:footnoteReference w:id="9"/>
            </w:r>
          </w:p>
        </w:tc>
      </w:tr>
      <w:tr w:rsidR="00E26387" w:rsidRPr="0044388E" w14:paraId="3C53B657" w14:textId="77777777" w:rsidTr="006A1074">
        <w:trPr>
          <w:cantSplit/>
          <w:trHeight w:val="255"/>
          <w:jc w:val="center"/>
        </w:trPr>
        <w:tc>
          <w:tcPr>
            <w:tcW w:w="6601" w:type="dxa"/>
            <w:shd w:val="clear" w:color="auto" w:fill="auto"/>
            <w:noWrap/>
            <w:hideMark/>
          </w:tcPr>
          <w:p w14:paraId="3DC7FD78"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Diagnosis Related Group v8.0</w:t>
            </w:r>
          </w:p>
        </w:tc>
      </w:tr>
      <w:tr w:rsidR="00E26387" w:rsidRPr="0044388E" w14:paraId="414958D6" w14:textId="77777777" w:rsidTr="006A1074">
        <w:trPr>
          <w:cantSplit/>
          <w:trHeight w:val="255"/>
          <w:jc w:val="center"/>
        </w:trPr>
        <w:tc>
          <w:tcPr>
            <w:tcW w:w="6601" w:type="dxa"/>
            <w:shd w:val="clear" w:color="auto" w:fill="auto"/>
            <w:noWrap/>
            <w:hideMark/>
          </w:tcPr>
          <w:p w14:paraId="728707F6"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lastRenderedPageBreak/>
              <w:t>Total Leave Days</w:t>
            </w:r>
          </w:p>
        </w:tc>
      </w:tr>
      <w:tr w:rsidR="00E26387" w:rsidRPr="0044388E" w14:paraId="33D97457" w14:textId="77777777" w:rsidTr="006A1074">
        <w:trPr>
          <w:cantSplit/>
          <w:trHeight w:val="255"/>
          <w:jc w:val="center"/>
        </w:trPr>
        <w:tc>
          <w:tcPr>
            <w:tcW w:w="6601" w:type="dxa"/>
            <w:shd w:val="clear" w:color="auto" w:fill="auto"/>
            <w:noWrap/>
            <w:hideMark/>
          </w:tcPr>
          <w:p w14:paraId="35E1D5F2"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Total Hours spent in Intensive Care Unit</w:t>
            </w:r>
          </w:p>
        </w:tc>
      </w:tr>
      <w:tr w:rsidR="00E26387" w:rsidRPr="0044388E" w14:paraId="14F1109C" w14:textId="77777777" w:rsidTr="006A1074">
        <w:trPr>
          <w:cantSplit/>
          <w:trHeight w:val="255"/>
          <w:jc w:val="center"/>
        </w:trPr>
        <w:tc>
          <w:tcPr>
            <w:tcW w:w="6601" w:type="dxa"/>
            <w:shd w:val="clear" w:color="auto" w:fill="auto"/>
            <w:noWrap/>
            <w:hideMark/>
          </w:tcPr>
          <w:p w14:paraId="3850F5C3"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Postcode of Patient's Usual Residence</w:t>
            </w:r>
          </w:p>
        </w:tc>
      </w:tr>
      <w:tr w:rsidR="00E26387" w:rsidRPr="00F6422F" w14:paraId="2E2F80FA" w14:textId="77777777" w:rsidTr="006A1074">
        <w:trPr>
          <w:cantSplit/>
          <w:trHeight w:val="255"/>
          <w:jc w:val="center"/>
        </w:trPr>
        <w:tc>
          <w:tcPr>
            <w:tcW w:w="6601" w:type="dxa"/>
            <w:shd w:val="clear" w:color="auto" w:fill="auto"/>
            <w:noWrap/>
          </w:tcPr>
          <w:p w14:paraId="7F16F12E" w14:textId="77777777" w:rsidR="00E26387" w:rsidRPr="00F6422F" w:rsidRDefault="00E26387" w:rsidP="00560AC0">
            <w:pPr>
              <w:tabs>
                <w:tab w:val="left" w:pos="-327"/>
              </w:tabs>
              <w:ind w:right="-28"/>
              <w:rPr>
                <w:rFonts w:cs="Arial"/>
                <w:color w:val="000000"/>
                <w:sz w:val="18"/>
                <w:szCs w:val="20"/>
              </w:rPr>
            </w:pPr>
            <w:r w:rsidRPr="00F6422F">
              <w:rPr>
                <w:rFonts w:cs="Arial"/>
                <w:sz w:val="18"/>
                <w:szCs w:val="20"/>
              </w:rPr>
              <w:t xml:space="preserve">Australian Statistical Geography Standard (ASGS) of </w:t>
            </w:r>
            <w:r w:rsidRPr="00F6422F">
              <w:rPr>
                <w:rFonts w:cs="Arial"/>
                <w:color w:val="000000"/>
                <w:sz w:val="18"/>
                <w:szCs w:val="20"/>
              </w:rPr>
              <w:t>Patient's Usual Residence</w:t>
            </w:r>
          </w:p>
        </w:tc>
      </w:tr>
      <w:tr w:rsidR="00E26387" w:rsidRPr="00F6422F" w14:paraId="450DE3A0" w14:textId="77777777" w:rsidTr="006A1074">
        <w:trPr>
          <w:cantSplit/>
          <w:trHeight w:val="255"/>
          <w:jc w:val="center"/>
        </w:trPr>
        <w:tc>
          <w:tcPr>
            <w:tcW w:w="6601" w:type="dxa"/>
            <w:shd w:val="clear" w:color="auto" w:fill="auto"/>
            <w:noWrap/>
            <w:hideMark/>
          </w:tcPr>
          <w:p w14:paraId="6F73B5AF"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Statistical Local Area of Patient's Usual Residence</w:t>
            </w:r>
          </w:p>
        </w:tc>
      </w:tr>
      <w:tr w:rsidR="00E26387" w:rsidRPr="00F6422F" w14:paraId="42744DA6" w14:textId="77777777" w:rsidTr="006A1074">
        <w:trPr>
          <w:cantSplit/>
          <w:trHeight w:val="255"/>
          <w:jc w:val="center"/>
        </w:trPr>
        <w:tc>
          <w:tcPr>
            <w:tcW w:w="6601" w:type="dxa"/>
            <w:shd w:val="clear" w:color="auto" w:fill="auto"/>
            <w:noWrap/>
          </w:tcPr>
          <w:p w14:paraId="40E23E14"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Either the identifier signifying radiotherapy treatment/planning or the list of patient’s ICD-10-AM 9</w:t>
            </w:r>
            <w:r w:rsidRPr="00F6422F">
              <w:rPr>
                <w:rFonts w:cs="Arial"/>
                <w:color w:val="000000"/>
                <w:sz w:val="18"/>
                <w:szCs w:val="20"/>
                <w:vertAlign w:val="superscript"/>
              </w:rPr>
              <w:t>th</w:t>
            </w:r>
            <w:r w:rsidRPr="00F6422F">
              <w:rPr>
                <w:rFonts w:cs="Arial"/>
                <w:color w:val="000000"/>
                <w:sz w:val="18"/>
                <w:szCs w:val="20"/>
              </w:rPr>
              <w:t xml:space="preserve"> Edition procedure codes.</w:t>
            </w:r>
          </w:p>
        </w:tc>
      </w:tr>
      <w:tr w:rsidR="00E26387" w:rsidRPr="00F6422F" w14:paraId="0B78C78D" w14:textId="77777777" w:rsidTr="006A1074">
        <w:trPr>
          <w:cantSplit/>
          <w:trHeight w:val="255"/>
          <w:jc w:val="center"/>
        </w:trPr>
        <w:tc>
          <w:tcPr>
            <w:tcW w:w="6601" w:type="dxa"/>
            <w:shd w:val="clear" w:color="auto" w:fill="auto"/>
            <w:noWrap/>
          </w:tcPr>
          <w:p w14:paraId="02D39E9E" w14:textId="77777777" w:rsidR="00E26387" w:rsidRPr="00F6422F" w:rsidRDefault="00E26387" w:rsidP="00560AC0">
            <w:pPr>
              <w:tabs>
                <w:tab w:val="left" w:pos="-327"/>
              </w:tabs>
              <w:ind w:right="-28"/>
              <w:rPr>
                <w:rFonts w:cs="Arial"/>
                <w:color w:val="000000"/>
                <w:sz w:val="18"/>
                <w:szCs w:val="20"/>
              </w:rPr>
            </w:pPr>
            <w:r w:rsidRPr="00F6422F">
              <w:rPr>
                <w:rFonts w:cs="Arial"/>
                <w:color w:val="000000"/>
                <w:sz w:val="18"/>
                <w:szCs w:val="20"/>
              </w:rPr>
              <w:t>Either the identifier signifying dialysis or the list of patient’s ICD-10-AM 9</w:t>
            </w:r>
            <w:r w:rsidRPr="00F6422F">
              <w:rPr>
                <w:rFonts w:cs="Arial"/>
                <w:color w:val="000000"/>
                <w:sz w:val="18"/>
                <w:szCs w:val="20"/>
                <w:vertAlign w:val="superscript"/>
              </w:rPr>
              <w:t>th</w:t>
            </w:r>
            <w:r w:rsidRPr="00F6422F">
              <w:rPr>
                <w:rFonts w:cs="Arial"/>
                <w:color w:val="000000"/>
                <w:sz w:val="18"/>
                <w:szCs w:val="20"/>
              </w:rPr>
              <w:t xml:space="preserve"> Edition procedure codes.</w:t>
            </w:r>
          </w:p>
        </w:tc>
      </w:tr>
    </w:tbl>
    <w:p w14:paraId="338C2FE3" w14:textId="77777777" w:rsidR="00CC033E" w:rsidRPr="0044388E" w:rsidRDefault="00CC033E" w:rsidP="00560AC0">
      <w:pPr>
        <w:spacing w:after="0" w:line="240" w:lineRule="auto"/>
        <w:ind w:right="-28"/>
        <w:rPr>
          <w:highlight w:val="lightGray"/>
        </w:rPr>
      </w:pPr>
    </w:p>
    <w:p w14:paraId="2415E2C3" w14:textId="795678F5" w:rsidR="008C6279" w:rsidRPr="00941B8B" w:rsidRDefault="008C6279" w:rsidP="00560AC0">
      <w:pPr>
        <w:pStyle w:val="Heading1"/>
        <w:pageBreakBefore/>
        <w:numPr>
          <w:ilvl w:val="0"/>
          <w:numId w:val="17"/>
        </w:numPr>
        <w:spacing w:before="100" w:beforeAutospacing="1" w:after="100" w:afterAutospacing="1" w:line="240" w:lineRule="auto"/>
        <w:contextualSpacing w:val="0"/>
        <w:rPr>
          <w:sz w:val="56"/>
        </w:rPr>
      </w:pPr>
      <w:bookmarkStart w:id="497" w:name="_Ref342306421"/>
      <w:bookmarkStart w:id="498" w:name="_Ref342306507"/>
      <w:bookmarkStart w:id="499" w:name="_Toc380754750"/>
      <w:bookmarkStart w:id="500" w:name="_Toc466884180"/>
      <w:bookmarkStart w:id="501" w:name="_Toc467505193"/>
      <w:bookmarkStart w:id="502" w:name="_Toc467676234"/>
      <w:bookmarkStart w:id="503" w:name="_Toc467745567"/>
      <w:bookmarkStart w:id="504" w:name="_Toc467759574"/>
      <w:bookmarkStart w:id="505" w:name="_Toc468204032"/>
      <w:bookmarkStart w:id="506" w:name="_Toc476305229"/>
      <w:r w:rsidRPr="00941B8B">
        <w:rPr>
          <w:sz w:val="44"/>
        </w:rPr>
        <w:lastRenderedPageBreak/>
        <w:t>Mental health care cost model</w:t>
      </w:r>
      <w:bookmarkEnd w:id="497"/>
      <w:bookmarkEnd w:id="498"/>
      <w:bookmarkEnd w:id="499"/>
      <w:bookmarkEnd w:id="500"/>
      <w:bookmarkEnd w:id="501"/>
      <w:bookmarkEnd w:id="502"/>
      <w:bookmarkEnd w:id="503"/>
      <w:bookmarkEnd w:id="504"/>
      <w:bookmarkEnd w:id="505"/>
      <w:bookmarkEnd w:id="506"/>
    </w:p>
    <w:p w14:paraId="76A90C1F" w14:textId="37A8383D" w:rsidR="008C6279" w:rsidRPr="00941B8B" w:rsidRDefault="008C6279">
      <w:pPr>
        <w:pStyle w:val="Heading2"/>
        <w:numPr>
          <w:ilvl w:val="1"/>
          <w:numId w:val="17"/>
        </w:numPr>
        <w:ind w:left="567" w:right="-28" w:hanging="567"/>
      </w:pPr>
      <w:bookmarkStart w:id="507" w:name="_Toc380754751"/>
      <w:bookmarkStart w:id="508" w:name="_Toc466884181"/>
      <w:bookmarkStart w:id="509" w:name="_Toc467505194"/>
      <w:bookmarkStart w:id="510" w:name="_Toc467745568"/>
      <w:bookmarkStart w:id="511" w:name="_Toc467759575"/>
      <w:bookmarkStart w:id="512" w:name="_Toc468204033"/>
      <w:bookmarkStart w:id="513" w:name="_Toc476305230"/>
      <w:r w:rsidRPr="00941B8B">
        <w:t>General issues</w:t>
      </w:r>
      <w:bookmarkEnd w:id="507"/>
      <w:bookmarkEnd w:id="508"/>
      <w:bookmarkEnd w:id="509"/>
      <w:bookmarkEnd w:id="510"/>
      <w:bookmarkEnd w:id="511"/>
      <w:bookmarkEnd w:id="512"/>
      <w:bookmarkEnd w:id="513"/>
    </w:p>
    <w:p w14:paraId="4E42E913" w14:textId="29E8A929" w:rsidR="008C6279" w:rsidRPr="00941B8B" w:rsidRDefault="008C6279">
      <w:pPr>
        <w:pStyle w:val="Heading3"/>
        <w:numPr>
          <w:ilvl w:val="2"/>
          <w:numId w:val="17"/>
        </w:numPr>
        <w:spacing w:before="200" w:after="120" w:line="276" w:lineRule="auto"/>
        <w:ind w:left="851" w:hanging="851"/>
        <w:contextualSpacing w:val="0"/>
      </w:pPr>
      <w:bookmarkStart w:id="514" w:name="_Toc380754752"/>
      <w:bookmarkStart w:id="515" w:name="_Toc466884182"/>
      <w:bookmarkStart w:id="516" w:name="_Toc467505195"/>
      <w:bookmarkStart w:id="517" w:name="_Toc467745569"/>
      <w:bookmarkStart w:id="518" w:name="_Toc468204034"/>
      <w:r w:rsidRPr="00941B8B">
        <w:t>Cost unit</w:t>
      </w:r>
      <w:bookmarkEnd w:id="514"/>
      <w:bookmarkEnd w:id="515"/>
      <w:bookmarkEnd w:id="516"/>
      <w:bookmarkEnd w:id="517"/>
      <w:bookmarkEnd w:id="518"/>
    </w:p>
    <w:p w14:paraId="77F45E08" w14:textId="51EE3D7D" w:rsidR="008C6279" w:rsidRPr="00941B8B" w:rsidRDefault="008C6279" w:rsidP="002D606E">
      <w:pPr>
        <w:tabs>
          <w:tab w:val="left" w:pos="1162"/>
        </w:tabs>
        <w:rPr>
          <w:rFonts w:cs="Arial"/>
          <w:szCs w:val="20"/>
        </w:rPr>
      </w:pPr>
      <w:r w:rsidRPr="00941B8B">
        <w:rPr>
          <w:rFonts w:cs="Arial"/>
          <w:szCs w:val="20"/>
        </w:rPr>
        <w:t>An ‘episode of admitted patient care’</w:t>
      </w:r>
      <w:r w:rsidRPr="00941B8B">
        <w:rPr>
          <w:rStyle w:val="FootnoteReference"/>
          <w:rFonts w:cs="Arial"/>
          <w:szCs w:val="20"/>
        </w:rPr>
        <w:footnoteReference w:id="10"/>
      </w:r>
      <w:r w:rsidRPr="00941B8B">
        <w:rPr>
          <w:rFonts w:cs="Arial"/>
          <w:szCs w:val="20"/>
        </w:rPr>
        <w:t xml:space="preserve"> is the cost unit for mental health patients. As for NEP1</w:t>
      </w:r>
      <w:r w:rsidR="00DE2D48">
        <w:rPr>
          <w:rFonts w:cs="Arial"/>
          <w:szCs w:val="20"/>
        </w:rPr>
        <w:t>6</w:t>
      </w:r>
      <w:r w:rsidRPr="00941B8B">
        <w:rPr>
          <w:rFonts w:cs="Arial"/>
          <w:szCs w:val="20"/>
        </w:rPr>
        <w:t xml:space="preserve">, mental health patients are specifically defined as only those admitted acute patients that are: </w:t>
      </w:r>
    </w:p>
    <w:p w14:paraId="74C85AD4" w14:textId="77777777" w:rsidR="008C6279" w:rsidRPr="00941B8B" w:rsidRDefault="008C6279" w:rsidP="002D606E">
      <w:pPr>
        <w:pStyle w:val="ListParagraph"/>
        <w:numPr>
          <w:ilvl w:val="0"/>
          <w:numId w:val="33"/>
        </w:numPr>
        <w:tabs>
          <w:tab w:val="left" w:pos="1162"/>
        </w:tabs>
        <w:spacing w:line="240" w:lineRule="auto"/>
        <w:ind w:left="714" w:hanging="357"/>
        <w:contextualSpacing w:val="0"/>
        <w:rPr>
          <w:rFonts w:cs="Arial"/>
          <w:szCs w:val="20"/>
        </w:rPr>
      </w:pPr>
      <w:r w:rsidRPr="00941B8B">
        <w:rPr>
          <w:rFonts w:cs="Arial"/>
          <w:szCs w:val="20"/>
        </w:rPr>
        <w:t xml:space="preserve">in MDC 19 (Mental Diseases and Disorders); </w:t>
      </w:r>
    </w:p>
    <w:p w14:paraId="45517605" w14:textId="77777777" w:rsidR="008C6279" w:rsidRPr="00941B8B" w:rsidRDefault="008C6279" w:rsidP="002D606E">
      <w:pPr>
        <w:pStyle w:val="ListParagraph"/>
        <w:numPr>
          <w:ilvl w:val="0"/>
          <w:numId w:val="33"/>
        </w:numPr>
        <w:tabs>
          <w:tab w:val="left" w:pos="1162"/>
        </w:tabs>
        <w:spacing w:line="240" w:lineRule="auto"/>
        <w:ind w:left="714" w:hanging="357"/>
        <w:contextualSpacing w:val="0"/>
        <w:rPr>
          <w:rFonts w:cs="Arial"/>
          <w:szCs w:val="20"/>
        </w:rPr>
      </w:pPr>
      <w:r w:rsidRPr="00941B8B">
        <w:rPr>
          <w:rFonts w:cs="Arial"/>
          <w:szCs w:val="20"/>
        </w:rPr>
        <w:t xml:space="preserve">in MDC 20 (Alcohol/Drug Use and Alcohol/Drug Induced Organic Mental Disorders); and </w:t>
      </w:r>
    </w:p>
    <w:p w14:paraId="61297328" w14:textId="77777777" w:rsidR="008C6279" w:rsidRPr="00941B8B" w:rsidRDefault="008C6279" w:rsidP="002D606E">
      <w:pPr>
        <w:pStyle w:val="ListParagraph"/>
        <w:numPr>
          <w:ilvl w:val="0"/>
          <w:numId w:val="33"/>
        </w:numPr>
        <w:tabs>
          <w:tab w:val="left" w:pos="1162"/>
        </w:tabs>
        <w:spacing w:line="240" w:lineRule="auto"/>
        <w:ind w:left="714" w:hanging="357"/>
        <w:contextualSpacing w:val="0"/>
        <w:rPr>
          <w:rFonts w:cs="Arial"/>
          <w:szCs w:val="20"/>
        </w:rPr>
      </w:pPr>
      <w:proofErr w:type="gramStart"/>
      <w:r w:rsidRPr="00941B8B">
        <w:rPr>
          <w:rFonts w:cs="Arial"/>
          <w:szCs w:val="20"/>
        </w:rPr>
        <w:t>those</w:t>
      </w:r>
      <w:proofErr w:type="gramEnd"/>
      <w:r w:rsidRPr="00941B8B">
        <w:rPr>
          <w:rFonts w:cs="Arial"/>
          <w:szCs w:val="20"/>
        </w:rPr>
        <w:t xml:space="preserve"> patients in other MDCs that have recorded psychiatric care days. </w:t>
      </w:r>
    </w:p>
    <w:p w14:paraId="0E33C177" w14:textId="77777777" w:rsidR="008C6279" w:rsidRPr="00941B8B" w:rsidRDefault="008C6279" w:rsidP="002D606E">
      <w:pPr>
        <w:tabs>
          <w:tab w:val="left" w:pos="1162"/>
        </w:tabs>
        <w:spacing w:before="240"/>
        <w:rPr>
          <w:rFonts w:cs="Arial"/>
          <w:szCs w:val="20"/>
        </w:rPr>
      </w:pPr>
      <w:r w:rsidRPr="00941B8B">
        <w:rPr>
          <w:rFonts w:cs="Arial"/>
          <w:szCs w:val="20"/>
        </w:rPr>
        <w:t>As such, admitted acute mental health patients are a subset of admitted acute patients and are analysed under the admitted acute cost model.</w:t>
      </w:r>
    </w:p>
    <w:p w14:paraId="7291B656" w14:textId="77777777" w:rsidR="008C6279" w:rsidRPr="00941B8B" w:rsidRDefault="008C6279" w:rsidP="002D606E">
      <w:pPr>
        <w:tabs>
          <w:tab w:val="left" w:pos="1162"/>
        </w:tabs>
        <w:rPr>
          <w:rFonts w:cs="Arial"/>
          <w:szCs w:val="20"/>
        </w:rPr>
      </w:pPr>
      <w:r w:rsidRPr="00941B8B">
        <w:rPr>
          <w:rFonts w:cs="Arial"/>
          <w:szCs w:val="20"/>
        </w:rPr>
        <w:t>Mental health patients receiving ED and non-admitted care services are not differentiated in the NEP17 and so receive payments as defined for the relevant ABF product category.</w:t>
      </w:r>
    </w:p>
    <w:p w14:paraId="5B0D05B7" w14:textId="02953732" w:rsidR="008C6279" w:rsidRPr="00941B8B" w:rsidRDefault="00941B8B" w:rsidP="00560AC0">
      <w:pPr>
        <w:pStyle w:val="Heading3"/>
        <w:numPr>
          <w:ilvl w:val="2"/>
          <w:numId w:val="17"/>
        </w:numPr>
        <w:spacing w:before="200" w:after="120" w:line="276" w:lineRule="auto"/>
        <w:ind w:left="851" w:hanging="851"/>
        <w:contextualSpacing w:val="0"/>
      </w:pPr>
      <w:bookmarkStart w:id="519" w:name="_Toc467745570"/>
      <w:bookmarkStart w:id="520" w:name="_Toc468204035"/>
      <w:r>
        <w:t>In-scope activity</w:t>
      </w:r>
      <w:bookmarkEnd w:id="519"/>
      <w:bookmarkEnd w:id="520"/>
    </w:p>
    <w:p w14:paraId="1DA11CB7" w14:textId="38EEE999" w:rsidR="008C6279" w:rsidRPr="00941B8B" w:rsidRDefault="008C6279" w:rsidP="002D606E">
      <w:pPr>
        <w:tabs>
          <w:tab w:val="left" w:pos="1162"/>
        </w:tabs>
        <w:rPr>
          <w:rFonts w:cs="Arial"/>
          <w:szCs w:val="20"/>
        </w:rPr>
      </w:pPr>
      <w:r w:rsidRPr="00941B8B">
        <w:rPr>
          <w:rFonts w:cs="Arial"/>
          <w:szCs w:val="20"/>
        </w:rPr>
        <w:t>Mental health admitted care is that provided to patients who undergo a facility’s formal admission</w:t>
      </w:r>
      <w:r w:rsidRPr="00941B8B">
        <w:rPr>
          <w:rStyle w:val="FootnoteReference"/>
          <w:rFonts w:cs="Arial"/>
          <w:szCs w:val="20"/>
        </w:rPr>
        <w:footnoteReference w:id="11"/>
      </w:r>
      <w:r w:rsidRPr="00941B8B">
        <w:rPr>
          <w:rFonts w:cs="Arial"/>
          <w:szCs w:val="20"/>
        </w:rPr>
        <w:t xml:space="preserve"> processes where the clinical intent or treatment goal </w:t>
      </w:r>
      <w:r w:rsidR="0049513E" w:rsidRPr="00941B8B">
        <w:rPr>
          <w:rFonts w:cs="Arial"/>
          <w:szCs w:val="20"/>
        </w:rPr>
        <w:t xml:space="preserve">is the provision of acute care. </w:t>
      </w:r>
      <w:r w:rsidRPr="00941B8B">
        <w:rPr>
          <w:rFonts w:cs="Arial"/>
          <w:szCs w:val="20"/>
        </w:rPr>
        <w:t xml:space="preserve">In-scope hospitals and patients are defined the same way as in the admitted acute model (see </w:t>
      </w:r>
      <w:r w:rsidR="00A83F3A">
        <w:rPr>
          <w:rFonts w:cs="Arial"/>
          <w:szCs w:val="20"/>
        </w:rPr>
        <w:t>Section</w:t>
      </w:r>
      <w:r w:rsidR="00DE2D48">
        <w:rPr>
          <w:rFonts w:cs="Arial"/>
          <w:szCs w:val="20"/>
        </w:rPr>
        <w:fldChar w:fldCharType="begin"/>
      </w:r>
      <w:r w:rsidR="00DE2D48">
        <w:rPr>
          <w:rFonts w:cs="Arial"/>
          <w:szCs w:val="20"/>
        </w:rPr>
        <w:instrText xml:space="preserve"> REF _Ref468435427 \r </w:instrText>
      </w:r>
      <w:r w:rsidR="00DE2D48">
        <w:rPr>
          <w:rFonts w:cs="Arial"/>
          <w:szCs w:val="20"/>
        </w:rPr>
        <w:fldChar w:fldCharType="separate"/>
      </w:r>
      <w:r w:rsidR="00F84458">
        <w:rPr>
          <w:rFonts w:cs="Arial"/>
          <w:szCs w:val="20"/>
        </w:rPr>
        <w:t>2.1.2</w:t>
      </w:r>
      <w:r w:rsidR="00DE2D48">
        <w:rPr>
          <w:rFonts w:cs="Arial"/>
          <w:szCs w:val="20"/>
        </w:rPr>
        <w:fldChar w:fldCharType="end"/>
      </w:r>
      <w:r w:rsidRPr="00941B8B">
        <w:rPr>
          <w:rFonts w:cs="Arial"/>
          <w:szCs w:val="20"/>
        </w:rPr>
        <w:t>).</w:t>
      </w:r>
    </w:p>
    <w:p w14:paraId="48D76D26" w14:textId="471F9B16" w:rsidR="008C6279" w:rsidRPr="00941B8B" w:rsidRDefault="008C6279" w:rsidP="00560AC0">
      <w:pPr>
        <w:pStyle w:val="Heading3"/>
        <w:numPr>
          <w:ilvl w:val="2"/>
          <w:numId w:val="17"/>
        </w:numPr>
        <w:spacing w:before="200" w:after="120" w:line="276" w:lineRule="auto"/>
        <w:ind w:left="851" w:hanging="851"/>
        <w:contextualSpacing w:val="0"/>
      </w:pPr>
      <w:bookmarkStart w:id="521" w:name="_Toc380754754"/>
      <w:bookmarkStart w:id="522" w:name="_Toc466884184"/>
      <w:bookmarkStart w:id="523" w:name="_Toc467505197"/>
      <w:bookmarkStart w:id="524" w:name="_Toc467745571"/>
      <w:bookmarkStart w:id="525" w:name="_Toc468204036"/>
      <w:r w:rsidRPr="00941B8B">
        <w:t>Classification</w:t>
      </w:r>
      <w:bookmarkEnd w:id="521"/>
      <w:bookmarkEnd w:id="522"/>
      <w:bookmarkEnd w:id="523"/>
      <w:bookmarkEnd w:id="524"/>
      <w:bookmarkEnd w:id="525"/>
    </w:p>
    <w:p w14:paraId="0B832E63" w14:textId="236F9366" w:rsidR="008C6279" w:rsidRPr="00941B8B" w:rsidRDefault="008C6279" w:rsidP="002D606E">
      <w:pPr>
        <w:tabs>
          <w:tab w:val="left" w:pos="1162"/>
        </w:tabs>
        <w:spacing w:after="480"/>
        <w:rPr>
          <w:rFonts w:cs="Arial"/>
          <w:szCs w:val="20"/>
        </w:rPr>
      </w:pPr>
      <w:r w:rsidRPr="00941B8B">
        <w:rPr>
          <w:rFonts w:cs="Arial"/>
          <w:szCs w:val="20"/>
        </w:rPr>
        <w:t>AR-DRGs are used to classify admitted acute care including the mental health acute patients. The version that applies for funding in 2017-18 is AR</w:t>
      </w:r>
      <w:r w:rsidRPr="00941B8B">
        <w:rPr>
          <w:rFonts w:cs="Arial"/>
          <w:szCs w:val="20"/>
        </w:rPr>
        <w:noBreakHyphen/>
        <w:t>DRG v8</w:t>
      </w:r>
      <w:r w:rsidR="00941B8B" w:rsidRPr="00941B8B">
        <w:rPr>
          <w:rFonts w:cs="Arial"/>
          <w:szCs w:val="20"/>
        </w:rPr>
        <w:t>.0</w:t>
      </w:r>
      <w:r w:rsidRPr="00941B8B">
        <w:rPr>
          <w:rFonts w:cs="Arial"/>
          <w:szCs w:val="20"/>
        </w:rPr>
        <w:t>.</w:t>
      </w:r>
    </w:p>
    <w:p w14:paraId="42974ECD" w14:textId="1D4691C9" w:rsidR="008C6279" w:rsidRPr="00941B8B" w:rsidRDefault="008C6279" w:rsidP="00560AC0">
      <w:pPr>
        <w:pStyle w:val="Heading2"/>
        <w:numPr>
          <w:ilvl w:val="1"/>
          <w:numId w:val="17"/>
        </w:numPr>
        <w:ind w:left="567" w:right="-28" w:hanging="567"/>
      </w:pPr>
      <w:bookmarkStart w:id="526" w:name="_Toc380754755"/>
      <w:bookmarkStart w:id="527" w:name="_Toc466884185"/>
      <w:bookmarkStart w:id="528" w:name="_Toc467505198"/>
      <w:bookmarkStart w:id="529" w:name="_Toc467745572"/>
      <w:bookmarkStart w:id="530" w:name="_Toc467759576"/>
      <w:bookmarkStart w:id="531" w:name="_Toc468204037"/>
      <w:bookmarkStart w:id="532" w:name="_Toc476305231"/>
      <w:r w:rsidRPr="00941B8B">
        <w:t>Analysis of costs to derive NWAU for mental health care</w:t>
      </w:r>
      <w:bookmarkEnd w:id="526"/>
      <w:bookmarkEnd w:id="527"/>
      <w:bookmarkEnd w:id="528"/>
      <w:bookmarkEnd w:id="529"/>
      <w:bookmarkEnd w:id="530"/>
      <w:bookmarkEnd w:id="531"/>
      <w:bookmarkEnd w:id="532"/>
    </w:p>
    <w:p w14:paraId="41B6E936" w14:textId="4452B993" w:rsidR="008C6279" w:rsidRPr="00941B8B" w:rsidRDefault="008C6279">
      <w:pPr>
        <w:pStyle w:val="Heading3"/>
        <w:numPr>
          <w:ilvl w:val="2"/>
          <w:numId w:val="17"/>
        </w:numPr>
        <w:spacing w:before="200" w:after="120" w:line="276" w:lineRule="auto"/>
        <w:ind w:left="851" w:hanging="851"/>
        <w:contextualSpacing w:val="0"/>
      </w:pPr>
      <w:bookmarkStart w:id="533" w:name="_Toc380754756"/>
      <w:bookmarkStart w:id="534" w:name="_Toc466884186"/>
      <w:bookmarkStart w:id="535" w:name="_Toc467505199"/>
      <w:bookmarkStart w:id="536" w:name="_Toc467745573"/>
      <w:bookmarkStart w:id="537" w:name="_Toc468204038"/>
      <w:r w:rsidRPr="00941B8B">
        <w:t>Data preparation</w:t>
      </w:r>
      <w:bookmarkEnd w:id="533"/>
      <w:bookmarkEnd w:id="534"/>
      <w:bookmarkEnd w:id="535"/>
      <w:bookmarkEnd w:id="536"/>
      <w:bookmarkEnd w:id="537"/>
    </w:p>
    <w:p w14:paraId="211D952F" w14:textId="40846FA5" w:rsidR="008C6279" w:rsidRPr="00941B8B" w:rsidRDefault="008C6279">
      <w:pPr>
        <w:tabs>
          <w:tab w:val="left" w:pos="1162"/>
        </w:tabs>
        <w:rPr>
          <w:rFonts w:cs="Arial"/>
          <w:szCs w:val="20"/>
        </w:rPr>
      </w:pPr>
      <w:r w:rsidRPr="00941B8B">
        <w:rPr>
          <w:rFonts w:cs="Arial"/>
          <w:szCs w:val="20"/>
        </w:rPr>
        <w:t xml:space="preserve">See </w:t>
      </w:r>
      <w:r w:rsidR="00FD6A83">
        <w:rPr>
          <w:rFonts w:cs="Arial"/>
          <w:szCs w:val="20"/>
        </w:rPr>
        <w:t>S</w:t>
      </w:r>
      <w:r w:rsidRPr="00941B8B">
        <w:rPr>
          <w:rFonts w:cs="Arial"/>
          <w:szCs w:val="20"/>
        </w:rPr>
        <w:t xml:space="preserve">ection </w:t>
      </w:r>
      <w:r w:rsidRPr="00941B8B">
        <w:rPr>
          <w:rFonts w:cs="Arial"/>
          <w:szCs w:val="20"/>
        </w:rPr>
        <w:fldChar w:fldCharType="begin"/>
      </w:r>
      <w:r w:rsidRPr="00941B8B">
        <w:rPr>
          <w:rFonts w:cs="Arial"/>
          <w:szCs w:val="20"/>
        </w:rPr>
        <w:instrText xml:space="preserve"> REF _Ref342385231 \r \h </w:instrText>
      </w:r>
      <w:r w:rsidR="0044388E" w:rsidRPr="00941B8B">
        <w:rPr>
          <w:rFonts w:cs="Arial"/>
          <w:szCs w:val="20"/>
        </w:rPr>
        <w:instrText xml:space="preserve"> \* MERGEFORMAT </w:instrText>
      </w:r>
      <w:r w:rsidRPr="00941B8B">
        <w:rPr>
          <w:rFonts w:cs="Arial"/>
          <w:szCs w:val="20"/>
        </w:rPr>
      </w:r>
      <w:r w:rsidRPr="00941B8B">
        <w:rPr>
          <w:rFonts w:cs="Arial"/>
          <w:szCs w:val="20"/>
        </w:rPr>
        <w:fldChar w:fldCharType="separate"/>
      </w:r>
      <w:r w:rsidR="00F84458">
        <w:rPr>
          <w:rFonts w:cs="Arial"/>
          <w:szCs w:val="20"/>
        </w:rPr>
        <w:t>2.2.1</w:t>
      </w:r>
      <w:r w:rsidRPr="00941B8B">
        <w:rPr>
          <w:rFonts w:cs="Arial"/>
          <w:szCs w:val="20"/>
        </w:rPr>
        <w:fldChar w:fldCharType="end"/>
      </w:r>
      <w:r w:rsidRPr="00941B8B">
        <w:rPr>
          <w:rFonts w:cs="Arial"/>
          <w:szCs w:val="20"/>
        </w:rPr>
        <w:t>.</w:t>
      </w:r>
    </w:p>
    <w:p w14:paraId="06F0FA61" w14:textId="713956DE" w:rsidR="008C6279" w:rsidRPr="00941B8B" w:rsidRDefault="008C6279">
      <w:pPr>
        <w:pStyle w:val="Heading3"/>
        <w:numPr>
          <w:ilvl w:val="2"/>
          <w:numId w:val="17"/>
        </w:numPr>
        <w:spacing w:before="200" w:after="120" w:line="276" w:lineRule="auto"/>
        <w:ind w:left="851" w:hanging="851"/>
        <w:contextualSpacing w:val="0"/>
      </w:pPr>
      <w:bookmarkStart w:id="538" w:name="_Toc380754757"/>
      <w:bookmarkStart w:id="539" w:name="_Toc466884187"/>
      <w:bookmarkStart w:id="540" w:name="_Toc467505200"/>
      <w:bookmarkStart w:id="541" w:name="_Toc467745574"/>
      <w:bookmarkStart w:id="542" w:name="_Toc468204039"/>
      <w:r w:rsidRPr="00941B8B">
        <w:t>Stratification and weighting</w:t>
      </w:r>
      <w:bookmarkEnd w:id="538"/>
      <w:bookmarkEnd w:id="539"/>
      <w:bookmarkEnd w:id="540"/>
      <w:bookmarkEnd w:id="541"/>
      <w:bookmarkEnd w:id="542"/>
    </w:p>
    <w:p w14:paraId="65C20798" w14:textId="33BBD759" w:rsidR="008C6279" w:rsidRPr="00941B8B" w:rsidRDefault="008C6279">
      <w:pPr>
        <w:tabs>
          <w:tab w:val="left" w:pos="1162"/>
        </w:tabs>
        <w:rPr>
          <w:szCs w:val="20"/>
        </w:rPr>
      </w:pPr>
      <w:r w:rsidRPr="00941B8B">
        <w:rPr>
          <w:rFonts w:cs="Arial"/>
          <w:szCs w:val="20"/>
        </w:rPr>
        <w:t xml:space="preserve">See </w:t>
      </w:r>
      <w:r w:rsidR="00FD6A83">
        <w:rPr>
          <w:rFonts w:cs="Arial"/>
          <w:szCs w:val="20"/>
        </w:rPr>
        <w:t>S</w:t>
      </w:r>
      <w:r w:rsidRPr="00941B8B">
        <w:rPr>
          <w:rFonts w:cs="Arial"/>
          <w:szCs w:val="20"/>
        </w:rPr>
        <w:t>ection</w:t>
      </w:r>
      <w:r w:rsidR="00890346">
        <w:rPr>
          <w:rFonts w:cs="Arial"/>
          <w:szCs w:val="20"/>
        </w:rPr>
        <w:t xml:space="preserve"> 2.2.4</w:t>
      </w:r>
      <w:r w:rsidRPr="00941B8B">
        <w:rPr>
          <w:szCs w:val="20"/>
        </w:rPr>
        <w:t>.</w:t>
      </w:r>
    </w:p>
    <w:p w14:paraId="5FAA4070" w14:textId="03D0DEA5" w:rsidR="008C6279" w:rsidRPr="00941B8B" w:rsidRDefault="008C6279">
      <w:pPr>
        <w:pStyle w:val="Heading3"/>
        <w:numPr>
          <w:ilvl w:val="2"/>
          <w:numId w:val="17"/>
        </w:numPr>
        <w:spacing w:before="200" w:after="120" w:line="276" w:lineRule="auto"/>
        <w:ind w:left="851" w:hanging="851"/>
        <w:contextualSpacing w:val="0"/>
      </w:pPr>
      <w:bookmarkStart w:id="543" w:name="_Toc380754758"/>
      <w:bookmarkStart w:id="544" w:name="_Toc466884188"/>
      <w:bookmarkStart w:id="545" w:name="_Toc467505201"/>
      <w:bookmarkStart w:id="546" w:name="_Toc467745575"/>
      <w:bookmarkStart w:id="547" w:name="_Toc468204040"/>
      <w:r w:rsidRPr="00941B8B">
        <w:lastRenderedPageBreak/>
        <w:t>Inlier bounds</w:t>
      </w:r>
      <w:bookmarkEnd w:id="543"/>
      <w:bookmarkEnd w:id="544"/>
      <w:bookmarkEnd w:id="545"/>
      <w:bookmarkEnd w:id="546"/>
      <w:bookmarkEnd w:id="547"/>
    </w:p>
    <w:p w14:paraId="2176E9F2" w14:textId="3775C166" w:rsidR="00AF27EA" w:rsidRPr="00941B8B" w:rsidRDefault="008C6279">
      <w:pPr>
        <w:tabs>
          <w:tab w:val="left" w:pos="1162"/>
        </w:tabs>
        <w:spacing w:after="240"/>
        <w:rPr>
          <w:rFonts w:cs="Arial"/>
          <w:szCs w:val="20"/>
        </w:rPr>
      </w:pPr>
      <w:r w:rsidRPr="00941B8B">
        <w:rPr>
          <w:rFonts w:cs="Arial"/>
          <w:szCs w:val="20"/>
        </w:rPr>
        <w:t xml:space="preserve">The inlier bounds for AR-DRGs within MDCs 19 and 20 were set using the L1.5 H1.5 </w:t>
      </w:r>
      <w:r w:rsidRPr="00941B8B">
        <w:rPr>
          <w:rStyle w:val="FootnoteReference"/>
          <w:rFonts w:cs="Arial"/>
          <w:szCs w:val="20"/>
        </w:rPr>
        <w:footnoteReference w:id="12"/>
      </w:r>
      <w:r w:rsidRPr="00941B8B">
        <w:rPr>
          <w:rFonts w:cs="Arial"/>
          <w:szCs w:val="20"/>
        </w:rPr>
        <w:t xml:space="preserve"> trimming method, as shown in </w:t>
      </w:r>
      <w:r w:rsidRPr="00941B8B">
        <w:fldChar w:fldCharType="begin"/>
      </w:r>
      <w:r w:rsidRPr="00941B8B">
        <w:rPr>
          <w:rFonts w:cs="Arial"/>
          <w:szCs w:val="20"/>
        </w:rPr>
        <w:instrText xml:space="preserve"> REF _Ref466549096 \h </w:instrText>
      </w:r>
      <w:r w:rsidR="00AF27EA" w:rsidRPr="00941B8B">
        <w:instrText xml:space="preserve"> \* MERGEFORMAT </w:instrText>
      </w:r>
      <w:r w:rsidRPr="00941B8B">
        <w:fldChar w:fldCharType="separate"/>
      </w:r>
      <w:r w:rsidR="00F84458" w:rsidRPr="00F84458">
        <w:rPr>
          <w:rFonts w:asciiTheme="majorHAnsi" w:hAnsiTheme="majorHAnsi" w:cstheme="majorHAnsi"/>
        </w:rPr>
        <w:t xml:space="preserve">Figure </w:t>
      </w:r>
      <w:r w:rsidR="00F84458" w:rsidRPr="00F84458">
        <w:rPr>
          <w:rFonts w:asciiTheme="majorHAnsi" w:hAnsiTheme="majorHAnsi" w:cstheme="majorHAnsi"/>
          <w:noProof/>
        </w:rPr>
        <w:t>4</w:t>
      </w:r>
      <w:r w:rsidRPr="00941B8B">
        <w:fldChar w:fldCharType="end"/>
      </w:r>
      <w:r w:rsidRPr="00941B8B">
        <w:rPr>
          <w:rFonts w:cs="Arial"/>
          <w:szCs w:val="20"/>
        </w:rPr>
        <w:t xml:space="preserve">, while the majority of other MDCs in the </w:t>
      </w:r>
      <w:r w:rsidR="00E86BD1" w:rsidRPr="00941B8B">
        <w:rPr>
          <w:rFonts w:cs="Arial"/>
          <w:szCs w:val="20"/>
        </w:rPr>
        <w:t>a</w:t>
      </w:r>
      <w:r w:rsidRPr="00941B8B">
        <w:rPr>
          <w:rFonts w:cs="Arial"/>
          <w:szCs w:val="20"/>
        </w:rPr>
        <w:t xml:space="preserve">dmitted </w:t>
      </w:r>
      <w:r w:rsidR="00E86BD1" w:rsidRPr="00941B8B">
        <w:rPr>
          <w:rFonts w:cs="Arial"/>
          <w:szCs w:val="20"/>
        </w:rPr>
        <w:t>a</w:t>
      </w:r>
      <w:r w:rsidRPr="00941B8B">
        <w:rPr>
          <w:rFonts w:cs="Arial"/>
          <w:szCs w:val="20"/>
        </w:rPr>
        <w:t xml:space="preserve">cute </w:t>
      </w:r>
      <w:r w:rsidR="00E86BD1" w:rsidRPr="00941B8B">
        <w:rPr>
          <w:rFonts w:cs="Arial"/>
          <w:szCs w:val="20"/>
        </w:rPr>
        <w:t>c</w:t>
      </w:r>
      <w:r w:rsidRPr="00941B8B">
        <w:rPr>
          <w:rFonts w:cs="Arial"/>
          <w:szCs w:val="20"/>
        </w:rPr>
        <w:t xml:space="preserve">ost </w:t>
      </w:r>
      <w:r w:rsidR="00E86BD1" w:rsidRPr="00941B8B">
        <w:rPr>
          <w:rFonts w:cs="Arial"/>
          <w:szCs w:val="20"/>
        </w:rPr>
        <w:t>m</w:t>
      </w:r>
      <w:r w:rsidRPr="00941B8B">
        <w:rPr>
          <w:rFonts w:cs="Arial"/>
          <w:szCs w:val="20"/>
        </w:rPr>
        <w:t xml:space="preserve">odel remained at </w:t>
      </w:r>
      <w:proofErr w:type="gramStart"/>
      <w:r w:rsidRPr="00941B8B">
        <w:rPr>
          <w:rFonts w:cs="Arial"/>
          <w:szCs w:val="20"/>
        </w:rPr>
        <w:t>L3H3 .</w:t>
      </w:r>
      <w:proofErr w:type="gramEnd"/>
    </w:p>
    <w:p w14:paraId="69F9B9E9" w14:textId="15CCC368" w:rsidR="008C6279" w:rsidRPr="000351BD" w:rsidRDefault="008C6279">
      <w:pPr>
        <w:spacing w:before="120" w:after="0" w:line="240" w:lineRule="auto"/>
        <w:rPr>
          <w:b/>
        </w:rPr>
      </w:pPr>
      <w:bookmarkStart w:id="548" w:name="_Ref466549096"/>
      <w:r w:rsidRPr="000351BD">
        <w:rPr>
          <w:b/>
        </w:rPr>
        <w:t xml:space="preserve">Figure </w:t>
      </w:r>
      <w:r w:rsidRPr="000351BD">
        <w:rPr>
          <w:b/>
        </w:rPr>
        <w:fldChar w:fldCharType="begin"/>
      </w:r>
      <w:r w:rsidRPr="000351BD">
        <w:rPr>
          <w:b/>
        </w:rPr>
        <w:instrText xml:space="preserve"> SEQ Figure \* ARABIC </w:instrText>
      </w:r>
      <w:r w:rsidRPr="000351BD">
        <w:rPr>
          <w:b/>
        </w:rPr>
        <w:fldChar w:fldCharType="separate"/>
      </w:r>
      <w:r w:rsidR="00F84458">
        <w:rPr>
          <w:b/>
          <w:noProof/>
        </w:rPr>
        <w:t>4</w:t>
      </w:r>
      <w:r w:rsidRPr="000351BD">
        <w:rPr>
          <w:b/>
        </w:rPr>
        <w:fldChar w:fldCharType="end"/>
      </w:r>
      <w:bookmarkEnd w:id="548"/>
      <w:r w:rsidRPr="000351BD">
        <w:rPr>
          <w:b/>
        </w:rPr>
        <w:t>: Inlier bound calculations for mental health using the L1.5H1.5 trimming method.</w:t>
      </w:r>
    </w:p>
    <w:p w14:paraId="2C5E070C" w14:textId="77777777" w:rsidR="008C6279" w:rsidRPr="00941B8B" w:rsidRDefault="008C6279">
      <w:pPr>
        <w:tabs>
          <w:tab w:val="left" w:pos="1162"/>
        </w:tabs>
        <w:rPr>
          <w:rFonts w:cs="Arial"/>
          <w:szCs w:val="20"/>
        </w:rPr>
      </w:pPr>
      <w:r w:rsidRPr="00941B8B">
        <w:rPr>
          <w:rFonts w:cs="Arial"/>
          <w:noProof/>
          <w:szCs w:val="20"/>
        </w:rPr>
        <w:drawing>
          <wp:inline distT="0" distB="0" distL="0" distR="0" wp14:anchorId="55F2E05D" wp14:editId="510D35D2">
            <wp:extent cx="5238750" cy="3717561"/>
            <wp:effectExtent l="19050" t="19050" r="19050" b="16510"/>
            <wp:docPr id="29" name="Picture 29" descr="D:\MH.PNG" title="Figure 4: Inlier bound calculations for mental health using the L1.5H1.5 trimming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H.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1502" t="3127" r="1784" b="1610"/>
                    <a:stretch/>
                  </pic:blipFill>
                  <pic:spPr bwMode="auto">
                    <a:xfrm>
                      <a:off x="0" y="0"/>
                      <a:ext cx="5245796" cy="3722561"/>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E412450" w14:textId="1CB276DD" w:rsidR="00AF27EA" w:rsidRPr="00941B8B" w:rsidRDefault="008C6279">
      <w:pPr>
        <w:tabs>
          <w:tab w:val="left" w:pos="1162"/>
        </w:tabs>
        <w:spacing w:after="240"/>
        <w:rPr>
          <w:rFonts w:cs="Arial"/>
          <w:szCs w:val="20"/>
        </w:rPr>
      </w:pPr>
      <w:r w:rsidRPr="00941B8B">
        <w:rPr>
          <w:rFonts w:cs="Arial"/>
          <w:szCs w:val="20"/>
        </w:rPr>
        <w:t xml:space="preserve">These narrower inlier bounds resulted in a lower proportion of inliers and a corresponding higher proportion of short-stay and long-stay outliers, as shown in </w:t>
      </w:r>
      <w:r w:rsidRPr="00941B8B">
        <w:rPr>
          <w:rFonts w:cs="Arial"/>
          <w:szCs w:val="20"/>
        </w:rPr>
        <w:fldChar w:fldCharType="begin"/>
      </w:r>
      <w:r w:rsidRPr="00941B8B">
        <w:rPr>
          <w:rFonts w:cs="Arial"/>
          <w:szCs w:val="20"/>
        </w:rPr>
        <w:instrText xml:space="preserve"> REF _Ref466552766 \h  \* MERGEFORMAT </w:instrText>
      </w:r>
      <w:r w:rsidRPr="00941B8B">
        <w:rPr>
          <w:rFonts w:cs="Arial"/>
          <w:szCs w:val="20"/>
        </w:rPr>
      </w:r>
      <w:r w:rsidRPr="00941B8B">
        <w:rPr>
          <w:rFonts w:cs="Arial"/>
          <w:szCs w:val="20"/>
        </w:rPr>
        <w:fldChar w:fldCharType="separate"/>
      </w:r>
      <w:r w:rsidR="00F84458" w:rsidRPr="00F84458">
        <w:t xml:space="preserve">Table </w:t>
      </w:r>
      <w:r w:rsidR="00F84458" w:rsidRPr="00F84458">
        <w:rPr>
          <w:noProof/>
        </w:rPr>
        <w:t>5</w:t>
      </w:r>
      <w:r w:rsidRPr="00941B8B">
        <w:rPr>
          <w:rFonts w:cs="Arial"/>
          <w:szCs w:val="20"/>
        </w:rPr>
        <w:fldChar w:fldCharType="end"/>
      </w:r>
      <w:r w:rsidRPr="00941B8B">
        <w:rPr>
          <w:rFonts w:cs="Arial"/>
          <w:szCs w:val="20"/>
        </w:rPr>
        <w:t>.</w:t>
      </w:r>
    </w:p>
    <w:p w14:paraId="141AD972" w14:textId="08113B93" w:rsidR="008C6279" w:rsidRPr="00941B8B" w:rsidRDefault="008C6279">
      <w:pPr>
        <w:spacing w:before="120" w:after="0" w:line="240" w:lineRule="auto"/>
      </w:pPr>
      <w:bookmarkStart w:id="549" w:name="_Ref466552766"/>
      <w:r w:rsidRPr="00941B8B">
        <w:rPr>
          <w:b/>
          <w:bCs/>
        </w:rPr>
        <w:t xml:space="preserve">Table </w:t>
      </w:r>
      <w:r w:rsidRPr="00941B8B">
        <w:rPr>
          <w:b/>
          <w:bCs/>
        </w:rPr>
        <w:fldChar w:fldCharType="begin"/>
      </w:r>
      <w:r w:rsidRPr="00941B8B">
        <w:rPr>
          <w:b/>
          <w:bCs/>
        </w:rPr>
        <w:instrText xml:space="preserve"> SEQ Table \* ARABIC </w:instrText>
      </w:r>
      <w:r w:rsidRPr="00941B8B">
        <w:rPr>
          <w:b/>
          <w:bCs/>
        </w:rPr>
        <w:fldChar w:fldCharType="separate"/>
      </w:r>
      <w:r w:rsidR="00F84458">
        <w:rPr>
          <w:b/>
          <w:bCs/>
          <w:noProof/>
        </w:rPr>
        <w:t>5</w:t>
      </w:r>
      <w:r w:rsidRPr="00941B8B">
        <w:rPr>
          <w:b/>
          <w:bCs/>
        </w:rPr>
        <w:fldChar w:fldCharType="end"/>
      </w:r>
      <w:bookmarkEnd w:id="549"/>
      <w:r w:rsidRPr="00941B8B">
        <w:rPr>
          <w:b/>
          <w:bCs/>
        </w:rPr>
        <w:t>: MDCs 19 &amp; 20 (Mental health) – activity and cost distribution</w:t>
      </w:r>
    </w:p>
    <w:tbl>
      <w:tblPr>
        <w:tblStyle w:val="TableGrid"/>
        <w:tblW w:w="7971"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Description w:val="A summary of table 17 is outlined in the text prior to this table."/>
      </w:tblPr>
      <w:tblGrid>
        <w:gridCol w:w="1911"/>
        <w:gridCol w:w="2020"/>
        <w:gridCol w:w="2020"/>
        <w:gridCol w:w="2020"/>
      </w:tblGrid>
      <w:tr w:rsidR="008C6279" w:rsidRPr="0044388E" w14:paraId="29B82BA9" w14:textId="77777777" w:rsidTr="002D606E">
        <w:trPr>
          <w:cantSplit/>
          <w:trHeight w:val="227"/>
          <w:tblHeader/>
        </w:trPr>
        <w:tc>
          <w:tcPr>
            <w:tcW w:w="1911" w:type="dxa"/>
            <w:tcBorders>
              <w:top w:val="single" w:sz="4" w:space="0" w:color="auto"/>
              <w:left w:val="single" w:sz="4" w:space="0" w:color="auto"/>
              <w:bottom w:val="single" w:sz="4" w:space="0" w:color="auto"/>
              <w:right w:val="single" w:sz="4" w:space="0" w:color="auto"/>
            </w:tcBorders>
            <w:shd w:val="clear" w:color="auto" w:fill="288A32"/>
            <w:noWrap/>
            <w:hideMark/>
          </w:tcPr>
          <w:p w14:paraId="6514AFB9" w14:textId="3A271303" w:rsidR="008C6279" w:rsidRPr="00941B8B" w:rsidRDefault="008C6279" w:rsidP="002D606E">
            <w:pPr>
              <w:tabs>
                <w:tab w:val="left" w:pos="1162"/>
              </w:tabs>
              <w:spacing w:before="80" w:after="80"/>
              <w:rPr>
                <w:rFonts w:cs="Arial"/>
                <w:color w:val="FFFFFF" w:themeColor="background1"/>
                <w:sz w:val="20"/>
                <w:szCs w:val="20"/>
                <w:highlight w:val="lightGray"/>
              </w:rPr>
            </w:pPr>
          </w:p>
        </w:tc>
        <w:tc>
          <w:tcPr>
            <w:tcW w:w="2020" w:type="dxa"/>
            <w:tcBorders>
              <w:left w:val="single" w:sz="4" w:space="0" w:color="auto"/>
              <w:bottom w:val="single" w:sz="4" w:space="0" w:color="595959" w:themeColor="text1" w:themeTint="A6"/>
            </w:tcBorders>
            <w:shd w:val="clear" w:color="auto" w:fill="288A32"/>
            <w:noWrap/>
            <w:hideMark/>
          </w:tcPr>
          <w:p w14:paraId="65A626B8" w14:textId="77777777" w:rsidR="008C6279" w:rsidRPr="00941B8B" w:rsidRDefault="008C6279" w:rsidP="00E0054C">
            <w:pPr>
              <w:tabs>
                <w:tab w:val="left" w:pos="1162"/>
              </w:tabs>
              <w:spacing w:before="80" w:after="80"/>
              <w:jc w:val="center"/>
              <w:rPr>
                <w:rFonts w:cs="Arial"/>
                <w:b/>
                <w:bCs/>
                <w:color w:val="FFFFFF" w:themeColor="background1"/>
                <w:sz w:val="20"/>
                <w:szCs w:val="20"/>
              </w:rPr>
            </w:pPr>
            <w:r w:rsidRPr="00941B8B">
              <w:rPr>
                <w:rFonts w:cs="Arial"/>
                <w:b/>
                <w:bCs/>
                <w:color w:val="FFFFFF" w:themeColor="background1"/>
                <w:sz w:val="20"/>
                <w:szCs w:val="20"/>
              </w:rPr>
              <w:t>Short-Stay Outlier</w:t>
            </w:r>
          </w:p>
        </w:tc>
        <w:tc>
          <w:tcPr>
            <w:tcW w:w="2020" w:type="dxa"/>
            <w:tcBorders>
              <w:bottom w:val="single" w:sz="4" w:space="0" w:color="595959" w:themeColor="text1" w:themeTint="A6"/>
            </w:tcBorders>
            <w:shd w:val="clear" w:color="auto" w:fill="288A32"/>
            <w:noWrap/>
            <w:hideMark/>
          </w:tcPr>
          <w:p w14:paraId="32284ADE" w14:textId="77777777" w:rsidR="008C6279" w:rsidRPr="00941B8B" w:rsidRDefault="008C6279" w:rsidP="00E0054C">
            <w:pPr>
              <w:tabs>
                <w:tab w:val="left" w:pos="1162"/>
              </w:tabs>
              <w:spacing w:before="80" w:after="80"/>
              <w:jc w:val="center"/>
              <w:rPr>
                <w:rFonts w:cs="Arial"/>
                <w:b/>
                <w:bCs/>
                <w:color w:val="FFFFFF" w:themeColor="background1"/>
                <w:sz w:val="20"/>
                <w:szCs w:val="20"/>
              </w:rPr>
            </w:pPr>
            <w:r w:rsidRPr="00941B8B">
              <w:rPr>
                <w:rFonts w:cs="Arial"/>
                <w:b/>
                <w:bCs/>
                <w:color w:val="FFFFFF" w:themeColor="background1"/>
                <w:sz w:val="20"/>
                <w:szCs w:val="20"/>
              </w:rPr>
              <w:t>Inlier</w:t>
            </w:r>
          </w:p>
        </w:tc>
        <w:tc>
          <w:tcPr>
            <w:tcW w:w="2020" w:type="dxa"/>
            <w:tcBorders>
              <w:bottom w:val="single" w:sz="4" w:space="0" w:color="595959" w:themeColor="text1" w:themeTint="A6"/>
            </w:tcBorders>
            <w:shd w:val="clear" w:color="auto" w:fill="288A32"/>
            <w:noWrap/>
            <w:hideMark/>
          </w:tcPr>
          <w:p w14:paraId="4ECD0150" w14:textId="77777777" w:rsidR="008C6279" w:rsidRPr="00941B8B" w:rsidRDefault="008C6279" w:rsidP="00E0054C">
            <w:pPr>
              <w:tabs>
                <w:tab w:val="left" w:pos="1162"/>
              </w:tabs>
              <w:spacing w:before="80" w:after="80"/>
              <w:jc w:val="center"/>
              <w:rPr>
                <w:rFonts w:cs="Arial"/>
                <w:b/>
                <w:bCs/>
                <w:color w:val="FFFFFF" w:themeColor="background1"/>
                <w:sz w:val="20"/>
                <w:szCs w:val="20"/>
              </w:rPr>
            </w:pPr>
            <w:r w:rsidRPr="00941B8B">
              <w:rPr>
                <w:rFonts w:cs="Arial"/>
                <w:b/>
                <w:bCs/>
                <w:color w:val="FFFFFF" w:themeColor="background1"/>
                <w:sz w:val="20"/>
                <w:szCs w:val="20"/>
              </w:rPr>
              <w:t>Long-Stay Outlier</w:t>
            </w:r>
          </w:p>
        </w:tc>
      </w:tr>
      <w:tr w:rsidR="00941B8B" w:rsidRPr="0044388E" w14:paraId="1518A5E5" w14:textId="77777777" w:rsidTr="002D606E">
        <w:trPr>
          <w:cantSplit/>
          <w:trHeight w:val="227"/>
        </w:trPr>
        <w:tc>
          <w:tcPr>
            <w:tcW w:w="1911" w:type="dxa"/>
            <w:tcBorders>
              <w:top w:val="single" w:sz="4" w:space="0" w:color="auto"/>
            </w:tcBorders>
            <w:noWrap/>
            <w:hideMark/>
          </w:tcPr>
          <w:p w14:paraId="196FC4D1" w14:textId="1AADB77E" w:rsidR="00941B8B" w:rsidRPr="0044388E" w:rsidRDefault="00941B8B" w:rsidP="00560AC0">
            <w:pPr>
              <w:tabs>
                <w:tab w:val="left" w:pos="1162"/>
              </w:tabs>
              <w:spacing w:before="80" w:after="80"/>
              <w:rPr>
                <w:rFonts w:cs="Arial"/>
                <w:color w:val="000000"/>
                <w:sz w:val="18"/>
                <w:szCs w:val="20"/>
                <w:highlight w:val="lightGray"/>
              </w:rPr>
            </w:pPr>
            <w:r w:rsidRPr="00E33EAE">
              <w:rPr>
                <w:rFonts w:cs="Arial"/>
                <w:color w:val="000000"/>
                <w:sz w:val="18"/>
                <w:szCs w:val="20"/>
              </w:rPr>
              <w:t>Separations</w:t>
            </w:r>
          </w:p>
        </w:tc>
        <w:tc>
          <w:tcPr>
            <w:tcW w:w="2020" w:type="dxa"/>
            <w:tcBorders>
              <w:top w:val="single" w:sz="4" w:space="0" w:color="595959" w:themeColor="text1" w:themeTint="A6"/>
            </w:tcBorders>
            <w:noWrap/>
            <w:hideMark/>
          </w:tcPr>
          <w:p w14:paraId="6FDE5845" w14:textId="6412D78E"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35%</w:t>
            </w:r>
          </w:p>
        </w:tc>
        <w:tc>
          <w:tcPr>
            <w:tcW w:w="2020" w:type="dxa"/>
            <w:tcBorders>
              <w:top w:val="single" w:sz="4" w:space="0" w:color="595959" w:themeColor="text1" w:themeTint="A6"/>
            </w:tcBorders>
            <w:noWrap/>
            <w:hideMark/>
          </w:tcPr>
          <w:p w14:paraId="3FED40CF" w14:textId="6D816129"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52%</w:t>
            </w:r>
          </w:p>
        </w:tc>
        <w:tc>
          <w:tcPr>
            <w:tcW w:w="2020" w:type="dxa"/>
            <w:tcBorders>
              <w:top w:val="single" w:sz="4" w:space="0" w:color="595959" w:themeColor="text1" w:themeTint="A6"/>
            </w:tcBorders>
            <w:noWrap/>
            <w:hideMark/>
          </w:tcPr>
          <w:p w14:paraId="0BDC14DA" w14:textId="266A6E31"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12%</w:t>
            </w:r>
          </w:p>
        </w:tc>
      </w:tr>
      <w:tr w:rsidR="00941B8B" w:rsidRPr="0044388E" w14:paraId="62B61B37" w14:textId="77777777" w:rsidTr="002D606E">
        <w:trPr>
          <w:cantSplit/>
          <w:trHeight w:val="227"/>
        </w:trPr>
        <w:tc>
          <w:tcPr>
            <w:tcW w:w="1911" w:type="dxa"/>
            <w:noWrap/>
            <w:hideMark/>
          </w:tcPr>
          <w:p w14:paraId="6DA10C98" w14:textId="3F50F2B5" w:rsidR="00941B8B" w:rsidRPr="0044388E" w:rsidRDefault="00941B8B" w:rsidP="00560AC0">
            <w:pPr>
              <w:tabs>
                <w:tab w:val="left" w:pos="1162"/>
              </w:tabs>
              <w:spacing w:before="80" w:after="80"/>
              <w:rPr>
                <w:rFonts w:cs="Arial"/>
                <w:color w:val="000000"/>
                <w:sz w:val="18"/>
                <w:szCs w:val="20"/>
                <w:highlight w:val="lightGray"/>
              </w:rPr>
            </w:pPr>
            <w:r w:rsidRPr="00E33EAE">
              <w:rPr>
                <w:rFonts w:cs="Arial"/>
                <w:color w:val="000000"/>
                <w:sz w:val="18"/>
                <w:szCs w:val="20"/>
              </w:rPr>
              <w:t>Patient Days</w:t>
            </w:r>
          </w:p>
        </w:tc>
        <w:tc>
          <w:tcPr>
            <w:tcW w:w="2020" w:type="dxa"/>
            <w:noWrap/>
            <w:hideMark/>
          </w:tcPr>
          <w:p w14:paraId="566D0B38" w14:textId="6F022DF3"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14%</w:t>
            </w:r>
          </w:p>
        </w:tc>
        <w:tc>
          <w:tcPr>
            <w:tcW w:w="2020" w:type="dxa"/>
            <w:noWrap/>
            <w:hideMark/>
          </w:tcPr>
          <w:p w14:paraId="305441AE" w14:textId="2528209D"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32%</w:t>
            </w:r>
          </w:p>
        </w:tc>
        <w:tc>
          <w:tcPr>
            <w:tcW w:w="2020" w:type="dxa"/>
            <w:noWrap/>
            <w:hideMark/>
          </w:tcPr>
          <w:p w14:paraId="2B687DFD" w14:textId="057F3453"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54%</w:t>
            </w:r>
          </w:p>
        </w:tc>
      </w:tr>
      <w:tr w:rsidR="00941B8B" w:rsidRPr="0044388E" w14:paraId="742DA4AF" w14:textId="77777777" w:rsidTr="002D606E">
        <w:trPr>
          <w:cantSplit/>
          <w:trHeight w:val="227"/>
        </w:trPr>
        <w:tc>
          <w:tcPr>
            <w:tcW w:w="1911" w:type="dxa"/>
            <w:noWrap/>
            <w:hideMark/>
          </w:tcPr>
          <w:p w14:paraId="7F3EF1AE" w14:textId="3440E2B9" w:rsidR="00941B8B" w:rsidRPr="0044388E" w:rsidRDefault="00941B8B" w:rsidP="00560AC0">
            <w:pPr>
              <w:tabs>
                <w:tab w:val="left" w:pos="1162"/>
              </w:tabs>
              <w:spacing w:before="80" w:after="80"/>
              <w:rPr>
                <w:rFonts w:cs="Arial"/>
                <w:color w:val="000000"/>
                <w:sz w:val="18"/>
                <w:szCs w:val="20"/>
                <w:highlight w:val="lightGray"/>
              </w:rPr>
            </w:pPr>
            <w:r w:rsidRPr="00E33EAE">
              <w:rPr>
                <w:rFonts w:cs="Arial"/>
                <w:color w:val="000000"/>
                <w:sz w:val="18"/>
                <w:szCs w:val="20"/>
              </w:rPr>
              <w:t>Actual Costs</w:t>
            </w:r>
          </w:p>
        </w:tc>
        <w:tc>
          <w:tcPr>
            <w:tcW w:w="2020" w:type="dxa"/>
            <w:noWrap/>
            <w:hideMark/>
          </w:tcPr>
          <w:p w14:paraId="2CCAA536" w14:textId="082A90E6"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17%</w:t>
            </w:r>
          </w:p>
        </w:tc>
        <w:tc>
          <w:tcPr>
            <w:tcW w:w="2020" w:type="dxa"/>
            <w:noWrap/>
            <w:hideMark/>
          </w:tcPr>
          <w:p w14:paraId="7530CBFA" w14:textId="44055448"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33%</w:t>
            </w:r>
          </w:p>
        </w:tc>
        <w:tc>
          <w:tcPr>
            <w:tcW w:w="2020" w:type="dxa"/>
            <w:noWrap/>
            <w:hideMark/>
          </w:tcPr>
          <w:p w14:paraId="6C0E1AF9" w14:textId="7822B3D3"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49%</w:t>
            </w:r>
          </w:p>
        </w:tc>
      </w:tr>
    </w:tbl>
    <w:p w14:paraId="1613D2E0" w14:textId="77777777" w:rsidR="008C6279" w:rsidRPr="00941B8B" w:rsidRDefault="008C6279" w:rsidP="002D606E">
      <w:pPr>
        <w:tabs>
          <w:tab w:val="left" w:pos="1162"/>
        </w:tabs>
        <w:spacing w:before="80"/>
        <w:rPr>
          <w:rFonts w:cs="Arial"/>
          <w:i/>
          <w:sz w:val="20"/>
          <w:szCs w:val="20"/>
        </w:rPr>
      </w:pPr>
      <w:r w:rsidRPr="00941B8B">
        <w:rPr>
          <w:rFonts w:cs="Arial"/>
          <w:b/>
          <w:i/>
          <w:sz w:val="20"/>
          <w:szCs w:val="20"/>
        </w:rPr>
        <w:t>Note:</w:t>
      </w:r>
      <w:r w:rsidRPr="00941B8B">
        <w:rPr>
          <w:rFonts w:cs="Arial"/>
          <w:i/>
          <w:sz w:val="20"/>
          <w:szCs w:val="20"/>
        </w:rPr>
        <w:t xml:space="preserve"> Same-day payment separation category has been combined with the short-stay outlier category.</w:t>
      </w:r>
    </w:p>
    <w:p w14:paraId="1CC354C3" w14:textId="77777777" w:rsidR="00F84458" w:rsidRPr="00F84458" w:rsidRDefault="008C6279" w:rsidP="00F84458">
      <w:pPr>
        <w:tabs>
          <w:tab w:val="left" w:pos="1162"/>
        </w:tabs>
      </w:pPr>
      <w:r w:rsidRPr="004E76FC">
        <w:rPr>
          <w:rFonts w:cs="Arial"/>
        </w:rPr>
        <w:fldChar w:fldCharType="begin"/>
      </w:r>
      <w:r w:rsidRPr="000351BD">
        <w:rPr>
          <w:rFonts w:cs="Arial"/>
        </w:rPr>
        <w:instrText xml:space="preserve"> REF _Ref466552817 \h  \* MERGEFORMAT </w:instrText>
      </w:r>
      <w:r w:rsidRPr="004E76FC">
        <w:rPr>
          <w:rFonts w:cs="Arial"/>
        </w:rPr>
      </w:r>
      <w:r w:rsidRPr="004E76FC">
        <w:rPr>
          <w:rFonts w:cs="Arial"/>
        </w:rPr>
        <w:fldChar w:fldCharType="separate"/>
      </w:r>
    </w:p>
    <w:p w14:paraId="118D9440" w14:textId="27549928" w:rsidR="008C6279" w:rsidRPr="00941B8B" w:rsidRDefault="00F84458">
      <w:pPr>
        <w:tabs>
          <w:tab w:val="left" w:pos="1162"/>
        </w:tabs>
        <w:spacing w:before="240"/>
        <w:rPr>
          <w:rFonts w:cs="Arial"/>
        </w:rPr>
      </w:pPr>
      <w:r w:rsidRPr="00F84458">
        <w:t>Table</w:t>
      </w:r>
      <w:r w:rsidRPr="00F84458">
        <w:rPr>
          <w:noProof/>
        </w:rPr>
        <w:t xml:space="preserve"> </w:t>
      </w:r>
      <w:r w:rsidRPr="00F84458">
        <w:rPr>
          <w:bCs/>
          <w:noProof/>
        </w:rPr>
        <w:t>6</w:t>
      </w:r>
      <w:r w:rsidR="008C6279" w:rsidRPr="004E76FC">
        <w:rPr>
          <w:rFonts w:cs="Arial"/>
        </w:rPr>
        <w:fldChar w:fldCharType="end"/>
      </w:r>
      <w:r w:rsidR="008C6279" w:rsidRPr="000C2F37">
        <w:rPr>
          <w:rFonts w:cs="Arial"/>
        </w:rPr>
        <w:t xml:space="preserve"> </w:t>
      </w:r>
      <w:proofErr w:type="gramStart"/>
      <w:r w:rsidR="000C2F37">
        <w:rPr>
          <w:rFonts w:cs="Arial"/>
        </w:rPr>
        <w:t>Illustrates</w:t>
      </w:r>
      <w:proofErr w:type="gramEnd"/>
      <w:r w:rsidR="000C2F37" w:rsidRPr="000C2F37">
        <w:rPr>
          <w:rFonts w:cs="Arial"/>
        </w:rPr>
        <w:t xml:space="preserve"> </w:t>
      </w:r>
      <w:r w:rsidR="008C6279" w:rsidRPr="000C2F37">
        <w:rPr>
          <w:rFonts w:cs="Arial"/>
        </w:rPr>
        <w:t>the distribution of activity and costs across the medical</w:t>
      </w:r>
      <w:r w:rsidR="008C6279" w:rsidRPr="00941B8B">
        <w:rPr>
          <w:rFonts w:cs="Arial"/>
        </w:rPr>
        <w:t xml:space="preserve"> AR</w:t>
      </w:r>
      <w:r w:rsidR="008C6279" w:rsidRPr="00941B8B">
        <w:rPr>
          <w:rFonts w:cs="Arial"/>
        </w:rPr>
        <w:noBreakHyphen/>
        <w:t>DRGs.</w:t>
      </w:r>
    </w:p>
    <w:p w14:paraId="7F7D098D" w14:textId="77777777" w:rsidR="00307B31" w:rsidRPr="0044388E" w:rsidRDefault="00307B31">
      <w:pPr>
        <w:pStyle w:val="table"/>
        <w:rPr>
          <w:highlight w:val="lightGray"/>
        </w:rPr>
      </w:pPr>
      <w:bookmarkStart w:id="550" w:name="_Ref466552817"/>
      <w:bookmarkStart w:id="551" w:name="_Ref342308771"/>
    </w:p>
    <w:p w14:paraId="7AE4702A" w14:textId="77777777" w:rsidR="008C6279" w:rsidRPr="00941B8B" w:rsidRDefault="008C6279">
      <w:pPr>
        <w:spacing w:before="120" w:after="0" w:line="240" w:lineRule="auto"/>
        <w:rPr>
          <w:b/>
          <w:bCs/>
        </w:rPr>
      </w:pPr>
      <w:proofErr w:type="gramStart"/>
      <w:r w:rsidRPr="00941B8B">
        <w:rPr>
          <w:b/>
          <w:bCs/>
        </w:rPr>
        <w:t xml:space="preserve">Table </w:t>
      </w:r>
      <w:r w:rsidRPr="00941B8B">
        <w:rPr>
          <w:b/>
          <w:bCs/>
        </w:rPr>
        <w:fldChar w:fldCharType="begin"/>
      </w:r>
      <w:r w:rsidRPr="00941B8B">
        <w:rPr>
          <w:b/>
          <w:bCs/>
        </w:rPr>
        <w:instrText xml:space="preserve"> SEQ Table \* ARABIC </w:instrText>
      </w:r>
      <w:r w:rsidRPr="00941B8B">
        <w:rPr>
          <w:b/>
          <w:bCs/>
        </w:rPr>
        <w:fldChar w:fldCharType="separate"/>
      </w:r>
      <w:r w:rsidR="00F84458">
        <w:rPr>
          <w:b/>
          <w:bCs/>
          <w:noProof/>
        </w:rPr>
        <w:t>6</w:t>
      </w:r>
      <w:r w:rsidRPr="00941B8B">
        <w:rPr>
          <w:b/>
          <w:bCs/>
        </w:rPr>
        <w:fldChar w:fldCharType="end"/>
      </w:r>
      <w:bookmarkEnd w:id="550"/>
      <w:r w:rsidRPr="00941B8B">
        <w:rPr>
          <w:b/>
          <w:bCs/>
        </w:rPr>
        <w:t xml:space="preserve">: </w:t>
      </w:r>
      <w:bookmarkEnd w:id="551"/>
      <w:r w:rsidRPr="00941B8B">
        <w:rPr>
          <w:b/>
          <w:bCs/>
        </w:rPr>
        <w:t>Medical AR-DRGs excluding MDC 19 &amp; 20 – activity and cost distribution.</w:t>
      </w:r>
      <w:proofErr w:type="gramEnd"/>
    </w:p>
    <w:tbl>
      <w:tblPr>
        <w:tblStyle w:val="TableGrid"/>
        <w:tblW w:w="7971" w:type="dxa"/>
        <w:tblInd w:w="108" w:type="dxa"/>
        <w:tblLayout w:type="fixed"/>
        <w:tblLook w:val="04A0" w:firstRow="1" w:lastRow="0" w:firstColumn="1" w:lastColumn="0" w:noHBand="0" w:noVBand="1"/>
        <w:tblDescription w:val="A summary of table 18 is outlined in the text prior to this table."/>
      </w:tblPr>
      <w:tblGrid>
        <w:gridCol w:w="1911"/>
        <w:gridCol w:w="2020"/>
        <w:gridCol w:w="2020"/>
        <w:gridCol w:w="2020"/>
      </w:tblGrid>
      <w:tr w:rsidR="008C6279" w:rsidRPr="0044388E" w14:paraId="76F7F552" w14:textId="77777777" w:rsidTr="002D606E">
        <w:trPr>
          <w:cantSplit/>
          <w:trHeight w:val="300"/>
          <w:tblHeader/>
        </w:trPr>
        <w:tc>
          <w:tcPr>
            <w:tcW w:w="1911" w:type="dxa"/>
            <w:tcBorders>
              <w:top w:val="single" w:sz="4" w:space="0" w:color="auto"/>
              <w:left w:val="single" w:sz="4" w:space="0" w:color="auto"/>
              <w:bottom w:val="single" w:sz="4" w:space="0" w:color="auto"/>
              <w:right w:val="single" w:sz="4" w:space="0" w:color="auto"/>
            </w:tcBorders>
            <w:shd w:val="clear" w:color="auto" w:fill="288A32"/>
            <w:noWrap/>
            <w:hideMark/>
          </w:tcPr>
          <w:p w14:paraId="28AFE489" w14:textId="77777777" w:rsidR="008C6279" w:rsidRPr="00941B8B" w:rsidRDefault="008C6279">
            <w:pPr>
              <w:tabs>
                <w:tab w:val="left" w:pos="1162"/>
              </w:tabs>
              <w:spacing w:before="80" w:after="80"/>
              <w:rPr>
                <w:rFonts w:cs="Arial"/>
                <w:color w:val="FFFFFF" w:themeColor="background1"/>
                <w:sz w:val="20"/>
                <w:szCs w:val="20"/>
                <w:highlight w:val="lightGray"/>
              </w:rPr>
            </w:pPr>
          </w:p>
        </w:tc>
        <w:tc>
          <w:tcPr>
            <w:tcW w:w="2020" w:type="dxa"/>
            <w:tcBorders>
              <w:top w:val="single" w:sz="4" w:space="0" w:color="595959" w:themeColor="text1" w:themeTint="A6"/>
              <w:left w:val="single" w:sz="4" w:space="0" w:color="auto"/>
              <w:bottom w:val="single" w:sz="4" w:space="0" w:color="595959" w:themeColor="text1" w:themeTint="A6"/>
              <w:right w:val="single" w:sz="4" w:space="0" w:color="595959" w:themeColor="text1" w:themeTint="A6"/>
            </w:tcBorders>
            <w:shd w:val="clear" w:color="auto" w:fill="288A32"/>
            <w:noWrap/>
            <w:hideMark/>
          </w:tcPr>
          <w:p w14:paraId="7EDF172F" w14:textId="77777777" w:rsidR="008C6279" w:rsidRPr="00B966D7" w:rsidRDefault="008C6279" w:rsidP="00E0054C">
            <w:pPr>
              <w:tabs>
                <w:tab w:val="left" w:pos="1162"/>
              </w:tabs>
              <w:spacing w:before="80" w:after="80"/>
              <w:jc w:val="center"/>
              <w:rPr>
                <w:rFonts w:cs="Arial"/>
                <w:b/>
                <w:bCs/>
                <w:color w:val="FFFFFF" w:themeColor="background1"/>
                <w:sz w:val="20"/>
                <w:szCs w:val="20"/>
              </w:rPr>
            </w:pPr>
            <w:r w:rsidRPr="00B966D7">
              <w:rPr>
                <w:rFonts w:cs="Arial"/>
                <w:b/>
                <w:bCs/>
                <w:color w:val="FFFFFF" w:themeColor="background1"/>
                <w:sz w:val="20"/>
                <w:szCs w:val="20"/>
              </w:rPr>
              <w:t>Short-Stay Outlier</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88A32"/>
            <w:noWrap/>
            <w:hideMark/>
          </w:tcPr>
          <w:p w14:paraId="4F8967D9" w14:textId="77777777" w:rsidR="008C6279" w:rsidRPr="00B966D7" w:rsidRDefault="008C6279" w:rsidP="00E0054C">
            <w:pPr>
              <w:tabs>
                <w:tab w:val="left" w:pos="1162"/>
              </w:tabs>
              <w:spacing w:before="80" w:after="80"/>
              <w:jc w:val="center"/>
              <w:rPr>
                <w:rFonts w:cs="Arial"/>
                <w:b/>
                <w:bCs/>
                <w:color w:val="FFFFFF" w:themeColor="background1"/>
                <w:sz w:val="20"/>
                <w:szCs w:val="20"/>
              </w:rPr>
            </w:pPr>
            <w:r w:rsidRPr="00B966D7">
              <w:rPr>
                <w:rFonts w:cs="Arial"/>
                <w:b/>
                <w:bCs/>
                <w:color w:val="FFFFFF" w:themeColor="background1"/>
                <w:sz w:val="20"/>
                <w:szCs w:val="20"/>
              </w:rPr>
              <w:t>Inlier</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288A32"/>
            <w:noWrap/>
            <w:hideMark/>
          </w:tcPr>
          <w:p w14:paraId="6561E0BF" w14:textId="77777777" w:rsidR="008C6279" w:rsidRPr="00B966D7" w:rsidRDefault="008C6279" w:rsidP="00E0054C">
            <w:pPr>
              <w:tabs>
                <w:tab w:val="left" w:pos="1162"/>
              </w:tabs>
              <w:spacing w:before="80" w:after="80"/>
              <w:jc w:val="center"/>
              <w:rPr>
                <w:rFonts w:cs="Arial"/>
                <w:b/>
                <w:bCs/>
                <w:color w:val="FFFFFF" w:themeColor="background1"/>
                <w:sz w:val="20"/>
                <w:szCs w:val="20"/>
              </w:rPr>
            </w:pPr>
            <w:r w:rsidRPr="00B966D7">
              <w:rPr>
                <w:rFonts w:cs="Arial"/>
                <w:b/>
                <w:bCs/>
                <w:color w:val="FFFFFF" w:themeColor="background1"/>
                <w:sz w:val="20"/>
                <w:szCs w:val="20"/>
              </w:rPr>
              <w:t>Long-Stay Outlier</w:t>
            </w:r>
          </w:p>
        </w:tc>
      </w:tr>
      <w:tr w:rsidR="00941B8B" w:rsidRPr="0044388E" w14:paraId="74DAF9D1" w14:textId="77777777" w:rsidTr="002D606E">
        <w:trPr>
          <w:cantSplit/>
          <w:trHeight w:val="300"/>
        </w:trPr>
        <w:tc>
          <w:tcPr>
            <w:tcW w:w="1911" w:type="dxa"/>
            <w:tcBorders>
              <w:top w:val="single" w:sz="4" w:space="0" w:color="auto"/>
              <w:left w:val="single" w:sz="4" w:space="0" w:color="595959" w:themeColor="text1" w:themeTint="A6"/>
              <w:bottom w:val="single" w:sz="4" w:space="0" w:color="595959" w:themeColor="text1" w:themeTint="A6"/>
              <w:right w:val="single" w:sz="4" w:space="0" w:color="595959" w:themeColor="text1" w:themeTint="A6"/>
            </w:tcBorders>
            <w:noWrap/>
            <w:hideMark/>
          </w:tcPr>
          <w:p w14:paraId="218B473F" w14:textId="707DBB8E" w:rsidR="00941B8B" w:rsidRPr="0044388E" w:rsidRDefault="00941B8B" w:rsidP="00560AC0">
            <w:pPr>
              <w:tabs>
                <w:tab w:val="left" w:pos="1162"/>
              </w:tabs>
              <w:spacing w:before="80" w:after="80"/>
              <w:rPr>
                <w:rFonts w:cs="Arial"/>
                <w:color w:val="000000"/>
                <w:sz w:val="18"/>
                <w:szCs w:val="20"/>
                <w:highlight w:val="lightGray"/>
              </w:rPr>
            </w:pPr>
            <w:r w:rsidRPr="00E33EAE">
              <w:rPr>
                <w:rFonts w:cs="Arial"/>
                <w:color w:val="000000"/>
                <w:sz w:val="18"/>
                <w:szCs w:val="20"/>
              </w:rPr>
              <w:t>Separations</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14:paraId="77390A7C" w14:textId="37689B22"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11%</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14:paraId="625425A4" w14:textId="7B4C6403"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88%</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14:paraId="5134E250" w14:textId="3E8DBD69"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2%</w:t>
            </w:r>
          </w:p>
        </w:tc>
      </w:tr>
      <w:tr w:rsidR="00941B8B" w:rsidRPr="0044388E" w14:paraId="63CE08ED" w14:textId="77777777" w:rsidTr="002D606E">
        <w:trPr>
          <w:cantSplit/>
          <w:trHeight w:val="300"/>
        </w:trPr>
        <w:tc>
          <w:tcPr>
            <w:tcW w:w="19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14:paraId="0FAEB034" w14:textId="76E14296" w:rsidR="00941B8B" w:rsidRPr="0044388E" w:rsidRDefault="00941B8B" w:rsidP="00560AC0">
            <w:pPr>
              <w:tabs>
                <w:tab w:val="left" w:pos="1162"/>
              </w:tabs>
              <w:spacing w:before="80" w:after="80"/>
              <w:rPr>
                <w:rFonts w:cs="Arial"/>
                <w:color w:val="000000"/>
                <w:sz w:val="18"/>
                <w:szCs w:val="20"/>
                <w:highlight w:val="lightGray"/>
              </w:rPr>
            </w:pPr>
            <w:r w:rsidRPr="00E33EAE">
              <w:rPr>
                <w:rFonts w:cs="Arial"/>
                <w:color w:val="000000"/>
                <w:sz w:val="18"/>
                <w:szCs w:val="20"/>
              </w:rPr>
              <w:t>Patient Days</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14:paraId="3BAA764F" w14:textId="1E617AF7"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5%</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14:paraId="1589901D" w14:textId="39E26EA3"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80%</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14:paraId="596A7316" w14:textId="2CAF9B76"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15%</w:t>
            </w:r>
          </w:p>
        </w:tc>
      </w:tr>
      <w:tr w:rsidR="00941B8B" w:rsidRPr="0044388E" w14:paraId="187EA41D" w14:textId="77777777" w:rsidTr="002D606E">
        <w:trPr>
          <w:cantSplit/>
          <w:trHeight w:val="300"/>
        </w:trPr>
        <w:tc>
          <w:tcPr>
            <w:tcW w:w="191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hideMark/>
          </w:tcPr>
          <w:p w14:paraId="7239688D" w14:textId="5D8E2E9F" w:rsidR="00941B8B" w:rsidRPr="0044388E" w:rsidRDefault="00941B8B" w:rsidP="00560AC0">
            <w:pPr>
              <w:tabs>
                <w:tab w:val="left" w:pos="1162"/>
              </w:tabs>
              <w:spacing w:before="80" w:after="80"/>
              <w:rPr>
                <w:rFonts w:cs="Arial"/>
                <w:color w:val="000000"/>
                <w:sz w:val="18"/>
                <w:szCs w:val="20"/>
                <w:highlight w:val="lightGray"/>
              </w:rPr>
            </w:pPr>
            <w:r w:rsidRPr="00E33EAE">
              <w:rPr>
                <w:rFonts w:cs="Arial"/>
                <w:color w:val="000000"/>
                <w:sz w:val="18"/>
                <w:szCs w:val="20"/>
              </w:rPr>
              <w:t>Actual Costs</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14:paraId="1F6CDE1D" w14:textId="2C6B86B1"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6%</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14:paraId="2E91BFCD" w14:textId="0857222A"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81%</w:t>
            </w:r>
          </w:p>
        </w:tc>
        <w:tc>
          <w:tcPr>
            <w:tcW w:w="20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noWrap/>
            <w:vAlign w:val="center"/>
          </w:tcPr>
          <w:p w14:paraId="2877D6F8" w14:textId="034F3E91" w:rsidR="00941B8B" w:rsidRPr="0044388E" w:rsidRDefault="00941B8B" w:rsidP="00E0054C">
            <w:pPr>
              <w:tabs>
                <w:tab w:val="left" w:pos="1162"/>
              </w:tabs>
              <w:spacing w:before="80" w:after="80"/>
              <w:jc w:val="center"/>
              <w:rPr>
                <w:rFonts w:eastAsiaTheme="minorHAnsi" w:cs="Arial"/>
                <w:b/>
                <w:noProof/>
                <w:color w:val="000000"/>
                <w:sz w:val="18"/>
                <w:szCs w:val="20"/>
                <w:highlight w:val="lightGray"/>
              </w:rPr>
            </w:pPr>
            <w:r w:rsidRPr="00801AF5">
              <w:rPr>
                <w:sz w:val="18"/>
                <w:szCs w:val="18"/>
              </w:rPr>
              <w:t>12%</w:t>
            </w:r>
          </w:p>
        </w:tc>
      </w:tr>
    </w:tbl>
    <w:p w14:paraId="4D6AB2F8" w14:textId="77777777" w:rsidR="008C6279" w:rsidRPr="00941B8B" w:rsidRDefault="008C6279" w:rsidP="00560AC0">
      <w:pPr>
        <w:tabs>
          <w:tab w:val="left" w:pos="1162"/>
        </w:tabs>
        <w:spacing w:before="80" w:after="240"/>
        <w:ind w:left="567"/>
      </w:pPr>
      <w:r w:rsidRPr="00941B8B">
        <w:rPr>
          <w:rFonts w:cs="Arial"/>
          <w:b/>
          <w:i/>
          <w:sz w:val="20"/>
          <w:szCs w:val="20"/>
        </w:rPr>
        <w:t xml:space="preserve">Note: </w:t>
      </w:r>
      <w:r w:rsidRPr="00941B8B">
        <w:rPr>
          <w:rFonts w:cs="Arial"/>
          <w:i/>
          <w:sz w:val="20"/>
          <w:szCs w:val="20"/>
        </w:rPr>
        <w:t>Same-day payment separation category has been combined with the short-stay outlier category.</w:t>
      </w:r>
    </w:p>
    <w:p w14:paraId="1160A40C" w14:textId="4336C769" w:rsidR="008C6279" w:rsidRPr="00941B8B" w:rsidRDefault="008C6279" w:rsidP="002D606E">
      <w:pPr>
        <w:tabs>
          <w:tab w:val="left" w:pos="1162"/>
        </w:tabs>
        <w:spacing w:before="240"/>
        <w:contextualSpacing/>
        <w:rPr>
          <w:rFonts w:cs="Arial"/>
          <w:szCs w:val="20"/>
        </w:rPr>
      </w:pPr>
      <w:r w:rsidRPr="00941B8B">
        <w:t>A</w:t>
      </w:r>
      <w:r w:rsidRPr="00941B8B">
        <w:rPr>
          <w:rFonts w:cs="Arial"/>
          <w:szCs w:val="20"/>
        </w:rPr>
        <w:t>pplying the narrower inlier bounds to MDCs 19 and 20 significantly improves the explanatory power of the AR-DRG inlier/outlier model for mental health patients to a level comparable to the model applied across all other activity.</w:t>
      </w:r>
    </w:p>
    <w:p w14:paraId="43820C91" w14:textId="79AC373A" w:rsidR="008C6279" w:rsidRPr="00941B8B" w:rsidRDefault="008C6279" w:rsidP="00560AC0">
      <w:pPr>
        <w:pStyle w:val="Heading3"/>
        <w:numPr>
          <w:ilvl w:val="2"/>
          <w:numId w:val="17"/>
        </w:numPr>
        <w:spacing w:before="200" w:after="120" w:line="276" w:lineRule="auto"/>
        <w:ind w:left="851" w:hanging="851"/>
        <w:contextualSpacing w:val="0"/>
      </w:pPr>
      <w:bookmarkStart w:id="552" w:name="_Toc380754759"/>
      <w:bookmarkStart w:id="553" w:name="_Toc466884189"/>
      <w:bookmarkStart w:id="554" w:name="_Toc467505202"/>
      <w:bookmarkStart w:id="555" w:name="_Toc467745576"/>
      <w:bookmarkStart w:id="556" w:name="_Toc468204041"/>
      <w:r w:rsidRPr="00941B8B">
        <w:t>Cost parameters and adjustments</w:t>
      </w:r>
      <w:bookmarkEnd w:id="552"/>
      <w:bookmarkEnd w:id="553"/>
      <w:bookmarkEnd w:id="554"/>
      <w:bookmarkEnd w:id="555"/>
      <w:bookmarkEnd w:id="556"/>
    </w:p>
    <w:p w14:paraId="6F28F6F5" w14:textId="5AB6BDDA" w:rsidR="008C6279" w:rsidRPr="00941B8B" w:rsidRDefault="008C6279">
      <w:pPr>
        <w:tabs>
          <w:tab w:val="left" w:pos="1162"/>
        </w:tabs>
        <w:rPr>
          <w:rFonts w:cs="Arial"/>
          <w:szCs w:val="20"/>
        </w:rPr>
      </w:pPr>
      <w:r w:rsidRPr="00941B8B">
        <w:rPr>
          <w:rFonts w:cs="Arial"/>
          <w:szCs w:val="20"/>
        </w:rPr>
        <w:t>The cost parameters of the AR-DRG inlier/outlier model that apply to mental health patients are calculated in the same way as those for admitted acute patients. The resulting cost parameters for mental health patients differ to the extent that MDCs 19 and 20 use L1.5H1.5 to define the inlier bounds.</w:t>
      </w:r>
    </w:p>
    <w:p w14:paraId="1196FE82" w14:textId="77777777" w:rsidR="008C6279" w:rsidRPr="00941B8B" w:rsidRDefault="008C6279">
      <w:pPr>
        <w:tabs>
          <w:tab w:val="left" w:pos="1162"/>
        </w:tabs>
        <w:rPr>
          <w:rFonts w:cs="Arial"/>
          <w:szCs w:val="20"/>
        </w:rPr>
      </w:pPr>
      <w:r w:rsidRPr="00941B8B">
        <w:rPr>
          <w:rFonts w:cs="Arial"/>
          <w:szCs w:val="20"/>
        </w:rPr>
        <w:t xml:space="preserve">The calculation and application of the adjustments are broadly similar to the admitted acute model, with a number of important differences. Empirical evidence was analysed for a number of mental health specific adjustments on the advice of the IHPA Mental Health Working Group. The cost analysis was undertaken in preparation for NEP15 and the age groups have been modified from those used in NEP14.  The age groups adopted in NEP15 have been used in NEP17.  </w:t>
      </w:r>
    </w:p>
    <w:p w14:paraId="68AE6B1C" w14:textId="77777777" w:rsidR="008C6279" w:rsidRPr="00941B8B" w:rsidRDefault="008C6279">
      <w:pPr>
        <w:tabs>
          <w:tab w:val="left" w:pos="1162"/>
        </w:tabs>
        <w:rPr>
          <w:rFonts w:cs="Arial"/>
          <w:szCs w:val="20"/>
        </w:rPr>
      </w:pPr>
      <w:r w:rsidRPr="00941B8B">
        <w:rPr>
          <w:rFonts w:cs="Arial"/>
          <w:szCs w:val="20"/>
        </w:rPr>
        <w:t>The different adjustments for mental health patients are as follows:</w:t>
      </w:r>
    </w:p>
    <w:p w14:paraId="064FFF9F" w14:textId="77777777" w:rsidR="008C6279" w:rsidRPr="00941B8B" w:rsidRDefault="008C6279">
      <w:pPr>
        <w:pStyle w:val="ListParagraph"/>
        <w:numPr>
          <w:ilvl w:val="0"/>
          <w:numId w:val="31"/>
        </w:numPr>
        <w:tabs>
          <w:tab w:val="left" w:pos="1162"/>
        </w:tabs>
        <w:spacing w:line="240" w:lineRule="auto"/>
        <w:ind w:left="714" w:hanging="357"/>
        <w:contextualSpacing w:val="0"/>
        <w:rPr>
          <w:rFonts w:cs="Arial"/>
          <w:szCs w:val="20"/>
        </w:rPr>
      </w:pPr>
      <w:r w:rsidRPr="00941B8B">
        <w:rPr>
          <w:rFonts w:cs="Arial"/>
          <w:szCs w:val="20"/>
        </w:rPr>
        <w:t>Patients with registered psychiatric care days are identified and broken into five age groups, with the following two groups exhibiting significantly higher costs, making them</w:t>
      </w:r>
      <w:r w:rsidRPr="00941B8B">
        <w:t xml:space="preserve"> </w:t>
      </w:r>
      <w:r w:rsidRPr="00941B8B">
        <w:rPr>
          <w:rFonts w:cs="Arial"/>
          <w:szCs w:val="20"/>
        </w:rPr>
        <w:t>eligible for adjustment:</w:t>
      </w:r>
    </w:p>
    <w:p w14:paraId="460E2032" w14:textId="77777777" w:rsidR="008C6279" w:rsidRPr="00941B8B" w:rsidRDefault="008C6279">
      <w:pPr>
        <w:pStyle w:val="ListParagraph"/>
        <w:numPr>
          <w:ilvl w:val="1"/>
          <w:numId w:val="32"/>
        </w:numPr>
        <w:tabs>
          <w:tab w:val="left" w:pos="1162"/>
        </w:tabs>
        <w:spacing w:line="240" w:lineRule="auto"/>
        <w:ind w:left="1434" w:hanging="357"/>
        <w:contextualSpacing w:val="0"/>
        <w:rPr>
          <w:rFonts w:cs="Arial"/>
          <w:szCs w:val="20"/>
        </w:rPr>
      </w:pPr>
      <w:r w:rsidRPr="00941B8B">
        <w:rPr>
          <w:rFonts w:cs="Arial"/>
          <w:szCs w:val="20"/>
        </w:rPr>
        <w:t>Less than or equal to 17 years; and</w:t>
      </w:r>
    </w:p>
    <w:p w14:paraId="26F6092A" w14:textId="77777777" w:rsidR="008C6279" w:rsidRPr="00941B8B" w:rsidRDefault="008C6279">
      <w:pPr>
        <w:pStyle w:val="ListParagraph"/>
        <w:numPr>
          <w:ilvl w:val="1"/>
          <w:numId w:val="32"/>
        </w:numPr>
        <w:tabs>
          <w:tab w:val="left" w:pos="1162"/>
        </w:tabs>
        <w:spacing w:line="240" w:lineRule="auto"/>
        <w:ind w:left="1434" w:hanging="357"/>
        <w:contextualSpacing w:val="0"/>
        <w:rPr>
          <w:rFonts w:cs="Arial"/>
          <w:szCs w:val="20"/>
        </w:rPr>
      </w:pPr>
      <w:r w:rsidRPr="00941B8B">
        <w:rPr>
          <w:rFonts w:cs="Arial"/>
          <w:szCs w:val="20"/>
        </w:rPr>
        <w:t xml:space="preserve">Greater than 17 years </w:t>
      </w:r>
      <w:r w:rsidRPr="00941B8B">
        <w:rPr>
          <w:rFonts w:cs="Arial"/>
          <w:i/>
          <w:szCs w:val="20"/>
        </w:rPr>
        <w:t>and</w:t>
      </w:r>
      <w:r w:rsidRPr="00941B8B">
        <w:rPr>
          <w:rFonts w:cs="Arial"/>
          <w:szCs w:val="20"/>
        </w:rPr>
        <w:t xml:space="preserve"> not in MDCs 19 and 20. </w:t>
      </w:r>
    </w:p>
    <w:p w14:paraId="47CA526B" w14:textId="77777777" w:rsidR="008C6279" w:rsidRPr="00941B8B" w:rsidRDefault="008C6279">
      <w:pPr>
        <w:pStyle w:val="ListParagraph"/>
        <w:numPr>
          <w:ilvl w:val="0"/>
          <w:numId w:val="31"/>
        </w:numPr>
        <w:tabs>
          <w:tab w:val="left" w:pos="1162"/>
        </w:tabs>
        <w:spacing w:before="120" w:line="240" w:lineRule="auto"/>
        <w:ind w:left="714" w:hanging="357"/>
        <w:contextualSpacing w:val="0"/>
        <w:rPr>
          <w:rFonts w:cs="Arial"/>
          <w:szCs w:val="20"/>
        </w:rPr>
      </w:pPr>
      <w:r w:rsidRPr="00941B8B">
        <w:rPr>
          <w:rFonts w:cs="Arial"/>
          <w:szCs w:val="20"/>
        </w:rPr>
        <w:t>Patients with age less than or equal to 17 years with registered psychiatric care days are further divided into two groups; those that have received care in one of the ten specialist paediatric hospitals, and those that have not.</w:t>
      </w:r>
    </w:p>
    <w:p w14:paraId="37C8BB9F" w14:textId="77777777" w:rsidR="008C6279" w:rsidRPr="00941B8B" w:rsidRDefault="008C6279">
      <w:pPr>
        <w:pStyle w:val="ListParagraph"/>
        <w:numPr>
          <w:ilvl w:val="0"/>
          <w:numId w:val="31"/>
        </w:numPr>
        <w:tabs>
          <w:tab w:val="left" w:pos="1162"/>
        </w:tabs>
        <w:spacing w:before="120" w:line="240" w:lineRule="auto"/>
        <w:ind w:left="714" w:hanging="357"/>
        <w:contextualSpacing w:val="0"/>
        <w:rPr>
          <w:rFonts w:cs="Arial"/>
          <w:szCs w:val="20"/>
        </w:rPr>
      </w:pPr>
      <w:r w:rsidRPr="00941B8B">
        <w:rPr>
          <w:rFonts w:cs="Arial"/>
          <w:szCs w:val="20"/>
        </w:rPr>
        <w:t>Specialist psychiatric age adjustments are derived from the age categories, as set out in Table 1 of the NEP17 Determination.</w:t>
      </w:r>
    </w:p>
    <w:p w14:paraId="2AD29A0E" w14:textId="77777777" w:rsidR="008C6279" w:rsidRPr="00941B8B" w:rsidRDefault="008C6279">
      <w:pPr>
        <w:pStyle w:val="ListParagraph"/>
        <w:numPr>
          <w:ilvl w:val="0"/>
          <w:numId w:val="31"/>
        </w:numPr>
        <w:tabs>
          <w:tab w:val="left" w:pos="1162"/>
        </w:tabs>
        <w:spacing w:before="120" w:line="240" w:lineRule="auto"/>
        <w:ind w:left="714" w:hanging="357"/>
        <w:contextualSpacing w:val="0"/>
        <w:rPr>
          <w:rFonts w:cs="Arial"/>
          <w:szCs w:val="20"/>
        </w:rPr>
      </w:pPr>
      <w:r w:rsidRPr="00941B8B">
        <w:rPr>
          <w:rFonts w:cs="Arial"/>
          <w:szCs w:val="20"/>
        </w:rPr>
        <w:t xml:space="preserve">Mental health patients also accrue other relevant adjustments that apply to </w:t>
      </w:r>
      <w:proofErr w:type="gramStart"/>
      <w:r w:rsidRPr="00941B8B">
        <w:rPr>
          <w:rFonts w:cs="Arial"/>
          <w:szCs w:val="20"/>
        </w:rPr>
        <w:t>admitted</w:t>
      </w:r>
      <w:proofErr w:type="gramEnd"/>
      <w:r w:rsidRPr="00941B8B">
        <w:rPr>
          <w:rFonts w:cs="Arial"/>
          <w:szCs w:val="20"/>
        </w:rPr>
        <w:t xml:space="preserve"> acute patients.</w:t>
      </w:r>
    </w:p>
    <w:p w14:paraId="6C6CD603" w14:textId="1BCE6E84" w:rsidR="008C6279" w:rsidRPr="00941B8B" w:rsidRDefault="008C6279">
      <w:pPr>
        <w:pStyle w:val="Heading3"/>
        <w:numPr>
          <w:ilvl w:val="2"/>
          <w:numId w:val="17"/>
        </w:numPr>
        <w:spacing w:before="200" w:after="120" w:line="276" w:lineRule="auto"/>
        <w:ind w:left="851" w:hanging="851"/>
        <w:contextualSpacing w:val="0"/>
      </w:pPr>
      <w:bookmarkStart w:id="557" w:name="_Toc380754760"/>
      <w:bookmarkStart w:id="558" w:name="_Toc466884190"/>
      <w:bookmarkStart w:id="559" w:name="_Toc467505203"/>
      <w:bookmarkStart w:id="560" w:name="_Toc467745577"/>
      <w:bookmarkStart w:id="561" w:name="_Toc468204042"/>
      <w:r w:rsidRPr="00941B8B">
        <w:t>Price weights and NWAU</w:t>
      </w:r>
      <w:bookmarkEnd w:id="557"/>
      <w:bookmarkEnd w:id="558"/>
      <w:bookmarkEnd w:id="559"/>
      <w:bookmarkEnd w:id="560"/>
      <w:bookmarkEnd w:id="561"/>
    </w:p>
    <w:p w14:paraId="265B2382" w14:textId="73F2BA38" w:rsidR="008C6279" w:rsidRDefault="008C6279">
      <w:pPr>
        <w:tabs>
          <w:tab w:val="left" w:pos="1162"/>
        </w:tabs>
        <w:rPr>
          <w:rFonts w:cs="Arial"/>
          <w:szCs w:val="20"/>
        </w:rPr>
      </w:pPr>
      <w:r w:rsidRPr="00941B8B">
        <w:rPr>
          <w:rFonts w:cs="Arial"/>
          <w:szCs w:val="20"/>
        </w:rPr>
        <w:t>See Section</w:t>
      </w:r>
      <w:r w:rsidR="002E480F">
        <w:rPr>
          <w:rFonts w:cs="Arial"/>
          <w:szCs w:val="20"/>
        </w:rPr>
        <w:t xml:space="preserve"> </w:t>
      </w:r>
      <w:r w:rsidR="002E480F">
        <w:rPr>
          <w:rFonts w:cs="Arial"/>
          <w:szCs w:val="20"/>
        </w:rPr>
        <w:fldChar w:fldCharType="begin"/>
      </w:r>
      <w:r w:rsidR="002E480F">
        <w:rPr>
          <w:rFonts w:cs="Arial"/>
          <w:szCs w:val="20"/>
        </w:rPr>
        <w:instrText xml:space="preserve"> REF _Ref468263918 \r \h </w:instrText>
      </w:r>
      <w:r w:rsidR="00560AC0">
        <w:rPr>
          <w:rFonts w:cs="Arial"/>
          <w:szCs w:val="20"/>
        </w:rPr>
        <w:instrText xml:space="preserve"> \* MERGEFORMAT </w:instrText>
      </w:r>
      <w:r w:rsidR="002E480F">
        <w:rPr>
          <w:rFonts w:cs="Arial"/>
          <w:szCs w:val="20"/>
        </w:rPr>
      </w:r>
      <w:r w:rsidR="002E480F">
        <w:rPr>
          <w:rFonts w:cs="Arial"/>
          <w:szCs w:val="20"/>
        </w:rPr>
        <w:fldChar w:fldCharType="separate"/>
      </w:r>
      <w:r w:rsidR="00F84458">
        <w:rPr>
          <w:rFonts w:cs="Arial"/>
          <w:szCs w:val="20"/>
        </w:rPr>
        <w:t>2.2.12</w:t>
      </w:r>
      <w:r w:rsidR="002E480F">
        <w:rPr>
          <w:rFonts w:cs="Arial"/>
          <w:szCs w:val="20"/>
        </w:rPr>
        <w:fldChar w:fldCharType="end"/>
      </w:r>
      <w:r w:rsidR="00687AED">
        <w:rPr>
          <w:rFonts w:cs="Arial"/>
          <w:szCs w:val="20"/>
        </w:rPr>
        <w:t>.</w:t>
      </w:r>
    </w:p>
    <w:p w14:paraId="116DF3CB" w14:textId="497B852B" w:rsidR="008C6279" w:rsidRPr="00941B8B" w:rsidRDefault="00A47F5F">
      <w:pPr>
        <w:pStyle w:val="Heading2"/>
        <w:numPr>
          <w:ilvl w:val="1"/>
          <w:numId w:val="17"/>
        </w:numPr>
        <w:ind w:left="567" w:right="-28" w:hanging="567"/>
      </w:pPr>
      <w:bookmarkStart w:id="562" w:name="_Toc380754761"/>
      <w:bookmarkStart w:id="563" w:name="_Toc466884191"/>
      <w:bookmarkStart w:id="564" w:name="_Toc467505204"/>
      <w:bookmarkStart w:id="565" w:name="_Toc467745578"/>
      <w:bookmarkStart w:id="566" w:name="_Toc467759577"/>
      <w:bookmarkStart w:id="567" w:name="_Toc468204043"/>
      <w:bookmarkStart w:id="568" w:name="_Toc476305232"/>
      <w:r>
        <w:t>Apply</w:t>
      </w:r>
      <w:r w:rsidR="00D70699">
        <w:t>ing</w:t>
      </w:r>
      <w:r>
        <w:t xml:space="preserve"> the NEP</w:t>
      </w:r>
      <w:bookmarkEnd w:id="562"/>
      <w:bookmarkEnd w:id="563"/>
      <w:bookmarkEnd w:id="564"/>
      <w:bookmarkEnd w:id="565"/>
      <w:bookmarkEnd w:id="566"/>
      <w:bookmarkEnd w:id="567"/>
      <w:bookmarkEnd w:id="568"/>
    </w:p>
    <w:p w14:paraId="422E63C0" w14:textId="41DEE46A" w:rsidR="00D2660C" w:rsidRPr="00307B31" w:rsidRDefault="008C6279">
      <w:pPr>
        <w:tabs>
          <w:tab w:val="left" w:pos="1162"/>
        </w:tabs>
        <w:rPr>
          <w:rFonts w:cs="Arial"/>
          <w:szCs w:val="20"/>
        </w:rPr>
      </w:pPr>
      <w:r w:rsidRPr="00941B8B">
        <w:rPr>
          <w:rFonts w:cs="Arial"/>
          <w:szCs w:val="20"/>
        </w:rPr>
        <w:t>See Section</w:t>
      </w:r>
      <w:r w:rsidR="00A47F5F">
        <w:rPr>
          <w:rFonts w:cs="Arial"/>
          <w:szCs w:val="20"/>
        </w:rPr>
        <w:t xml:space="preserve"> </w:t>
      </w:r>
      <w:r w:rsidR="00A47F5F">
        <w:rPr>
          <w:rFonts w:cs="Arial"/>
          <w:szCs w:val="20"/>
        </w:rPr>
        <w:fldChar w:fldCharType="begin"/>
      </w:r>
      <w:r w:rsidR="00A47F5F">
        <w:rPr>
          <w:rFonts w:cs="Arial"/>
          <w:szCs w:val="20"/>
        </w:rPr>
        <w:instrText xml:space="preserve"> REF _Ref468264119 \r \h </w:instrText>
      </w:r>
      <w:r w:rsidR="00560AC0">
        <w:rPr>
          <w:rFonts w:cs="Arial"/>
          <w:szCs w:val="20"/>
        </w:rPr>
        <w:instrText xml:space="preserve"> \* MERGEFORMAT </w:instrText>
      </w:r>
      <w:r w:rsidR="00A47F5F">
        <w:rPr>
          <w:rFonts w:cs="Arial"/>
          <w:szCs w:val="20"/>
        </w:rPr>
      </w:r>
      <w:r w:rsidR="00A47F5F">
        <w:rPr>
          <w:rFonts w:cs="Arial"/>
          <w:szCs w:val="20"/>
        </w:rPr>
        <w:fldChar w:fldCharType="separate"/>
      </w:r>
      <w:r w:rsidR="00F84458">
        <w:rPr>
          <w:rFonts w:cs="Arial"/>
          <w:szCs w:val="20"/>
        </w:rPr>
        <w:t>2.3</w:t>
      </w:r>
      <w:r w:rsidR="00A47F5F">
        <w:rPr>
          <w:rFonts w:cs="Arial"/>
          <w:szCs w:val="20"/>
        </w:rPr>
        <w:fldChar w:fldCharType="end"/>
      </w:r>
      <w:r w:rsidRPr="00941B8B">
        <w:rPr>
          <w:rFonts w:cs="Arial"/>
          <w:szCs w:val="20"/>
        </w:rPr>
        <w:t>.</w:t>
      </w:r>
    </w:p>
    <w:p w14:paraId="08B58EA6" w14:textId="77777777" w:rsidR="003642EA" w:rsidRPr="0044388E" w:rsidRDefault="003642EA">
      <w:pPr>
        <w:pStyle w:val="Heading1"/>
        <w:pageBreakBefore/>
        <w:numPr>
          <w:ilvl w:val="0"/>
          <w:numId w:val="17"/>
        </w:numPr>
        <w:spacing w:before="100" w:beforeAutospacing="1" w:after="100" w:afterAutospacing="1" w:line="276" w:lineRule="auto"/>
        <w:ind w:left="426"/>
        <w:contextualSpacing w:val="0"/>
        <w:rPr>
          <w:szCs w:val="52"/>
        </w:rPr>
      </w:pPr>
      <w:bookmarkStart w:id="569" w:name="_Toc466884192"/>
      <w:bookmarkStart w:id="570" w:name="_Toc467505205"/>
      <w:bookmarkStart w:id="571" w:name="_Toc467676235"/>
      <w:bookmarkStart w:id="572" w:name="_Toc467745579"/>
      <w:bookmarkStart w:id="573" w:name="_Toc467759578"/>
      <w:bookmarkStart w:id="574" w:name="_Toc468204044"/>
      <w:bookmarkStart w:id="575" w:name="_Toc476305233"/>
      <w:bookmarkStart w:id="576" w:name="_Ref466558590"/>
      <w:r w:rsidRPr="0044388E">
        <w:rPr>
          <w:szCs w:val="52"/>
        </w:rPr>
        <w:lastRenderedPageBreak/>
        <w:t>Admitted subacute and non-acute care cost model</w:t>
      </w:r>
      <w:bookmarkEnd w:id="569"/>
      <w:bookmarkEnd w:id="570"/>
      <w:bookmarkEnd w:id="571"/>
      <w:bookmarkEnd w:id="572"/>
      <w:bookmarkEnd w:id="573"/>
      <w:bookmarkEnd w:id="574"/>
      <w:bookmarkEnd w:id="575"/>
    </w:p>
    <w:p w14:paraId="382E3E3D" w14:textId="77777777" w:rsidR="003642EA" w:rsidRDefault="003642EA">
      <w:pPr>
        <w:pStyle w:val="Heading2"/>
        <w:numPr>
          <w:ilvl w:val="1"/>
          <w:numId w:val="17"/>
        </w:numPr>
        <w:ind w:left="567" w:right="-28" w:hanging="567"/>
      </w:pPr>
      <w:bookmarkStart w:id="577" w:name="_Toc380754736"/>
      <w:bookmarkStart w:id="578" w:name="_Toc466884193"/>
      <w:bookmarkStart w:id="579" w:name="_Toc467505206"/>
      <w:bookmarkStart w:id="580" w:name="_Toc467745580"/>
      <w:bookmarkStart w:id="581" w:name="_Toc467759579"/>
      <w:bookmarkStart w:id="582" w:name="_Toc468204045"/>
      <w:bookmarkStart w:id="583" w:name="_Toc476305234"/>
      <w:r>
        <w:t>General issues</w:t>
      </w:r>
      <w:bookmarkEnd w:id="577"/>
      <w:bookmarkEnd w:id="578"/>
      <w:bookmarkEnd w:id="579"/>
      <w:bookmarkEnd w:id="580"/>
      <w:bookmarkEnd w:id="581"/>
      <w:bookmarkEnd w:id="582"/>
      <w:bookmarkEnd w:id="583"/>
    </w:p>
    <w:p w14:paraId="61166C05" w14:textId="77777777" w:rsidR="003642EA" w:rsidRPr="001E55B4" w:rsidRDefault="003642EA">
      <w:pPr>
        <w:pStyle w:val="Heading3"/>
        <w:numPr>
          <w:ilvl w:val="2"/>
          <w:numId w:val="17"/>
        </w:numPr>
        <w:spacing w:before="200" w:after="120" w:line="276" w:lineRule="auto"/>
        <w:ind w:left="851" w:hanging="851"/>
        <w:contextualSpacing w:val="0"/>
      </w:pPr>
      <w:bookmarkStart w:id="584" w:name="_Toc380754737"/>
      <w:bookmarkStart w:id="585" w:name="_Toc466884194"/>
      <w:bookmarkStart w:id="586" w:name="_Toc467505207"/>
      <w:bookmarkStart w:id="587" w:name="_Toc467745581"/>
      <w:bookmarkStart w:id="588" w:name="_Toc468204046"/>
      <w:r>
        <w:t xml:space="preserve">Cost </w:t>
      </w:r>
      <w:bookmarkEnd w:id="584"/>
      <w:r>
        <w:t>unit</w:t>
      </w:r>
      <w:bookmarkEnd w:id="585"/>
      <w:bookmarkEnd w:id="586"/>
      <w:bookmarkEnd w:id="587"/>
      <w:bookmarkEnd w:id="588"/>
    </w:p>
    <w:p w14:paraId="0006D496" w14:textId="77777777" w:rsidR="00C6319C" w:rsidRPr="00C6319C" w:rsidRDefault="00C6319C">
      <w:pPr>
        <w:tabs>
          <w:tab w:val="left" w:pos="1162"/>
        </w:tabs>
        <w:rPr>
          <w:rFonts w:cs="Arial"/>
          <w:szCs w:val="20"/>
        </w:rPr>
      </w:pPr>
      <w:bookmarkStart w:id="589" w:name="_Toc380754738"/>
      <w:bookmarkStart w:id="590" w:name="_Toc466884195"/>
      <w:bookmarkStart w:id="591" w:name="_Toc467505208"/>
      <w:r w:rsidRPr="00C6319C">
        <w:rPr>
          <w:rFonts w:cs="Arial"/>
          <w:szCs w:val="20"/>
        </w:rPr>
        <w:t>An ‘episode of admitted patient care’</w:t>
      </w:r>
      <w:r w:rsidRPr="00C6319C">
        <w:rPr>
          <w:rStyle w:val="FootnoteReference"/>
          <w:rFonts w:cs="Arial"/>
          <w:szCs w:val="20"/>
        </w:rPr>
        <w:footnoteReference w:id="13"/>
      </w:r>
      <w:r w:rsidRPr="00C6319C">
        <w:rPr>
          <w:rFonts w:cs="Arial"/>
          <w:szCs w:val="20"/>
        </w:rPr>
        <w:t xml:space="preserve"> is the cost unit for admitted subacute and non-acute patients. It is “</w:t>
      </w:r>
      <w:r w:rsidRPr="00C6319C">
        <w:rPr>
          <w:rFonts w:cs="Arial"/>
          <w:i/>
          <w:szCs w:val="20"/>
        </w:rPr>
        <w:t>the period of admitted patient care … characterised by only one care type</w:t>
      </w:r>
      <w:r w:rsidRPr="00C6319C">
        <w:rPr>
          <w:rFonts w:cs="Arial"/>
          <w:szCs w:val="20"/>
        </w:rPr>
        <w:t>”</w:t>
      </w:r>
      <w:r w:rsidRPr="00C6319C">
        <w:rPr>
          <w:rStyle w:val="FootnoteReference"/>
          <w:rFonts w:cs="Arial"/>
          <w:szCs w:val="20"/>
        </w:rPr>
        <w:t xml:space="preserve"> </w:t>
      </w:r>
      <w:r w:rsidRPr="00C6319C">
        <w:rPr>
          <w:rStyle w:val="FootnoteReference"/>
          <w:rFonts w:cs="Arial"/>
          <w:szCs w:val="20"/>
        </w:rPr>
        <w:footnoteReference w:id="14"/>
      </w:r>
      <w:r w:rsidRPr="00C6319C">
        <w:rPr>
          <w:rFonts w:cs="Arial"/>
          <w:szCs w:val="20"/>
        </w:rPr>
        <w:t>, and covers the period of care from admission to separation.</w:t>
      </w:r>
    </w:p>
    <w:p w14:paraId="53F1D3DC" w14:textId="1F58AF33" w:rsidR="003642EA" w:rsidRDefault="004A77B7">
      <w:pPr>
        <w:pStyle w:val="Heading3"/>
        <w:numPr>
          <w:ilvl w:val="2"/>
          <w:numId w:val="17"/>
        </w:numPr>
        <w:spacing w:before="200" w:after="120" w:line="276" w:lineRule="auto"/>
        <w:ind w:left="851" w:hanging="851"/>
        <w:contextualSpacing w:val="0"/>
      </w:pPr>
      <w:bookmarkStart w:id="592" w:name="_Toc467745582"/>
      <w:bookmarkStart w:id="593" w:name="_Toc468204047"/>
      <w:bookmarkEnd w:id="589"/>
      <w:bookmarkEnd w:id="590"/>
      <w:bookmarkEnd w:id="591"/>
      <w:r>
        <w:t>In-scope activity</w:t>
      </w:r>
      <w:bookmarkEnd w:id="592"/>
      <w:bookmarkEnd w:id="593"/>
    </w:p>
    <w:p w14:paraId="1603F93E" w14:textId="77777777" w:rsidR="00C6319C" w:rsidRPr="00C6319C" w:rsidRDefault="00C6319C">
      <w:pPr>
        <w:tabs>
          <w:tab w:val="left" w:pos="1162"/>
        </w:tabs>
        <w:rPr>
          <w:rFonts w:cs="Arial"/>
          <w:szCs w:val="20"/>
        </w:rPr>
      </w:pPr>
      <w:bookmarkStart w:id="594" w:name="_Toc380754739"/>
      <w:bookmarkStart w:id="595" w:name="_Toc466884196"/>
      <w:bookmarkStart w:id="596" w:name="_Toc467505209"/>
      <w:r w:rsidRPr="00C6319C">
        <w:rPr>
          <w:rFonts w:cs="Arial"/>
          <w:szCs w:val="20"/>
        </w:rPr>
        <w:t>Admitted subacute and non-acute care is that provided to patients who undergo a facility’s formal admission</w:t>
      </w:r>
      <w:r w:rsidRPr="00700CE8">
        <w:rPr>
          <w:rStyle w:val="FootnoteReference"/>
          <w:rFonts w:cs="Arial"/>
          <w:szCs w:val="20"/>
        </w:rPr>
        <w:footnoteReference w:id="15"/>
      </w:r>
      <w:r w:rsidRPr="00C6319C">
        <w:rPr>
          <w:rFonts w:cs="Arial"/>
          <w:szCs w:val="20"/>
        </w:rPr>
        <w:t xml:space="preserve"> process, where the clinical intent or treatment goal is the provision of subacute or non-acute care.</w:t>
      </w:r>
    </w:p>
    <w:p w14:paraId="317D7267" w14:textId="3C2F3BBF" w:rsidR="00C6319C" w:rsidRPr="00700CE8" w:rsidRDefault="00C6319C">
      <w:pPr>
        <w:tabs>
          <w:tab w:val="left" w:pos="1162"/>
        </w:tabs>
      </w:pPr>
      <w:r w:rsidRPr="00C6319C">
        <w:rPr>
          <w:rFonts w:cs="Arial"/>
          <w:szCs w:val="20"/>
        </w:rPr>
        <w:t>In-scope hospitals and patients are defined the same way as for admitted acute patients, except that the patients are admitted into a care type for subacute or non-acute care</w:t>
      </w:r>
      <w:r w:rsidRPr="00700CE8">
        <w:t>.</w:t>
      </w:r>
    </w:p>
    <w:p w14:paraId="00508706" w14:textId="77777777" w:rsidR="003642EA" w:rsidRDefault="003642EA">
      <w:pPr>
        <w:pStyle w:val="Heading3"/>
        <w:numPr>
          <w:ilvl w:val="2"/>
          <w:numId w:val="17"/>
        </w:numPr>
        <w:spacing w:before="200" w:after="120" w:line="276" w:lineRule="auto"/>
        <w:ind w:left="851" w:hanging="851"/>
        <w:contextualSpacing w:val="0"/>
      </w:pPr>
      <w:bookmarkStart w:id="597" w:name="_Toc467745583"/>
      <w:bookmarkStart w:id="598" w:name="_Toc468204048"/>
      <w:r>
        <w:t>Classification</w:t>
      </w:r>
      <w:bookmarkEnd w:id="594"/>
      <w:bookmarkEnd w:id="595"/>
      <w:bookmarkEnd w:id="596"/>
      <w:bookmarkEnd w:id="597"/>
      <w:bookmarkEnd w:id="598"/>
    </w:p>
    <w:p w14:paraId="414B3E68" w14:textId="77777777" w:rsidR="006D09BD" w:rsidRPr="006D09BD" w:rsidRDefault="006D09BD">
      <w:pPr>
        <w:tabs>
          <w:tab w:val="left" w:pos="1162"/>
        </w:tabs>
        <w:rPr>
          <w:rFonts w:cs="Arial"/>
          <w:szCs w:val="20"/>
        </w:rPr>
      </w:pPr>
      <w:bookmarkStart w:id="599" w:name="_Ref436131273"/>
      <w:bookmarkStart w:id="600" w:name="_Toc466884197"/>
      <w:bookmarkStart w:id="601" w:name="_Toc467505210"/>
      <w:r w:rsidRPr="006D09BD">
        <w:rPr>
          <w:rFonts w:cs="Arial"/>
          <w:szCs w:val="20"/>
        </w:rPr>
        <w:t>Version 4 of the Australian National Subacute and Non-Acute Patient Classification (AN</w:t>
      </w:r>
      <w:r w:rsidRPr="006D09BD">
        <w:rPr>
          <w:rFonts w:cs="Arial"/>
          <w:szCs w:val="20"/>
        </w:rPr>
        <w:noBreakHyphen/>
        <w:t>SNAP v4) is used to classify admitted subacute and non-acute care. Where data on AN</w:t>
      </w:r>
      <w:r w:rsidRPr="006D09BD">
        <w:rPr>
          <w:rFonts w:cs="Arial"/>
          <w:szCs w:val="20"/>
        </w:rPr>
        <w:noBreakHyphen/>
        <w:t>SNAP classification is not available, the episodes are moved into the admitted acute care cost model.</w:t>
      </w:r>
    </w:p>
    <w:p w14:paraId="5E3343E7" w14:textId="77777777" w:rsidR="003642EA" w:rsidRDefault="003642EA">
      <w:pPr>
        <w:pStyle w:val="Heading3"/>
        <w:numPr>
          <w:ilvl w:val="2"/>
          <w:numId w:val="17"/>
        </w:numPr>
        <w:spacing w:before="200" w:after="120" w:line="276" w:lineRule="auto"/>
        <w:ind w:left="851" w:hanging="851"/>
        <w:contextualSpacing w:val="0"/>
      </w:pPr>
      <w:bookmarkStart w:id="602" w:name="_Toc467745584"/>
      <w:bookmarkStart w:id="603" w:name="_Toc468204049"/>
      <w:bookmarkStart w:id="604" w:name="_Ref468437118"/>
      <w:r w:rsidRPr="004715A4">
        <w:t xml:space="preserve">New </w:t>
      </w:r>
      <w:r>
        <w:t xml:space="preserve">methodology for </w:t>
      </w:r>
      <w:bookmarkEnd w:id="599"/>
      <w:r>
        <w:t>NEP17</w:t>
      </w:r>
      <w:bookmarkEnd w:id="600"/>
      <w:bookmarkEnd w:id="601"/>
      <w:bookmarkEnd w:id="602"/>
      <w:bookmarkEnd w:id="603"/>
      <w:bookmarkEnd w:id="604"/>
    </w:p>
    <w:p w14:paraId="5D87666F" w14:textId="77777777" w:rsidR="006D09BD" w:rsidRPr="00700CE8" w:rsidRDefault="006D09BD">
      <w:bookmarkStart w:id="605" w:name="_Toc380754740"/>
      <w:bookmarkStart w:id="606" w:name="_Toc466884198"/>
      <w:bookmarkStart w:id="607" w:name="_Toc467505211"/>
      <w:r w:rsidRPr="00700CE8">
        <w:t>As set out in NEP16, the inlier bound calculation differs from the acute admitted in that only the ABF L1.5H1.5 methodology is used for all AN-SNAP v4 classes, rehabilitation AN-SNAP v4 classes have a minimum lower bound of 7, while all AN-SNAP classes have a maximum upper bound of 20 days more than the average length of stay.</w:t>
      </w:r>
    </w:p>
    <w:p w14:paraId="2E71A36A" w14:textId="55D5DB3B" w:rsidR="006D09BD" w:rsidRPr="00700CE8" w:rsidRDefault="006D09BD">
      <w:r w:rsidRPr="006D09BD">
        <w:rPr>
          <w:rFonts w:cs="Arial"/>
          <w:iCs/>
          <w:szCs w:val="20"/>
        </w:rPr>
        <w:t>AN-SNAP v4</w:t>
      </w:r>
      <w:r w:rsidRPr="00700CE8">
        <w:t xml:space="preserve"> saw the introduction of paediatric AN-SNAP v4 classes for palliative care, rehabilitation and maintenance care types.  However, there was insufficient data to develop price weights for these new classes in NEP16. NHCDC Round 19 data has </w:t>
      </w:r>
      <w:r w:rsidR="00FD6A83">
        <w:t>enabled IHPA</w:t>
      </w:r>
      <w:r w:rsidRPr="00700CE8">
        <w:t xml:space="preserve"> to price rehabilitation and maintenance paediatric AN-SNAP </w:t>
      </w:r>
      <w:proofErr w:type="gramStart"/>
      <w:r w:rsidRPr="00700CE8">
        <w:t>classes,</w:t>
      </w:r>
      <w:proofErr w:type="gramEnd"/>
      <w:r w:rsidRPr="00700CE8">
        <w:t xml:space="preserve"> however paediatric care type per diems for palliative care will be retained due to insufficient data in these classes. </w:t>
      </w:r>
    </w:p>
    <w:p w14:paraId="5896F358" w14:textId="77777777" w:rsidR="006D09BD" w:rsidRPr="00700CE8" w:rsidRDefault="006D09BD">
      <w:r w:rsidRPr="00700CE8">
        <w:t>Analysis of Round 19 indicates that the paediatric palliative care type does not qualify for a same-day weight. Namely, less than 10 per cent of episodes are same-day.  As a result, a common weight has been adopted to cover both same-day and overnight as per NEP16 methodology.</w:t>
      </w:r>
    </w:p>
    <w:p w14:paraId="32026F01" w14:textId="59A24EE6" w:rsidR="006D09BD" w:rsidRPr="00700CE8" w:rsidRDefault="006D09BD">
      <w:r w:rsidRPr="00700CE8">
        <w:lastRenderedPageBreak/>
        <w:t xml:space="preserve">All episodes without a legitimate AN-SNAP classification have been transferred to the acute care model and paid according to their DRG classification, with the exception of paediatric palliative care episodes which </w:t>
      </w:r>
      <w:r w:rsidR="00FD6A83">
        <w:t>are</w:t>
      </w:r>
      <w:r w:rsidRPr="00700CE8">
        <w:t xml:space="preserve"> priced as per the above methodology. </w:t>
      </w:r>
    </w:p>
    <w:p w14:paraId="226952C1" w14:textId="68B92F74" w:rsidR="006D09BD" w:rsidRPr="006D09BD" w:rsidRDefault="00FD6A83">
      <w:pPr>
        <w:rPr>
          <w:rFonts w:cs="Arial"/>
          <w:szCs w:val="20"/>
        </w:rPr>
      </w:pPr>
      <w:r>
        <w:t xml:space="preserve">NEP17 and NEP16 both utilise AN-SNAP version 4, this has enabled IHPA to stabilise subacute inlier bounds. The stabilisation </w:t>
      </w:r>
      <w:proofErr w:type="gramStart"/>
      <w:r w:rsidR="006D09BD" w:rsidRPr="00700CE8">
        <w:t xml:space="preserve">methodology was consistent with the acute admitted model and used to </w:t>
      </w:r>
      <w:r w:rsidR="006D09BD" w:rsidRPr="006D09BD">
        <w:rPr>
          <w:rFonts w:cs="Arial"/>
          <w:szCs w:val="20"/>
        </w:rPr>
        <w:t>ensure any changes in bounds were the result of real change and were</w:t>
      </w:r>
      <w:proofErr w:type="gramEnd"/>
      <w:r w:rsidR="006D09BD" w:rsidRPr="006D09BD">
        <w:rPr>
          <w:rFonts w:cs="Arial"/>
          <w:szCs w:val="20"/>
        </w:rPr>
        <w:t xml:space="preserve"> not due to statistical noise. 95 per cent confidence intervals around bounds are used to evaluate changes as significant or not. Changes are also evaluated in terms of their materiality (required to affect at least 1 per cent of an AN-SNAP separations and at least 10</w:t>
      </w:r>
      <w:r w:rsidR="006D09BD" w:rsidRPr="00700CE8">
        <w:t> </w:t>
      </w:r>
      <w:r w:rsidR="006D09BD" w:rsidRPr="006D09BD">
        <w:rPr>
          <w:rFonts w:cs="Arial"/>
          <w:szCs w:val="20"/>
        </w:rPr>
        <w:t>separations).</w:t>
      </w:r>
    </w:p>
    <w:p w14:paraId="3D988457" w14:textId="77777777" w:rsidR="006D09BD" w:rsidRPr="00700CE8" w:rsidRDefault="006D09BD">
      <w:r w:rsidRPr="00700CE8">
        <w:t xml:space="preserve">The pricing stability policy has been applied to restrict year-to-year movement to a maximum of 20 per cent when there is no change in inlier bounds and there are less than 1000 episodes. This policy has been applied to two same day AN-SNAP weights and four inlier AN-SNAP weights in the model in the sub-acute model. </w:t>
      </w:r>
    </w:p>
    <w:p w14:paraId="64E4EE78" w14:textId="77777777" w:rsidR="003642EA" w:rsidRDefault="003642EA">
      <w:pPr>
        <w:pStyle w:val="Heading2"/>
        <w:numPr>
          <w:ilvl w:val="1"/>
          <w:numId w:val="17"/>
        </w:numPr>
        <w:ind w:left="567" w:right="-28" w:hanging="567"/>
      </w:pPr>
      <w:bookmarkStart w:id="608" w:name="_Toc467745585"/>
      <w:bookmarkStart w:id="609" w:name="_Toc467759580"/>
      <w:bookmarkStart w:id="610" w:name="_Toc468204050"/>
      <w:bookmarkStart w:id="611" w:name="_Toc476305235"/>
      <w:r w:rsidRPr="001E55B4">
        <w:t>Analysis of costs to derive NWAU for subacute admitted care</w:t>
      </w:r>
      <w:bookmarkEnd w:id="605"/>
      <w:bookmarkEnd w:id="606"/>
      <w:bookmarkEnd w:id="607"/>
      <w:bookmarkEnd w:id="608"/>
      <w:bookmarkEnd w:id="609"/>
      <w:bookmarkEnd w:id="610"/>
      <w:bookmarkEnd w:id="611"/>
    </w:p>
    <w:p w14:paraId="7E7BA634" w14:textId="77777777" w:rsidR="006D09BD" w:rsidRPr="00700CE8" w:rsidRDefault="006D09BD">
      <w:pPr>
        <w:tabs>
          <w:tab w:val="left" w:pos="1162"/>
        </w:tabs>
        <w:spacing w:before="120"/>
        <w:rPr>
          <w:rFonts w:cs="Arial"/>
          <w:szCs w:val="20"/>
        </w:rPr>
      </w:pPr>
      <w:r w:rsidRPr="00700CE8">
        <w:rPr>
          <w:rFonts w:cs="Arial"/>
          <w:szCs w:val="20"/>
        </w:rPr>
        <w:t>The following steps are taken in developing the cost parameters and weights for admitted subacute and non-acute care:</w:t>
      </w:r>
    </w:p>
    <w:p w14:paraId="68A414AC" w14:textId="77777777" w:rsidR="006D09BD" w:rsidRPr="00700CE8" w:rsidRDefault="006D09BD">
      <w:pPr>
        <w:pStyle w:val="ListParagraph"/>
        <w:numPr>
          <w:ilvl w:val="0"/>
          <w:numId w:val="35"/>
        </w:numPr>
        <w:tabs>
          <w:tab w:val="left" w:pos="1162"/>
        </w:tabs>
        <w:spacing w:after="200" w:line="276" w:lineRule="auto"/>
        <w:rPr>
          <w:rFonts w:cs="Arial"/>
          <w:szCs w:val="20"/>
        </w:rPr>
      </w:pPr>
      <w:r w:rsidRPr="00700CE8">
        <w:rPr>
          <w:rFonts w:cs="Arial"/>
          <w:szCs w:val="20"/>
        </w:rPr>
        <w:t>Data preparation.</w:t>
      </w:r>
    </w:p>
    <w:p w14:paraId="79B9E705" w14:textId="77777777" w:rsidR="006D09BD" w:rsidRPr="00700CE8" w:rsidRDefault="006D09BD">
      <w:pPr>
        <w:pStyle w:val="ListParagraph"/>
        <w:numPr>
          <w:ilvl w:val="0"/>
          <w:numId w:val="35"/>
        </w:numPr>
        <w:tabs>
          <w:tab w:val="left" w:pos="1162"/>
        </w:tabs>
        <w:spacing w:after="200" w:line="276" w:lineRule="auto"/>
        <w:rPr>
          <w:rFonts w:cs="Arial"/>
          <w:szCs w:val="20"/>
        </w:rPr>
      </w:pPr>
      <w:r w:rsidRPr="00700CE8">
        <w:rPr>
          <w:rFonts w:cs="Arial"/>
          <w:szCs w:val="20"/>
        </w:rPr>
        <w:t>Develop sample-to-population weights.</w:t>
      </w:r>
    </w:p>
    <w:p w14:paraId="6BE0912B" w14:textId="77777777" w:rsidR="006D09BD" w:rsidRPr="00700CE8" w:rsidRDefault="006D09BD">
      <w:pPr>
        <w:pStyle w:val="ListParagraph"/>
        <w:numPr>
          <w:ilvl w:val="0"/>
          <w:numId w:val="35"/>
        </w:numPr>
        <w:tabs>
          <w:tab w:val="left" w:pos="1162"/>
        </w:tabs>
        <w:spacing w:after="200" w:line="276" w:lineRule="auto"/>
        <w:rPr>
          <w:rFonts w:cs="Arial"/>
          <w:szCs w:val="20"/>
        </w:rPr>
      </w:pPr>
      <w:r w:rsidRPr="00700CE8">
        <w:rPr>
          <w:rFonts w:cs="Arial"/>
          <w:szCs w:val="20"/>
        </w:rPr>
        <w:t>Classify AN-SNAP episodes into relevant categories: inliers, short-stay and long-stay outliers using the ABF L1.5H1.5 methodology.</w:t>
      </w:r>
    </w:p>
    <w:p w14:paraId="212DFD42" w14:textId="77777777" w:rsidR="006D09BD" w:rsidRPr="00700CE8" w:rsidRDefault="006D09BD">
      <w:pPr>
        <w:pStyle w:val="ListParagraph"/>
        <w:numPr>
          <w:ilvl w:val="0"/>
          <w:numId w:val="35"/>
        </w:numPr>
        <w:tabs>
          <w:tab w:val="left" w:pos="1162"/>
        </w:tabs>
        <w:spacing w:after="200" w:line="276" w:lineRule="auto"/>
        <w:rPr>
          <w:rFonts w:cs="Arial"/>
          <w:szCs w:val="20"/>
        </w:rPr>
      </w:pPr>
      <w:r w:rsidRPr="00700CE8">
        <w:rPr>
          <w:rFonts w:cs="Arial"/>
          <w:szCs w:val="20"/>
        </w:rPr>
        <w:t>Apply Indigenous and remoteness adjustments inherited from the admitted acute care cost model.</w:t>
      </w:r>
    </w:p>
    <w:p w14:paraId="7C599055" w14:textId="77777777" w:rsidR="006D09BD" w:rsidRPr="00700CE8" w:rsidRDefault="006D09BD">
      <w:pPr>
        <w:pStyle w:val="ListParagraph"/>
        <w:numPr>
          <w:ilvl w:val="0"/>
          <w:numId w:val="35"/>
        </w:numPr>
        <w:tabs>
          <w:tab w:val="left" w:pos="1162"/>
        </w:tabs>
        <w:spacing w:after="200" w:line="276" w:lineRule="auto"/>
        <w:rPr>
          <w:rFonts w:cs="Arial"/>
          <w:szCs w:val="20"/>
        </w:rPr>
      </w:pPr>
      <w:r w:rsidRPr="00700CE8">
        <w:rPr>
          <w:rFonts w:cs="Arial"/>
          <w:szCs w:val="20"/>
        </w:rPr>
        <w:t>Derive private patient service adjustments for each care type.</w:t>
      </w:r>
    </w:p>
    <w:p w14:paraId="13031866" w14:textId="77777777" w:rsidR="006D09BD" w:rsidRPr="00700CE8" w:rsidRDefault="006D09BD">
      <w:pPr>
        <w:tabs>
          <w:tab w:val="left" w:pos="1162"/>
        </w:tabs>
        <w:rPr>
          <w:rFonts w:cs="Arial"/>
          <w:szCs w:val="20"/>
        </w:rPr>
      </w:pPr>
      <w:r w:rsidRPr="00700CE8">
        <w:rPr>
          <w:rFonts w:cs="Arial"/>
          <w:szCs w:val="20"/>
        </w:rPr>
        <w:t>These steps are described in more detail in the following sections.</w:t>
      </w:r>
    </w:p>
    <w:p w14:paraId="78CBBCEB" w14:textId="77777777" w:rsidR="006D09BD" w:rsidRPr="00700CE8" w:rsidRDefault="006D09BD">
      <w:pPr>
        <w:pStyle w:val="Heading3"/>
        <w:numPr>
          <w:ilvl w:val="2"/>
          <w:numId w:val="17"/>
        </w:numPr>
        <w:spacing w:before="200" w:after="120" w:line="276" w:lineRule="auto"/>
        <w:ind w:left="851" w:hanging="851"/>
        <w:contextualSpacing w:val="0"/>
      </w:pPr>
      <w:bookmarkStart w:id="612" w:name="_Toc380754741"/>
      <w:bookmarkStart w:id="613" w:name="_Toc466884199"/>
      <w:bookmarkStart w:id="614" w:name="_Toc467505212"/>
      <w:bookmarkStart w:id="615" w:name="_Toc467745586"/>
      <w:bookmarkStart w:id="616" w:name="_Toc468204051"/>
      <w:r w:rsidRPr="00700CE8">
        <w:t>Data preparation</w:t>
      </w:r>
      <w:bookmarkEnd w:id="612"/>
      <w:bookmarkEnd w:id="613"/>
      <w:bookmarkEnd w:id="614"/>
      <w:bookmarkEnd w:id="615"/>
      <w:bookmarkEnd w:id="616"/>
    </w:p>
    <w:p w14:paraId="3B1B8898" w14:textId="77777777" w:rsidR="006D09BD" w:rsidRDefault="006D09BD">
      <w:pPr>
        <w:tabs>
          <w:tab w:val="left" w:pos="1162"/>
        </w:tabs>
        <w:rPr>
          <w:rFonts w:cs="Arial"/>
          <w:szCs w:val="20"/>
        </w:rPr>
      </w:pPr>
      <w:r w:rsidRPr="00700CE8">
        <w:rPr>
          <w:rFonts w:cs="Arial"/>
          <w:szCs w:val="20"/>
        </w:rPr>
        <w:t>The 2014-15 admitted subacute cost sample consists of the following groups:</w:t>
      </w:r>
    </w:p>
    <w:p w14:paraId="1826B6BC" w14:textId="0379A567" w:rsidR="00293EA0" w:rsidRPr="00293EA0" w:rsidRDefault="00293EA0">
      <w:pPr>
        <w:spacing w:before="120" w:after="0" w:line="240" w:lineRule="auto"/>
        <w:rPr>
          <w:b/>
        </w:rPr>
      </w:pPr>
      <w:r w:rsidRPr="005E2928">
        <w:rPr>
          <w:b/>
        </w:rPr>
        <w:t xml:space="preserve">Table </w:t>
      </w:r>
      <w:r w:rsidRPr="005E2928">
        <w:rPr>
          <w:b/>
        </w:rPr>
        <w:fldChar w:fldCharType="begin"/>
      </w:r>
      <w:r w:rsidRPr="005E2928">
        <w:rPr>
          <w:b/>
        </w:rPr>
        <w:instrText xml:space="preserve"> SEQ Table \* ARABIC </w:instrText>
      </w:r>
      <w:r w:rsidRPr="005E2928">
        <w:rPr>
          <w:b/>
        </w:rPr>
        <w:fldChar w:fldCharType="separate"/>
      </w:r>
      <w:r w:rsidR="00F84458">
        <w:rPr>
          <w:b/>
          <w:noProof/>
        </w:rPr>
        <w:t>7</w:t>
      </w:r>
      <w:r w:rsidRPr="005E2928">
        <w:rPr>
          <w:b/>
        </w:rPr>
        <w:fldChar w:fldCharType="end"/>
      </w:r>
      <w:r w:rsidRPr="005E2928">
        <w:rPr>
          <w:b/>
        </w:rPr>
        <w:t xml:space="preserve">: Admitted </w:t>
      </w:r>
      <w:r>
        <w:rPr>
          <w:b/>
        </w:rPr>
        <w:t>subacute cost sample breakdown.</w:t>
      </w:r>
    </w:p>
    <w:tbl>
      <w:tblPr>
        <w:tblStyle w:val="TableGrid"/>
        <w:tblW w:w="0" w:type="auto"/>
        <w:tblLook w:val="04A0" w:firstRow="1" w:lastRow="0" w:firstColumn="1" w:lastColumn="0" w:noHBand="0" w:noVBand="1"/>
        <w:tblCaption w:val="Table 7: Admitted subacute cost sample breakdown."/>
      </w:tblPr>
      <w:tblGrid>
        <w:gridCol w:w="2229"/>
        <w:gridCol w:w="2528"/>
        <w:gridCol w:w="1980"/>
        <w:gridCol w:w="2280"/>
      </w:tblGrid>
      <w:tr w:rsidR="00293EA0" w:rsidRPr="00293EA0" w14:paraId="553638BD" w14:textId="77777777" w:rsidTr="001D6813">
        <w:trPr>
          <w:tblHeader/>
        </w:trPr>
        <w:tc>
          <w:tcPr>
            <w:tcW w:w="2229" w:type="dxa"/>
            <w:shd w:val="clear" w:color="auto" w:fill="288A32"/>
          </w:tcPr>
          <w:p w14:paraId="48074B50" w14:textId="24803766" w:rsidR="00207D84" w:rsidRPr="00293EA0" w:rsidRDefault="00207D84">
            <w:pPr>
              <w:tabs>
                <w:tab w:val="left" w:pos="1162"/>
              </w:tabs>
              <w:rPr>
                <w:rFonts w:cs="Arial"/>
                <w:b/>
                <w:color w:val="FFFFFF" w:themeColor="background1"/>
                <w:szCs w:val="20"/>
              </w:rPr>
            </w:pPr>
            <w:r w:rsidRPr="00293EA0">
              <w:rPr>
                <w:rFonts w:cs="Arial"/>
                <w:b/>
                <w:color w:val="FFFFFF" w:themeColor="background1"/>
                <w:szCs w:val="20"/>
              </w:rPr>
              <w:t>Group</w:t>
            </w:r>
          </w:p>
        </w:tc>
        <w:tc>
          <w:tcPr>
            <w:tcW w:w="2528" w:type="dxa"/>
            <w:shd w:val="clear" w:color="auto" w:fill="288A32"/>
          </w:tcPr>
          <w:p w14:paraId="5AE12603" w14:textId="0CF5F265" w:rsidR="00207D84" w:rsidRPr="00293EA0" w:rsidRDefault="00207D84" w:rsidP="00E0054C">
            <w:pPr>
              <w:tabs>
                <w:tab w:val="left" w:pos="1162"/>
              </w:tabs>
              <w:jc w:val="center"/>
              <w:rPr>
                <w:rFonts w:cs="Arial"/>
                <w:b/>
                <w:color w:val="FFFFFF" w:themeColor="background1"/>
                <w:szCs w:val="20"/>
              </w:rPr>
            </w:pPr>
            <w:r w:rsidRPr="00293EA0">
              <w:rPr>
                <w:rFonts w:cs="Arial"/>
                <w:b/>
                <w:color w:val="FFFFFF" w:themeColor="background1"/>
                <w:szCs w:val="20"/>
              </w:rPr>
              <w:t># Establishments</w:t>
            </w:r>
          </w:p>
        </w:tc>
        <w:tc>
          <w:tcPr>
            <w:tcW w:w="1980" w:type="dxa"/>
            <w:shd w:val="clear" w:color="auto" w:fill="288A32"/>
          </w:tcPr>
          <w:p w14:paraId="75041B24" w14:textId="16BDCD7E" w:rsidR="00207D84" w:rsidRPr="00293EA0" w:rsidRDefault="00207D84" w:rsidP="00E0054C">
            <w:pPr>
              <w:tabs>
                <w:tab w:val="left" w:pos="1162"/>
              </w:tabs>
              <w:jc w:val="center"/>
              <w:rPr>
                <w:rFonts w:cs="Arial"/>
                <w:b/>
                <w:color w:val="FFFFFF" w:themeColor="background1"/>
                <w:szCs w:val="20"/>
              </w:rPr>
            </w:pPr>
            <w:r w:rsidRPr="00293EA0">
              <w:rPr>
                <w:rFonts w:cs="Arial"/>
                <w:b/>
                <w:color w:val="FFFFFF" w:themeColor="background1"/>
                <w:szCs w:val="20"/>
              </w:rPr>
              <w:t>Total Records</w:t>
            </w:r>
          </w:p>
        </w:tc>
        <w:tc>
          <w:tcPr>
            <w:tcW w:w="2280" w:type="dxa"/>
            <w:shd w:val="clear" w:color="auto" w:fill="288A32"/>
          </w:tcPr>
          <w:p w14:paraId="0A7C14CA" w14:textId="33F29FF3" w:rsidR="00207D84" w:rsidRPr="00293EA0" w:rsidRDefault="00207D84" w:rsidP="00E0054C">
            <w:pPr>
              <w:tabs>
                <w:tab w:val="left" w:pos="1162"/>
              </w:tabs>
              <w:jc w:val="center"/>
              <w:rPr>
                <w:rFonts w:cs="Arial"/>
                <w:b/>
                <w:color w:val="FFFFFF" w:themeColor="background1"/>
                <w:szCs w:val="20"/>
              </w:rPr>
            </w:pPr>
            <w:r w:rsidRPr="00293EA0">
              <w:rPr>
                <w:rFonts w:cs="Arial"/>
                <w:b/>
                <w:color w:val="FFFFFF" w:themeColor="background1"/>
                <w:szCs w:val="20"/>
              </w:rPr>
              <w:t>Total Days</w:t>
            </w:r>
          </w:p>
        </w:tc>
      </w:tr>
      <w:tr w:rsidR="00207D84" w14:paraId="410A3D03" w14:textId="77777777" w:rsidTr="00207D84">
        <w:tc>
          <w:tcPr>
            <w:tcW w:w="2229" w:type="dxa"/>
          </w:tcPr>
          <w:p w14:paraId="1C2B7CB6" w14:textId="527C5248" w:rsidR="00207D84" w:rsidRDefault="00293EA0" w:rsidP="00560AC0">
            <w:pPr>
              <w:tabs>
                <w:tab w:val="left" w:pos="1162"/>
              </w:tabs>
              <w:rPr>
                <w:rFonts w:cs="Arial"/>
                <w:szCs w:val="20"/>
              </w:rPr>
            </w:pPr>
            <w:r>
              <w:rPr>
                <w:rFonts w:cs="Arial"/>
                <w:szCs w:val="20"/>
              </w:rPr>
              <w:t>Total NHCDC Sample</w:t>
            </w:r>
          </w:p>
        </w:tc>
        <w:tc>
          <w:tcPr>
            <w:tcW w:w="2528" w:type="dxa"/>
          </w:tcPr>
          <w:p w14:paraId="4B5C019F" w14:textId="19C10B67" w:rsidR="00207D84" w:rsidRDefault="00293EA0" w:rsidP="00E0054C">
            <w:pPr>
              <w:tabs>
                <w:tab w:val="left" w:pos="1162"/>
              </w:tabs>
              <w:jc w:val="center"/>
              <w:rPr>
                <w:rFonts w:cs="Arial"/>
                <w:szCs w:val="20"/>
              </w:rPr>
            </w:pPr>
            <w:r>
              <w:rPr>
                <w:rFonts w:cs="Arial"/>
                <w:szCs w:val="20"/>
              </w:rPr>
              <w:t>26</w:t>
            </w:r>
            <w:r w:rsidR="002A08CC">
              <w:rPr>
                <w:rFonts w:cs="Arial"/>
                <w:szCs w:val="20"/>
              </w:rPr>
              <w:t>4</w:t>
            </w:r>
          </w:p>
        </w:tc>
        <w:tc>
          <w:tcPr>
            <w:tcW w:w="1980" w:type="dxa"/>
          </w:tcPr>
          <w:p w14:paraId="35322AD7" w14:textId="1DDF28F0" w:rsidR="00207D84" w:rsidRDefault="002A08CC" w:rsidP="00E0054C">
            <w:pPr>
              <w:tabs>
                <w:tab w:val="left" w:pos="1162"/>
              </w:tabs>
              <w:jc w:val="center"/>
              <w:rPr>
                <w:rFonts w:cs="Arial"/>
                <w:szCs w:val="20"/>
              </w:rPr>
            </w:pPr>
            <w:r w:rsidRPr="002A08CC">
              <w:rPr>
                <w:rFonts w:cs="Arial"/>
                <w:szCs w:val="20"/>
              </w:rPr>
              <w:t>197</w:t>
            </w:r>
            <w:r>
              <w:rPr>
                <w:rFonts w:cs="Arial"/>
                <w:szCs w:val="20"/>
              </w:rPr>
              <w:t>,</w:t>
            </w:r>
            <w:r w:rsidRPr="002A08CC">
              <w:rPr>
                <w:rFonts w:cs="Arial"/>
                <w:szCs w:val="20"/>
              </w:rPr>
              <w:t>958</w:t>
            </w:r>
          </w:p>
        </w:tc>
        <w:tc>
          <w:tcPr>
            <w:tcW w:w="2280" w:type="dxa"/>
          </w:tcPr>
          <w:p w14:paraId="23B710BF" w14:textId="153253B6" w:rsidR="00207D84" w:rsidRDefault="002A08CC" w:rsidP="00E0054C">
            <w:pPr>
              <w:tabs>
                <w:tab w:val="left" w:pos="1162"/>
              </w:tabs>
              <w:jc w:val="center"/>
              <w:rPr>
                <w:rFonts w:cs="Arial"/>
                <w:szCs w:val="20"/>
              </w:rPr>
            </w:pPr>
            <w:r w:rsidRPr="002A08CC">
              <w:rPr>
                <w:rFonts w:cs="Arial"/>
                <w:szCs w:val="20"/>
              </w:rPr>
              <w:t>2</w:t>
            </w:r>
            <w:r>
              <w:rPr>
                <w:rFonts w:cs="Arial"/>
                <w:szCs w:val="20"/>
              </w:rPr>
              <w:t>,</w:t>
            </w:r>
            <w:r w:rsidRPr="002A08CC">
              <w:rPr>
                <w:rFonts w:cs="Arial"/>
                <w:szCs w:val="20"/>
              </w:rPr>
              <w:t>888</w:t>
            </w:r>
            <w:r>
              <w:rPr>
                <w:rFonts w:cs="Arial"/>
                <w:szCs w:val="20"/>
              </w:rPr>
              <w:t>,</w:t>
            </w:r>
            <w:r w:rsidRPr="002A08CC">
              <w:rPr>
                <w:rFonts w:cs="Arial"/>
                <w:szCs w:val="20"/>
              </w:rPr>
              <w:t>268</w:t>
            </w:r>
          </w:p>
        </w:tc>
      </w:tr>
      <w:tr w:rsidR="00207D84" w14:paraId="59074BE7" w14:textId="77777777" w:rsidTr="00207D84">
        <w:tc>
          <w:tcPr>
            <w:tcW w:w="2229" w:type="dxa"/>
          </w:tcPr>
          <w:p w14:paraId="40D37CD3" w14:textId="6CCB1A1D" w:rsidR="00207D84" w:rsidRDefault="00293EA0" w:rsidP="00560AC0">
            <w:pPr>
              <w:tabs>
                <w:tab w:val="left" w:pos="1162"/>
              </w:tabs>
              <w:rPr>
                <w:rFonts w:cs="Arial"/>
                <w:szCs w:val="20"/>
              </w:rPr>
            </w:pPr>
            <w:r>
              <w:rPr>
                <w:rFonts w:cs="Arial"/>
                <w:szCs w:val="20"/>
              </w:rPr>
              <w:t xml:space="preserve">AN-SNAP Classified data </w:t>
            </w:r>
          </w:p>
        </w:tc>
        <w:tc>
          <w:tcPr>
            <w:tcW w:w="2528" w:type="dxa"/>
          </w:tcPr>
          <w:p w14:paraId="0C68713D" w14:textId="46C21C66" w:rsidR="00207D84" w:rsidRDefault="00293EA0" w:rsidP="00E0054C">
            <w:pPr>
              <w:tabs>
                <w:tab w:val="left" w:pos="1162"/>
              </w:tabs>
              <w:jc w:val="center"/>
              <w:rPr>
                <w:rFonts w:cs="Arial"/>
                <w:szCs w:val="20"/>
              </w:rPr>
            </w:pPr>
            <w:r>
              <w:rPr>
                <w:rFonts w:cs="Arial"/>
                <w:szCs w:val="20"/>
              </w:rPr>
              <w:t>25</w:t>
            </w:r>
            <w:r w:rsidR="002A08CC">
              <w:rPr>
                <w:rFonts w:cs="Arial"/>
                <w:szCs w:val="20"/>
              </w:rPr>
              <w:t>1</w:t>
            </w:r>
          </w:p>
        </w:tc>
        <w:tc>
          <w:tcPr>
            <w:tcW w:w="1980" w:type="dxa"/>
          </w:tcPr>
          <w:p w14:paraId="4D86E794" w14:textId="1FC84023" w:rsidR="00207D84" w:rsidRDefault="00293EA0" w:rsidP="00E0054C">
            <w:pPr>
              <w:tabs>
                <w:tab w:val="left" w:pos="1162"/>
              </w:tabs>
              <w:jc w:val="center"/>
              <w:rPr>
                <w:rFonts w:cs="Arial"/>
                <w:szCs w:val="20"/>
              </w:rPr>
            </w:pPr>
            <w:r>
              <w:rPr>
                <w:rFonts w:cs="Arial"/>
                <w:szCs w:val="20"/>
              </w:rPr>
              <w:t>13</w:t>
            </w:r>
            <w:r w:rsidR="002A08CC">
              <w:rPr>
                <w:rFonts w:cs="Arial"/>
                <w:szCs w:val="20"/>
              </w:rPr>
              <w:t>4,136</w:t>
            </w:r>
          </w:p>
        </w:tc>
        <w:tc>
          <w:tcPr>
            <w:tcW w:w="2280" w:type="dxa"/>
          </w:tcPr>
          <w:p w14:paraId="1DCCE8AF" w14:textId="60513257" w:rsidR="00207D84" w:rsidRDefault="002A08CC" w:rsidP="00E0054C">
            <w:pPr>
              <w:tabs>
                <w:tab w:val="left" w:pos="1162"/>
              </w:tabs>
              <w:jc w:val="center"/>
              <w:rPr>
                <w:rFonts w:cs="Arial"/>
                <w:szCs w:val="20"/>
              </w:rPr>
            </w:pPr>
            <w:r w:rsidRPr="002A08CC">
              <w:rPr>
                <w:rFonts w:cs="Arial"/>
                <w:szCs w:val="20"/>
              </w:rPr>
              <w:t>1</w:t>
            </w:r>
            <w:r>
              <w:rPr>
                <w:rFonts w:cs="Arial"/>
                <w:szCs w:val="20"/>
              </w:rPr>
              <w:t>,</w:t>
            </w:r>
            <w:r w:rsidRPr="002A08CC">
              <w:rPr>
                <w:rFonts w:cs="Arial"/>
                <w:szCs w:val="20"/>
              </w:rPr>
              <w:t>836</w:t>
            </w:r>
            <w:r>
              <w:rPr>
                <w:rFonts w:cs="Arial"/>
                <w:szCs w:val="20"/>
              </w:rPr>
              <w:t>,</w:t>
            </w:r>
            <w:r w:rsidRPr="002A08CC">
              <w:rPr>
                <w:rFonts w:cs="Arial"/>
                <w:szCs w:val="20"/>
              </w:rPr>
              <w:t>785</w:t>
            </w:r>
          </w:p>
        </w:tc>
      </w:tr>
    </w:tbl>
    <w:p w14:paraId="0B66C970" w14:textId="2EF23F01" w:rsidR="006D09BD" w:rsidRPr="00700CE8" w:rsidRDefault="006D09BD" w:rsidP="00560AC0">
      <w:pPr>
        <w:tabs>
          <w:tab w:val="left" w:pos="1162"/>
        </w:tabs>
        <w:spacing w:before="200"/>
        <w:rPr>
          <w:rFonts w:cs="Arial"/>
          <w:szCs w:val="20"/>
        </w:rPr>
      </w:pPr>
      <w:r w:rsidRPr="00700CE8">
        <w:rPr>
          <w:rFonts w:cs="Arial"/>
          <w:szCs w:val="20"/>
        </w:rPr>
        <w:t xml:space="preserve">As in the admitted acute care cost model, HCP data was used to correct for the missing private patient costs in the NHCDC, as well as for subsequent estimates of private patient service adjustments (see </w:t>
      </w:r>
      <w:r w:rsidR="00FD6A83">
        <w:rPr>
          <w:rFonts w:cs="Arial"/>
          <w:szCs w:val="20"/>
        </w:rPr>
        <w:t>S</w:t>
      </w:r>
      <w:r w:rsidRPr="00700CE8">
        <w:rPr>
          <w:rFonts w:cs="Arial"/>
          <w:szCs w:val="20"/>
        </w:rPr>
        <w:t>ection</w:t>
      </w:r>
      <w:r w:rsidR="00FD6A83">
        <w:rPr>
          <w:rFonts w:cs="Arial"/>
          <w:szCs w:val="20"/>
        </w:rPr>
        <w:t xml:space="preserve"> </w:t>
      </w:r>
      <w:r w:rsidR="00FD6A83">
        <w:rPr>
          <w:rFonts w:cs="Arial"/>
          <w:szCs w:val="20"/>
        </w:rPr>
        <w:fldChar w:fldCharType="begin"/>
      </w:r>
      <w:r w:rsidR="00FD6A83">
        <w:rPr>
          <w:rFonts w:cs="Arial"/>
          <w:szCs w:val="20"/>
        </w:rPr>
        <w:instrText xml:space="preserve"> REF _Ref468436814 \r \h </w:instrText>
      </w:r>
      <w:r w:rsidR="00FD6A83">
        <w:rPr>
          <w:rFonts w:cs="Arial"/>
          <w:szCs w:val="20"/>
        </w:rPr>
      </w:r>
      <w:r w:rsidR="00FD6A83">
        <w:rPr>
          <w:rFonts w:cs="Arial"/>
          <w:szCs w:val="20"/>
        </w:rPr>
        <w:fldChar w:fldCharType="separate"/>
      </w:r>
      <w:r w:rsidR="00F84458">
        <w:rPr>
          <w:rFonts w:cs="Arial"/>
          <w:szCs w:val="20"/>
        </w:rPr>
        <w:t>2.2.10</w:t>
      </w:r>
      <w:r w:rsidR="00FD6A83">
        <w:rPr>
          <w:rFonts w:cs="Arial"/>
          <w:szCs w:val="20"/>
        </w:rPr>
        <w:fldChar w:fldCharType="end"/>
      </w:r>
      <w:r w:rsidR="00FD6A83">
        <w:rPr>
          <w:rFonts w:cs="Arial"/>
          <w:szCs w:val="20"/>
        </w:rPr>
        <w:t>)</w:t>
      </w:r>
      <w:r w:rsidRPr="00700CE8">
        <w:rPr>
          <w:rFonts w:cs="Arial"/>
          <w:szCs w:val="20"/>
        </w:rPr>
        <w:t>.</w:t>
      </w:r>
    </w:p>
    <w:p w14:paraId="014A8BA8" w14:textId="3DFB4B25" w:rsidR="006D09BD" w:rsidRPr="00700CE8" w:rsidRDefault="00293EA0">
      <w:pPr>
        <w:tabs>
          <w:tab w:val="left" w:pos="1162"/>
        </w:tabs>
        <w:rPr>
          <w:rFonts w:cs="Arial"/>
          <w:szCs w:val="20"/>
        </w:rPr>
      </w:pPr>
      <w:r>
        <w:rPr>
          <w:rFonts w:cs="Arial"/>
          <w:szCs w:val="20"/>
        </w:rPr>
        <w:t>T</w:t>
      </w:r>
      <w:r w:rsidR="006D09BD" w:rsidRPr="00700CE8">
        <w:rPr>
          <w:rFonts w:cs="Arial"/>
          <w:szCs w:val="20"/>
        </w:rPr>
        <w:t xml:space="preserve">he data was trimmed for extreme outliers using similar methodology to the admitted acute care cost model. The following data was not used to derive the AN-SNAP v4 cost profiles:  </w:t>
      </w:r>
    </w:p>
    <w:p w14:paraId="23DC67D3" w14:textId="77777777" w:rsidR="006D09BD" w:rsidRPr="00700CE8" w:rsidRDefault="006D09BD">
      <w:pPr>
        <w:pStyle w:val="ListParagraph"/>
        <w:numPr>
          <w:ilvl w:val="0"/>
          <w:numId w:val="45"/>
        </w:numPr>
        <w:tabs>
          <w:tab w:val="left" w:pos="1162"/>
        </w:tabs>
        <w:spacing w:after="200" w:line="276" w:lineRule="auto"/>
        <w:ind w:left="714" w:hanging="357"/>
        <w:rPr>
          <w:rFonts w:cs="Arial"/>
          <w:szCs w:val="20"/>
        </w:rPr>
      </w:pPr>
      <w:r w:rsidRPr="00700CE8">
        <w:rPr>
          <w:rFonts w:cs="Arial"/>
          <w:szCs w:val="20"/>
        </w:rPr>
        <w:t>Paediatric Palliative Care Records;</w:t>
      </w:r>
    </w:p>
    <w:p w14:paraId="5987E18B" w14:textId="77777777" w:rsidR="006D09BD" w:rsidRPr="00700CE8" w:rsidRDefault="006D09BD">
      <w:pPr>
        <w:pStyle w:val="ListParagraph"/>
        <w:numPr>
          <w:ilvl w:val="0"/>
          <w:numId w:val="45"/>
        </w:numPr>
        <w:tabs>
          <w:tab w:val="left" w:pos="1162"/>
        </w:tabs>
        <w:spacing w:after="200" w:line="276" w:lineRule="auto"/>
        <w:rPr>
          <w:rFonts w:cs="Arial"/>
          <w:szCs w:val="20"/>
        </w:rPr>
      </w:pPr>
      <w:r w:rsidRPr="00700CE8">
        <w:rPr>
          <w:rFonts w:cs="Arial"/>
          <w:szCs w:val="20"/>
        </w:rPr>
        <w:t>Records that had an in-scope cost of $0;</w:t>
      </w:r>
    </w:p>
    <w:p w14:paraId="4CE4794F" w14:textId="77777777" w:rsidR="006D09BD" w:rsidRPr="00700CE8" w:rsidRDefault="006D09BD">
      <w:pPr>
        <w:pStyle w:val="ListParagraph"/>
        <w:numPr>
          <w:ilvl w:val="0"/>
          <w:numId w:val="45"/>
        </w:numPr>
        <w:tabs>
          <w:tab w:val="left" w:pos="1162"/>
        </w:tabs>
        <w:spacing w:after="200" w:line="276" w:lineRule="auto"/>
        <w:rPr>
          <w:rFonts w:cs="Arial"/>
          <w:szCs w:val="20"/>
        </w:rPr>
      </w:pPr>
      <w:r w:rsidRPr="00700CE8">
        <w:rPr>
          <w:rFonts w:cs="Arial"/>
          <w:szCs w:val="20"/>
        </w:rPr>
        <w:t xml:space="preserve">Records with an Error or </w:t>
      </w:r>
      <w:proofErr w:type="spellStart"/>
      <w:r w:rsidRPr="00700CE8">
        <w:rPr>
          <w:rFonts w:cs="Arial"/>
          <w:szCs w:val="20"/>
        </w:rPr>
        <w:t>Ungroupable</w:t>
      </w:r>
      <w:proofErr w:type="spellEnd"/>
      <w:r w:rsidRPr="00700CE8">
        <w:rPr>
          <w:rFonts w:cs="Arial"/>
          <w:szCs w:val="20"/>
        </w:rPr>
        <w:t xml:space="preserve"> AN-SNAP v4 class;</w:t>
      </w:r>
    </w:p>
    <w:p w14:paraId="740EABC1" w14:textId="77777777" w:rsidR="006D09BD" w:rsidRPr="00700CE8" w:rsidRDefault="006D09BD">
      <w:pPr>
        <w:pStyle w:val="ListParagraph"/>
        <w:numPr>
          <w:ilvl w:val="0"/>
          <w:numId w:val="45"/>
        </w:numPr>
        <w:tabs>
          <w:tab w:val="left" w:pos="1162"/>
        </w:tabs>
        <w:spacing w:after="200" w:line="276" w:lineRule="auto"/>
        <w:rPr>
          <w:rFonts w:cs="Arial"/>
          <w:szCs w:val="20"/>
        </w:rPr>
      </w:pPr>
      <w:r w:rsidRPr="00700CE8">
        <w:rPr>
          <w:rFonts w:cs="Arial"/>
          <w:szCs w:val="20"/>
        </w:rPr>
        <w:lastRenderedPageBreak/>
        <w:t>Non-phase adult palliative care separations;</w:t>
      </w:r>
    </w:p>
    <w:p w14:paraId="71E00611" w14:textId="77777777" w:rsidR="006D09BD" w:rsidRPr="00700CE8" w:rsidRDefault="006D09BD">
      <w:pPr>
        <w:pStyle w:val="ListParagraph"/>
        <w:numPr>
          <w:ilvl w:val="0"/>
          <w:numId w:val="45"/>
        </w:numPr>
        <w:tabs>
          <w:tab w:val="left" w:pos="1162"/>
        </w:tabs>
        <w:spacing w:after="200" w:line="276" w:lineRule="auto"/>
        <w:rPr>
          <w:rFonts w:cs="Arial"/>
          <w:szCs w:val="20"/>
        </w:rPr>
      </w:pPr>
      <w:r w:rsidRPr="00700CE8">
        <w:rPr>
          <w:rFonts w:cs="Arial"/>
          <w:szCs w:val="20"/>
        </w:rPr>
        <w:t xml:space="preserve">Extreme cost outliers within an AN-SNAP v4 class. </w:t>
      </w:r>
    </w:p>
    <w:p w14:paraId="3A55BD3A" w14:textId="77777777" w:rsidR="006D09BD" w:rsidRPr="00700CE8" w:rsidRDefault="006D09BD">
      <w:pPr>
        <w:pStyle w:val="Heading3"/>
        <w:numPr>
          <w:ilvl w:val="2"/>
          <w:numId w:val="17"/>
        </w:numPr>
        <w:spacing w:before="200" w:after="120" w:line="276" w:lineRule="auto"/>
        <w:ind w:left="851" w:hanging="851"/>
        <w:contextualSpacing w:val="0"/>
      </w:pPr>
      <w:bookmarkStart w:id="617" w:name="_Toc380754742"/>
      <w:bookmarkStart w:id="618" w:name="_Toc466884200"/>
      <w:bookmarkStart w:id="619" w:name="_Toc467505213"/>
      <w:bookmarkStart w:id="620" w:name="_Toc467745587"/>
      <w:bookmarkStart w:id="621" w:name="_Toc468204052"/>
      <w:r w:rsidRPr="00700CE8">
        <w:t>Stratification and weighting</w:t>
      </w:r>
      <w:bookmarkEnd w:id="617"/>
      <w:bookmarkEnd w:id="618"/>
      <w:bookmarkEnd w:id="619"/>
      <w:bookmarkEnd w:id="620"/>
      <w:bookmarkEnd w:id="621"/>
    </w:p>
    <w:p w14:paraId="06492813" w14:textId="337A5985" w:rsidR="006D09BD" w:rsidRPr="00700CE8" w:rsidRDefault="006D09BD">
      <w:pPr>
        <w:tabs>
          <w:tab w:val="left" w:pos="1162"/>
        </w:tabs>
        <w:rPr>
          <w:rFonts w:cs="Arial"/>
          <w:szCs w:val="20"/>
        </w:rPr>
      </w:pPr>
      <w:r w:rsidRPr="00700CE8">
        <w:rPr>
          <w:rFonts w:cs="Arial"/>
          <w:szCs w:val="20"/>
        </w:rPr>
        <w:t>The sample of AN-SNAP classified data was weighted to account for the fact that the used sample excludes all activity with an admission date prior to 1 July 2014.</w:t>
      </w:r>
    </w:p>
    <w:p w14:paraId="3F9317C0" w14:textId="77777777" w:rsidR="006D09BD" w:rsidRPr="00700CE8" w:rsidRDefault="006D09BD">
      <w:pPr>
        <w:pStyle w:val="Heading3"/>
        <w:numPr>
          <w:ilvl w:val="2"/>
          <w:numId w:val="17"/>
        </w:numPr>
        <w:spacing w:before="200" w:after="120" w:line="276" w:lineRule="auto"/>
        <w:ind w:left="851" w:hanging="851"/>
        <w:contextualSpacing w:val="0"/>
      </w:pPr>
      <w:bookmarkStart w:id="622" w:name="_Toc380754743"/>
      <w:bookmarkStart w:id="623" w:name="_Toc466884201"/>
      <w:bookmarkStart w:id="624" w:name="_Toc467505214"/>
      <w:bookmarkStart w:id="625" w:name="_Toc467745588"/>
      <w:bookmarkStart w:id="626" w:name="_Toc468204053"/>
      <w:r w:rsidRPr="00700CE8">
        <w:t>Determining AN-SNAP Version 4 cost parameters</w:t>
      </w:r>
      <w:bookmarkEnd w:id="622"/>
      <w:bookmarkEnd w:id="623"/>
      <w:bookmarkEnd w:id="624"/>
      <w:bookmarkEnd w:id="625"/>
      <w:bookmarkEnd w:id="626"/>
    </w:p>
    <w:p w14:paraId="0902F918" w14:textId="77777777" w:rsidR="006D09BD" w:rsidRPr="00700CE8" w:rsidRDefault="006D09BD">
      <w:pPr>
        <w:tabs>
          <w:tab w:val="left" w:pos="1162"/>
        </w:tabs>
        <w:rPr>
          <w:rFonts w:cs="Arial"/>
          <w:szCs w:val="20"/>
        </w:rPr>
      </w:pPr>
      <w:r w:rsidRPr="00700CE8">
        <w:rPr>
          <w:rFonts w:cs="Arial"/>
          <w:szCs w:val="20"/>
        </w:rPr>
        <w:t xml:space="preserve">The AN-SNAP cost model parameters comprise the following: </w:t>
      </w:r>
    </w:p>
    <w:p w14:paraId="521AC71D" w14:textId="77777777" w:rsidR="006D09BD" w:rsidRPr="00700CE8" w:rsidRDefault="006D09BD">
      <w:pPr>
        <w:pStyle w:val="ListParagraph"/>
        <w:numPr>
          <w:ilvl w:val="0"/>
          <w:numId w:val="44"/>
        </w:numPr>
        <w:tabs>
          <w:tab w:val="left" w:pos="1162"/>
        </w:tabs>
        <w:spacing w:after="200" w:line="276" w:lineRule="auto"/>
        <w:rPr>
          <w:rFonts w:cs="Arial"/>
          <w:szCs w:val="20"/>
        </w:rPr>
      </w:pPr>
      <w:r w:rsidRPr="00700CE8">
        <w:rPr>
          <w:rFonts w:cs="Arial"/>
          <w:i/>
          <w:szCs w:val="20"/>
        </w:rPr>
        <w:t>Same Day Price Weight:</w:t>
      </w:r>
      <w:r w:rsidRPr="00700CE8">
        <w:rPr>
          <w:rFonts w:cs="Arial"/>
          <w:szCs w:val="20"/>
        </w:rPr>
        <w:t xml:space="preserve"> applicable to records within a Same Day SNAP class or admitted and discharged on the same day in a palliative care type. </w:t>
      </w:r>
    </w:p>
    <w:p w14:paraId="6855829E" w14:textId="77777777" w:rsidR="006D09BD" w:rsidRPr="00700CE8" w:rsidRDefault="006D09BD">
      <w:pPr>
        <w:pStyle w:val="ListParagraph"/>
        <w:numPr>
          <w:ilvl w:val="0"/>
          <w:numId w:val="44"/>
        </w:numPr>
        <w:tabs>
          <w:tab w:val="left" w:pos="1162"/>
        </w:tabs>
        <w:spacing w:after="200" w:line="276" w:lineRule="auto"/>
        <w:rPr>
          <w:rFonts w:cs="Arial"/>
          <w:szCs w:val="20"/>
        </w:rPr>
      </w:pPr>
      <w:r w:rsidRPr="00700CE8">
        <w:rPr>
          <w:rFonts w:cs="Arial"/>
          <w:i/>
          <w:szCs w:val="20"/>
        </w:rPr>
        <w:t xml:space="preserve">Short Stay Outlier Per Diem rate: </w:t>
      </w:r>
      <w:r w:rsidRPr="00700CE8">
        <w:rPr>
          <w:rFonts w:cs="Arial"/>
          <w:szCs w:val="20"/>
        </w:rPr>
        <w:t>applicable to records that are not same day and have a length of stay shorter than the lower bound.</w:t>
      </w:r>
    </w:p>
    <w:p w14:paraId="3380D47F" w14:textId="77777777" w:rsidR="006D09BD" w:rsidRPr="00700CE8" w:rsidRDefault="006D09BD">
      <w:pPr>
        <w:pStyle w:val="ListParagraph"/>
        <w:numPr>
          <w:ilvl w:val="0"/>
          <w:numId w:val="44"/>
        </w:numPr>
        <w:tabs>
          <w:tab w:val="left" w:pos="1162"/>
        </w:tabs>
        <w:spacing w:after="200" w:line="276" w:lineRule="auto"/>
        <w:rPr>
          <w:rFonts w:cs="Arial"/>
          <w:szCs w:val="20"/>
        </w:rPr>
      </w:pPr>
      <w:r w:rsidRPr="00700CE8">
        <w:rPr>
          <w:rFonts w:cs="Arial"/>
          <w:i/>
          <w:szCs w:val="20"/>
        </w:rPr>
        <w:t>Inlier Episodic Rate:</w:t>
      </w:r>
      <w:r w:rsidRPr="00700CE8">
        <w:rPr>
          <w:rFonts w:cs="Arial"/>
          <w:szCs w:val="20"/>
        </w:rPr>
        <w:t xml:space="preserve"> applicable to records with a length of stay within the upper and lower bound of the specific AN-SNAP v4 class.</w:t>
      </w:r>
    </w:p>
    <w:p w14:paraId="7064D198" w14:textId="77777777" w:rsidR="006D09BD" w:rsidRPr="00700CE8" w:rsidRDefault="006D09BD">
      <w:pPr>
        <w:pStyle w:val="ListParagraph"/>
        <w:numPr>
          <w:ilvl w:val="0"/>
          <w:numId w:val="44"/>
        </w:numPr>
        <w:tabs>
          <w:tab w:val="left" w:pos="1162"/>
        </w:tabs>
        <w:spacing w:after="200" w:line="276" w:lineRule="auto"/>
        <w:rPr>
          <w:rFonts w:cs="Arial"/>
          <w:szCs w:val="20"/>
        </w:rPr>
      </w:pPr>
      <w:r w:rsidRPr="00700CE8">
        <w:rPr>
          <w:rFonts w:cs="Arial"/>
          <w:i/>
          <w:szCs w:val="20"/>
        </w:rPr>
        <w:t xml:space="preserve">Long Stay Outlier </w:t>
      </w:r>
      <w:proofErr w:type="gramStart"/>
      <w:r w:rsidRPr="00700CE8">
        <w:rPr>
          <w:rFonts w:cs="Arial"/>
          <w:i/>
          <w:szCs w:val="20"/>
        </w:rPr>
        <w:t>Per</w:t>
      </w:r>
      <w:proofErr w:type="gramEnd"/>
      <w:r w:rsidRPr="00700CE8">
        <w:rPr>
          <w:rFonts w:cs="Arial"/>
          <w:i/>
          <w:szCs w:val="20"/>
        </w:rPr>
        <w:t xml:space="preserve"> Diem Rate:</w:t>
      </w:r>
      <w:r w:rsidRPr="00700CE8">
        <w:rPr>
          <w:rFonts w:cs="Arial"/>
          <w:szCs w:val="20"/>
        </w:rPr>
        <w:t xml:space="preserve"> applicable to records with a length of stay longer than the specified upper bound. </w:t>
      </w:r>
    </w:p>
    <w:p w14:paraId="66C99CAB" w14:textId="77777777" w:rsidR="006D09BD" w:rsidRPr="00700CE8" w:rsidRDefault="006D09BD">
      <w:pPr>
        <w:pStyle w:val="Heading3"/>
        <w:numPr>
          <w:ilvl w:val="2"/>
          <w:numId w:val="17"/>
        </w:numPr>
        <w:spacing w:before="200" w:after="120" w:line="276" w:lineRule="auto"/>
        <w:ind w:left="851" w:hanging="851"/>
        <w:contextualSpacing w:val="0"/>
      </w:pPr>
      <w:bookmarkStart w:id="627" w:name="_Toc380754744"/>
      <w:bookmarkStart w:id="628" w:name="_Toc466884202"/>
      <w:bookmarkStart w:id="629" w:name="_Toc467505215"/>
      <w:bookmarkStart w:id="630" w:name="_Toc467745589"/>
      <w:bookmarkStart w:id="631" w:name="_Toc468204054"/>
      <w:r w:rsidRPr="00700CE8">
        <w:t>Calculation of additional adjustments</w:t>
      </w:r>
      <w:bookmarkEnd w:id="627"/>
      <w:bookmarkEnd w:id="628"/>
      <w:bookmarkEnd w:id="629"/>
      <w:bookmarkEnd w:id="630"/>
      <w:bookmarkEnd w:id="631"/>
    </w:p>
    <w:p w14:paraId="5F8C2E0D" w14:textId="77777777" w:rsidR="006D09BD" w:rsidRPr="00700CE8" w:rsidRDefault="006D09BD">
      <w:pPr>
        <w:tabs>
          <w:tab w:val="left" w:pos="1162"/>
        </w:tabs>
        <w:rPr>
          <w:rFonts w:cs="Arial"/>
          <w:szCs w:val="20"/>
        </w:rPr>
      </w:pPr>
      <w:r w:rsidRPr="00700CE8">
        <w:rPr>
          <w:rFonts w:cs="Arial"/>
          <w:szCs w:val="20"/>
        </w:rPr>
        <w:t>The following adjustments were derived within the admitted subacute cost model:</w:t>
      </w:r>
    </w:p>
    <w:p w14:paraId="1FCF9213" w14:textId="77777777" w:rsidR="006D09BD" w:rsidRPr="00700CE8" w:rsidRDefault="006D09BD">
      <w:pPr>
        <w:pStyle w:val="ListParagraph"/>
        <w:numPr>
          <w:ilvl w:val="0"/>
          <w:numId w:val="36"/>
        </w:numPr>
        <w:tabs>
          <w:tab w:val="left" w:pos="1162"/>
        </w:tabs>
        <w:spacing w:after="200" w:line="276" w:lineRule="auto"/>
        <w:ind w:left="714" w:hanging="357"/>
        <w:rPr>
          <w:rFonts w:cs="Arial"/>
          <w:i/>
          <w:szCs w:val="20"/>
        </w:rPr>
      </w:pPr>
      <w:r w:rsidRPr="00700CE8">
        <w:rPr>
          <w:rFonts w:cs="Arial"/>
          <w:i/>
          <w:szCs w:val="20"/>
        </w:rPr>
        <w:t>Indigenous adjustment and remoteness adjustment</w:t>
      </w:r>
      <w:r w:rsidRPr="00700CE8">
        <w:rPr>
          <w:rFonts w:cs="Arial"/>
          <w:szCs w:val="20"/>
        </w:rPr>
        <w:t xml:space="preserve">: These adjustments are calculated in the same way as for the admitted acute model. The three components of the remoteness adjustment and Indigenous adjustment are harmonised and set to be equal to their counterparts in the admitted acute model. This is because they all differed from their acute counterpart only by a very small margin. </w:t>
      </w:r>
    </w:p>
    <w:p w14:paraId="7923A536" w14:textId="77777777" w:rsidR="006D09BD" w:rsidRPr="00700CE8" w:rsidRDefault="006D09BD">
      <w:pPr>
        <w:pStyle w:val="ListParagraph"/>
        <w:numPr>
          <w:ilvl w:val="0"/>
          <w:numId w:val="36"/>
        </w:numPr>
        <w:tabs>
          <w:tab w:val="left" w:pos="1162"/>
        </w:tabs>
        <w:spacing w:after="200" w:line="276" w:lineRule="auto"/>
        <w:ind w:left="714" w:hanging="357"/>
        <w:rPr>
          <w:rFonts w:cs="Arial"/>
          <w:szCs w:val="20"/>
        </w:rPr>
      </w:pPr>
      <w:r w:rsidRPr="00700CE8">
        <w:rPr>
          <w:rFonts w:cs="Arial"/>
          <w:i/>
          <w:szCs w:val="20"/>
        </w:rPr>
        <w:t xml:space="preserve">Private patient service adjustment: </w:t>
      </w:r>
      <w:r w:rsidRPr="00700CE8">
        <w:rPr>
          <w:rFonts w:cs="Arial"/>
          <w:szCs w:val="20"/>
        </w:rPr>
        <w:t>This adjustment is calculated by care type in the same way as it is calculated by AR-DRG within the admitted acute cost model.</w:t>
      </w:r>
    </w:p>
    <w:p w14:paraId="6785FF4D" w14:textId="2BC9AC14" w:rsidR="006D09BD" w:rsidRPr="00700CE8" w:rsidRDefault="006D09BD">
      <w:pPr>
        <w:pStyle w:val="ListParagraph"/>
        <w:numPr>
          <w:ilvl w:val="0"/>
          <w:numId w:val="36"/>
        </w:numPr>
        <w:tabs>
          <w:tab w:val="left" w:pos="1162"/>
        </w:tabs>
        <w:spacing w:after="200" w:line="276" w:lineRule="auto"/>
        <w:rPr>
          <w:rFonts w:cs="Arial"/>
          <w:szCs w:val="20"/>
        </w:rPr>
      </w:pPr>
      <w:r w:rsidRPr="00700CE8">
        <w:rPr>
          <w:rFonts w:cs="Arial"/>
          <w:i/>
          <w:szCs w:val="20"/>
        </w:rPr>
        <w:t xml:space="preserve">Private patient accommodation adjustment: </w:t>
      </w:r>
      <w:r w:rsidRPr="00700CE8">
        <w:rPr>
          <w:rFonts w:cs="Arial"/>
          <w:szCs w:val="20"/>
        </w:rPr>
        <w:t xml:space="preserve">This adjustment is identical to that of the admitted acute cost model (see </w:t>
      </w:r>
      <w:r w:rsidR="00A83F3A">
        <w:rPr>
          <w:rFonts w:cs="Arial"/>
          <w:szCs w:val="20"/>
        </w:rPr>
        <w:t xml:space="preserve">Section </w:t>
      </w:r>
      <w:r w:rsidR="00A83F3A">
        <w:rPr>
          <w:rFonts w:cs="Arial"/>
          <w:szCs w:val="20"/>
        </w:rPr>
        <w:fldChar w:fldCharType="begin"/>
      </w:r>
      <w:r w:rsidR="00A83F3A">
        <w:rPr>
          <w:rFonts w:cs="Arial"/>
          <w:szCs w:val="20"/>
        </w:rPr>
        <w:instrText xml:space="preserve"> REF _Ref468442021 \r \h </w:instrText>
      </w:r>
      <w:r w:rsidR="00A83F3A">
        <w:rPr>
          <w:rFonts w:cs="Arial"/>
          <w:szCs w:val="20"/>
        </w:rPr>
      </w:r>
      <w:r w:rsidR="00A83F3A">
        <w:rPr>
          <w:rFonts w:cs="Arial"/>
          <w:szCs w:val="20"/>
        </w:rPr>
        <w:fldChar w:fldCharType="separate"/>
      </w:r>
      <w:r w:rsidR="00F84458">
        <w:rPr>
          <w:rFonts w:cs="Arial"/>
          <w:szCs w:val="20"/>
        </w:rPr>
        <w:t>2.2.10</w:t>
      </w:r>
      <w:r w:rsidR="00A83F3A">
        <w:rPr>
          <w:rFonts w:cs="Arial"/>
          <w:szCs w:val="20"/>
        </w:rPr>
        <w:fldChar w:fldCharType="end"/>
      </w:r>
      <w:r w:rsidRPr="00700CE8">
        <w:rPr>
          <w:rFonts w:cs="Arial"/>
          <w:szCs w:val="20"/>
        </w:rPr>
        <w:t>).</w:t>
      </w:r>
    </w:p>
    <w:p w14:paraId="1AA02263" w14:textId="77777777" w:rsidR="006D09BD" w:rsidRPr="00700CE8" w:rsidRDefault="006D09BD">
      <w:pPr>
        <w:tabs>
          <w:tab w:val="left" w:pos="1162"/>
        </w:tabs>
        <w:rPr>
          <w:rFonts w:cs="Arial"/>
          <w:szCs w:val="20"/>
        </w:rPr>
      </w:pPr>
      <w:r w:rsidRPr="00700CE8">
        <w:rPr>
          <w:rFonts w:cs="Arial"/>
          <w:szCs w:val="20"/>
        </w:rPr>
        <w:t xml:space="preserve">In summary, the </w:t>
      </w:r>
      <w:proofErr w:type="gramStart"/>
      <w:r w:rsidRPr="00700CE8">
        <w:rPr>
          <w:rFonts w:cs="Arial"/>
          <w:szCs w:val="20"/>
        </w:rPr>
        <w:t>proportion</w:t>
      </w:r>
      <w:proofErr w:type="gramEnd"/>
      <w:r w:rsidRPr="00700CE8">
        <w:rPr>
          <w:rFonts w:cs="Arial"/>
          <w:szCs w:val="20"/>
        </w:rPr>
        <w:t xml:space="preserve"> of NHCDC activity for which the adjustments apply are as follows:</w:t>
      </w:r>
    </w:p>
    <w:p w14:paraId="0C53FBA5" w14:textId="77777777" w:rsidR="006D09BD" w:rsidRPr="00700CE8" w:rsidRDefault="006D09BD">
      <w:pPr>
        <w:pStyle w:val="ListParagraph"/>
        <w:numPr>
          <w:ilvl w:val="0"/>
          <w:numId w:val="37"/>
        </w:numPr>
        <w:tabs>
          <w:tab w:val="left" w:pos="1162"/>
        </w:tabs>
        <w:spacing w:before="80" w:after="200" w:line="276" w:lineRule="auto"/>
        <w:ind w:left="714" w:hanging="357"/>
        <w:rPr>
          <w:rFonts w:cs="Arial"/>
          <w:szCs w:val="20"/>
        </w:rPr>
      </w:pPr>
      <w:r w:rsidRPr="00700CE8">
        <w:rPr>
          <w:rFonts w:cs="Arial"/>
          <w:szCs w:val="20"/>
        </w:rPr>
        <w:t>The Indigenous adjustment applied to 1.3 per cent of subacute activity.</w:t>
      </w:r>
    </w:p>
    <w:p w14:paraId="0CE9ADF4" w14:textId="77777777" w:rsidR="006D09BD" w:rsidRPr="00700CE8" w:rsidRDefault="006D09BD">
      <w:pPr>
        <w:pStyle w:val="ListParagraph"/>
        <w:numPr>
          <w:ilvl w:val="0"/>
          <w:numId w:val="37"/>
        </w:numPr>
        <w:tabs>
          <w:tab w:val="left" w:pos="1162"/>
        </w:tabs>
        <w:spacing w:before="80" w:after="200" w:line="276" w:lineRule="auto"/>
        <w:ind w:left="714" w:hanging="357"/>
        <w:rPr>
          <w:rFonts w:cs="Arial"/>
          <w:szCs w:val="20"/>
        </w:rPr>
      </w:pPr>
      <w:r w:rsidRPr="00700CE8">
        <w:rPr>
          <w:rFonts w:cs="Arial"/>
          <w:szCs w:val="20"/>
        </w:rPr>
        <w:t>The remoteness adjustment applied to 3.4 per cent of subacute activity.</w:t>
      </w:r>
    </w:p>
    <w:p w14:paraId="7BC32847" w14:textId="77777777" w:rsidR="006D09BD" w:rsidRPr="00700CE8" w:rsidRDefault="006D09BD">
      <w:pPr>
        <w:pStyle w:val="ListParagraph"/>
        <w:numPr>
          <w:ilvl w:val="0"/>
          <w:numId w:val="37"/>
        </w:numPr>
        <w:tabs>
          <w:tab w:val="left" w:pos="1162"/>
        </w:tabs>
        <w:spacing w:before="80" w:after="200" w:line="276" w:lineRule="auto"/>
        <w:ind w:left="714" w:hanging="357"/>
        <w:rPr>
          <w:rFonts w:cs="Arial"/>
          <w:szCs w:val="20"/>
        </w:rPr>
      </w:pPr>
      <w:r w:rsidRPr="00700CE8">
        <w:rPr>
          <w:rFonts w:cs="Arial"/>
          <w:szCs w:val="20"/>
        </w:rPr>
        <w:t>The private patient adjustments applied to 25.4 per cent of subacute activity.</w:t>
      </w:r>
    </w:p>
    <w:p w14:paraId="08ED264E" w14:textId="77777777" w:rsidR="006D09BD" w:rsidRPr="00700CE8" w:rsidRDefault="006D09BD">
      <w:pPr>
        <w:tabs>
          <w:tab w:val="left" w:pos="1162"/>
        </w:tabs>
        <w:spacing w:before="200"/>
        <w:rPr>
          <w:rFonts w:cs="Arial"/>
          <w:szCs w:val="20"/>
        </w:rPr>
      </w:pPr>
      <w:r w:rsidRPr="00700CE8">
        <w:t>T</w:t>
      </w:r>
      <w:r w:rsidRPr="00700CE8">
        <w:rPr>
          <w:rFonts w:cs="Arial"/>
          <w:szCs w:val="20"/>
        </w:rPr>
        <w:t>he cost model (including all adjustments except the private patient adjustments) was then calibrated to ensure model costs are equalised against actual costs.</w:t>
      </w:r>
    </w:p>
    <w:p w14:paraId="0CE33137" w14:textId="77777777" w:rsidR="006D09BD" w:rsidRPr="00700CE8" w:rsidRDefault="006D09BD">
      <w:pPr>
        <w:pStyle w:val="Heading3"/>
        <w:numPr>
          <w:ilvl w:val="2"/>
          <w:numId w:val="17"/>
        </w:numPr>
        <w:spacing w:before="200" w:after="120" w:line="276" w:lineRule="auto"/>
        <w:ind w:left="851" w:hanging="851"/>
        <w:contextualSpacing w:val="0"/>
      </w:pPr>
      <w:bookmarkStart w:id="632" w:name="_Toc466884203"/>
      <w:bookmarkStart w:id="633" w:name="_Toc467505216"/>
      <w:bookmarkStart w:id="634" w:name="_Toc467745590"/>
      <w:bookmarkStart w:id="635" w:name="_Toc468204055"/>
      <w:bookmarkStart w:id="636" w:name="_Toc380754745"/>
      <w:r w:rsidRPr="00700CE8">
        <w:t>Calculation of Paediatric care type per diem</w:t>
      </w:r>
      <w:bookmarkEnd w:id="632"/>
      <w:bookmarkEnd w:id="633"/>
      <w:bookmarkEnd w:id="634"/>
      <w:bookmarkEnd w:id="635"/>
    </w:p>
    <w:p w14:paraId="02E3CB46" w14:textId="11F505FA" w:rsidR="006D09BD" w:rsidRPr="00700CE8" w:rsidRDefault="006D09BD">
      <w:r w:rsidRPr="00700CE8">
        <w:t xml:space="preserve">As outlined in </w:t>
      </w:r>
      <w:r w:rsidR="00FD6A83">
        <w:t>S</w:t>
      </w:r>
      <w:r w:rsidRPr="00700CE8">
        <w:t>ection</w:t>
      </w:r>
      <w:r w:rsidR="00FD6A83">
        <w:t xml:space="preserve"> </w:t>
      </w:r>
      <w:r w:rsidR="00FD6A83">
        <w:fldChar w:fldCharType="begin"/>
      </w:r>
      <w:r w:rsidR="00FD6A83">
        <w:instrText xml:space="preserve"> REF _Ref468437118 \r \h </w:instrText>
      </w:r>
      <w:r w:rsidR="00FD6A83">
        <w:fldChar w:fldCharType="separate"/>
      </w:r>
      <w:r w:rsidR="00F84458">
        <w:t>4.1.4</w:t>
      </w:r>
      <w:r w:rsidR="00FD6A83">
        <w:fldChar w:fldCharType="end"/>
      </w:r>
      <w:r w:rsidRPr="00700CE8">
        <w:t xml:space="preserve">, the paediatric palliative care type has a single rate due to insufficient same day records.  This rate is determined by dividing the average cost by the average LOS for the whole care type (both same day and overnight). </w:t>
      </w:r>
    </w:p>
    <w:p w14:paraId="77F9EA0F" w14:textId="77777777" w:rsidR="006D09BD" w:rsidRPr="00700CE8" w:rsidRDefault="006D09BD">
      <w:pPr>
        <w:pStyle w:val="Heading3"/>
        <w:numPr>
          <w:ilvl w:val="2"/>
          <w:numId w:val="17"/>
        </w:numPr>
        <w:spacing w:before="200" w:after="120" w:line="276" w:lineRule="auto"/>
        <w:ind w:left="851" w:hanging="851"/>
        <w:contextualSpacing w:val="0"/>
      </w:pPr>
      <w:bookmarkStart w:id="637" w:name="_Toc466884204"/>
      <w:bookmarkStart w:id="638" w:name="_Toc467505217"/>
      <w:bookmarkStart w:id="639" w:name="_Toc467745591"/>
      <w:bookmarkStart w:id="640" w:name="_Toc468204056"/>
      <w:r w:rsidRPr="00700CE8">
        <w:t>Subacute and non-acute stabilisation</w:t>
      </w:r>
      <w:bookmarkEnd w:id="637"/>
      <w:bookmarkEnd w:id="638"/>
      <w:bookmarkEnd w:id="639"/>
      <w:bookmarkEnd w:id="640"/>
    </w:p>
    <w:p w14:paraId="4995330B" w14:textId="7FF2F838" w:rsidR="006D09BD" w:rsidRPr="00700CE8" w:rsidRDefault="006D09BD">
      <w:pPr>
        <w:rPr>
          <w:rFonts w:cs="Arial"/>
        </w:rPr>
      </w:pPr>
      <w:r w:rsidRPr="00700CE8">
        <w:rPr>
          <w:rFonts w:cs="Arial"/>
        </w:rPr>
        <w:t xml:space="preserve">Refer to </w:t>
      </w:r>
      <w:r w:rsidR="00A83F3A">
        <w:rPr>
          <w:rFonts w:cs="Arial"/>
        </w:rPr>
        <w:t>Section</w:t>
      </w:r>
      <w:r w:rsidRPr="00700CE8">
        <w:rPr>
          <w:rFonts w:cs="Arial"/>
        </w:rPr>
        <w:t xml:space="preserve"> </w:t>
      </w:r>
      <w:r w:rsidR="00A47F5F">
        <w:rPr>
          <w:rFonts w:cs="Arial"/>
        </w:rPr>
        <w:fldChar w:fldCharType="begin"/>
      </w:r>
      <w:r w:rsidR="00A47F5F">
        <w:rPr>
          <w:rFonts w:cs="Arial"/>
        </w:rPr>
        <w:instrText xml:space="preserve"> REF _Ref468264184 \r \h </w:instrText>
      </w:r>
      <w:r w:rsidR="00560AC0">
        <w:rPr>
          <w:rFonts w:cs="Arial"/>
        </w:rPr>
        <w:instrText xml:space="preserve"> \* MERGEFORMAT </w:instrText>
      </w:r>
      <w:r w:rsidR="00A47F5F">
        <w:rPr>
          <w:rFonts w:cs="Arial"/>
        </w:rPr>
      </w:r>
      <w:r w:rsidR="00A47F5F">
        <w:rPr>
          <w:rFonts w:cs="Arial"/>
        </w:rPr>
        <w:fldChar w:fldCharType="separate"/>
      </w:r>
      <w:r w:rsidR="00F84458">
        <w:rPr>
          <w:rFonts w:cs="Arial"/>
        </w:rPr>
        <w:t>2.2.13</w:t>
      </w:r>
      <w:r w:rsidR="00A47F5F">
        <w:rPr>
          <w:rFonts w:cs="Arial"/>
        </w:rPr>
        <w:fldChar w:fldCharType="end"/>
      </w:r>
      <w:r w:rsidRPr="00700CE8">
        <w:rPr>
          <w:rFonts w:cs="Arial"/>
        </w:rPr>
        <w:t xml:space="preserve"> for information about the stabilisation process.  The same methodology has been applied to the admitted subacute and non-acute cost model.</w:t>
      </w:r>
    </w:p>
    <w:p w14:paraId="7BD405A2" w14:textId="77777777" w:rsidR="006D09BD" w:rsidRPr="00700CE8" w:rsidRDefault="006D09BD">
      <w:pPr>
        <w:pStyle w:val="Heading3"/>
        <w:numPr>
          <w:ilvl w:val="2"/>
          <w:numId w:val="17"/>
        </w:numPr>
        <w:spacing w:before="200" w:after="120" w:line="276" w:lineRule="auto"/>
        <w:ind w:left="851" w:hanging="851"/>
        <w:contextualSpacing w:val="0"/>
      </w:pPr>
      <w:bookmarkStart w:id="641" w:name="_Toc466884205"/>
      <w:bookmarkStart w:id="642" w:name="_Toc467505218"/>
      <w:bookmarkStart w:id="643" w:name="_Toc467745592"/>
      <w:bookmarkStart w:id="644" w:name="_Toc468204057"/>
      <w:r w:rsidRPr="00700CE8">
        <w:lastRenderedPageBreak/>
        <w:t>Price weights and NWAU</w:t>
      </w:r>
      <w:bookmarkEnd w:id="636"/>
      <w:bookmarkEnd w:id="641"/>
      <w:bookmarkEnd w:id="642"/>
      <w:bookmarkEnd w:id="643"/>
      <w:bookmarkEnd w:id="644"/>
    </w:p>
    <w:p w14:paraId="0FE9137D" w14:textId="19D04321" w:rsidR="006D09BD" w:rsidRPr="00C17FFA" w:rsidRDefault="006D09BD">
      <w:pPr>
        <w:tabs>
          <w:tab w:val="left" w:pos="1162"/>
        </w:tabs>
        <w:rPr>
          <w:rFonts w:cs="Arial"/>
        </w:rPr>
      </w:pPr>
      <w:bookmarkStart w:id="645" w:name="_Toc380754746"/>
      <w:r w:rsidRPr="00700CE8">
        <w:rPr>
          <w:rFonts w:cs="Arial"/>
        </w:rPr>
        <w:t xml:space="preserve">The conversion of cost parameters to price weights involves dividing the dollar-valued cost parameters by the reference cost (from the </w:t>
      </w:r>
      <w:r w:rsidRPr="00700CE8">
        <w:rPr>
          <w:rFonts w:cs="Arial"/>
          <w:szCs w:val="20"/>
        </w:rPr>
        <w:t>admitted</w:t>
      </w:r>
      <w:r w:rsidRPr="00700CE8">
        <w:rPr>
          <w:rFonts w:cs="Arial"/>
        </w:rPr>
        <w:t xml:space="preserve"> acute care cost model) to obtain cost weights. The same reference cost is used across all streams of activity and is discussed in </w:t>
      </w:r>
      <w:r w:rsidR="00A47F5F">
        <w:rPr>
          <w:rFonts w:cs="Arial"/>
        </w:rPr>
        <w:t>S</w:t>
      </w:r>
      <w:r w:rsidRPr="00700CE8">
        <w:rPr>
          <w:rFonts w:cs="Arial"/>
        </w:rPr>
        <w:t>ection </w:t>
      </w:r>
      <w:r w:rsidR="00A47F5F">
        <w:rPr>
          <w:rFonts w:cs="Arial"/>
        </w:rPr>
        <w:fldChar w:fldCharType="begin"/>
      </w:r>
      <w:r w:rsidR="00A47F5F">
        <w:rPr>
          <w:rFonts w:cs="Arial"/>
        </w:rPr>
        <w:instrText xml:space="preserve"> REF _Ref468264212 \r \h </w:instrText>
      </w:r>
      <w:r w:rsidR="00560AC0">
        <w:rPr>
          <w:rFonts w:cs="Arial"/>
        </w:rPr>
        <w:instrText xml:space="preserve"> \* MERGEFORMAT </w:instrText>
      </w:r>
      <w:r w:rsidR="00A47F5F">
        <w:rPr>
          <w:rFonts w:cs="Arial"/>
        </w:rPr>
      </w:r>
      <w:r w:rsidR="00A47F5F">
        <w:rPr>
          <w:rFonts w:cs="Arial"/>
        </w:rPr>
        <w:fldChar w:fldCharType="separate"/>
      </w:r>
      <w:r w:rsidR="00F84458">
        <w:rPr>
          <w:rFonts w:cs="Arial"/>
        </w:rPr>
        <w:t>7</w:t>
      </w:r>
      <w:r w:rsidR="00A47F5F">
        <w:rPr>
          <w:rFonts w:cs="Arial"/>
        </w:rPr>
        <w:fldChar w:fldCharType="end"/>
      </w:r>
      <w:r w:rsidRPr="00700CE8">
        <w:rPr>
          <w:rFonts w:cs="Arial"/>
        </w:rPr>
        <w:t>.</w:t>
      </w:r>
    </w:p>
    <w:p w14:paraId="7B9D4ACB" w14:textId="77777777" w:rsidR="006D09BD" w:rsidRDefault="006D09BD">
      <w:pPr>
        <w:pStyle w:val="Heading2"/>
        <w:numPr>
          <w:ilvl w:val="1"/>
          <w:numId w:val="17"/>
        </w:numPr>
        <w:ind w:left="567" w:right="-28" w:hanging="567"/>
      </w:pPr>
      <w:bookmarkStart w:id="646" w:name="_Toc466884206"/>
      <w:bookmarkStart w:id="647" w:name="_Toc467505219"/>
      <w:bookmarkStart w:id="648" w:name="_Toc467745593"/>
      <w:bookmarkStart w:id="649" w:name="_Toc467759581"/>
      <w:bookmarkStart w:id="650" w:name="_Toc468204058"/>
      <w:bookmarkStart w:id="651" w:name="_Toc476305236"/>
      <w:r>
        <w:t>Applying the NEP</w:t>
      </w:r>
      <w:bookmarkEnd w:id="645"/>
      <w:bookmarkEnd w:id="646"/>
      <w:bookmarkEnd w:id="647"/>
      <w:bookmarkEnd w:id="648"/>
      <w:bookmarkEnd w:id="649"/>
      <w:bookmarkEnd w:id="650"/>
      <w:bookmarkEnd w:id="651"/>
    </w:p>
    <w:p w14:paraId="5C4B4A47" w14:textId="77777777" w:rsidR="006D09BD" w:rsidRDefault="006D09BD">
      <w:pPr>
        <w:tabs>
          <w:tab w:val="left" w:pos="1162"/>
        </w:tabs>
        <w:spacing w:before="120"/>
        <w:rPr>
          <w:rFonts w:cs="Arial"/>
        </w:rPr>
      </w:pPr>
      <w:r w:rsidRPr="00E36060">
        <w:rPr>
          <w:rFonts w:cs="Arial"/>
        </w:rPr>
        <w:t xml:space="preserve">As set out in </w:t>
      </w:r>
      <w:r>
        <w:rPr>
          <w:rFonts w:cs="Arial"/>
        </w:rPr>
        <w:t>the NEP17</w:t>
      </w:r>
      <w:r w:rsidRPr="000B33D2">
        <w:rPr>
          <w:rFonts w:cs="Arial"/>
        </w:rPr>
        <w:t xml:space="preserve"> Determination</w:t>
      </w:r>
      <w:r w:rsidRPr="00E36060">
        <w:rPr>
          <w:rFonts w:cs="Arial"/>
        </w:rPr>
        <w:t xml:space="preserve">, the price of an ABF </w:t>
      </w:r>
      <w:r>
        <w:rPr>
          <w:rFonts w:cs="Arial"/>
          <w:szCs w:val="20"/>
        </w:rPr>
        <w:t>admitted</w:t>
      </w:r>
      <w:r>
        <w:rPr>
          <w:rFonts w:cs="Arial"/>
        </w:rPr>
        <w:t xml:space="preserve"> subacute a</w:t>
      </w:r>
      <w:r w:rsidRPr="00E36060">
        <w:rPr>
          <w:rFonts w:cs="Arial"/>
        </w:rPr>
        <w:t>ctivity is calculated using the following formula, with adjustments applied as applicable:</w:t>
      </w:r>
    </w:p>
    <w:p w14:paraId="4F6D5B6F" w14:textId="77777777" w:rsidR="006D09BD" w:rsidRPr="009F697A" w:rsidRDefault="006D09BD" w:rsidP="002D606E">
      <w:pPr>
        <w:tabs>
          <w:tab w:val="left" w:pos="1162"/>
        </w:tabs>
        <w:spacing w:before="120"/>
        <w:rPr>
          <w:rFonts w:cs="Arial"/>
          <w:b/>
        </w:rPr>
      </w:pPr>
      <w:r w:rsidRPr="009F697A">
        <w:rPr>
          <w:rFonts w:cs="Arial"/>
          <w:b/>
        </w:rPr>
        <w:t>Price of an admitt</w:t>
      </w:r>
      <w:r>
        <w:rPr>
          <w:rFonts w:cs="Arial"/>
          <w:b/>
        </w:rPr>
        <w:t>ed subacute ABF activity</w:t>
      </w:r>
    </w:p>
    <w:p w14:paraId="3159A2C4" w14:textId="77777777" w:rsidR="006D09BD" w:rsidRPr="00E90F0A" w:rsidRDefault="006D09BD" w:rsidP="00560AC0">
      <w:pPr>
        <w:tabs>
          <w:tab w:val="left" w:pos="1162"/>
        </w:tabs>
        <w:rPr>
          <w:rFonts w:cs="Arial"/>
        </w:rPr>
      </w:pPr>
      <m:oMathPara>
        <m:oMath>
          <m:r>
            <m:rPr>
              <m:sty m:val="p"/>
            </m:rPr>
            <w:rPr>
              <w:rFonts w:ascii="Cambria Math" w:hAnsi="Cambria Math" w:cs="Arial"/>
              <w:szCs w:val="20"/>
            </w:rPr>
            <m:t>={</m:t>
          </m:r>
          <m:d>
            <m:dPr>
              <m:begChr m:val="["/>
              <m:endChr m:val="]"/>
              <m:ctrlPr>
                <w:rPr>
                  <w:rFonts w:ascii="Cambria Math" w:hAnsi="Cambria Math" w:cs="Arial"/>
                  <w:szCs w:val="20"/>
                </w:rPr>
              </m:ctrlPr>
            </m:dPr>
            <m:e>
              <m:r>
                <m:rPr>
                  <m:sty m:val="p"/>
                </m:rPr>
                <w:rPr>
                  <w:rFonts w:ascii="Cambria Math" w:hAnsi="Cambria Math" w:cs="Arial"/>
                  <w:szCs w:val="20"/>
                </w:rPr>
                <m:t>PW×</m:t>
              </m:r>
              <m:d>
                <m:dPr>
                  <m:ctrlPr>
                    <w:rPr>
                      <w:rFonts w:ascii="Cambria Math" w:hAnsi="Cambria Math" w:cs="Arial"/>
                      <w:szCs w:val="20"/>
                    </w:rPr>
                  </m:ctrlPr>
                </m:dPr>
                <m:e>
                  <m:r>
                    <m:rPr>
                      <m:sty m:val="p"/>
                    </m:rPr>
                    <w:rPr>
                      <w:rFonts w:ascii="Cambria Math" w:hAnsi="Cambria Math" w:cs="Arial"/>
                      <w:szCs w:val="20"/>
                    </w:rPr>
                    <m:t>1+</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Ind</m:t>
                      </m:r>
                    </m:sub>
                  </m:sSub>
                  <m:r>
                    <m:rPr>
                      <m:sty m:val="p"/>
                    </m:rPr>
                    <w:rPr>
                      <w:rFonts w:ascii="Cambria Math" w:hAnsi="Cambria Math" w:cs="Arial"/>
                      <w:szCs w:val="20"/>
                    </w:rPr>
                    <m:t>+</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m:t>
                      </m:r>
                    </m:sub>
                  </m:sSub>
                </m:e>
              </m:d>
            </m:e>
          </m:d>
          <m:r>
            <m:rPr>
              <m:sty m:val="p"/>
            </m:rPr>
            <w:rPr>
              <w:rFonts w:ascii="Cambria Math" w:hAnsi="Cambria Math" w:cs="Arial"/>
              <w:szCs w:val="20"/>
            </w:rPr>
            <m:t>-[PW×</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PPS</m:t>
              </m:r>
            </m:sub>
          </m:sSub>
          <m:r>
            <m:rPr>
              <m:sty m:val="p"/>
            </m:rPr>
            <w:rPr>
              <w:rFonts w:ascii="Cambria Math" w:hAnsi="Cambria Math" w:cs="Arial"/>
              <w:szCs w:val="20"/>
            </w:rPr>
            <m:t>+LOS×</m:t>
          </m:r>
          <m:sSub>
            <m:sSubPr>
              <m:ctrlPr>
                <w:rPr>
                  <w:rFonts w:ascii="Cambria Math" w:hAnsi="Cambria Math" w:cs="Arial"/>
                  <w:szCs w:val="20"/>
                </w:rPr>
              </m:ctrlPr>
            </m:sSubPr>
            <m:e>
              <m:r>
                <m:rPr>
                  <m:sty m:val="p"/>
                </m:rPr>
                <w:rPr>
                  <w:rFonts w:ascii="Cambria Math" w:hAnsi="Cambria Math" w:cs="Arial"/>
                  <w:szCs w:val="20"/>
                </w:rPr>
                <m:t>A</m:t>
              </m:r>
            </m:e>
            <m:sub>
              <m:r>
                <m:rPr>
                  <m:sty m:val="p"/>
                </m:rPr>
                <w:rPr>
                  <w:rFonts w:ascii="Cambria Math" w:hAnsi="Cambria Math" w:cs="Arial"/>
                  <w:szCs w:val="20"/>
                </w:rPr>
                <m:t>Acc</m:t>
              </m:r>
            </m:sub>
          </m:sSub>
          <m:r>
            <m:rPr>
              <m:sty m:val="p"/>
            </m:rPr>
            <w:rPr>
              <w:rFonts w:ascii="Cambria Math" w:hAnsi="Cambria Math" w:cs="Arial"/>
              <w:szCs w:val="20"/>
            </w:rPr>
            <m:t>]}×NEP</m:t>
          </m:r>
        </m:oMath>
      </m:oMathPara>
    </w:p>
    <w:p w14:paraId="56C61331" w14:textId="77777777" w:rsidR="006D09BD" w:rsidRPr="00E90F0A" w:rsidRDefault="006D09BD">
      <w:pPr>
        <w:rPr>
          <w:rFonts w:cs="Arial"/>
          <w:szCs w:val="20"/>
        </w:rPr>
      </w:pPr>
      <w:r w:rsidRPr="00E90F0A">
        <w:rPr>
          <w:rFonts w:cs="Arial"/>
          <w:szCs w:val="20"/>
        </w:rPr>
        <w:t>Where:</w:t>
      </w:r>
    </w:p>
    <w:p w14:paraId="60B4E176" w14:textId="77777777" w:rsidR="00786897" w:rsidRDefault="00786897">
      <w:pPr>
        <w:spacing w:after="180"/>
        <w:ind w:left="1985" w:hanging="1985"/>
        <w:rPr>
          <w:rFonts w:cs="Arial"/>
          <w:i/>
        </w:rPr>
      </w:pPr>
      <w:r w:rsidRPr="000306BE">
        <w:rPr>
          <w:rFonts w:cs="Arial"/>
          <w:b/>
        </w:rPr>
        <w:t>A</w:t>
      </w:r>
      <w:r w:rsidRPr="000306BE">
        <w:rPr>
          <w:rFonts w:cs="Arial"/>
          <w:b/>
          <w:vertAlign w:val="subscript"/>
        </w:rPr>
        <w:t>A</w:t>
      </w:r>
      <w:r w:rsidRPr="000306BE">
        <w:rPr>
          <w:rFonts w:cs="Arial"/>
          <w:vertAlign w:val="subscript"/>
        </w:rPr>
        <w:tab/>
      </w:r>
      <w:r w:rsidRPr="000306BE">
        <w:rPr>
          <w:rFonts w:cs="Arial"/>
        </w:rPr>
        <w:t xml:space="preserve">means each or any </w:t>
      </w:r>
      <w:r w:rsidRPr="000306BE">
        <w:rPr>
          <w:rFonts w:cs="Arial"/>
          <w:i/>
        </w:rPr>
        <w:t>Remoteness</w:t>
      </w:r>
      <w:r w:rsidRPr="000306BE">
        <w:rPr>
          <w:rFonts w:cs="Arial"/>
        </w:rPr>
        <w:t xml:space="preserve"> </w:t>
      </w:r>
      <w:r w:rsidRPr="000306BE">
        <w:rPr>
          <w:rFonts w:cs="Arial"/>
          <w:i/>
        </w:rPr>
        <w:t>Area Adjustment</w:t>
      </w:r>
    </w:p>
    <w:p w14:paraId="163A596A" w14:textId="77777777" w:rsidR="00786897" w:rsidRDefault="00786897">
      <w:pPr>
        <w:spacing w:after="180"/>
        <w:ind w:left="1985" w:hanging="1985"/>
        <w:rPr>
          <w:rFonts w:cs="Arial"/>
          <w:b/>
        </w:rPr>
      </w:pPr>
      <w:proofErr w:type="spellStart"/>
      <w:r w:rsidRPr="000306BE">
        <w:rPr>
          <w:rFonts w:cs="Arial"/>
          <w:b/>
        </w:rPr>
        <w:t>A</w:t>
      </w:r>
      <w:r w:rsidRPr="000306BE">
        <w:rPr>
          <w:rFonts w:cs="Arial"/>
          <w:b/>
          <w:vertAlign w:val="subscript"/>
        </w:rPr>
        <w:t>Ind</w:t>
      </w:r>
      <w:proofErr w:type="spellEnd"/>
      <w:r w:rsidRPr="000306BE">
        <w:rPr>
          <w:rFonts w:cs="Arial"/>
          <w:vertAlign w:val="subscript"/>
        </w:rPr>
        <w:tab/>
      </w:r>
      <w:r w:rsidRPr="000306BE">
        <w:rPr>
          <w:rFonts w:cs="Arial"/>
        </w:rPr>
        <w:t xml:space="preserve">means the </w:t>
      </w:r>
      <w:r w:rsidRPr="000306BE">
        <w:rPr>
          <w:rFonts w:cs="Arial"/>
          <w:i/>
        </w:rPr>
        <w:t>Indigenous Adjustment</w:t>
      </w:r>
    </w:p>
    <w:p w14:paraId="10504C84" w14:textId="77777777" w:rsidR="00786897" w:rsidRPr="000306BE" w:rsidRDefault="00786897">
      <w:pPr>
        <w:spacing w:after="180"/>
        <w:ind w:left="1985" w:hanging="1985"/>
        <w:rPr>
          <w:rFonts w:cs="Arial"/>
        </w:rPr>
      </w:pPr>
      <w:r w:rsidRPr="000306BE">
        <w:rPr>
          <w:rFonts w:cs="Arial"/>
          <w:b/>
        </w:rPr>
        <w:t>A</w:t>
      </w:r>
      <w:r w:rsidRPr="000306BE">
        <w:rPr>
          <w:rFonts w:cs="Arial"/>
          <w:b/>
          <w:vertAlign w:val="subscript"/>
        </w:rPr>
        <w:t>PPS</w:t>
      </w:r>
      <w:r w:rsidRPr="000306BE">
        <w:rPr>
          <w:rFonts w:cs="Arial"/>
          <w:vertAlign w:val="subscript"/>
        </w:rPr>
        <w:tab/>
      </w:r>
      <w:r w:rsidRPr="000306BE">
        <w:rPr>
          <w:rFonts w:cs="Arial"/>
        </w:rPr>
        <w:t xml:space="preserve">means the </w:t>
      </w:r>
      <w:r w:rsidRPr="000306BE">
        <w:rPr>
          <w:rFonts w:cs="Arial"/>
          <w:i/>
        </w:rPr>
        <w:t>Private Patient Service Adjustment</w:t>
      </w:r>
    </w:p>
    <w:p w14:paraId="739425F6" w14:textId="77777777" w:rsidR="00786897" w:rsidRPr="000306BE" w:rsidRDefault="00786897">
      <w:pPr>
        <w:spacing w:after="180"/>
        <w:ind w:left="1985" w:hanging="1985"/>
        <w:rPr>
          <w:rFonts w:cs="Arial"/>
        </w:rPr>
      </w:pPr>
      <w:proofErr w:type="spellStart"/>
      <w:r w:rsidRPr="000306BE">
        <w:rPr>
          <w:rFonts w:cs="Arial"/>
          <w:b/>
        </w:rPr>
        <w:t>A</w:t>
      </w:r>
      <w:r w:rsidRPr="000306BE">
        <w:rPr>
          <w:rFonts w:cs="Arial"/>
          <w:b/>
          <w:vertAlign w:val="subscript"/>
        </w:rPr>
        <w:t>Acc</w:t>
      </w:r>
      <w:proofErr w:type="spellEnd"/>
      <w:r w:rsidRPr="000306BE">
        <w:rPr>
          <w:rFonts w:cs="Arial"/>
          <w:b/>
          <w:vertAlign w:val="subscript"/>
        </w:rPr>
        <w:tab/>
      </w:r>
      <w:r w:rsidRPr="000306BE">
        <w:rPr>
          <w:rFonts w:cs="Arial"/>
        </w:rPr>
        <w:t xml:space="preserve">means the </w:t>
      </w:r>
      <w:r w:rsidRPr="000306BE">
        <w:rPr>
          <w:rFonts w:cs="Arial"/>
          <w:i/>
        </w:rPr>
        <w:t xml:space="preserve">Private Patient Accommodation Adjustment </w:t>
      </w:r>
      <w:r w:rsidRPr="000306BE">
        <w:rPr>
          <w:rFonts w:cs="Arial"/>
        </w:rPr>
        <w:t xml:space="preserve">applicable to the </w:t>
      </w:r>
      <w:r>
        <w:rPr>
          <w:rFonts w:cs="Arial"/>
        </w:rPr>
        <w:t>s</w:t>
      </w:r>
      <w:r w:rsidRPr="000306BE">
        <w:rPr>
          <w:rFonts w:cs="Arial"/>
        </w:rPr>
        <w:t>tate of hospitalisation and length of stay</w:t>
      </w:r>
    </w:p>
    <w:p w14:paraId="0C4BE717" w14:textId="77777777" w:rsidR="00786897" w:rsidRPr="006928E7" w:rsidRDefault="00786897">
      <w:pPr>
        <w:spacing w:after="180"/>
        <w:ind w:left="1985" w:hanging="1985"/>
        <w:rPr>
          <w:rFonts w:cs="Arial"/>
          <w:i/>
        </w:rPr>
      </w:pPr>
      <w:r w:rsidRPr="000306BE">
        <w:rPr>
          <w:rFonts w:cs="Arial"/>
          <w:b/>
        </w:rPr>
        <w:t>LOS</w:t>
      </w:r>
      <w:r w:rsidRPr="000306BE">
        <w:rPr>
          <w:rFonts w:cs="Arial"/>
        </w:rPr>
        <w:tab/>
        <w:t xml:space="preserve">means </w:t>
      </w:r>
      <w:r w:rsidRPr="00687CB0">
        <w:rPr>
          <w:rFonts w:cs="Arial"/>
        </w:rPr>
        <w:t>length of stay in hospital (in days)</w:t>
      </w:r>
    </w:p>
    <w:p w14:paraId="56ED21B0" w14:textId="77777777" w:rsidR="00786897" w:rsidRPr="000306BE" w:rsidRDefault="00786897">
      <w:pPr>
        <w:spacing w:after="180"/>
        <w:ind w:left="1985" w:hanging="1985"/>
        <w:rPr>
          <w:rFonts w:cs="Arial"/>
        </w:rPr>
      </w:pPr>
      <w:r w:rsidRPr="000306BE">
        <w:rPr>
          <w:rFonts w:cs="Arial"/>
          <w:b/>
        </w:rPr>
        <w:t>NEP</w:t>
      </w:r>
      <w:r w:rsidRPr="000306BE">
        <w:rPr>
          <w:rFonts w:cs="Arial"/>
        </w:rPr>
        <w:tab/>
        <w:t xml:space="preserve">National Efficient Price </w:t>
      </w:r>
      <w:r>
        <w:rPr>
          <w:rFonts w:cs="Arial"/>
        </w:rPr>
        <w:t>2017-18</w:t>
      </w:r>
    </w:p>
    <w:p w14:paraId="62324FF3" w14:textId="4A22099E" w:rsidR="00786897" w:rsidRDefault="00786897">
      <w:pPr>
        <w:spacing w:after="0"/>
        <w:ind w:left="1985" w:hanging="1985"/>
        <w:rPr>
          <w:rFonts w:cs="Arial"/>
        </w:rPr>
      </w:pPr>
      <w:r w:rsidRPr="000306BE">
        <w:rPr>
          <w:rFonts w:cs="Arial"/>
          <w:b/>
        </w:rPr>
        <w:t>PW</w:t>
      </w:r>
      <w:r w:rsidRPr="000306BE">
        <w:rPr>
          <w:rFonts w:cs="Arial"/>
          <w:b/>
        </w:rPr>
        <w:tab/>
      </w:r>
      <w:r w:rsidRPr="000306BE">
        <w:rPr>
          <w:rFonts w:cs="Arial"/>
        </w:rPr>
        <w:t>means the Price Weight f</w:t>
      </w:r>
      <w:r>
        <w:rPr>
          <w:rFonts w:cs="Arial"/>
        </w:rPr>
        <w:t>or an ABF Activity as set out in the determination</w:t>
      </w:r>
    </w:p>
    <w:p w14:paraId="7F967561" w14:textId="77777777" w:rsidR="00786897" w:rsidRPr="000306BE" w:rsidRDefault="00786897">
      <w:pPr>
        <w:spacing w:after="0"/>
        <w:ind w:left="1985" w:hanging="1985"/>
        <w:rPr>
          <w:rFonts w:cs="Arial"/>
          <w:b/>
        </w:rPr>
      </w:pPr>
    </w:p>
    <w:p w14:paraId="7BA7B1B3" w14:textId="77777777" w:rsidR="006D09BD" w:rsidRDefault="006D09BD">
      <w:pPr>
        <w:tabs>
          <w:tab w:val="left" w:pos="1162"/>
        </w:tabs>
        <w:autoSpaceDE w:val="0"/>
        <w:autoSpaceDN w:val="0"/>
        <w:adjustRightInd w:val="0"/>
        <w:rPr>
          <w:rFonts w:cs="Arial"/>
          <w:szCs w:val="20"/>
        </w:rPr>
      </w:pPr>
      <w:r w:rsidRPr="00183A38">
        <w:rPr>
          <w:rFonts w:cs="Arial"/>
          <w:szCs w:val="20"/>
        </w:rPr>
        <w:t>In the event that the application of the private patient accommodation adjustment and the private patient service adjustment returns a negative NWAU value for a patient, the NWAU value is held to be zero</w:t>
      </w:r>
      <w:r>
        <w:rPr>
          <w:rFonts w:cs="Arial"/>
          <w:szCs w:val="20"/>
        </w:rPr>
        <w:t>,</w:t>
      </w:r>
      <w:r w:rsidRPr="00183A38">
        <w:rPr>
          <w:rFonts w:cs="Arial"/>
          <w:szCs w:val="20"/>
        </w:rPr>
        <w:t xml:space="preserve"> </w:t>
      </w:r>
      <w:r>
        <w:rPr>
          <w:rFonts w:cs="Arial"/>
          <w:szCs w:val="20"/>
        </w:rPr>
        <w:t>as</w:t>
      </w:r>
      <w:r w:rsidRPr="00183A38">
        <w:rPr>
          <w:rFonts w:cs="Arial"/>
          <w:szCs w:val="20"/>
        </w:rPr>
        <w:t xml:space="preserve"> negative NWAU values are not permitted for any patients</w:t>
      </w:r>
      <w:r w:rsidRPr="00250D7F">
        <w:rPr>
          <w:rFonts w:cs="Arial"/>
          <w:szCs w:val="20"/>
        </w:rPr>
        <w:t xml:space="preserve"> under the National Pricing</w:t>
      </w:r>
      <w:r>
        <w:rPr>
          <w:rFonts w:cs="Arial"/>
          <w:szCs w:val="20"/>
        </w:rPr>
        <w:t xml:space="preserve"> </w:t>
      </w:r>
      <w:r w:rsidRPr="00250D7F">
        <w:rPr>
          <w:rFonts w:cs="Arial"/>
          <w:szCs w:val="20"/>
        </w:rPr>
        <w:t>Model.</w:t>
      </w:r>
    </w:p>
    <w:p w14:paraId="24B2F5F7" w14:textId="77777777" w:rsidR="00EB35DF" w:rsidRPr="0044388E" w:rsidRDefault="00EB35DF" w:rsidP="002D606E">
      <w:pPr>
        <w:tabs>
          <w:tab w:val="left" w:pos="1162"/>
        </w:tabs>
        <w:autoSpaceDE w:val="0"/>
        <w:autoSpaceDN w:val="0"/>
        <w:adjustRightInd w:val="0"/>
        <w:spacing w:before="240"/>
        <w:ind w:right="-28"/>
        <w:rPr>
          <w:rFonts w:cs="Arial"/>
          <w:szCs w:val="20"/>
          <w:highlight w:val="lightGray"/>
        </w:rPr>
      </w:pPr>
      <w:r>
        <w:rPr>
          <w:rFonts w:cs="Arial"/>
          <w:szCs w:val="20"/>
        </w:rPr>
        <w:t xml:space="preserve">The table below outlines the required information in order to apply the above formula. </w:t>
      </w:r>
    </w:p>
    <w:p w14:paraId="01616DD3" w14:textId="150383D0" w:rsidR="006D09BD" w:rsidRPr="00EB35DF" w:rsidRDefault="006D09BD" w:rsidP="00560AC0">
      <w:pPr>
        <w:spacing w:before="120" w:after="0" w:line="240" w:lineRule="auto"/>
        <w:rPr>
          <w:b/>
        </w:rPr>
      </w:pPr>
      <w:bookmarkStart w:id="652" w:name="_Ref466553733"/>
      <w:bookmarkStart w:id="653" w:name="_Ref342308437"/>
      <w:bookmarkStart w:id="654" w:name="_Ref373494117"/>
      <w:proofErr w:type="gramStart"/>
      <w:r w:rsidRPr="00EB35DF">
        <w:rPr>
          <w:b/>
        </w:rPr>
        <w:t xml:space="preserve">Table </w:t>
      </w:r>
      <w:r w:rsidRPr="00EB35DF">
        <w:rPr>
          <w:b/>
        </w:rPr>
        <w:fldChar w:fldCharType="begin"/>
      </w:r>
      <w:r w:rsidRPr="00EB35DF">
        <w:rPr>
          <w:b/>
        </w:rPr>
        <w:instrText xml:space="preserve"> SEQ Table \* ARABIC </w:instrText>
      </w:r>
      <w:r w:rsidRPr="00EB35DF">
        <w:rPr>
          <w:b/>
        </w:rPr>
        <w:fldChar w:fldCharType="separate"/>
      </w:r>
      <w:r w:rsidR="00F84458">
        <w:rPr>
          <w:b/>
          <w:noProof/>
        </w:rPr>
        <w:t>8</w:t>
      </w:r>
      <w:r w:rsidRPr="00EB35DF">
        <w:rPr>
          <w:b/>
        </w:rPr>
        <w:fldChar w:fldCharType="end"/>
      </w:r>
      <w:bookmarkEnd w:id="652"/>
      <w:bookmarkEnd w:id="653"/>
      <w:bookmarkEnd w:id="654"/>
      <w:r w:rsidRPr="00EB35DF">
        <w:rPr>
          <w:b/>
        </w:rPr>
        <w:t>: Datasets and tables used for assignment of NWAU to admitted subacute patient data.</w:t>
      </w:r>
      <w:proofErr w:type="gramEnd"/>
    </w:p>
    <w:tbl>
      <w:tblPr>
        <w:tblW w:w="9654"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605"/>
        <w:gridCol w:w="7049"/>
      </w:tblGrid>
      <w:tr w:rsidR="006D09BD" w:rsidRPr="007B29F7" w14:paraId="7251A3BC" w14:textId="77777777" w:rsidTr="00EB35DF">
        <w:trPr>
          <w:cantSplit/>
          <w:trHeight w:val="225"/>
          <w:tblHeader/>
        </w:trPr>
        <w:tc>
          <w:tcPr>
            <w:tcW w:w="2605" w:type="dxa"/>
            <w:shd w:val="clear" w:color="auto" w:fill="288A32"/>
            <w:hideMark/>
          </w:tcPr>
          <w:p w14:paraId="11BEEB82" w14:textId="77777777" w:rsidR="006D09BD" w:rsidRPr="00EB35DF" w:rsidRDefault="006D09BD">
            <w:pPr>
              <w:tabs>
                <w:tab w:val="left" w:pos="1162"/>
              </w:tabs>
              <w:spacing w:before="80" w:after="80"/>
              <w:rPr>
                <w:rFonts w:cs="Arial"/>
                <w:b/>
                <w:bCs/>
                <w:color w:val="FFFFFF" w:themeColor="background1"/>
                <w:sz w:val="20"/>
                <w:szCs w:val="20"/>
              </w:rPr>
            </w:pPr>
            <w:r w:rsidRPr="00EB35DF">
              <w:rPr>
                <w:rFonts w:cs="Arial"/>
                <w:b/>
                <w:bCs/>
                <w:color w:val="FFFFFF" w:themeColor="background1"/>
                <w:sz w:val="20"/>
                <w:szCs w:val="20"/>
              </w:rPr>
              <w:t>Input dataset or table</w:t>
            </w:r>
          </w:p>
        </w:tc>
        <w:tc>
          <w:tcPr>
            <w:tcW w:w="7049" w:type="dxa"/>
            <w:shd w:val="clear" w:color="auto" w:fill="288A32"/>
            <w:hideMark/>
          </w:tcPr>
          <w:p w14:paraId="645D8203" w14:textId="77777777" w:rsidR="006D09BD" w:rsidRPr="00EB35DF" w:rsidRDefault="006D09BD">
            <w:pPr>
              <w:tabs>
                <w:tab w:val="left" w:pos="1162"/>
              </w:tabs>
              <w:spacing w:before="80" w:after="80"/>
              <w:rPr>
                <w:rFonts w:cs="Arial"/>
                <w:b/>
                <w:bCs/>
                <w:color w:val="FFFFFF" w:themeColor="background1"/>
                <w:sz w:val="20"/>
                <w:szCs w:val="20"/>
              </w:rPr>
            </w:pPr>
            <w:r w:rsidRPr="00EB35DF">
              <w:rPr>
                <w:rFonts w:cs="Arial"/>
                <w:b/>
                <w:bCs/>
                <w:color w:val="FFFFFF" w:themeColor="background1"/>
                <w:sz w:val="20"/>
                <w:szCs w:val="20"/>
              </w:rPr>
              <w:t>Description</w:t>
            </w:r>
          </w:p>
        </w:tc>
      </w:tr>
      <w:tr w:rsidR="006D09BD" w:rsidRPr="007B29F7" w14:paraId="1E540F45" w14:textId="77777777" w:rsidTr="00D313E0">
        <w:trPr>
          <w:cantSplit/>
          <w:trHeight w:val="450"/>
        </w:trPr>
        <w:tc>
          <w:tcPr>
            <w:tcW w:w="2605" w:type="dxa"/>
            <w:shd w:val="clear" w:color="auto" w:fill="auto"/>
            <w:hideMark/>
          </w:tcPr>
          <w:p w14:paraId="4103685F" w14:textId="77777777" w:rsidR="006D09BD" w:rsidRPr="00EB35DF" w:rsidRDefault="006D09BD" w:rsidP="00560AC0">
            <w:pPr>
              <w:tabs>
                <w:tab w:val="left" w:pos="1162"/>
              </w:tabs>
              <w:spacing w:before="80" w:after="80"/>
              <w:rPr>
                <w:rFonts w:cs="Arial"/>
                <w:color w:val="000000"/>
                <w:sz w:val="18"/>
                <w:szCs w:val="20"/>
              </w:rPr>
            </w:pPr>
            <w:r w:rsidRPr="00EB35DF">
              <w:rPr>
                <w:rFonts w:cs="Arial"/>
                <w:color w:val="000000"/>
                <w:sz w:val="18"/>
                <w:szCs w:val="20"/>
              </w:rPr>
              <w:t xml:space="preserve">APC NMDS &amp; ASNHC DSS </w:t>
            </w:r>
          </w:p>
        </w:tc>
        <w:tc>
          <w:tcPr>
            <w:tcW w:w="7049" w:type="dxa"/>
            <w:shd w:val="clear" w:color="auto" w:fill="auto"/>
            <w:hideMark/>
          </w:tcPr>
          <w:p w14:paraId="3AC7CEC4" w14:textId="77777777" w:rsidR="006D09BD" w:rsidRPr="00EB35DF" w:rsidRDefault="006D09BD">
            <w:pPr>
              <w:tabs>
                <w:tab w:val="left" w:pos="1162"/>
              </w:tabs>
              <w:spacing w:before="80" w:after="80"/>
              <w:rPr>
                <w:rFonts w:cs="Arial"/>
                <w:color w:val="000000"/>
                <w:sz w:val="18"/>
                <w:szCs w:val="20"/>
              </w:rPr>
            </w:pPr>
            <w:r w:rsidRPr="00EB35DF">
              <w:rPr>
                <w:rFonts w:cs="Arial"/>
                <w:color w:val="000000"/>
                <w:sz w:val="18"/>
                <w:szCs w:val="20"/>
              </w:rPr>
              <w:t xml:space="preserve">Dataset based </w:t>
            </w:r>
            <w:proofErr w:type="gramStart"/>
            <w:r w:rsidRPr="00EB35DF">
              <w:rPr>
                <w:rFonts w:cs="Arial"/>
                <w:color w:val="000000"/>
                <w:sz w:val="18"/>
                <w:szCs w:val="20"/>
              </w:rPr>
              <w:t>on the 2017-18 Admitted Patient Care National Minimum Data Set (APC NMDS), with extra AN</w:t>
            </w:r>
            <w:r w:rsidRPr="00EB35DF">
              <w:rPr>
                <w:rFonts w:cs="Arial"/>
                <w:color w:val="000000"/>
                <w:sz w:val="18"/>
                <w:szCs w:val="20"/>
              </w:rPr>
              <w:noBreakHyphen/>
              <w:t>SNAP information from the Admitted Subacute and Non-acute hospital care</w:t>
            </w:r>
            <w:proofErr w:type="gramEnd"/>
            <w:r w:rsidRPr="00EB35DF">
              <w:rPr>
                <w:rFonts w:cs="Arial"/>
                <w:color w:val="000000"/>
                <w:sz w:val="18"/>
                <w:szCs w:val="20"/>
              </w:rPr>
              <w:t xml:space="preserve"> DSS (ASNHC DSS), where available. Dataset specifications are located on the IHPA website.</w:t>
            </w:r>
          </w:p>
        </w:tc>
      </w:tr>
      <w:tr w:rsidR="006D09BD" w:rsidRPr="007B29F7" w14:paraId="0D880F6D" w14:textId="77777777" w:rsidTr="00D313E0">
        <w:trPr>
          <w:cantSplit/>
          <w:trHeight w:val="450"/>
        </w:trPr>
        <w:tc>
          <w:tcPr>
            <w:tcW w:w="2605" w:type="dxa"/>
            <w:shd w:val="clear" w:color="auto" w:fill="auto"/>
            <w:hideMark/>
          </w:tcPr>
          <w:p w14:paraId="19DA8A48" w14:textId="77777777" w:rsidR="006D09BD" w:rsidRPr="00EB35DF" w:rsidRDefault="006D09BD" w:rsidP="00560AC0">
            <w:pPr>
              <w:tabs>
                <w:tab w:val="left" w:pos="1162"/>
              </w:tabs>
              <w:spacing w:before="80" w:after="80"/>
              <w:rPr>
                <w:rFonts w:cs="Arial"/>
                <w:color w:val="000000"/>
                <w:sz w:val="18"/>
                <w:szCs w:val="20"/>
              </w:rPr>
            </w:pPr>
            <w:r w:rsidRPr="00EB35DF">
              <w:rPr>
                <w:rFonts w:cs="Arial"/>
                <w:color w:val="000000"/>
                <w:sz w:val="18"/>
                <w:szCs w:val="20"/>
              </w:rPr>
              <w:t>Postcode table</w:t>
            </w:r>
          </w:p>
        </w:tc>
        <w:tc>
          <w:tcPr>
            <w:tcW w:w="7049" w:type="dxa"/>
            <w:shd w:val="clear" w:color="auto" w:fill="auto"/>
            <w:hideMark/>
          </w:tcPr>
          <w:p w14:paraId="6FF7B92E" w14:textId="77777777" w:rsidR="006D09BD" w:rsidRPr="00EB35DF" w:rsidRDefault="006D09BD">
            <w:pPr>
              <w:tabs>
                <w:tab w:val="left" w:pos="1162"/>
              </w:tabs>
              <w:spacing w:before="80" w:after="80"/>
              <w:rPr>
                <w:rFonts w:cs="Arial"/>
                <w:color w:val="000000"/>
                <w:sz w:val="18"/>
                <w:szCs w:val="20"/>
              </w:rPr>
            </w:pPr>
            <w:r w:rsidRPr="00EB35DF">
              <w:rPr>
                <w:rFonts w:cs="Arial"/>
                <w:color w:val="000000"/>
                <w:sz w:val="18"/>
                <w:szCs w:val="20"/>
              </w:rPr>
              <w:t>Table of postcodes mapped to the 2011 ASGS Remoteness Area classification. Each postcode is mapped to the Remoteness Area category within which the majority of the postcode’s population reside. PO Box postcodes are mapped to the Remoteness Area category within which the Post Office is located.</w:t>
            </w:r>
          </w:p>
        </w:tc>
      </w:tr>
      <w:tr w:rsidR="006D09BD" w:rsidRPr="007B29F7" w14:paraId="627D1AAC" w14:textId="77777777" w:rsidTr="00D313E0">
        <w:trPr>
          <w:cantSplit/>
          <w:trHeight w:val="450"/>
        </w:trPr>
        <w:tc>
          <w:tcPr>
            <w:tcW w:w="2605" w:type="dxa"/>
            <w:shd w:val="clear" w:color="auto" w:fill="auto"/>
          </w:tcPr>
          <w:p w14:paraId="37C489DC" w14:textId="77777777" w:rsidR="006D09BD" w:rsidRPr="00EB35DF" w:rsidRDefault="006D09BD" w:rsidP="00560AC0">
            <w:pPr>
              <w:tabs>
                <w:tab w:val="left" w:pos="1162"/>
              </w:tabs>
              <w:spacing w:before="80" w:after="80"/>
              <w:rPr>
                <w:rFonts w:cs="Arial"/>
                <w:sz w:val="18"/>
                <w:szCs w:val="20"/>
              </w:rPr>
            </w:pPr>
            <w:r w:rsidRPr="00EB35DF">
              <w:rPr>
                <w:rFonts w:cs="Arial"/>
                <w:sz w:val="18"/>
                <w:szCs w:val="20"/>
              </w:rPr>
              <w:t>ASGS table</w:t>
            </w:r>
          </w:p>
        </w:tc>
        <w:tc>
          <w:tcPr>
            <w:tcW w:w="7049" w:type="dxa"/>
            <w:shd w:val="clear" w:color="auto" w:fill="auto"/>
          </w:tcPr>
          <w:p w14:paraId="09E99EC8" w14:textId="77777777" w:rsidR="006D09BD" w:rsidRPr="00EB35DF" w:rsidRDefault="006D09BD">
            <w:pPr>
              <w:tabs>
                <w:tab w:val="left" w:pos="1162"/>
              </w:tabs>
              <w:spacing w:before="80" w:after="80"/>
              <w:rPr>
                <w:rFonts w:cs="Arial"/>
                <w:sz w:val="18"/>
                <w:szCs w:val="20"/>
              </w:rPr>
            </w:pPr>
            <w:r w:rsidRPr="00EB35DF">
              <w:rPr>
                <w:rFonts w:cs="Arial"/>
                <w:sz w:val="18"/>
                <w:szCs w:val="20"/>
              </w:rPr>
              <w:t>Table of ASGS’ mapped to the Remoteness Area category within which the majority of the ASGS’s population resides.</w:t>
            </w:r>
          </w:p>
        </w:tc>
      </w:tr>
      <w:tr w:rsidR="006D09BD" w:rsidRPr="007B29F7" w14:paraId="7ACADD74" w14:textId="77777777" w:rsidTr="00D313E0">
        <w:trPr>
          <w:cantSplit/>
          <w:trHeight w:val="450"/>
        </w:trPr>
        <w:tc>
          <w:tcPr>
            <w:tcW w:w="2605" w:type="dxa"/>
            <w:shd w:val="clear" w:color="auto" w:fill="auto"/>
            <w:hideMark/>
          </w:tcPr>
          <w:p w14:paraId="74752547" w14:textId="77777777" w:rsidR="006D09BD" w:rsidRPr="00EB35DF" w:rsidRDefault="006D09BD" w:rsidP="00560AC0">
            <w:pPr>
              <w:tabs>
                <w:tab w:val="left" w:pos="1162"/>
              </w:tabs>
              <w:spacing w:before="80" w:after="80"/>
              <w:rPr>
                <w:rFonts w:cs="Arial"/>
                <w:color w:val="000000"/>
                <w:sz w:val="18"/>
                <w:szCs w:val="20"/>
              </w:rPr>
            </w:pPr>
            <w:r w:rsidRPr="00EB35DF">
              <w:rPr>
                <w:rFonts w:cs="Arial"/>
                <w:color w:val="000000"/>
                <w:sz w:val="18"/>
                <w:szCs w:val="20"/>
              </w:rPr>
              <w:lastRenderedPageBreak/>
              <w:t>SLA table</w:t>
            </w:r>
          </w:p>
        </w:tc>
        <w:tc>
          <w:tcPr>
            <w:tcW w:w="7049" w:type="dxa"/>
            <w:shd w:val="clear" w:color="auto" w:fill="auto"/>
            <w:hideMark/>
          </w:tcPr>
          <w:p w14:paraId="4D240B1B" w14:textId="77777777" w:rsidR="006D09BD" w:rsidRPr="00EB35DF" w:rsidRDefault="006D09BD">
            <w:pPr>
              <w:tabs>
                <w:tab w:val="left" w:pos="1162"/>
              </w:tabs>
              <w:spacing w:before="80" w:after="80"/>
              <w:rPr>
                <w:rFonts w:cs="Arial"/>
                <w:color w:val="000000"/>
                <w:sz w:val="18"/>
                <w:szCs w:val="20"/>
              </w:rPr>
            </w:pPr>
            <w:r w:rsidRPr="00EB35DF">
              <w:rPr>
                <w:rFonts w:cs="Arial"/>
                <w:color w:val="000000"/>
                <w:sz w:val="18"/>
                <w:szCs w:val="20"/>
              </w:rPr>
              <w:t>Table of Statistical Local Areas (SLAs) mapped to the 2011 ASGS Remoteness Area classifications. Each SLA is mapped to the Remoteness Area category within which the majority of the SLA’s population reside.</w:t>
            </w:r>
          </w:p>
        </w:tc>
      </w:tr>
      <w:tr w:rsidR="006D09BD" w:rsidRPr="007B29F7" w14:paraId="3EFF0F1E" w14:textId="77777777" w:rsidTr="00D313E0">
        <w:trPr>
          <w:cantSplit/>
          <w:trHeight w:val="225"/>
        </w:trPr>
        <w:tc>
          <w:tcPr>
            <w:tcW w:w="2605" w:type="dxa"/>
            <w:shd w:val="clear" w:color="auto" w:fill="auto"/>
            <w:hideMark/>
          </w:tcPr>
          <w:p w14:paraId="539E9264" w14:textId="77777777" w:rsidR="006D09BD" w:rsidRPr="00EB35DF" w:rsidRDefault="006D09BD" w:rsidP="00560AC0">
            <w:pPr>
              <w:tabs>
                <w:tab w:val="left" w:pos="1162"/>
              </w:tabs>
              <w:spacing w:before="80" w:after="80"/>
              <w:rPr>
                <w:rFonts w:cs="Arial"/>
                <w:color w:val="000000"/>
                <w:sz w:val="18"/>
                <w:szCs w:val="20"/>
              </w:rPr>
            </w:pPr>
            <w:r w:rsidRPr="00EB35DF">
              <w:rPr>
                <w:rFonts w:cs="Arial"/>
                <w:color w:val="000000"/>
                <w:sz w:val="18"/>
                <w:szCs w:val="20"/>
              </w:rPr>
              <w:t>2017-18 NWAU Price Weight tables</w:t>
            </w:r>
          </w:p>
        </w:tc>
        <w:tc>
          <w:tcPr>
            <w:tcW w:w="7049" w:type="dxa"/>
            <w:shd w:val="clear" w:color="auto" w:fill="auto"/>
            <w:hideMark/>
          </w:tcPr>
          <w:p w14:paraId="0562EBDC" w14:textId="77777777" w:rsidR="006D09BD" w:rsidRPr="00EB35DF" w:rsidRDefault="006D09BD">
            <w:pPr>
              <w:tabs>
                <w:tab w:val="left" w:pos="1162"/>
              </w:tabs>
              <w:spacing w:before="80" w:after="80"/>
              <w:rPr>
                <w:rFonts w:cs="Arial"/>
                <w:color w:val="000000"/>
                <w:sz w:val="18"/>
                <w:szCs w:val="20"/>
              </w:rPr>
            </w:pPr>
            <w:r w:rsidRPr="00EB35DF">
              <w:rPr>
                <w:rFonts w:cs="Arial"/>
                <w:color w:val="000000"/>
                <w:sz w:val="18"/>
                <w:szCs w:val="20"/>
              </w:rPr>
              <w:t xml:space="preserve">2017-18 NWAU Admitted subacute and non-acute AN-SNAP and Care Type Same Day and Overnight Per Diem Price Weight tables, found in the NEP17 Determination. </w:t>
            </w:r>
          </w:p>
        </w:tc>
      </w:tr>
      <w:tr w:rsidR="006D09BD" w:rsidRPr="007B29F7" w14:paraId="7B21DC5D" w14:textId="77777777" w:rsidTr="00D313E0">
        <w:trPr>
          <w:cantSplit/>
          <w:trHeight w:val="225"/>
        </w:trPr>
        <w:tc>
          <w:tcPr>
            <w:tcW w:w="2605" w:type="dxa"/>
            <w:shd w:val="clear" w:color="auto" w:fill="auto"/>
            <w:hideMark/>
          </w:tcPr>
          <w:p w14:paraId="59F3D494" w14:textId="77777777" w:rsidR="006D09BD" w:rsidRPr="00EB35DF" w:rsidRDefault="006D09BD" w:rsidP="00560AC0">
            <w:pPr>
              <w:tabs>
                <w:tab w:val="left" w:pos="1162"/>
              </w:tabs>
              <w:spacing w:before="80" w:after="80"/>
              <w:rPr>
                <w:rFonts w:cs="Arial"/>
                <w:color w:val="000000"/>
                <w:sz w:val="18"/>
                <w:szCs w:val="20"/>
              </w:rPr>
            </w:pPr>
            <w:r w:rsidRPr="00EB35DF">
              <w:rPr>
                <w:rFonts w:cs="Arial"/>
                <w:color w:val="000000"/>
                <w:sz w:val="18"/>
                <w:szCs w:val="20"/>
              </w:rPr>
              <w:t>2017-18 NWAU Adjustments</w:t>
            </w:r>
          </w:p>
        </w:tc>
        <w:tc>
          <w:tcPr>
            <w:tcW w:w="7049" w:type="dxa"/>
            <w:shd w:val="clear" w:color="auto" w:fill="auto"/>
            <w:hideMark/>
          </w:tcPr>
          <w:p w14:paraId="7A2F1411" w14:textId="77777777" w:rsidR="006D09BD" w:rsidRPr="00EB35DF" w:rsidRDefault="006D09BD">
            <w:pPr>
              <w:tabs>
                <w:tab w:val="left" w:pos="1162"/>
              </w:tabs>
              <w:spacing w:before="80" w:after="80"/>
              <w:rPr>
                <w:rFonts w:cs="Arial"/>
                <w:color w:val="000000"/>
                <w:sz w:val="18"/>
                <w:szCs w:val="20"/>
              </w:rPr>
            </w:pPr>
            <w:r w:rsidRPr="00EB35DF">
              <w:rPr>
                <w:rFonts w:cs="Arial"/>
                <w:color w:val="000000"/>
                <w:sz w:val="18"/>
                <w:szCs w:val="20"/>
              </w:rPr>
              <w:t xml:space="preserve">2017-18 NWAU Admitted subacute and non-acute Adjustments, found in the NEP17 Determination. </w:t>
            </w:r>
          </w:p>
        </w:tc>
      </w:tr>
    </w:tbl>
    <w:p w14:paraId="5D0FD64B" w14:textId="77777777" w:rsidR="006D09BD" w:rsidRPr="007B29F7" w:rsidRDefault="006D09BD" w:rsidP="00560AC0">
      <w:pPr>
        <w:rPr>
          <w:highlight w:val="lightGray"/>
        </w:rPr>
      </w:pPr>
      <w:bookmarkStart w:id="655" w:name="_Ref342308479"/>
    </w:p>
    <w:p w14:paraId="439CD47C" w14:textId="254226A4" w:rsidR="006D09BD" w:rsidRPr="00EB35DF" w:rsidRDefault="006D09BD">
      <w:pPr>
        <w:rPr>
          <w:rFonts w:cstheme="minorHAnsi"/>
          <w:b/>
          <w:sz w:val="20"/>
          <w:szCs w:val="20"/>
        </w:rPr>
      </w:pPr>
      <w:r w:rsidRPr="00EB35DF">
        <w:rPr>
          <w:rFonts w:cs="Arial"/>
          <w:szCs w:val="20"/>
        </w:rPr>
        <w:t xml:space="preserve">Fifteen variables are required to form the input APC dataset. These variables form part of the APC NMDS and the ASNHC DSS on the IHPA website and are listed in </w:t>
      </w:r>
      <w:r w:rsidRPr="00EB35DF">
        <w:rPr>
          <w:rFonts w:cs="Arial"/>
          <w:szCs w:val="20"/>
        </w:rPr>
        <w:fldChar w:fldCharType="begin"/>
      </w:r>
      <w:r w:rsidRPr="00EB35DF">
        <w:rPr>
          <w:rFonts w:cs="Arial"/>
          <w:szCs w:val="20"/>
        </w:rPr>
        <w:instrText xml:space="preserve"> REF _Ref466553828 \h  \* MERGEFORMAT </w:instrText>
      </w:r>
      <w:r w:rsidRPr="00EB35DF">
        <w:rPr>
          <w:rFonts w:cs="Arial"/>
          <w:szCs w:val="20"/>
        </w:rPr>
      </w:r>
      <w:r w:rsidRPr="00EB35DF">
        <w:rPr>
          <w:rFonts w:cs="Arial"/>
          <w:szCs w:val="20"/>
        </w:rPr>
        <w:fldChar w:fldCharType="separate"/>
      </w:r>
      <w:r w:rsidR="00F84458" w:rsidRPr="00F84458">
        <w:rPr>
          <w:rFonts w:asciiTheme="majorHAnsi" w:hAnsiTheme="majorHAnsi" w:cstheme="majorHAnsi"/>
        </w:rPr>
        <w:t xml:space="preserve">Table </w:t>
      </w:r>
      <w:r w:rsidR="00F84458" w:rsidRPr="00F84458">
        <w:rPr>
          <w:rFonts w:asciiTheme="majorHAnsi" w:hAnsiTheme="majorHAnsi" w:cstheme="majorHAnsi"/>
          <w:noProof/>
        </w:rPr>
        <w:t>9</w:t>
      </w:r>
      <w:r w:rsidRPr="00EB35DF">
        <w:rPr>
          <w:rFonts w:cs="Arial"/>
          <w:szCs w:val="20"/>
        </w:rPr>
        <w:fldChar w:fldCharType="end"/>
      </w:r>
      <w:r w:rsidRPr="00EB35DF">
        <w:rPr>
          <w:rFonts w:cs="Arial"/>
          <w:szCs w:val="20"/>
        </w:rPr>
        <w:t xml:space="preserve"> below.</w:t>
      </w:r>
    </w:p>
    <w:p w14:paraId="72907FB2" w14:textId="77777777" w:rsidR="006D09BD" w:rsidRPr="00EB35DF" w:rsidRDefault="006D09BD">
      <w:pPr>
        <w:tabs>
          <w:tab w:val="left" w:pos="1162"/>
        </w:tabs>
        <w:rPr>
          <w:rFonts w:cs="Arial"/>
          <w:szCs w:val="20"/>
        </w:rPr>
      </w:pPr>
      <w:r w:rsidRPr="00EB35DF">
        <w:rPr>
          <w:rFonts w:cs="Arial"/>
          <w:szCs w:val="20"/>
        </w:rPr>
        <w:t xml:space="preserve"> </w:t>
      </w:r>
    </w:p>
    <w:p w14:paraId="2C7FCA06" w14:textId="228FA862" w:rsidR="006D09BD" w:rsidRPr="00EB35DF" w:rsidRDefault="006D09BD">
      <w:pPr>
        <w:spacing w:before="120" w:after="0" w:line="240" w:lineRule="auto"/>
        <w:rPr>
          <w:b/>
        </w:rPr>
      </w:pPr>
      <w:bookmarkStart w:id="656" w:name="_Ref466553828"/>
      <w:r w:rsidRPr="00EB35DF">
        <w:rPr>
          <w:b/>
        </w:rPr>
        <w:t xml:space="preserve">Table </w:t>
      </w:r>
      <w:r w:rsidRPr="00EB35DF">
        <w:rPr>
          <w:b/>
        </w:rPr>
        <w:fldChar w:fldCharType="begin"/>
      </w:r>
      <w:r w:rsidRPr="00EB35DF">
        <w:rPr>
          <w:b/>
        </w:rPr>
        <w:instrText xml:space="preserve"> SEQ Table \* ARABIC </w:instrText>
      </w:r>
      <w:r w:rsidRPr="00EB35DF">
        <w:rPr>
          <w:b/>
        </w:rPr>
        <w:fldChar w:fldCharType="separate"/>
      </w:r>
      <w:r w:rsidR="00F84458">
        <w:rPr>
          <w:b/>
          <w:noProof/>
        </w:rPr>
        <w:t>9</w:t>
      </w:r>
      <w:r w:rsidRPr="00EB35DF">
        <w:rPr>
          <w:b/>
        </w:rPr>
        <w:fldChar w:fldCharType="end"/>
      </w:r>
      <w:bookmarkEnd w:id="655"/>
      <w:bookmarkEnd w:id="656"/>
      <w:r w:rsidRPr="00EB35DF">
        <w:rPr>
          <w:b/>
        </w:rPr>
        <w:t>: APC &amp; ASNHC DSS variables used to calculate 2017-18 admitted subacute NWAU.</w:t>
      </w:r>
    </w:p>
    <w:tbl>
      <w:tblPr>
        <w:tblW w:w="7636"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701"/>
        <w:gridCol w:w="5935"/>
      </w:tblGrid>
      <w:tr w:rsidR="00EB35DF" w:rsidRPr="00EB35DF" w14:paraId="3811B503" w14:textId="77777777" w:rsidTr="00EB35DF">
        <w:trPr>
          <w:cantSplit/>
          <w:trHeight w:val="259"/>
          <w:tblHeader/>
          <w:jc w:val="center"/>
        </w:trPr>
        <w:tc>
          <w:tcPr>
            <w:tcW w:w="1701" w:type="dxa"/>
            <w:shd w:val="clear" w:color="auto" w:fill="288A32"/>
          </w:tcPr>
          <w:p w14:paraId="3D76137C" w14:textId="77777777" w:rsidR="006D09BD" w:rsidRPr="00EB35DF" w:rsidRDefault="006D09BD">
            <w:pPr>
              <w:tabs>
                <w:tab w:val="left" w:pos="1162"/>
              </w:tabs>
              <w:spacing w:before="80" w:after="80"/>
              <w:rPr>
                <w:rFonts w:cs="Arial"/>
                <w:color w:val="FFFFFF" w:themeColor="background1"/>
                <w:sz w:val="20"/>
                <w:szCs w:val="18"/>
              </w:rPr>
            </w:pPr>
            <w:r w:rsidRPr="00EB35DF">
              <w:rPr>
                <w:rFonts w:cs="Arial"/>
                <w:b/>
                <w:bCs/>
                <w:color w:val="FFFFFF" w:themeColor="background1"/>
                <w:sz w:val="20"/>
                <w:szCs w:val="20"/>
              </w:rPr>
              <w:t>Dataset</w:t>
            </w:r>
          </w:p>
        </w:tc>
        <w:tc>
          <w:tcPr>
            <w:tcW w:w="5935" w:type="dxa"/>
            <w:shd w:val="clear" w:color="auto" w:fill="288A32"/>
            <w:noWrap/>
          </w:tcPr>
          <w:p w14:paraId="75D64493" w14:textId="77777777" w:rsidR="006D09BD" w:rsidRPr="00EB35DF" w:rsidRDefault="006D09BD">
            <w:pPr>
              <w:tabs>
                <w:tab w:val="left" w:pos="1162"/>
              </w:tabs>
              <w:spacing w:before="80" w:after="80"/>
              <w:rPr>
                <w:rFonts w:cs="Arial"/>
                <w:color w:val="FFFFFF" w:themeColor="background1"/>
                <w:sz w:val="20"/>
                <w:szCs w:val="18"/>
              </w:rPr>
            </w:pPr>
            <w:r w:rsidRPr="00EB35DF">
              <w:rPr>
                <w:rFonts w:cs="Arial"/>
                <w:b/>
                <w:bCs/>
                <w:color w:val="FFFFFF" w:themeColor="background1"/>
                <w:sz w:val="20"/>
                <w:szCs w:val="20"/>
              </w:rPr>
              <w:t>Variable</w:t>
            </w:r>
          </w:p>
        </w:tc>
      </w:tr>
      <w:tr w:rsidR="006D09BD" w:rsidRPr="00EB35DF" w14:paraId="79E2D5AC" w14:textId="77777777" w:rsidTr="00D313E0">
        <w:trPr>
          <w:cantSplit/>
          <w:trHeight w:val="259"/>
          <w:jc w:val="center"/>
        </w:trPr>
        <w:tc>
          <w:tcPr>
            <w:tcW w:w="1701" w:type="dxa"/>
            <w:vMerge w:val="restart"/>
            <w:shd w:val="clear" w:color="auto" w:fill="auto"/>
            <w:hideMark/>
          </w:tcPr>
          <w:p w14:paraId="1A5A0670" w14:textId="77777777" w:rsidR="006D09BD" w:rsidRPr="00EB35DF" w:rsidRDefault="006D09BD" w:rsidP="00560AC0">
            <w:pPr>
              <w:tabs>
                <w:tab w:val="left" w:pos="1162"/>
              </w:tabs>
              <w:spacing w:before="60" w:after="60"/>
              <w:rPr>
                <w:rFonts w:cs="Arial"/>
                <w:color w:val="000000"/>
                <w:sz w:val="18"/>
                <w:szCs w:val="18"/>
              </w:rPr>
            </w:pPr>
            <w:r w:rsidRPr="00EB35DF">
              <w:rPr>
                <w:rFonts w:cs="Arial"/>
                <w:color w:val="000000"/>
                <w:sz w:val="18"/>
                <w:szCs w:val="18"/>
              </w:rPr>
              <w:t>APC NMDS</w:t>
            </w:r>
          </w:p>
        </w:tc>
        <w:tc>
          <w:tcPr>
            <w:tcW w:w="5935" w:type="dxa"/>
            <w:shd w:val="clear" w:color="auto" w:fill="auto"/>
            <w:noWrap/>
            <w:hideMark/>
          </w:tcPr>
          <w:p w14:paraId="0AB5C212"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State Identifier</w:t>
            </w:r>
          </w:p>
        </w:tc>
      </w:tr>
      <w:tr w:rsidR="006D09BD" w:rsidRPr="00EB35DF" w14:paraId="02C77FB3" w14:textId="77777777" w:rsidTr="00D313E0">
        <w:trPr>
          <w:cantSplit/>
          <w:trHeight w:val="259"/>
          <w:jc w:val="center"/>
        </w:trPr>
        <w:tc>
          <w:tcPr>
            <w:tcW w:w="1701" w:type="dxa"/>
            <w:vMerge/>
            <w:hideMark/>
          </w:tcPr>
          <w:p w14:paraId="0E2C1CFA"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hideMark/>
          </w:tcPr>
          <w:p w14:paraId="4D604F1A"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Hospital Geographical Indicator</w:t>
            </w:r>
          </w:p>
        </w:tc>
      </w:tr>
      <w:tr w:rsidR="006D09BD" w:rsidRPr="00EB35DF" w14:paraId="21E2AA54" w14:textId="77777777" w:rsidTr="00D313E0">
        <w:trPr>
          <w:cantSplit/>
          <w:trHeight w:val="259"/>
          <w:jc w:val="center"/>
        </w:trPr>
        <w:tc>
          <w:tcPr>
            <w:tcW w:w="1701" w:type="dxa"/>
            <w:vMerge/>
            <w:hideMark/>
          </w:tcPr>
          <w:p w14:paraId="3A7AB50B"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hideMark/>
          </w:tcPr>
          <w:p w14:paraId="108037A0"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Date of Birth</w:t>
            </w:r>
          </w:p>
        </w:tc>
      </w:tr>
      <w:tr w:rsidR="006D09BD" w:rsidRPr="00EB35DF" w14:paraId="0E1C0B46" w14:textId="77777777" w:rsidTr="00D313E0">
        <w:trPr>
          <w:cantSplit/>
          <w:trHeight w:val="259"/>
          <w:jc w:val="center"/>
        </w:trPr>
        <w:tc>
          <w:tcPr>
            <w:tcW w:w="1701" w:type="dxa"/>
            <w:vMerge/>
            <w:hideMark/>
          </w:tcPr>
          <w:p w14:paraId="0FAD0AA5"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hideMark/>
          </w:tcPr>
          <w:p w14:paraId="7C7E2345"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Date of Admission</w:t>
            </w:r>
          </w:p>
        </w:tc>
      </w:tr>
      <w:tr w:rsidR="006D09BD" w:rsidRPr="00EB35DF" w14:paraId="71184CBA" w14:textId="77777777" w:rsidTr="00D313E0">
        <w:trPr>
          <w:cantSplit/>
          <w:trHeight w:val="259"/>
          <w:jc w:val="center"/>
        </w:trPr>
        <w:tc>
          <w:tcPr>
            <w:tcW w:w="1701" w:type="dxa"/>
            <w:vMerge/>
            <w:hideMark/>
          </w:tcPr>
          <w:p w14:paraId="64E943FC"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hideMark/>
          </w:tcPr>
          <w:p w14:paraId="63E2064B"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Date of Separation</w:t>
            </w:r>
          </w:p>
        </w:tc>
      </w:tr>
      <w:tr w:rsidR="006D09BD" w:rsidRPr="00EB35DF" w14:paraId="4B29B9B6" w14:textId="77777777" w:rsidTr="00D313E0">
        <w:trPr>
          <w:cantSplit/>
          <w:trHeight w:val="259"/>
          <w:jc w:val="center"/>
        </w:trPr>
        <w:tc>
          <w:tcPr>
            <w:tcW w:w="1701" w:type="dxa"/>
            <w:vMerge/>
            <w:hideMark/>
          </w:tcPr>
          <w:p w14:paraId="4C446179"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hideMark/>
          </w:tcPr>
          <w:p w14:paraId="765C39FE"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Care Type</w:t>
            </w:r>
          </w:p>
        </w:tc>
      </w:tr>
      <w:tr w:rsidR="006D09BD" w:rsidRPr="00EB35DF" w14:paraId="42930AEE" w14:textId="77777777" w:rsidTr="00D313E0">
        <w:trPr>
          <w:cantSplit/>
          <w:trHeight w:val="259"/>
          <w:jc w:val="center"/>
        </w:trPr>
        <w:tc>
          <w:tcPr>
            <w:tcW w:w="1701" w:type="dxa"/>
            <w:vMerge/>
            <w:hideMark/>
          </w:tcPr>
          <w:p w14:paraId="1AC65F73"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hideMark/>
          </w:tcPr>
          <w:p w14:paraId="47487A92"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Indigenous Status</w:t>
            </w:r>
          </w:p>
        </w:tc>
      </w:tr>
      <w:tr w:rsidR="006D09BD" w:rsidRPr="00EB35DF" w14:paraId="58CF1EB9" w14:textId="77777777" w:rsidTr="00D313E0">
        <w:trPr>
          <w:cantSplit/>
          <w:trHeight w:val="259"/>
          <w:jc w:val="center"/>
        </w:trPr>
        <w:tc>
          <w:tcPr>
            <w:tcW w:w="1701" w:type="dxa"/>
            <w:vMerge/>
            <w:hideMark/>
          </w:tcPr>
          <w:p w14:paraId="1E1728C6"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hideMark/>
          </w:tcPr>
          <w:p w14:paraId="79840560"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Funding Source</w:t>
            </w:r>
          </w:p>
        </w:tc>
      </w:tr>
      <w:tr w:rsidR="006D09BD" w:rsidRPr="00EB35DF" w14:paraId="7FFC69FB" w14:textId="77777777" w:rsidTr="00D313E0">
        <w:trPr>
          <w:cantSplit/>
          <w:trHeight w:val="259"/>
          <w:jc w:val="center"/>
        </w:trPr>
        <w:tc>
          <w:tcPr>
            <w:tcW w:w="1701" w:type="dxa"/>
            <w:vMerge/>
            <w:hideMark/>
          </w:tcPr>
          <w:p w14:paraId="1CDA79F3"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hideMark/>
          </w:tcPr>
          <w:p w14:paraId="0485117C"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Total Leave Days</w:t>
            </w:r>
          </w:p>
        </w:tc>
      </w:tr>
      <w:tr w:rsidR="006D09BD" w:rsidRPr="00EB35DF" w14:paraId="3B75F7FE" w14:textId="77777777" w:rsidTr="00D313E0">
        <w:trPr>
          <w:cantSplit/>
          <w:trHeight w:val="259"/>
          <w:jc w:val="center"/>
        </w:trPr>
        <w:tc>
          <w:tcPr>
            <w:tcW w:w="1701" w:type="dxa"/>
            <w:vMerge/>
            <w:hideMark/>
          </w:tcPr>
          <w:p w14:paraId="117ABB45"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hideMark/>
          </w:tcPr>
          <w:p w14:paraId="2C6F0DED"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Postcode of Patient's Usual Residence</w:t>
            </w:r>
          </w:p>
        </w:tc>
      </w:tr>
      <w:tr w:rsidR="006D09BD" w:rsidRPr="00EB35DF" w14:paraId="1719CA8C" w14:textId="77777777" w:rsidTr="00D313E0">
        <w:trPr>
          <w:cantSplit/>
          <w:trHeight w:val="259"/>
          <w:jc w:val="center"/>
        </w:trPr>
        <w:tc>
          <w:tcPr>
            <w:tcW w:w="1701" w:type="dxa"/>
            <w:vMerge/>
          </w:tcPr>
          <w:p w14:paraId="37B79C46"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tcPr>
          <w:p w14:paraId="19F2EA78" w14:textId="77777777" w:rsidR="006D09BD" w:rsidRPr="00EB35DF" w:rsidRDefault="006D09BD">
            <w:pPr>
              <w:tabs>
                <w:tab w:val="left" w:pos="1162"/>
              </w:tabs>
              <w:rPr>
                <w:rFonts w:cs="Arial"/>
                <w:color w:val="000000"/>
                <w:sz w:val="18"/>
                <w:szCs w:val="18"/>
              </w:rPr>
            </w:pPr>
            <w:r w:rsidRPr="00EB35DF">
              <w:rPr>
                <w:rFonts w:cs="Arial"/>
                <w:color w:val="000000"/>
                <w:sz w:val="18"/>
                <w:szCs w:val="18"/>
              </w:rPr>
              <w:t>Australian Statistical Geography Standard of Patient’s Usual Residence</w:t>
            </w:r>
          </w:p>
        </w:tc>
      </w:tr>
      <w:tr w:rsidR="006D09BD" w:rsidRPr="00EB35DF" w14:paraId="073445E5" w14:textId="77777777" w:rsidTr="00D313E0">
        <w:trPr>
          <w:cantSplit/>
          <w:trHeight w:val="259"/>
          <w:jc w:val="center"/>
        </w:trPr>
        <w:tc>
          <w:tcPr>
            <w:tcW w:w="1701" w:type="dxa"/>
            <w:vMerge/>
            <w:hideMark/>
          </w:tcPr>
          <w:p w14:paraId="537C253D"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hideMark/>
          </w:tcPr>
          <w:p w14:paraId="5CAD80D5"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Statistical Local Area of Patient's Usual Residence</w:t>
            </w:r>
          </w:p>
        </w:tc>
      </w:tr>
      <w:tr w:rsidR="006D09BD" w:rsidRPr="00EB35DF" w14:paraId="1B1D27AC" w14:textId="77777777" w:rsidTr="00D313E0">
        <w:trPr>
          <w:cantSplit/>
          <w:trHeight w:val="259"/>
          <w:jc w:val="center"/>
        </w:trPr>
        <w:tc>
          <w:tcPr>
            <w:tcW w:w="1701" w:type="dxa"/>
            <w:vMerge w:val="restart"/>
            <w:shd w:val="clear" w:color="auto" w:fill="auto"/>
          </w:tcPr>
          <w:p w14:paraId="7B6A25D9" w14:textId="77777777" w:rsidR="006D09BD" w:rsidRPr="00EB35DF" w:rsidRDefault="006D09BD" w:rsidP="00560AC0">
            <w:pPr>
              <w:tabs>
                <w:tab w:val="left" w:pos="1162"/>
              </w:tabs>
              <w:spacing w:before="60" w:after="60"/>
              <w:rPr>
                <w:rFonts w:cs="Arial"/>
                <w:color w:val="000000"/>
                <w:sz w:val="18"/>
                <w:szCs w:val="18"/>
              </w:rPr>
            </w:pPr>
            <w:r w:rsidRPr="00EB35DF">
              <w:rPr>
                <w:rFonts w:cs="Arial"/>
                <w:color w:val="000000"/>
                <w:sz w:val="18"/>
                <w:szCs w:val="18"/>
              </w:rPr>
              <w:t>ASNHC DSS</w:t>
            </w:r>
          </w:p>
        </w:tc>
        <w:tc>
          <w:tcPr>
            <w:tcW w:w="5935" w:type="dxa"/>
            <w:shd w:val="clear" w:color="auto" w:fill="auto"/>
            <w:noWrap/>
          </w:tcPr>
          <w:p w14:paraId="323AF6DC"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AN-SNAP Class (Version 4)</w:t>
            </w:r>
          </w:p>
        </w:tc>
      </w:tr>
      <w:tr w:rsidR="006D09BD" w:rsidRPr="00EB35DF" w14:paraId="4896AC82" w14:textId="77777777" w:rsidTr="00D313E0">
        <w:trPr>
          <w:cantSplit/>
          <w:trHeight w:val="259"/>
          <w:jc w:val="center"/>
        </w:trPr>
        <w:tc>
          <w:tcPr>
            <w:tcW w:w="1701" w:type="dxa"/>
            <w:vMerge/>
            <w:shd w:val="clear" w:color="auto" w:fill="auto"/>
          </w:tcPr>
          <w:p w14:paraId="4887AB7B"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tcPr>
          <w:p w14:paraId="17CA57CA" w14:textId="77777777" w:rsidR="006D09BD" w:rsidRPr="00EB35DF" w:rsidRDefault="006D09BD">
            <w:pPr>
              <w:tabs>
                <w:tab w:val="left" w:pos="1162"/>
              </w:tabs>
              <w:spacing w:before="60" w:after="60"/>
              <w:rPr>
                <w:rFonts w:cs="Arial"/>
                <w:color w:val="000000"/>
                <w:sz w:val="18"/>
                <w:szCs w:val="18"/>
              </w:rPr>
            </w:pPr>
            <w:r w:rsidRPr="00EB35DF">
              <w:rPr>
                <w:rFonts w:cs="Arial"/>
                <w:color w:val="000000"/>
                <w:sz w:val="18"/>
                <w:szCs w:val="18"/>
              </w:rPr>
              <w:t>Palliative Phase of Care Start Date</w:t>
            </w:r>
          </w:p>
        </w:tc>
      </w:tr>
      <w:tr w:rsidR="006D09BD" w:rsidRPr="00496274" w14:paraId="5009119B" w14:textId="77777777" w:rsidTr="00D313E0">
        <w:trPr>
          <w:cantSplit/>
          <w:trHeight w:val="259"/>
          <w:jc w:val="center"/>
        </w:trPr>
        <w:tc>
          <w:tcPr>
            <w:tcW w:w="1701" w:type="dxa"/>
            <w:vMerge/>
            <w:shd w:val="clear" w:color="auto" w:fill="auto"/>
            <w:hideMark/>
          </w:tcPr>
          <w:p w14:paraId="5764E60B" w14:textId="77777777" w:rsidR="006D09BD" w:rsidRPr="00EB35DF" w:rsidRDefault="006D09BD">
            <w:pPr>
              <w:tabs>
                <w:tab w:val="left" w:pos="1162"/>
              </w:tabs>
              <w:spacing w:before="60" w:after="60"/>
              <w:rPr>
                <w:rFonts w:cs="Arial"/>
                <w:color w:val="000000"/>
                <w:sz w:val="18"/>
                <w:szCs w:val="18"/>
              </w:rPr>
            </w:pPr>
          </w:p>
        </w:tc>
        <w:tc>
          <w:tcPr>
            <w:tcW w:w="5935" w:type="dxa"/>
            <w:shd w:val="clear" w:color="auto" w:fill="auto"/>
            <w:noWrap/>
            <w:hideMark/>
          </w:tcPr>
          <w:p w14:paraId="54DA26A3" w14:textId="77777777" w:rsidR="006D09BD" w:rsidRPr="00494D73" w:rsidRDefault="006D09BD">
            <w:pPr>
              <w:tabs>
                <w:tab w:val="left" w:pos="1162"/>
              </w:tabs>
              <w:spacing w:before="60" w:after="60"/>
              <w:rPr>
                <w:rFonts w:cs="Arial"/>
                <w:color w:val="000000"/>
                <w:sz w:val="18"/>
                <w:szCs w:val="18"/>
              </w:rPr>
            </w:pPr>
            <w:r w:rsidRPr="00EB35DF">
              <w:rPr>
                <w:rFonts w:cs="Arial"/>
                <w:color w:val="000000"/>
                <w:sz w:val="18"/>
                <w:szCs w:val="18"/>
              </w:rPr>
              <w:t>Palliative Phase of Care End Date</w:t>
            </w:r>
          </w:p>
        </w:tc>
      </w:tr>
    </w:tbl>
    <w:p w14:paraId="06F551B6" w14:textId="77777777" w:rsidR="006D09BD" w:rsidRDefault="006D09BD" w:rsidP="00560AC0">
      <w:pPr>
        <w:tabs>
          <w:tab w:val="left" w:pos="1162"/>
        </w:tabs>
      </w:pPr>
    </w:p>
    <w:p w14:paraId="0C4C63E6" w14:textId="77777777" w:rsidR="006D09BD" w:rsidRDefault="006D09BD">
      <w:pPr>
        <w:tabs>
          <w:tab w:val="left" w:pos="1162"/>
        </w:tabs>
        <w:spacing w:after="360"/>
      </w:pPr>
    </w:p>
    <w:p w14:paraId="4645CAA3" w14:textId="77777777" w:rsidR="006D09BD" w:rsidRPr="006D09BD" w:rsidRDefault="006D09BD"/>
    <w:p w14:paraId="16E31A43" w14:textId="77777777" w:rsidR="003642EA" w:rsidRDefault="003642EA">
      <w:pPr>
        <w:pStyle w:val="Heading1"/>
        <w:pageBreakBefore/>
        <w:numPr>
          <w:ilvl w:val="0"/>
          <w:numId w:val="17"/>
        </w:numPr>
        <w:spacing w:before="100" w:beforeAutospacing="1" w:after="100" w:afterAutospacing="1" w:line="276" w:lineRule="auto"/>
        <w:ind w:left="426"/>
        <w:contextualSpacing w:val="0"/>
        <w:rPr>
          <w:sz w:val="44"/>
        </w:rPr>
      </w:pPr>
      <w:bookmarkStart w:id="657" w:name="_Toc466884210"/>
      <w:bookmarkStart w:id="658" w:name="_Toc467505223"/>
      <w:bookmarkStart w:id="659" w:name="_Toc467676236"/>
      <w:bookmarkStart w:id="660" w:name="_Toc467745597"/>
      <w:bookmarkStart w:id="661" w:name="_Toc467759582"/>
      <w:bookmarkStart w:id="662" w:name="_Toc468204059"/>
      <w:bookmarkStart w:id="663" w:name="_Toc476305237"/>
      <w:r w:rsidRPr="00825A7A">
        <w:rPr>
          <w:sz w:val="44"/>
        </w:rPr>
        <w:lastRenderedPageBreak/>
        <w:t>Emergency care cost model</w:t>
      </w:r>
      <w:bookmarkEnd w:id="657"/>
      <w:bookmarkEnd w:id="658"/>
      <w:bookmarkEnd w:id="659"/>
      <w:bookmarkEnd w:id="660"/>
      <w:bookmarkEnd w:id="661"/>
      <w:bookmarkEnd w:id="662"/>
      <w:bookmarkEnd w:id="663"/>
    </w:p>
    <w:p w14:paraId="191AA3C1" w14:textId="77777777" w:rsidR="00F8056D" w:rsidRDefault="00F8056D">
      <w:pPr>
        <w:pStyle w:val="Heading2"/>
        <w:numPr>
          <w:ilvl w:val="1"/>
          <w:numId w:val="17"/>
        </w:numPr>
        <w:ind w:left="567" w:right="-28" w:hanging="567"/>
      </w:pPr>
      <w:bookmarkStart w:id="664" w:name="_Toc467745598"/>
      <w:bookmarkStart w:id="665" w:name="_Toc467759583"/>
      <w:bookmarkStart w:id="666" w:name="_Toc468204060"/>
      <w:bookmarkStart w:id="667" w:name="_Toc476305238"/>
      <w:r w:rsidRPr="009225AC">
        <w:t>General issues</w:t>
      </w:r>
      <w:bookmarkEnd w:id="664"/>
      <w:bookmarkEnd w:id="665"/>
      <w:bookmarkEnd w:id="666"/>
      <w:bookmarkEnd w:id="667"/>
    </w:p>
    <w:p w14:paraId="2E08DEE8" w14:textId="77777777" w:rsidR="00F8056D" w:rsidRPr="00831C09" w:rsidRDefault="00F8056D">
      <w:pPr>
        <w:pStyle w:val="Heading3"/>
        <w:numPr>
          <w:ilvl w:val="2"/>
          <w:numId w:val="17"/>
        </w:numPr>
        <w:spacing w:before="200" w:after="120" w:line="276" w:lineRule="auto"/>
        <w:ind w:left="851" w:hanging="851"/>
        <w:contextualSpacing w:val="0"/>
      </w:pPr>
      <w:bookmarkStart w:id="668" w:name="_Toc467745599"/>
      <w:bookmarkStart w:id="669" w:name="_Toc468204061"/>
      <w:r>
        <w:t>Cost unit</w:t>
      </w:r>
      <w:bookmarkEnd w:id="668"/>
      <w:bookmarkEnd w:id="669"/>
    </w:p>
    <w:p w14:paraId="255C422D" w14:textId="77777777" w:rsidR="00F8056D" w:rsidRDefault="00F8056D" w:rsidP="002D606E">
      <w:pPr>
        <w:tabs>
          <w:tab w:val="left" w:pos="1162"/>
        </w:tabs>
        <w:rPr>
          <w:rFonts w:cs="Arial"/>
          <w:szCs w:val="20"/>
        </w:rPr>
      </w:pPr>
      <w:r w:rsidRPr="002909DA">
        <w:rPr>
          <w:rFonts w:cs="Arial"/>
          <w:szCs w:val="20"/>
        </w:rPr>
        <w:t xml:space="preserve">The </w:t>
      </w:r>
      <w:r>
        <w:rPr>
          <w:rFonts w:cs="Arial"/>
          <w:szCs w:val="20"/>
        </w:rPr>
        <w:t xml:space="preserve">cost </w:t>
      </w:r>
      <w:r w:rsidRPr="002909DA">
        <w:rPr>
          <w:rFonts w:cs="Arial"/>
          <w:szCs w:val="20"/>
        </w:rPr>
        <w:t>unit for ABF for emergency care is an ‘emergency department stay’</w:t>
      </w:r>
      <w:r w:rsidRPr="002909DA">
        <w:rPr>
          <w:rStyle w:val="FootnoteReference"/>
          <w:rFonts w:cs="Arial"/>
          <w:szCs w:val="20"/>
        </w:rPr>
        <w:footnoteReference w:id="16"/>
      </w:r>
      <w:r w:rsidRPr="002909DA">
        <w:rPr>
          <w:rFonts w:cs="Arial"/>
          <w:szCs w:val="20"/>
        </w:rPr>
        <w:t xml:space="preserve"> or presentation. It includes stays for patients who are treated and go home, and ones that are subsequently admitted to hospital or transferred to another facility for further care.</w:t>
      </w:r>
    </w:p>
    <w:p w14:paraId="5F636E4B" w14:textId="77777777" w:rsidR="00F8056D" w:rsidRDefault="00F8056D" w:rsidP="00560AC0">
      <w:pPr>
        <w:pStyle w:val="Heading3"/>
        <w:numPr>
          <w:ilvl w:val="2"/>
          <w:numId w:val="17"/>
        </w:numPr>
        <w:spacing w:before="200" w:after="120" w:line="276" w:lineRule="auto"/>
        <w:ind w:left="851" w:hanging="851"/>
        <w:contextualSpacing w:val="0"/>
      </w:pPr>
      <w:bookmarkStart w:id="670" w:name="_Toc467745600"/>
      <w:bookmarkStart w:id="671" w:name="_Toc468204062"/>
      <w:r>
        <w:t>Scope</w:t>
      </w:r>
      <w:bookmarkEnd w:id="670"/>
      <w:bookmarkEnd w:id="671"/>
    </w:p>
    <w:p w14:paraId="048B2B0F" w14:textId="77777777" w:rsidR="00F8056D" w:rsidRPr="002909DA" w:rsidRDefault="00F8056D" w:rsidP="002D606E">
      <w:pPr>
        <w:tabs>
          <w:tab w:val="left" w:pos="1162"/>
        </w:tabs>
        <w:rPr>
          <w:rFonts w:cs="Arial"/>
          <w:szCs w:val="20"/>
        </w:rPr>
      </w:pPr>
      <w:r w:rsidRPr="002909DA">
        <w:rPr>
          <w:rFonts w:cs="Arial"/>
          <w:szCs w:val="20"/>
        </w:rPr>
        <w:t xml:space="preserve">Emergency care is that provided to patients registered for care in an emergency department </w:t>
      </w:r>
      <w:r>
        <w:rPr>
          <w:rFonts w:cs="Arial"/>
          <w:szCs w:val="20"/>
        </w:rPr>
        <w:t>with</w:t>
      </w:r>
      <w:r w:rsidRPr="002909DA">
        <w:rPr>
          <w:rFonts w:cs="Arial"/>
          <w:szCs w:val="20"/>
        </w:rPr>
        <w:t xml:space="preserve">in </w:t>
      </w:r>
      <w:r>
        <w:rPr>
          <w:rFonts w:cs="Arial"/>
          <w:szCs w:val="20"/>
        </w:rPr>
        <w:t xml:space="preserve">a </w:t>
      </w:r>
      <w:r w:rsidRPr="002909DA">
        <w:rPr>
          <w:rFonts w:cs="Arial"/>
          <w:szCs w:val="20"/>
        </w:rPr>
        <w:t>selected public hospital</w:t>
      </w:r>
      <w:r>
        <w:rPr>
          <w:rFonts w:cs="Arial"/>
          <w:szCs w:val="20"/>
        </w:rPr>
        <w:t>. P</w:t>
      </w:r>
      <w:r w:rsidRPr="002909DA">
        <w:rPr>
          <w:rFonts w:cs="Arial"/>
          <w:szCs w:val="20"/>
        </w:rPr>
        <w:t xml:space="preserve">atients </w:t>
      </w:r>
      <w:r>
        <w:rPr>
          <w:rFonts w:cs="Arial"/>
          <w:szCs w:val="20"/>
        </w:rPr>
        <w:t>declared</w:t>
      </w:r>
      <w:r w:rsidRPr="002909DA">
        <w:rPr>
          <w:rFonts w:cs="Arial"/>
          <w:szCs w:val="20"/>
        </w:rPr>
        <w:t xml:space="preserve"> dead on arrival are</w:t>
      </w:r>
      <w:r>
        <w:rPr>
          <w:rFonts w:cs="Arial"/>
          <w:szCs w:val="20"/>
        </w:rPr>
        <w:t xml:space="preserve"> considered </w:t>
      </w:r>
      <w:r w:rsidRPr="002909DA">
        <w:rPr>
          <w:rFonts w:cs="Arial"/>
          <w:szCs w:val="20"/>
        </w:rPr>
        <w:t xml:space="preserve">in scope if </w:t>
      </w:r>
      <w:r>
        <w:rPr>
          <w:rFonts w:cs="Arial"/>
          <w:szCs w:val="20"/>
        </w:rPr>
        <w:t xml:space="preserve">the death is certified by </w:t>
      </w:r>
      <w:r w:rsidRPr="002909DA">
        <w:rPr>
          <w:rFonts w:cs="Arial"/>
          <w:szCs w:val="20"/>
        </w:rPr>
        <w:t>an emergency department clinician</w:t>
      </w:r>
      <w:r>
        <w:rPr>
          <w:rFonts w:cs="Arial"/>
          <w:szCs w:val="20"/>
        </w:rPr>
        <w:t xml:space="preserve">. </w:t>
      </w:r>
      <w:proofErr w:type="gramStart"/>
      <w:r w:rsidRPr="002909DA">
        <w:rPr>
          <w:rFonts w:cs="Arial"/>
          <w:szCs w:val="20"/>
        </w:rPr>
        <w:t>Patients</w:t>
      </w:r>
      <w:proofErr w:type="gramEnd"/>
      <w:r w:rsidRPr="002909DA">
        <w:rPr>
          <w:rFonts w:cs="Arial"/>
          <w:szCs w:val="20"/>
        </w:rPr>
        <w:t xml:space="preserve"> who leave the emergency department after being triaged and advised of alternative treatment options</w:t>
      </w:r>
      <w:r>
        <w:rPr>
          <w:rFonts w:cs="Arial"/>
          <w:szCs w:val="20"/>
        </w:rPr>
        <w:t>,</w:t>
      </w:r>
      <w:r w:rsidRPr="002909DA">
        <w:rPr>
          <w:rFonts w:cs="Arial"/>
          <w:szCs w:val="20"/>
        </w:rPr>
        <w:t xml:space="preserve"> are also</w:t>
      </w:r>
      <w:r>
        <w:rPr>
          <w:rFonts w:cs="Arial"/>
          <w:szCs w:val="20"/>
        </w:rPr>
        <w:t xml:space="preserve"> considered </w:t>
      </w:r>
      <w:r w:rsidRPr="002909DA">
        <w:rPr>
          <w:rFonts w:cs="Arial"/>
          <w:szCs w:val="20"/>
        </w:rPr>
        <w:t xml:space="preserve">in scope. </w:t>
      </w:r>
      <w:r>
        <w:rPr>
          <w:rFonts w:cs="Arial"/>
          <w:szCs w:val="20"/>
        </w:rPr>
        <w:t xml:space="preserve">All patients in the Non-admitted Patient </w:t>
      </w:r>
      <w:r w:rsidRPr="005B7C15">
        <w:rPr>
          <w:rFonts w:cs="Arial"/>
          <w:szCs w:val="20"/>
        </w:rPr>
        <w:t xml:space="preserve">Emergency Department Care </w:t>
      </w:r>
      <w:r>
        <w:rPr>
          <w:rFonts w:cs="Arial"/>
          <w:szCs w:val="20"/>
        </w:rPr>
        <w:t xml:space="preserve">(NAPEDC NMDS) and ABF </w:t>
      </w:r>
      <w:r w:rsidRPr="005B7C15">
        <w:rPr>
          <w:rFonts w:cs="Arial"/>
          <w:szCs w:val="20"/>
        </w:rPr>
        <w:t xml:space="preserve">Emergency Services </w:t>
      </w:r>
      <w:r>
        <w:rPr>
          <w:rFonts w:cs="Arial"/>
          <w:szCs w:val="20"/>
        </w:rPr>
        <w:t xml:space="preserve">Care </w:t>
      </w:r>
      <w:r w:rsidRPr="005B7C15">
        <w:rPr>
          <w:rFonts w:cs="Arial"/>
          <w:szCs w:val="20"/>
        </w:rPr>
        <w:t xml:space="preserve">DSS </w:t>
      </w:r>
      <w:r>
        <w:rPr>
          <w:rFonts w:cs="Arial"/>
          <w:szCs w:val="20"/>
        </w:rPr>
        <w:t>(ABF ESC DSS) are in scope.</w:t>
      </w:r>
    </w:p>
    <w:p w14:paraId="69FFA2EE" w14:textId="52AD8BA4" w:rsidR="00F8056D" w:rsidRDefault="00F8056D" w:rsidP="002D606E">
      <w:pPr>
        <w:tabs>
          <w:tab w:val="left" w:pos="1162"/>
        </w:tabs>
        <w:rPr>
          <w:rFonts w:cs="Arial"/>
          <w:szCs w:val="20"/>
        </w:rPr>
      </w:pPr>
      <w:r w:rsidRPr="002909DA">
        <w:rPr>
          <w:rFonts w:cs="Arial"/>
          <w:szCs w:val="20"/>
        </w:rPr>
        <w:t xml:space="preserve">Patients being treated in emergency departments may subsequently become </w:t>
      </w:r>
      <w:r>
        <w:rPr>
          <w:rFonts w:cs="Arial"/>
          <w:szCs w:val="20"/>
        </w:rPr>
        <w:t>‘</w:t>
      </w:r>
      <w:r w:rsidRPr="002909DA">
        <w:rPr>
          <w:rFonts w:cs="Arial"/>
          <w:szCs w:val="20"/>
        </w:rPr>
        <w:t>admitted</w:t>
      </w:r>
      <w:r>
        <w:rPr>
          <w:rFonts w:cs="Arial"/>
          <w:szCs w:val="20"/>
        </w:rPr>
        <w:t>’</w:t>
      </w:r>
      <w:r w:rsidRPr="002909DA">
        <w:rPr>
          <w:rFonts w:cs="Arial"/>
          <w:szCs w:val="20"/>
        </w:rPr>
        <w:t>. All patients remain in scope for ABF for emergency care until they are recorded as having physically departed the emergency departmen</w:t>
      </w:r>
      <w:r w:rsidR="00542CD9">
        <w:rPr>
          <w:rFonts w:cs="Arial"/>
          <w:szCs w:val="20"/>
        </w:rPr>
        <w:t>t</w:t>
      </w:r>
      <w:r w:rsidRPr="002909DA">
        <w:rPr>
          <w:rFonts w:cs="Arial"/>
          <w:szCs w:val="20"/>
        </w:rPr>
        <w:t>, regardless of w</w:t>
      </w:r>
      <w:r>
        <w:rPr>
          <w:rFonts w:cs="Arial"/>
          <w:szCs w:val="20"/>
        </w:rPr>
        <w:t>hether they have been admitted.</w:t>
      </w:r>
    </w:p>
    <w:p w14:paraId="0F1A856A" w14:textId="77777777" w:rsidR="00F8056D" w:rsidRDefault="00F8056D" w:rsidP="00560AC0">
      <w:pPr>
        <w:pStyle w:val="Heading3"/>
        <w:numPr>
          <w:ilvl w:val="2"/>
          <w:numId w:val="17"/>
        </w:numPr>
        <w:spacing w:before="200" w:after="120" w:line="276" w:lineRule="auto"/>
        <w:ind w:left="851" w:hanging="851"/>
        <w:contextualSpacing w:val="0"/>
      </w:pPr>
      <w:bookmarkStart w:id="672" w:name="_Toc467745601"/>
      <w:bookmarkStart w:id="673" w:name="_Toc468204063"/>
      <w:r>
        <w:t>Classification</w:t>
      </w:r>
      <w:bookmarkEnd w:id="672"/>
      <w:bookmarkEnd w:id="673"/>
    </w:p>
    <w:p w14:paraId="077CFE24" w14:textId="77777777" w:rsidR="00F8056D" w:rsidRDefault="00F8056D" w:rsidP="002D606E">
      <w:pPr>
        <w:tabs>
          <w:tab w:val="left" w:pos="1162"/>
        </w:tabs>
        <w:rPr>
          <w:rFonts w:cs="Arial"/>
          <w:szCs w:val="20"/>
        </w:rPr>
      </w:pPr>
      <w:r w:rsidRPr="002909DA">
        <w:rPr>
          <w:rFonts w:cs="Arial"/>
          <w:szCs w:val="20"/>
        </w:rPr>
        <w:t>Two systems are used to classify emergency care for the purposes of ABF of these services from 1 </w:t>
      </w:r>
      <w:r>
        <w:rPr>
          <w:rFonts w:cs="Arial"/>
          <w:szCs w:val="20"/>
        </w:rPr>
        <w:t>July 2014</w:t>
      </w:r>
      <w:r w:rsidRPr="002909DA">
        <w:rPr>
          <w:rFonts w:cs="Arial"/>
          <w:szCs w:val="20"/>
        </w:rPr>
        <w:t>: Urgency Related Groups (URGs) Version 1.</w:t>
      </w:r>
      <w:r>
        <w:rPr>
          <w:rFonts w:cs="Arial"/>
          <w:szCs w:val="20"/>
        </w:rPr>
        <w:t>4</w:t>
      </w:r>
      <w:r w:rsidRPr="002909DA">
        <w:rPr>
          <w:rFonts w:cs="Arial"/>
          <w:szCs w:val="20"/>
        </w:rPr>
        <w:t xml:space="preserve"> and Urgency Disposition Groups (UDGs) </w:t>
      </w:r>
      <w:r>
        <w:rPr>
          <w:rFonts w:cs="Arial"/>
          <w:szCs w:val="20"/>
        </w:rPr>
        <w:t>V</w:t>
      </w:r>
      <w:r w:rsidRPr="002909DA">
        <w:rPr>
          <w:rFonts w:cs="Arial"/>
          <w:szCs w:val="20"/>
        </w:rPr>
        <w:t>ersion 1.3. The former applies to level 3B to 6 emergency departments, and the latter to all others (i.e. levels 1 to 3A)</w:t>
      </w:r>
      <w:r>
        <w:rPr>
          <w:rFonts w:cs="Arial"/>
          <w:szCs w:val="20"/>
        </w:rPr>
        <w:t xml:space="preserve">. </w:t>
      </w:r>
      <w:r w:rsidRPr="002909DA">
        <w:rPr>
          <w:rFonts w:cs="Arial"/>
          <w:szCs w:val="20"/>
        </w:rPr>
        <w:t>The levels are defined i</w:t>
      </w:r>
      <w:r>
        <w:rPr>
          <w:rFonts w:cs="Arial"/>
          <w:szCs w:val="20"/>
        </w:rPr>
        <w:t xml:space="preserve">n the </w:t>
      </w:r>
      <w:r w:rsidRPr="000B33D2">
        <w:rPr>
          <w:rFonts w:cs="Arial"/>
          <w:szCs w:val="20"/>
        </w:rPr>
        <w:t>NEP Determination</w:t>
      </w:r>
      <w:r>
        <w:rPr>
          <w:rFonts w:cs="Arial"/>
          <w:szCs w:val="20"/>
        </w:rPr>
        <w:t xml:space="preserve"> (Glossary).</w:t>
      </w:r>
    </w:p>
    <w:p w14:paraId="612E5B41" w14:textId="77777777" w:rsidR="00F8056D" w:rsidRDefault="00F8056D" w:rsidP="00560AC0">
      <w:pPr>
        <w:pStyle w:val="Heading2"/>
        <w:numPr>
          <w:ilvl w:val="1"/>
          <w:numId w:val="17"/>
        </w:numPr>
        <w:ind w:left="567" w:right="-28" w:hanging="567"/>
      </w:pPr>
      <w:bookmarkStart w:id="674" w:name="_Toc467745602"/>
      <w:bookmarkStart w:id="675" w:name="_Toc467759584"/>
      <w:bookmarkStart w:id="676" w:name="_Toc468204064"/>
      <w:bookmarkStart w:id="677" w:name="_Toc476305239"/>
      <w:r>
        <w:t>Analysis of costs to derive NWAU for emergency care</w:t>
      </w:r>
      <w:bookmarkEnd w:id="674"/>
      <w:bookmarkEnd w:id="675"/>
      <w:bookmarkEnd w:id="676"/>
      <w:bookmarkEnd w:id="677"/>
    </w:p>
    <w:p w14:paraId="4A6FC4F3" w14:textId="77777777" w:rsidR="00F8056D" w:rsidRDefault="00F8056D">
      <w:pPr>
        <w:pStyle w:val="Heading3"/>
        <w:numPr>
          <w:ilvl w:val="2"/>
          <w:numId w:val="17"/>
        </w:numPr>
        <w:spacing w:before="200" w:after="120" w:line="276" w:lineRule="auto"/>
        <w:ind w:left="851" w:hanging="851"/>
        <w:contextualSpacing w:val="0"/>
      </w:pPr>
      <w:bookmarkStart w:id="678" w:name="_Toc467745603"/>
      <w:bookmarkStart w:id="679" w:name="_Toc468204065"/>
      <w:r>
        <w:t>Data preparation</w:t>
      </w:r>
      <w:bookmarkEnd w:id="678"/>
      <w:bookmarkEnd w:id="679"/>
    </w:p>
    <w:p w14:paraId="3CE36D2D" w14:textId="71B1AE70" w:rsidR="00F8056D" w:rsidRPr="00755DBD" w:rsidRDefault="00F8056D" w:rsidP="002D606E">
      <w:pPr>
        <w:tabs>
          <w:tab w:val="left" w:pos="1162"/>
        </w:tabs>
        <w:rPr>
          <w:rFonts w:cs="Arial"/>
          <w:szCs w:val="20"/>
        </w:rPr>
      </w:pPr>
      <w:r w:rsidRPr="00E3615A">
        <w:rPr>
          <w:rFonts w:cs="Arial"/>
          <w:szCs w:val="20"/>
        </w:rPr>
        <w:t>NHCDC Round 19 reported 6</w:t>
      </w:r>
      <w:r w:rsidR="00FE01DB">
        <w:rPr>
          <w:rFonts w:cs="Arial"/>
          <w:szCs w:val="20"/>
        </w:rPr>
        <w:t>,754,927</w:t>
      </w:r>
      <w:r w:rsidRPr="00E3615A">
        <w:rPr>
          <w:rFonts w:cs="Arial"/>
          <w:szCs w:val="20"/>
        </w:rPr>
        <w:t xml:space="preserve"> presentations in </w:t>
      </w:r>
      <w:r w:rsidR="0007760F" w:rsidRPr="00E3615A">
        <w:rPr>
          <w:rFonts w:cs="Arial"/>
          <w:szCs w:val="20"/>
        </w:rPr>
        <w:t>18</w:t>
      </w:r>
      <w:r w:rsidR="0007760F">
        <w:rPr>
          <w:rFonts w:cs="Arial"/>
          <w:szCs w:val="20"/>
        </w:rPr>
        <w:t>7</w:t>
      </w:r>
      <w:r w:rsidR="0007760F" w:rsidRPr="00E3615A">
        <w:rPr>
          <w:rFonts w:cs="Arial"/>
          <w:szCs w:val="20"/>
        </w:rPr>
        <w:t xml:space="preserve"> </w:t>
      </w:r>
      <w:r w:rsidRPr="00E3615A">
        <w:rPr>
          <w:rFonts w:cs="Arial"/>
          <w:szCs w:val="20"/>
        </w:rPr>
        <w:t xml:space="preserve">ABF establishments with patient-level cost data. This represents </w:t>
      </w:r>
      <w:r w:rsidR="00FE01DB" w:rsidRPr="00E3615A">
        <w:rPr>
          <w:rFonts w:cs="Arial"/>
          <w:szCs w:val="20"/>
        </w:rPr>
        <w:t>9</w:t>
      </w:r>
      <w:r w:rsidR="00FE01DB">
        <w:rPr>
          <w:rFonts w:cs="Arial"/>
          <w:szCs w:val="20"/>
        </w:rPr>
        <w:t>3</w:t>
      </w:r>
      <w:r w:rsidR="00FE01DB" w:rsidRPr="00E3615A">
        <w:rPr>
          <w:rFonts w:cs="Arial"/>
          <w:szCs w:val="20"/>
        </w:rPr>
        <w:t xml:space="preserve"> </w:t>
      </w:r>
      <w:r w:rsidRPr="00E3615A">
        <w:rPr>
          <w:rFonts w:cs="Arial"/>
          <w:szCs w:val="20"/>
        </w:rPr>
        <w:t>per cent of the</w:t>
      </w:r>
      <w:r w:rsidRPr="00E31DFC">
        <w:rPr>
          <w:rFonts w:cs="Arial"/>
          <w:szCs w:val="20"/>
        </w:rPr>
        <w:t xml:space="preserve"> total emergency care population as reported in the ABF DSS datasets and NPHED.</w:t>
      </w:r>
    </w:p>
    <w:p w14:paraId="7BE03B73" w14:textId="77777777" w:rsidR="00F8056D" w:rsidRPr="000D5149" w:rsidRDefault="00F8056D" w:rsidP="002D606E">
      <w:pPr>
        <w:tabs>
          <w:tab w:val="left" w:pos="1162"/>
        </w:tabs>
        <w:rPr>
          <w:rFonts w:cs="Arial"/>
          <w:szCs w:val="20"/>
        </w:rPr>
      </w:pPr>
      <w:r>
        <w:rPr>
          <w:rFonts w:cs="Arial"/>
          <w:szCs w:val="20"/>
        </w:rPr>
        <w:t>IHPA undertook an</w:t>
      </w:r>
      <w:r w:rsidRPr="002909DA">
        <w:rPr>
          <w:rFonts w:cs="Arial"/>
          <w:szCs w:val="20"/>
        </w:rPr>
        <w:t xml:space="preserve"> initial data preparation processes </w:t>
      </w:r>
      <w:r>
        <w:rPr>
          <w:rFonts w:cs="Arial"/>
          <w:szCs w:val="20"/>
        </w:rPr>
        <w:t xml:space="preserve">in line with that </w:t>
      </w:r>
      <w:r w:rsidRPr="00E3615A">
        <w:rPr>
          <w:rFonts w:cs="Arial"/>
          <w:szCs w:val="20"/>
        </w:rPr>
        <w:t>employed for NEP16. The cleansed data is episode level data grouped by URG or UDG. The following data was not</w:t>
      </w:r>
      <w:r>
        <w:rPr>
          <w:rFonts w:cs="Arial"/>
          <w:szCs w:val="20"/>
        </w:rPr>
        <w:t xml:space="preserve"> used in deriving relativities across URGs and UDGs, but was used to calibrate the overall cost level of the model. This was done in a similar way to the integration of aggregate-level cost data in the admitted acute model</w:t>
      </w:r>
      <w:r w:rsidRPr="000D5149">
        <w:rPr>
          <w:rFonts w:cs="Arial"/>
          <w:szCs w:val="20"/>
        </w:rPr>
        <w:t>:</w:t>
      </w:r>
    </w:p>
    <w:p w14:paraId="64559E64" w14:textId="77777777" w:rsidR="00F8056D" w:rsidRPr="00703353" w:rsidRDefault="00F8056D" w:rsidP="00560AC0">
      <w:pPr>
        <w:pStyle w:val="ListParagraph"/>
        <w:numPr>
          <w:ilvl w:val="0"/>
          <w:numId w:val="34"/>
        </w:numPr>
        <w:tabs>
          <w:tab w:val="left" w:pos="1162"/>
        </w:tabs>
        <w:spacing w:before="80" w:after="200" w:line="276" w:lineRule="auto"/>
        <w:ind w:left="714" w:hanging="357"/>
        <w:rPr>
          <w:rFonts w:cs="Arial"/>
          <w:szCs w:val="20"/>
        </w:rPr>
      </w:pPr>
      <w:r w:rsidRPr="00703353">
        <w:rPr>
          <w:rFonts w:cs="Arial"/>
          <w:szCs w:val="20"/>
        </w:rPr>
        <w:t xml:space="preserve">Aggregate data provided at the establishment level in NHCDC </w:t>
      </w:r>
      <w:r>
        <w:rPr>
          <w:rFonts w:cs="Arial"/>
          <w:szCs w:val="20"/>
        </w:rPr>
        <w:t>Round 19</w:t>
      </w:r>
      <w:r w:rsidRPr="00703353">
        <w:rPr>
          <w:rFonts w:cs="Arial"/>
          <w:szCs w:val="20"/>
        </w:rPr>
        <w:t xml:space="preserve"> such as for cost modelled sites;</w:t>
      </w:r>
    </w:p>
    <w:p w14:paraId="43AA46A8" w14:textId="77777777" w:rsidR="00F8056D" w:rsidRPr="00703353" w:rsidRDefault="00F8056D" w:rsidP="00560AC0">
      <w:pPr>
        <w:pStyle w:val="ListParagraph"/>
        <w:numPr>
          <w:ilvl w:val="0"/>
          <w:numId w:val="34"/>
        </w:numPr>
        <w:tabs>
          <w:tab w:val="left" w:pos="1162"/>
        </w:tabs>
        <w:spacing w:before="80" w:after="200" w:line="276" w:lineRule="auto"/>
        <w:ind w:left="714" w:hanging="357"/>
        <w:rPr>
          <w:rFonts w:cs="Arial"/>
          <w:szCs w:val="20"/>
        </w:rPr>
      </w:pPr>
      <w:r>
        <w:rPr>
          <w:rFonts w:cs="Arial"/>
          <w:szCs w:val="20"/>
        </w:rPr>
        <w:lastRenderedPageBreak/>
        <w:t xml:space="preserve">Presentations that grouped to error URGs and UDGs due to missing or invalid </w:t>
      </w:r>
      <w:r w:rsidRPr="00703353">
        <w:rPr>
          <w:rFonts w:cs="Arial"/>
          <w:szCs w:val="20"/>
        </w:rPr>
        <w:t xml:space="preserve">data </w:t>
      </w:r>
      <w:r>
        <w:rPr>
          <w:rFonts w:cs="Arial"/>
          <w:szCs w:val="20"/>
        </w:rPr>
        <w:t>fields</w:t>
      </w:r>
      <w:r w:rsidRPr="00703353">
        <w:rPr>
          <w:rFonts w:cs="Arial"/>
          <w:szCs w:val="20"/>
        </w:rPr>
        <w:t>;</w:t>
      </w:r>
    </w:p>
    <w:p w14:paraId="76657D2F" w14:textId="77777777" w:rsidR="00F8056D" w:rsidRPr="00E3615A" w:rsidRDefault="00F8056D">
      <w:pPr>
        <w:pStyle w:val="ListParagraph"/>
        <w:numPr>
          <w:ilvl w:val="0"/>
          <w:numId w:val="34"/>
        </w:numPr>
        <w:tabs>
          <w:tab w:val="left" w:pos="1162"/>
        </w:tabs>
        <w:spacing w:before="80" w:after="200" w:line="276" w:lineRule="auto"/>
        <w:ind w:left="714" w:hanging="357"/>
        <w:rPr>
          <w:rFonts w:cs="Arial"/>
          <w:szCs w:val="20"/>
        </w:rPr>
      </w:pPr>
      <w:r w:rsidRPr="000D5149">
        <w:rPr>
          <w:rFonts w:cs="Arial"/>
          <w:szCs w:val="20"/>
        </w:rPr>
        <w:t xml:space="preserve">Presentations that were </w:t>
      </w:r>
      <w:r w:rsidRPr="00E3615A">
        <w:rPr>
          <w:rFonts w:cs="Arial"/>
          <w:szCs w:val="20"/>
        </w:rPr>
        <w:t>less than $5; and</w:t>
      </w:r>
    </w:p>
    <w:p w14:paraId="2E807254" w14:textId="77777777" w:rsidR="00F8056D" w:rsidRDefault="00F8056D">
      <w:pPr>
        <w:pStyle w:val="ListParagraph"/>
        <w:numPr>
          <w:ilvl w:val="0"/>
          <w:numId w:val="34"/>
        </w:numPr>
        <w:tabs>
          <w:tab w:val="left" w:pos="1162"/>
        </w:tabs>
        <w:spacing w:before="80" w:after="200" w:line="276" w:lineRule="auto"/>
        <w:ind w:left="714" w:hanging="357"/>
        <w:rPr>
          <w:rFonts w:cs="Arial"/>
          <w:szCs w:val="20"/>
        </w:rPr>
      </w:pPr>
      <w:r>
        <w:rPr>
          <w:rFonts w:cs="Arial"/>
          <w:szCs w:val="20"/>
        </w:rPr>
        <w:t xml:space="preserve">Extreme cost outliers within each </w:t>
      </w:r>
      <w:r w:rsidRPr="000D5149">
        <w:rPr>
          <w:rFonts w:cs="Arial"/>
          <w:szCs w:val="20"/>
        </w:rPr>
        <w:t xml:space="preserve">UDG </w:t>
      </w:r>
      <w:r>
        <w:rPr>
          <w:rFonts w:cs="Arial"/>
          <w:szCs w:val="20"/>
        </w:rPr>
        <w:t>class</w:t>
      </w:r>
      <w:r w:rsidRPr="000D5149">
        <w:rPr>
          <w:rFonts w:cs="Arial"/>
          <w:szCs w:val="20"/>
        </w:rPr>
        <w:t>.</w:t>
      </w:r>
    </w:p>
    <w:p w14:paraId="10AEDCE8" w14:textId="77777777" w:rsidR="00F8056D" w:rsidRDefault="00F8056D">
      <w:pPr>
        <w:pStyle w:val="Heading3"/>
        <w:numPr>
          <w:ilvl w:val="2"/>
          <w:numId w:val="17"/>
        </w:numPr>
        <w:spacing w:before="200" w:after="120" w:line="276" w:lineRule="auto"/>
        <w:ind w:left="851" w:hanging="851"/>
        <w:contextualSpacing w:val="0"/>
      </w:pPr>
      <w:bookmarkStart w:id="680" w:name="_Toc467745604"/>
      <w:bookmarkStart w:id="681" w:name="_Toc468204066"/>
      <w:r>
        <w:t>Sample weights</w:t>
      </w:r>
      <w:bookmarkEnd w:id="680"/>
      <w:bookmarkEnd w:id="681"/>
    </w:p>
    <w:p w14:paraId="1F5D6256" w14:textId="77777777" w:rsidR="00F8056D" w:rsidRDefault="00F8056D" w:rsidP="002D606E">
      <w:pPr>
        <w:tabs>
          <w:tab w:val="left" w:pos="1162"/>
        </w:tabs>
        <w:rPr>
          <w:rFonts w:cs="Arial"/>
          <w:szCs w:val="20"/>
        </w:rPr>
      </w:pPr>
      <w:r w:rsidRPr="00D2117F">
        <w:rPr>
          <w:rFonts w:cs="Arial"/>
          <w:szCs w:val="20"/>
        </w:rPr>
        <w:t>The NHCDC provides a sample of emergency care activity in public hospitals</w:t>
      </w:r>
      <w:r>
        <w:rPr>
          <w:rFonts w:cs="Arial"/>
          <w:szCs w:val="20"/>
        </w:rPr>
        <w:t xml:space="preserve">. </w:t>
      </w:r>
      <w:r w:rsidRPr="00D2117F">
        <w:rPr>
          <w:rFonts w:cs="Arial"/>
          <w:szCs w:val="20"/>
        </w:rPr>
        <w:t xml:space="preserve">To ensure the resulting calculations for the NWAU </w:t>
      </w:r>
      <w:r>
        <w:rPr>
          <w:rFonts w:cs="Arial"/>
          <w:szCs w:val="20"/>
        </w:rPr>
        <w:t>are</w:t>
      </w:r>
      <w:r w:rsidRPr="00D2117F">
        <w:rPr>
          <w:rFonts w:cs="Arial"/>
          <w:szCs w:val="20"/>
        </w:rPr>
        <w:t xml:space="preserve"> appropriate for the full population of emergency care activity, observations from the NHCDC </w:t>
      </w:r>
      <w:r>
        <w:rPr>
          <w:rFonts w:cs="Arial"/>
          <w:szCs w:val="20"/>
        </w:rPr>
        <w:t>are</w:t>
      </w:r>
      <w:r w:rsidRPr="00D2117F">
        <w:rPr>
          <w:rFonts w:cs="Arial"/>
          <w:szCs w:val="20"/>
        </w:rPr>
        <w:t xml:space="preserve"> weighted up to reflect the entire population of emergency care activity by state/territory.</w:t>
      </w:r>
    </w:p>
    <w:p w14:paraId="5C923D9B" w14:textId="77777777" w:rsidR="00F8056D" w:rsidRDefault="00F8056D" w:rsidP="00560AC0">
      <w:pPr>
        <w:pStyle w:val="Heading3"/>
        <w:numPr>
          <w:ilvl w:val="2"/>
          <w:numId w:val="17"/>
        </w:numPr>
        <w:spacing w:before="200" w:after="120" w:line="276" w:lineRule="auto"/>
        <w:ind w:left="851" w:hanging="851"/>
        <w:contextualSpacing w:val="0"/>
      </w:pPr>
      <w:bookmarkStart w:id="682" w:name="_Toc467745605"/>
      <w:bookmarkStart w:id="683" w:name="_Toc468204067"/>
      <w:r>
        <w:t>Cost parameters and adjustments</w:t>
      </w:r>
      <w:bookmarkEnd w:id="682"/>
      <w:bookmarkEnd w:id="683"/>
    </w:p>
    <w:p w14:paraId="71523E45" w14:textId="77777777" w:rsidR="00F8056D" w:rsidRDefault="00F8056D" w:rsidP="002D606E">
      <w:pPr>
        <w:tabs>
          <w:tab w:val="left" w:pos="1162"/>
        </w:tabs>
        <w:rPr>
          <w:rFonts w:cs="Arial"/>
          <w:szCs w:val="20"/>
        </w:rPr>
      </w:pPr>
      <w:r>
        <w:rPr>
          <w:rFonts w:cs="Arial"/>
          <w:szCs w:val="20"/>
        </w:rPr>
        <w:t xml:space="preserve">Data enters the cost model at one of three levels: by URG, by UDG, or aggregated to an establishment level. URG data was used to derive an initial set of URG cost parameters. The URG and UDG data was combined to obtain cost parameters across UDGs, and the URG parameters were then calibrated against the UDG parameters. Finally, the URG and UDG datasets were combined with the aggregate data (controlled for UDG </w:t>
      </w:r>
      <w:proofErr w:type="spellStart"/>
      <w:r>
        <w:rPr>
          <w:rFonts w:cs="Arial"/>
          <w:szCs w:val="20"/>
        </w:rPr>
        <w:t>casemix</w:t>
      </w:r>
      <w:proofErr w:type="spellEnd"/>
      <w:r>
        <w:rPr>
          <w:rFonts w:cs="Arial"/>
          <w:szCs w:val="20"/>
        </w:rPr>
        <w:t>) to obtain an overall cost level across the entire sample. The URG and UDG cost parameters are calibrated against this cost level.</w:t>
      </w:r>
    </w:p>
    <w:p w14:paraId="7B2BCA89" w14:textId="77777777" w:rsidR="00F8056D" w:rsidRDefault="00F8056D" w:rsidP="002D606E">
      <w:pPr>
        <w:tabs>
          <w:tab w:val="left" w:pos="1162"/>
        </w:tabs>
      </w:pPr>
      <w:r>
        <w:rPr>
          <w:rFonts w:cs="Arial"/>
          <w:szCs w:val="20"/>
        </w:rPr>
        <w:t>This process ensures that the URG and UDG cost parameters are aligned and the overall model costs are equalled to actual costs.</w:t>
      </w:r>
      <w:r>
        <w:t xml:space="preserve"> The approach to pricing emergency care services was changed in NEP17 to incorporate an adjustment for patient age. A discrete age adjustment is calculated and applied to emergency service patients </w:t>
      </w:r>
      <w:r w:rsidRPr="00E3615A">
        <w:t>aged 65 to 79 years inclusive and over 79 years.</w:t>
      </w:r>
    </w:p>
    <w:p w14:paraId="5A05D225" w14:textId="487DEE2E" w:rsidR="00F8056D" w:rsidRDefault="00F8056D" w:rsidP="002D606E">
      <w:pPr>
        <w:tabs>
          <w:tab w:val="left" w:pos="1162"/>
        </w:tabs>
      </w:pPr>
      <w:r>
        <w:t xml:space="preserve">The current National Pricing Model Stability Policy requires that the year-to-year movement in price weights be restricted to a </w:t>
      </w:r>
      <w:r w:rsidRPr="004F3D89">
        <w:t>maximum of 20 per cent.  Application</w:t>
      </w:r>
      <w:r>
        <w:t xml:space="preserve"> of this policy results in the stabilisation two price weights. URG038 (</w:t>
      </w:r>
      <w:r w:rsidRPr="006044ED">
        <w:rPr>
          <w:i/>
        </w:rPr>
        <w:t>dead on arrival w any MDB</w:t>
      </w:r>
      <w:r>
        <w:rPr>
          <w:i/>
        </w:rPr>
        <w:t>)</w:t>
      </w:r>
      <w:r>
        <w:t xml:space="preserve"> and the corresponding UDG12, which decreased by 28 per cent, were both stabilised to a price weight of </w:t>
      </w:r>
      <w:r w:rsidRPr="004F3D89">
        <w:t>0.0401.</w:t>
      </w:r>
      <w:r>
        <w:t xml:space="preserve"> URG074 </w:t>
      </w:r>
      <w:r w:rsidRPr="004F3D89">
        <w:rPr>
          <w:i/>
        </w:rPr>
        <w:t>(Transfer presentation</w:t>
      </w:r>
      <w:r>
        <w:rPr>
          <w:i/>
        </w:rPr>
        <w:t xml:space="preserve"> </w:t>
      </w:r>
      <w:r w:rsidRPr="004F3D89">
        <w:rPr>
          <w:i/>
        </w:rPr>
        <w:t>1, 2)</w:t>
      </w:r>
      <w:r>
        <w:t>, which increased by slightly over 20 per cent, was stabilised to a price weight of 0.2835. Its corresponding UDG13 was also stabilised to a price weight of 0.</w:t>
      </w:r>
      <w:r w:rsidR="00224F29">
        <w:t>2319</w:t>
      </w:r>
      <w:r>
        <w:t>.</w:t>
      </w:r>
    </w:p>
    <w:p w14:paraId="2C5BB055" w14:textId="77777777" w:rsidR="00F8056D" w:rsidRDefault="00F8056D" w:rsidP="00560AC0">
      <w:pPr>
        <w:pStyle w:val="Heading3"/>
        <w:numPr>
          <w:ilvl w:val="2"/>
          <w:numId w:val="17"/>
        </w:numPr>
        <w:spacing w:before="200" w:after="120" w:line="276" w:lineRule="auto"/>
        <w:ind w:left="851" w:hanging="851"/>
        <w:contextualSpacing w:val="0"/>
      </w:pPr>
      <w:bookmarkStart w:id="684" w:name="_Toc467745606"/>
      <w:bookmarkStart w:id="685" w:name="_Toc468204068"/>
      <w:r w:rsidRPr="004E7836">
        <w:t>Price weights and NWAU</w:t>
      </w:r>
      <w:bookmarkEnd w:id="684"/>
      <w:bookmarkEnd w:id="685"/>
    </w:p>
    <w:p w14:paraId="54886D04" w14:textId="77777777" w:rsidR="00F8056D" w:rsidRDefault="00F8056D" w:rsidP="002D606E">
      <w:pPr>
        <w:tabs>
          <w:tab w:val="left" w:pos="1162"/>
        </w:tabs>
        <w:rPr>
          <w:rFonts w:cs="Arial"/>
          <w:szCs w:val="20"/>
        </w:rPr>
      </w:pPr>
      <w:r>
        <w:rPr>
          <w:rFonts w:cs="Arial"/>
          <w:szCs w:val="20"/>
        </w:rPr>
        <w:t xml:space="preserve">The final step of the process involves the conversion of cost parameters to cost weights. This is done by </w:t>
      </w:r>
      <w:r w:rsidRPr="00D2117F">
        <w:rPr>
          <w:rFonts w:cs="Arial"/>
          <w:szCs w:val="20"/>
        </w:rPr>
        <w:t xml:space="preserve">dividing the URG and UDG </w:t>
      </w:r>
      <w:r>
        <w:rPr>
          <w:rFonts w:cs="Arial"/>
          <w:szCs w:val="20"/>
        </w:rPr>
        <w:t>cost parameters</w:t>
      </w:r>
      <w:r w:rsidRPr="00D2117F">
        <w:rPr>
          <w:rFonts w:cs="Arial"/>
          <w:szCs w:val="20"/>
        </w:rPr>
        <w:t xml:space="preserve"> by the </w:t>
      </w:r>
      <w:r>
        <w:rPr>
          <w:rFonts w:cs="Arial"/>
          <w:szCs w:val="20"/>
        </w:rPr>
        <w:t>reference</w:t>
      </w:r>
      <w:r w:rsidRPr="0068154B">
        <w:rPr>
          <w:rFonts w:cs="Arial"/>
          <w:szCs w:val="20"/>
        </w:rPr>
        <w:t xml:space="preserve"> cost for </w:t>
      </w:r>
      <w:r>
        <w:rPr>
          <w:rFonts w:cs="Arial"/>
          <w:szCs w:val="20"/>
        </w:rPr>
        <w:t>the admitted acute cost model</w:t>
      </w:r>
      <w:r w:rsidRPr="00D2117F">
        <w:rPr>
          <w:rFonts w:cs="Arial"/>
          <w:szCs w:val="20"/>
        </w:rPr>
        <w:t>.</w:t>
      </w:r>
      <w:r>
        <w:rPr>
          <w:rFonts w:cs="Arial"/>
          <w:szCs w:val="20"/>
        </w:rPr>
        <w:t xml:space="preserve"> These cost weights are then converted to the price weights used to calculate NWAU</w:t>
      </w:r>
      <w:r w:rsidRPr="00D2117F">
        <w:rPr>
          <w:rFonts w:cs="Arial"/>
          <w:szCs w:val="20"/>
        </w:rPr>
        <w:t>.</w:t>
      </w:r>
    </w:p>
    <w:p w14:paraId="10CB1EE1" w14:textId="77777777" w:rsidR="00F8056D" w:rsidRDefault="00F8056D" w:rsidP="002D606E">
      <w:pPr>
        <w:tabs>
          <w:tab w:val="left" w:pos="1162"/>
        </w:tabs>
        <w:rPr>
          <w:rFonts w:cs="Arial"/>
          <w:szCs w:val="20"/>
        </w:rPr>
      </w:pPr>
      <w:r>
        <w:rPr>
          <w:rFonts w:cs="Arial"/>
          <w:szCs w:val="20"/>
        </w:rPr>
        <w:t>As set out in the NEP17 Determination, the price of an ED ABF activity is calculated using the following formula with adjustments as applicable:</w:t>
      </w:r>
    </w:p>
    <w:p w14:paraId="5B6C4AD8" w14:textId="77777777" w:rsidR="00F8056D" w:rsidRDefault="00F8056D" w:rsidP="002D606E">
      <w:pPr>
        <w:spacing w:before="280"/>
        <w:rPr>
          <w:rFonts w:cs="Arial"/>
          <w:color w:val="000000"/>
        </w:rPr>
      </w:pPr>
      <w:r w:rsidRPr="000306BE">
        <w:rPr>
          <w:rFonts w:cs="Arial"/>
          <w:b/>
          <w:color w:val="000000"/>
        </w:rPr>
        <w:t xml:space="preserve">Price of an </w:t>
      </w:r>
      <w:r>
        <w:rPr>
          <w:rFonts w:cs="Arial"/>
          <w:b/>
          <w:color w:val="000000"/>
        </w:rPr>
        <w:t>emergency department or emergency service</w:t>
      </w:r>
      <w:r w:rsidRPr="000306BE">
        <w:rPr>
          <w:rFonts w:cs="Arial"/>
          <w:b/>
          <w:color w:val="000000"/>
        </w:rPr>
        <w:t xml:space="preserve"> ABF Activity</w:t>
      </w:r>
    </w:p>
    <w:p w14:paraId="648027A5" w14:textId="77777777" w:rsidR="00F8056D" w:rsidRPr="00626E5D" w:rsidRDefault="00F8056D" w:rsidP="002D606E">
      <w:pPr>
        <w:rPr>
          <w:rFonts w:cs="Arial"/>
        </w:rPr>
      </w:pPr>
      <w:r>
        <w:rPr>
          <w:rFonts w:cstheme="minorHAnsi"/>
          <w:color w:val="000000"/>
          <w:sz w:val="28"/>
          <w:szCs w:val="28"/>
        </w:rPr>
        <w:t xml:space="preserve">= </w:t>
      </w:r>
      <w:r w:rsidRPr="001D27D8">
        <w:rPr>
          <w:rFonts w:cstheme="minorHAnsi"/>
          <w:color w:val="000000"/>
          <w:sz w:val="28"/>
          <w:szCs w:val="28"/>
        </w:rPr>
        <w:t>{</w:t>
      </w:r>
      <w:r w:rsidRPr="00626E5D">
        <w:rPr>
          <w:rFonts w:cs="Arial"/>
          <w:color w:val="000000"/>
        </w:rPr>
        <w:t xml:space="preserve">PW x (1 + </w:t>
      </w:r>
      <w:proofErr w:type="spellStart"/>
      <w:r w:rsidRPr="00626E5D">
        <w:rPr>
          <w:rFonts w:cs="Arial"/>
          <w:color w:val="000000"/>
        </w:rPr>
        <w:t>A</w:t>
      </w:r>
      <w:r w:rsidRPr="00626E5D">
        <w:rPr>
          <w:rFonts w:cs="Arial"/>
          <w:color w:val="000000"/>
          <w:vertAlign w:val="subscript"/>
        </w:rPr>
        <w:t>Ind</w:t>
      </w:r>
      <w:proofErr w:type="spellEnd"/>
      <w:r w:rsidRPr="00626E5D">
        <w:rPr>
          <w:rFonts w:cs="Arial"/>
          <w:color w:val="000000"/>
        </w:rPr>
        <w:t>)</w:t>
      </w:r>
      <w:r>
        <w:rPr>
          <w:rFonts w:cs="Arial"/>
          <w:color w:val="000000"/>
        </w:rPr>
        <w:t xml:space="preserve"> x (1 + </w:t>
      </w:r>
      <w:r w:rsidRPr="00626E5D">
        <w:rPr>
          <w:rFonts w:cs="Arial"/>
          <w:color w:val="000000"/>
        </w:rPr>
        <w:t>A</w:t>
      </w:r>
      <w:r>
        <w:rPr>
          <w:rFonts w:cs="Arial"/>
          <w:color w:val="000000"/>
          <w:vertAlign w:val="subscript"/>
        </w:rPr>
        <w:t>ECA</w:t>
      </w:r>
      <w:r w:rsidRPr="00626E5D">
        <w:rPr>
          <w:rFonts w:cs="Arial"/>
          <w:color w:val="000000"/>
        </w:rPr>
        <w:t>)</w:t>
      </w:r>
      <w:r w:rsidRPr="001D27D8">
        <w:rPr>
          <w:rFonts w:cstheme="minorHAnsi"/>
          <w:color w:val="000000"/>
          <w:sz w:val="28"/>
          <w:szCs w:val="28"/>
        </w:rPr>
        <w:t>}</w:t>
      </w:r>
      <w:r w:rsidRPr="00626E5D">
        <w:rPr>
          <w:rFonts w:cs="Arial"/>
          <w:color w:val="000000"/>
        </w:rPr>
        <w:t xml:space="preserve"> x NEP</w:t>
      </w:r>
    </w:p>
    <w:p w14:paraId="237DC35A" w14:textId="77777777" w:rsidR="00F8056D" w:rsidRDefault="00F8056D" w:rsidP="00560AC0">
      <w:pPr>
        <w:rPr>
          <w:rFonts w:cs="Arial"/>
        </w:rPr>
      </w:pPr>
    </w:p>
    <w:p w14:paraId="59C2FC2A" w14:textId="77777777" w:rsidR="00F8056D" w:rsidRPr="000306BE" w:rsidRDefault="00F8056D">
      <w:pPr>
        <w:rPr>
          <w:rFonts w:cs="Arial"/>
        </w:rPr>
      </w:pPr>
      <w:r w:rsidRPr="000306BE">
        <w:rPr>
          <w:rFonts w:cs="Arial"/>
        </w:rPr>
        <w:t>Where:</w:t>
      </w:r>
      <w:r w:rsidRPr="002A1927">
        <w:rPr>
          <w:rFonts w:cs="Arial"/>
          <w:noProof/>
        </w:rPr>
        <w:t xml:space="preserve"> </w:t>
      </w:r>
    </w:p>
    <w:p w14:paraId="579C29B2" w14:textId="77777777" w:rsidR="00F8056D" w:rsidRDefault="00F8056D">
      <w:pPr>
        <w:spacing w:after="180"/>
        <w:ind w:left="1985" w:hanging="1985"/>
        <w:rPr>
          <w:rFonts w:cs="Arial"/>
          <w:b/>
        </w:rPr>
      </w:pPr>
      <w:proofErr w:type="spellStart"/>
      <w:r w:rsidRPr="000306BE">
        <w:rPr>
          <w:rFonts w:cs="Arial"/>
          <w:b/>
        </w:rPr>
        <w:t>A</w:t>
      </w:r>
      <w:r w:rsidRPr="000306BE">
        <w:rPr>
          <w:rFonts w:cs="Arial"/>
          <w:b/>
          <w:vertAlign w:val="subscript"/>
        </w:rPr>
        <w:t>Ind</w:t>
      </w:r>
      <w:proofErr w:type="spellEnd"/>
      <w:r w:rsidRPr="000306BE">
        <w:rPr>
          <w:rFonts w:cs="Arial"/>
          <w:vertAlign w:val="subscript"/>
        </w:rPr>
        <w:tab/>
      </w:r>
      <w:r w:rsidRPr="000306BE">
        <w:rPr>
          <w:rFonts w:cs="Arial"/>
        </w:rPr>
        <w:t xml:space="preserve">means the </w:t>
      </w:r>
      <w:r w:rsidRPr="000306BE">
        <w:rPr>
          <w:rFonts w:cs="Arial"/>
          <w:i/>
        </w:rPr>
        <w:t>Indigenous Adjustment</w:t>
      </w:r>
    </w:p>
    <w:p w14:paraId="2114E60E" w14:textId="77777777" w:rsidR="00F8056D" w:rsidRPr="000306BE" w:rsidRDefault="00F8056D">
      <w:pPr>
        <w:spacing w:after="180"/>
        <w:ind w:left="1985" w:hanging="1985"/>
        <w:rPr>
          <w:rFonts w:cs="Arial"/>
        </w:rPr>
      </w:pPr>
      <w:r>
        <w:rPr>
          <w:rFonts w:cs="Arial"/>
          <w:b/>
        </w:rPr>
        <w:t>A</w:t>
      </w:r>
      <w:r w:rsidRPr="00245713">
        <w:rPr>
          <w:rFonts w:cs="Arial"/>
          <w:b/>
          <w:vertAlign w:val="subscript"/>
        </w:rPr>
        <w:t>EC</w:t>
      </w:r>
      <w:r>
        <w:rPr>
          <w:rFonts w:cs="Arial"/>
          <w:b/>
          <w:vertAlign w:val="subscript"/>
        </w:rPr>
        <w:t>A</w:t>
      </w:r>
      <w:r>
        <w:rPr>
          <w:rFonts w:cs="Arial"/>
          <w:b/>
          <w:vertAlign w:val="subscript"/>
        </w:rPr>
        <w:tab/>
      </w:r>
      <w:r w:rsidRPr="00245713">
        <w:rPr>
          <w:rFonts w:cs="Arial"/>
        </w:rPr>
        <w:t xml:space="preserve">means the </w:t>
      </w:r>
      <w:r w:rsidRPr="00245713">
        <w:rPr>
          <w:rFonts w:cs="Arial"/>
          <w:i/>
        </w:rPr>
        <w:t>Emergency Care Age Adjustment</w:t>
      </w:r>
    </w:p>
    <w:p w14:paraId="01B6A422" w14:textId="77777777" w:rsidR="00F8056D" w:rsidRPr="000306BE" w:rsidRDefault="00F8056D">
      <w:pPr>
        <w:spacing w:after="180"/>
        <w:ind w:left="1985" w:hanging="1985"/>
        <w:rPr>
          <w:rFonts w:cs="Arial"/>
        </w:rPr>
      </w:pPr>
      <w:r w:rsidRPr="000306BE">
        <w:rPr>
          <w:rFonts w:cs="Arial"/>
          <w:b/>
        </w:rPr>
        <w:lastRenderedPageBreak/>
        <w:t>NEP</w:t>
      </w:r>
      <w:r w:rsidRPr="000306BE">
        <w:rPr>
          <w:rFonts w:cs="Arial"/>
        </w:rPr>
        <w:tab/>
        <w:t xml:space="preserve">National Efficient Price </w:t>
      </w:r>
      <w:r>
        <w:rPr>
          <w:rFonts w:cs="Arial"/>
        </w:rPr>
        <w:t>2017-18</w:t>
      </w:r>
    </w:p>
    <w:p w14:paraId="56C3564F" w14:textId="2137DD38" w:rsidR="00F8056D" w:rsidRDefault="00F8056D">
      <w:pPr>
        <w:spacing w:after="0"/>
        <w:ind w:left="1985" w:hanging="1985"/>
        <w:rPr>
          <w:rFonts w:cs="Arial"/>
        </w:rPr>
      </w:pPr>
      <w:r w:rsidRPr="000306BE">
        <w:rPr>
          <w:rFonts w:cs="Arial"/>
          <w:b/>
        </w:rPr>
        <w:t>PW</w:t>
      </w:r>
      <w:r w:rsidRPr="000306BE">
        <w:rPr>
          <w:rFonts w:cs="Arial"/>
          <w:b/>
        </w:rPr>
        <w:tab/>
      </w:r>
      <w:r w:rsidRPr="000306BE">
        <w:rPr>
          <w:rFonts w:cs="Arial"/>
        </w:rPr>
        <w:t>means the Price Weight f</w:t>
      </w:r>
      <w:r>
        <w:rPr>
          <w:rFonts w:cs="Arial"/>
        </w:rPr>
        <w:t>or an ABF Activity as set out in</w:t>
      </w:r>
      <w:r w:rsidRPr="000306BE">
        <w:rPr>
          <w:rFonts w:cs="Arial"/>
        </w:rPr>
        <w:t xml:space="preserve"> </w:t>
      </w:r>
      <w:r>
        <w:rPr>
          <w:rFonts w:cs="Arial"/>
        </w:rPr>
        <w:t>Appendix L (for emergency department) or Appendix M (for emergency service)</w:t>
      </w:r>
    </w:p>
    <w:p w14:paraId="1C24E423" w14:textId="77777777" w:rsidR="001B61CF" w:rsidRPr="0044388E" w:rsidRDefault="001B61CF" w:rsidP="002D606E">
      <w:pPr>
        <w:tabs>
          <w:tab w:val="left" w:pos="1162"/>
        </w:tabs>
        <w:autoSpaceDE w:val="0"/>
        <w:autoSpaceDN w:val="0"/>
        <w:adjustRightInd w:val="0"/>
        <w:spacing w:before="240"/>
        <w:ind w:right="-28"/>
        <w:rPr>
          <w:rFonts w:cs="Arial"/>
          <w:szCs w:val="20"/>
          <w:highlight w:val="lightGray"/>
        </w:rPr>
      </w:pPr>
      <w:r>
        <w:rPr>
          <w:rFonts w:cs="Arial"/>
          <w:szCs w:val="20"/>
        </w:rPr>
        <w:t xml:space="preserve">The table below outlines the required information in order to apply the above formula. </w:t>
      </w:r>
    </w:p>
    <w:p w14:paraId="317ED087" w14:textId="0E9BCF09" w:rsidR="003642EA" w:rsidRPr="000351BD" w:rsidRDefault="003642EA" w:rsidP="002D606E">
      <w:pPr>
        <w:spacing w:before="120" w:after="0" w:line="240" w:lineRule="auto"/>
        <w:rPr>
          <w:b/>
        </w:rPr>
      </w:pPr>
      <w:bookmarkStart w:id="686" w:name="_Ref466634228"/>
      <w:bookmarkStart w:id="687" w:name="_Ref342308141"/>
      <w:r w:rsidRPr="000351BD">
        <w:rPr>
          <w:b/>
        </w:rPr>
        <w:t xml:space="preserve">Table </w:t>
      </w:r>
      <w:r w:rsidR="00270A05" w:rsidRPr="000351BD">
        <w:rPr>
          <w:b/>
        </w:rPr>
        <w:fldChar w:fldCharType="begin"/>
      </w:r>
      <w:r w:rsidR="00270A05" w:rsidRPr="000351BD">
        <w:rPr>
          <w:b/>
        </w:rPr>
        <w:instrText xml:space="preserve"> SEQ Table \* ARABIC </w:instrText>
      </w:r>
      <w:r w:rsidR="00270A05" w:rsidRPr="000351BD">
        <w:rPr>
          <w:b/>
        </w:rPr>
        <w:fldChar w:fldCharType="separate"/>
      </w:r>
      <w:r w:rsidR="00F84458">
        <w:rPr>
          <w:b/>
          <w:noProof/>
        </w:rPr>
        <w:t>10</w:t>
      </w:r>
      <w:r w:rsidR="00270A05" w:rsidRPr="000351BD">
        <w:rPr>
          <w:b/>
        </w:rPr>
        <w:fldChar w:fldCharType="end"/>
      </w:r>
      <w:bookmarkEnd w:id="686"/>
      <w:r w:rsidRPr="000351BD">
        <w:rPr>
          <w:b/>
        </w:rPr>
        <w:t>: Dataset and tables required for assignment of NWAU to emergency department patient data.</w:t>
      </w:r>
    </w:p>
    <w:tbl>
      <w:tblPr>
        <w:tblStyle w:val="TableGrid"/>
        <w:tblW w:w="8930"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A summary of table 8 is outlined in the text prior to this table."/>
      </w:tblPr>
      <w:tblGrid>
        <w:gridCol w:w="2977"/>
        <w:gridCol w:w="5953"/>
      </w:tblGrid>
      <w:tr w:rsidR="003642EA" w:rsidRPr="008B0A88" w14:paraId="14523AAB" w14:textId="77777777" w:rsidTr="00F30FA1">
        <w:trPr>
          <w:cantSplit/>
          <w:tblHeader/>
          <w:jc w:val="center"/>
        </w:trPr>
        <w:tc>
          <w:tcPr>
            <w:tcW w:w="2977" w:type="dxa"/>
            <w:shd w:val="clear" w:color="auto" w:fill="288A32"/>
          </w:tcPr>
          <w:p w14:paraId="6912893B" w14:textId="77777777" w:rsidR="003642EA" w:rsidRPr="00F30FA1" w:rsidRDefault="003642EA">
            <w:pPr>
              <w:tabs>
                <w:tab w:val="left" w:pos="1162"/>
              </w:tabs>
              <w:spacing w:before="80" w:after="80"/>
              <w:rPr>
                <w:rFonts w:cs="Arial"/>
                <w:b/>
                <w:color w:val="FFFFFF" w:themeColor="background1"/>
                <w:sz w:val="20"/>
                <w:szCs w:val="20"/>
              </w:rPr>
            </w:pPr>
            <w:r w:rsidRPr="00F30FA1">
              <w:rPr>
                <w:rFonts w:cs="Arial"/>
                <w:b/>
                <w:color w:val="FFFFFF" w:themeColor="background1"/>
                <w:sz w:val="20"/>
                <w:szCs w:val="20"/>
              </w:rPr>
              <w:t>Input dataset or table</w:t>
            </w:r>
          </w:p>
        </w:tc>
        <w:tc>
          <w:tcPr>
            <w:tcW w:w="5953" w:type="dxa"/>
            <w:shd w:val="clear" w:color="auto" w:fill="288A32"/>
          </w:tcPr>
          <w:p w14:paraId="07279380" w14:textId="77777777" w:rsidR="003642EA" w:rsidRPr="00F30FA1" w:rsidRDefault="003642EA">
            <w:pPr>
              <w:tabs>
                <w:tab w:val="left" w:pos="1162"/>
              </w:tabs>
              <w:spacing w:before="80" w:after="80"/>
              <w:rPr>
                <w:rFonts w:cs="Arial"/>
                <w:b/>
                <w:color w:val="FFFFFF" w:themeColor="background1"/>
                <w:sz w:val="20"/>
                <w:szCs w:val="20"/>
              </w:rPr>
            </w:pPr>
            <w:r w:rsidRPr="00F30FA1">
              <w:rPr>
                <w:rFonts w:cs="Arial"/>
                <w:b/>
                <w:color w:val="FFFFFF" w:themeColor="background1"/>
                <w:sz w:val="20"/>
                <w:szCs w:val="20"/>
              </w:rPr>
              <w:t>Description</w:t>
            </w:r>
          </w:p>
        </w:tc>
      </w:tr>
      <w:tr w:rsidR="003642EA" w:rsidRPr="00F30FA1" w14:paraId="6CEA21C1" w14:textId="77777777" w:rsidTr="003642EA">
        <w:trPr>
          <w:cantSplit/>
          <w:jc w:val="center"/>
        </w:trPr>
        <w:tc>
          <w:tcPr>
            <w:tcW w:w="2977" w:type="dxa"/>
          </w:tcPr>
          <w:p w14:paraId="31A16932" w14:textId="77777777" w:rsidR="003642EA" w:rsidRPr="00F30FA1" w:rsidRDefault="003642EA" w:rsidP="00560AC0">
            <w:pPr>
              <w:tabs>
                <w:tab w:val="left" w:pos="1162"/>
              </w:tabs>
              <w:spacing w:before="120"/>
              <w:rPr>
                <w:rFonts w:cs="Arial"/>
                <w:sz w:val="18"/>
                <w:szCs w:val="20"/>
              </w:rPr>
            </w:pPr>
            <w:r w:rsidRPr="00F30FA1">
              <w:rPr>
                <w:rFonts w:cs="Arial"/>
                <w:sz w:val="18"/>
                <w:szCs w:val="20"/>
              </w:rPr>
              <w:t>NAPEDC NMDS</w:t>
            </w:r>
          </w:p>
        </w:tc>
        <w:tc>
          <w:tcPr>
            <w:tcW w:w="5953" w:type="dxa"/>
          </w:tcPr>
          <w:p w14:paraId="184D6A0D" w14:textId="77777777" w:rsidR="003642EA" w:rsidRPr="00F30FA1" w:rsidRDefault="003642EA">
            <w:pPr>
              <w:tabs>
                <w:tab w:val="left" w:pos="1162"/>
              </w:tabs>
              <w:spacing w:before="120"/>
              <w:rPr>
                <w:rFonts w:cs="Arial"/>
                <w:sz w:val="18"/>
                <w:szCs w:val="20"/>
              </w:rPr>
            </w:pPr>
            <w:r w:rsidRPr="00F30FA1">
              <w:rPr>
                <w:rFonts w:cs="Arial"/>
                <w:sz w:val="18"/>
                <w:szCs w:val="20"/>
              </w:rPr>
              <w:t xml:space="preserve">Dataset based on the 2017-18 Non-Admitted </w:t>
            </w:r>
            <w:proofErr w:type="gramStart"/>
            <w:r w:rsidRPr="00F30FA1">
              <w:rPr>
                <w:rFonts w:cs="Arial"/>
                <w:sz w:val="18"/>
                <w:szCs w:val="20"/>
              </w:rPr>
              <w:t>Patient  Emergency</w:t>
            </w:r>
            <w:proofErr w:type="gramEnd"/>
            <w:r w:rsidRPr="00F30FA1">
              <w:rPr>
                <w:rFonts w:cs="Arial"/>
                <w:sz w:val="18"/>
                <w:szCs w:val="20"/>
              </w:rPr>
              <w:t xml:space="preserve"> Department Care National Minimum Data Set (NAP EDC NMDS) located on the IHPA website.</w:t>
            </w:r>
          </w:p>
        </w:tc>
      </w:tr>
      <w:tr w:rsidR="003642EA" w:rsidRPr="00F30FA1" w14:paraId="508DEB3C" w14:textId="77777777" w:rsidTr="003642EA">
        <w:trPr>
          <w:cantSplit/>
          <w:jc w:val="center"/>
        </w:trPr>
        <w:tc>
          <w:tcPr>
            <w:tcW w:w="2977" w:type="dxa"/>
          </w:tcPr>
          <w:p w14:paraId="6D1DC952" w14:textId="77777777" w:rsidR="003642EA" w:rsidRPr="00F30FA1" w:rsidRDefault="003642EA" w:rsidP="00560AC0">
            <w:pPr>
              <w:tabs>
                <w:tab w:val="left" w:pos="1162"/>
              </w:tabs>
              <w:spacing w:before="120"/>
              <w:rPr>
                <w:rFonts w:cs="Arial"/>
                <w:sz w:val="18"/>
                <w:szCs w:val="20"/>
              </w:rPr>
            </w:pPr>
            <w:r w:rsidRPr="00F30FA1">
              <w:rPr>
                <w:rFonts w:cs="Arial"/>
                <w:sz w:val="18"/>
                <w:szCs w:val="20"/>
              </w:rPr>
              <w:t>2017-18 NWAU Price Weight tables</w:t>
            </w:r>
          </w:p>
        </w:tc>
        <w:tc>
          <w:tcPr>
            <w:tcW w:w="5953" w:type="dxa"/>
          </w:tcPr>
          <w:p w14:paraId="2AC13152" w14:textId="77777777" w:rsidR="003642EA" w:rsidRPr="00F30FA1" w:rsidRDefault="003642EA">
            <w:pPr>
              <w:tabs>
                <w:tab w:val="left" w:pos="1162"/>
              </w:tabs>
              <w:spacing w:before="120"/>
              <w:rPr>
                <w:rFonts w:cs="Arial"/>
                <w:sz w:val="18"/>
                <w:szCs w:val="20"/>
              </w:rPr>
            </w:pPr>
            <w:r w:rsidRPr="00F30FA1">
              <w:rPr>
                <w:rFonts w:cs="Arial"/>
                <w:sz w:val="18"/>
                <w:szCs w:val="20"/>
              </w:rPr>
              <w:t>2017-18 Emergency Department NWAU URG and UDG Price Weight tables, found in the NEP17 Determination.</w:t>
            </w:r>
          </w:p>
        </w:tc>
      </w:tr>
      <w:tr w:rsidR="003642EA" w:rsidRPr="00F30FA1" w14:paraId="402D2839" w14:textId="77777777" w:rsidTr="003642EA">
        <w:trPr>
          <w:cantSplit/>
          <w:jc w:val="center"/>
        </w:trPr>
        <w:tc>
          <w:tcPr>
            <w:tcW w:w="2977" w:type="dxa"/>
          </w:tcPr>
          <w:p w14:paraId="6F862B78" w14:textId="77777777" w:rsidR="003642EA" w:rsidRPr="00F30FA1" w:rsidRDefault="003642EA" w:rsidP="00560AC0">
            <w:pPr>
              <w:tabs>
                <w:tab w:val="left" w:pos="1162"/>
              </w:tabs>
              <w:spacing w:before="120"/>
              <w:rPr>
                <w:rFonts w:cs="Arial"/>
                <w:sz w:val="18"/>
                <w:szCs w:val="20"/>
              </w:rPr>
            </w:pPr>
            <w:r w:rsidRPr="00F30FA1">
              <w:rPr>
                <w:rFonts w:cs="Arial"/>
                <w:sz w:val="18"/>
                <w:szCs w:val="20"/>
              </w:rPr>
              <w:t>2017-18 NWAU Adjustments</w:t>
            </w:r>
          </w:p>
        </w:tc>
        <w:tc>
          <w:tcPr>
            <w:tcW w:w="5953" w:type="dxa"/>
          </w:tcPr>
          <w:p w14:paraId="093E9029" w14:textId="77777777" w:rsidR="003642EA" w:rsidRPr="00F30FA1" w:rsidRDefault="003642EA">
            <w:pPr>
              <w:tabs>
                <w:tab w:val="left" w:pos="1162"/>
              </w:tabs>
              <w:spacing w:before="120"/>
              <w:rPr>
                <w:rFonts w:cs="Arial"/>
                <w:sz w:val="18"/>
                <w:szCs w:val="20"/>
              </w:rPr>
            </w:pPr>
            <w:r w:rsidRPr="00F30FA1">
              <w:rPr>
                <w:rFonts w:cs="Arial"/>
                <w:sz w:val="18"/>
                <w:szCs w:val="20"/>
              </w:rPr>
              <w:t>2017-18 Emergency Department NWAU Adjustments, found in the NEP17 Determination.</w:t>
            </w:r>
          </w:p>
        </w:tc>
      </w:tr>
      <w:bookmarkEnd w:id="687"/>
    </w:tbl>
    <w:p w14:paraId="1F6CD672" w14:textId="77777777" w:rsidR="003642EA" w:rsidRPr="00F30FA1" w:rsidRDefault="003642EA" w:rsidP="00560AC0">
      <w:pPr>
        <w:tabs>
          <w:tab w:val="left" w:pos="1162"/>
        </w:tabs>
        <w:rPr>
          <w:rFonts w:cs="Arial"/>
          <w:szCs w:val="20"/>
        </w:rPr>
      </w:pPr>
    </w:p>
    <w:p w14:paraId="2D6B8EAF" w14:textId="77777777" w:rsidR="003642EA" w:rsidRPr="001B61CF" w:rsidRDefault="003642EA">
      <w:pPr>
        <w:tabs>
          <w:tab w:val="left" w:pos="1162"/>
        </w:tabs>
        <w:rPr>
          <w:rFonts w:cs="Arial"/>
          <w:szCs w:val="20"/>
        </w:rPr>
      </w:pPr>
      <w:r w:rsidRPr="001B61CF">
        <w:rPr>
          <w:rFonts w:cs="Arial"/>
          <w:szCs w:val="20"/>
        </w:rPr>
        <w:t>Eight variables are required to form the input ED dataset:</w:t>
      </w:r>
    </w:p>
    <w:p w14:paraId="124D9D0E" w14:textId="77777777" w:rsidR="003642EA" w:rsidRPr="001B61CF" w:rsidRDefault="003642EA">
      <w:pPr>
        <w:pStyle w:val="ListParagraph"/>
        <w:numPr>
          <w:ilvl w:val="0"/>
          <w:numId w:val="41"/>
        </w:numPr>
        <w:tabs>
          <w:tab w:val="left" w:pos="1162"/>
        </w:tabs>
        <w:spacing w:before="80" w:after="80" w:line="276" w:lineRule="auto"/>
        <w:ind w:left="714" w:hanging="357"/>
        <w:rPr>
          <w:rFonts w:cs="Arial"/>
          <w:szCs w:val="20"/>
        </w:rPr>
      </w:pPr>
      <w:r w:rsidRPr="001B61CF">
        <w:rPr>
          <w:rFonts w:cs="Arial"/>
          <w:szCs w:val="20"/>
        </w:rPr>
        <w:t>Establishment Identifier;</w:t>
      </w:r>
    </w:p>
    <w:p w14:paraId="468ECE85" w14:textId="77777777" w:rsidR="003642EA" w:rsidRPr="001B61CF" w:rsidRDefault="003642EA">
      <w:pPr>
        <w:pStyle w:val="ListParagraph"/>
        <w:numPr>
          <w:ilvl w:val="0"/>
          <w:numId w:val="41"/>
        </w:numPr>
        <w:tabs>
          <w:tab w:val="left" w:pos="1162"/>
        </w:tabs>
        <w:spacing w:before="80" w:after="80" w:line="276" w:lineRule="auto"/>
        <w:ind w:left="714" w:hanging="357"/>
        <w:rPr>
          <w:rFonts w:cs="Arial"/>
          <w:szCs w:val="20"/>
        </w:rPr>
      </w:pPr>
      <w:r w:rsidRPr="001B61CF">
        <w:rPr>
          <w:rFonts w:cs="Arial"/>
          <w:szCs w:val="20"/>
        </w:rPr>
        <w:t>Indigenous status;</w:t>
      </w:r>
    </w:p>
    <w:p w14:paraId="6F959323" w14:textId="77777777" w:rsidR="003642EA" w:rsidRPr="001B61CF" w:rsidRDefault="003642EA">
      <w:pPr>
        <w:pStyle w:val="ListParagraph"/>
        <w:numPr>
          <w:ilvl w:val="0"/>
          <w:numId w:val="41"/>
        </w:numPr>
        <w:tabs>
          <w:tab w:val="left" w:pos="1162"/>
        </w:tabs>
        <w:spacing w:before="80" w:after="80" w:line="276" w:lineRule="auto"/>
        <w:ind w:left="714" w:hanging="357"/>
        <w:rPr>
          <w:rFonts w:cs="Arial"/>
          <w:szCs w:val="20"/>
        </w:rPr>
      </w:pPr>
      <w:r w:rsidRPr="001B61CF">
        <w:rPr>
          <w:rFonts w:cs="Arial"/>
          <w:szCs w:val="20"/>
        </w:rPr>
        <w:t>Date of admission;</w:t>
      </w:r>
    </w:p>
    <w:p w14:paraId="583AA936" w14:textId="77777777" w:rsidR="003642EA" w:rsidRPr="001B61CF" w:rsidRDefault="003642EA">
      <w:pPr>
        <w:pStyle w:val="ListParagraph"/>
        <w:numPr>
          <w:ilvl w:val="0"/>
          <w:numId w:val="41"/>
        </w:numPr>
        <w:tabs>
          <w:tab w:val="left" w:pos="1162"/>
        </w:tabs>
        <w:spacing w:before="80" w:after="80" w:line="276" w:lineRule="auto"/>
        <w:ind w:left="714" w:hanging="357"/>
        <w:rPr>
          <w:rFonts w:cs="Arial"/>
          <w:szCs w:val="20"/>
        </w:rPr>
      </w:pPr>
      <w:r w:rsidRPr="001B61CF">
        <w:rPr>
          <w:rFonts w:cs="Arial"/>
          <w:szCs w:val="20"/>
        </w:rPr>
        <w:t>Date of birth;</w:t>
      </w:r>
    </w:p>
    <w:p w14:paraId="5D7A746D" w14:textId="77777777" w:rsidR="003642EA" w:rsidRPr="001B61CF" w:rsidRDefault="003642EA">
      <w:pPr>
        <w:pStyle w:val="ListParagraph"/>
        <w:numPr>
          <w:ilvl w:val="0"/>
          <w:numId w:val="41"/>
        </w:numPr>
        <w:tabs>
          <w:tab w:val="left" w:pos="1162"/>
        </w:tabs>
        <w:spacing w:before="80" w:after="80" w:line="276" w:lineRule="auto"/>
        <w:ind w:left="714" w:hanging="357"/>
        <w:rPr>
          <w:rFonts w:cs="Arial"/>
          <w:szCs w:val="20"/>
        </w:rPr>
      </w:pPr>
      <w:r w:rsidRPr="001B61CF">
        <w:rPr>
          <w:rFonts w:cs="Arial"/>
          <w:szCs w:val="20"/>
        </w:rPr>
        <w:t>Episode end status;</w:t>
      </w:r>
    </w:p>
    <w:p w14:paraId="3DD16472" w14:textId="77777777" w:rsidR="003642EA" w:rsidRPr="001B61CF" w:rsidRDefault="003642EA">
      <w:pPr>
        <w:pStyle w:val="ListParagraph"/>
        <w:numPr>
          <w:ilvl w:val="0"/>
          <w:numId w:val="41"/>
        </w:numPr>
        <w:tabs>
          <w:tab w:val="left" w:pos="1162"/>
        </w:tabs>
        <w:spacing w:before="80" w:after="80" w:line="276" w:lineRule="auto"/>
        <w:ind w:left="714" w:hanging="357"/>
        <w:rPr>
          <w:rFonts w:cs="Arial"/>
          <w:szCs w:val="20"/>
        </w:rPr>
      </w:pPr>
      <w:r w:rsidRPr="001B61CF">
        <w:rPr>
          <w:rFonts w:cs="Arial"/>
          <w:szCs w:val="20"/>
        </w:rPr>
        <w:t>Type of visit to Emergency Department;</w:t>
      </w:r>
    </w:p>
    <w:p w14:paraId="25074401" w14:textId="77777777" w:rsidR="003642EA" w:rsidRPr="001B61CF" w:rsidRDefault="003642EA">
      <w:pPr>
        <w:pStyle w:val="ListParagraph"/>
        <w:numPr>
          <w:ilvl w:val="0"/>
          <w:numId w:val="41"/>
        </w:numPr>
        <w:tabs>
          <w:tab w:val="left" w:pos="1162"/>
        </w:tabs>
        <w:spacing w:before="80" w:after="80" w:line="276" w:lineRule="auto"/>
        <w:ind w:left="714" w:hanging="357"/>
        <w:rPr>
          <w:rFonts w:cs="Arial"/>
          <w:szCs w:val="20"/>
        </w:rPr>
      </w:pPr>
      <w:r w:rsidRPr="001B61CF">
        <w:rPr>
          <w:rFonts w:cs="Arial"/>
          <w:szCs w:val="20"/>
        </w:rPr>
        <w:t xml:space="preserve">Triage category; and </w:t>
      </w:r>
    </w:p>
    <w:p w14:paraId="22C8A4FE" w14:textId="77777777" w:rsidR="003642EA" w:rsidRPr="001B61CF" w:rsidRDefault="003642EA">
      <w:pPr>
        <w:pStyle w:val="ListParagraph"/>
        <w:numPr>
          <w:ilvl w:val="0"/>
          <w:numId w:val="41"/>
        </w:numPr>
        <w:tabs>
          <w:tab w:val="left" w:pos="1162"/>
        </w:tabs>
        <w:spacing w:before="80" w:after="80" w:line="276" w:lineRule="auto"/>
        <w:ind w:left="714" w:hanging="357"/>
        <w:rPr>
          <w:rFonts w:cs="Arial"/>
          <w:szCs w:val="20"/>
        </w:rPr>
      </w:pPr>
      <w:r w:rsidRPr="001B61CF">
        <w:rPr>
          <w:rFonts w:cs="Arial"/>
          <w:szCs w:val="20"/>
        </w:rPr>
        <w:t xml:space="preserve">URG (version 1.4) or UDG (version 1.3). </w:t>
      </w:r>
    </w:p>
    <w:p w14:paraId="066E7AD2" w14:textId="77777777" w:rsidR="003642EA" w:rsidRPr="001B61CF" w:rsidRDefault="003642EA">
      <w:pPr>
        <w:tabs>
          <w:tab w:val="left" w:pos="1162"/>
        </w:tabs>
        <w:spacing w:before="240"/>
        <w:rPr>
          <w:rFonts w:cs="Arial"/>
          <w:szCs w:val="20"/>
        </w:rPr>
      </w:pPr>
      <w:r w:rsidRPr="001B61CF">
        <w:rPr>
          <w:rFonts w:cs="Arial"/>
          <w:szCs w:val="20"/>
        </w:rPr>
        <w:t xml:space="preserve">These variables form part of the NAPEDC NMDS on the IHPA website. </w:t>
      </w:r>
    </w:p>
    <w:p w14:paraId="2A39C775" w14:textId="77777777" w:rsidR="003642EA" w:rsidRDefault="003642EA">
      <w:pPr>
        <w:tabs>
          <w:tab w:val="left" w:pos="1162"/>
        </w:tabs>
        <w:spacing w:before="80" w:after="80"/>
        <w:sectPr w:rsidR="003642EA" w:rsidSect="003331A3">
          <w:headerReference w:type="default" r:id="rId25"/>
          <w:headerReference w:type="first" r:id="rId26"/>
          <w:footerReference w:type="first" r:id="rId27"/>
          <w:pgSz w:w="11907" w:h="16839" w:code="9"/>
          <w:pgMar w:top="1440" w:right="1440" w:bottom="1440" w:left="1440" w:header="709" w:footer="709" w:gutter="0"/>
          <w:cols w:space="708"/>
          <w:docGrid w:linePitch="360"/>
        </w:sectPr>
      </w:pPr>
    </w:p>
    <w:p w14:paraId="05A59140" w14:textId="29D478B8" w:rsidR="003642EA" w:rsidRPr="00E54042" w:rsidRDefault="003642EA">
      <w:pPr>
        <w:pStyle w:val="Heading1"/>
        <w:pageBreakBefore/>
        <w:numPr>
          <w:ilvl w:val="0"/>
          <w:numId w:val="17"/>
        </w:numPr>
        <w:spacing w:before="100" w:beforeAutospacing="1" w:after="100" w:afterAutospacing="1" w:line="276" w:lineRule="auto"/>
        <w:ind w:left="426"/>
        <w:contextualSpacing w:val="0"/>
        <w:rPr>
          <w:sz w:val="44"/>
        </w:rPr>
      </w:pPr>
      <w:bookmarkStart w:id="688" w:name="_Toc319673309"/>
      <w:bookmarkStart w:id="689" w:name="_Toc380754723"/>
      <w:bookmarkStart w:id="690" w:name="_Toc466884222"/>
      <w:bookmarkStart w:id="691" w:name="_Toc467505235"/>
      <w:bookmarkStart w:id="692" w:name="_Toc467676237"/>
      <w:bookmarkStart w:id="693" w:name="_Toc467745609"/>
      <w:bookmarkStart w:id="694" w:name="_Toc467759585"/>
      <w:bookmarkStart w:id="695" w:name="_Toc468204069"/>
      <w:bookmarkStart w:id="696" w:name="_Toc476305240"/>
      <w:r w:rsidRPr="00E54042">
        <w:rPr>
          <w:sz w:val="44"/>
        </w:rPr>
        <w:lastRenderedPageBreak/>
        <w:t>Non-admitted care cost model</w:t>
      </w:r>
      <w:bookmarkEnd w:id="688"/>
      <w:bookmarkEnd w:id="689"/>
      <w:bookmarkEnd w:id="690"/>
      <w:bookmarkEnd w:id="691"/>
      <w:bookmarkEnd w:id="692"/>
      <w:bookmarkEnd w:id="693"/>
      <w:bookmarkEnd w:id="694"/>
      <w:bookmarkEnd w:id="695"/>
      <w:bookmarkEnd w:id="696"/>
    </w:p>
    <w:p w14:paraId="72F91442" w14:textId="6C5DAC38" w:rsidR="00454941" w:rsidRPr="00E54042" w:rsidRDefault="00454941">
      <w:pPr>
        <w:pStyle w:val="Heading2"/>
        <w:numPr>
          <w:ilvl w:val="1"/>
          <w:numId w:val="17"/>
        </w:numPr>
        <w:ind w:left="567" w:right="-28" w:hanging="567"/>
      </w:pPr>
      <w:bookmarkStart w:id="697" w:name="_Toc468204070"/>
      <w:bookmarkStart w:id="698" w:name="_Toc476305241"/>
      <w:r w:rsidRPr="00E54042">
        <w:t>Overview</w:t>
      </w:r>
      <w:bookmarkEnd w:id="697"/>
      <w:bookmarkEnd w:id="698"/>
    </w:p>
    <w:p w14:paraId="196681F9" w14:textId="77777777" w:rsidR="003642EA" w:rsidRPr="00E54042" w:rsidRDefault="003642EA">
      <w:pPr>
        <w:pStyle w:val="Heading3"/>
        <w:numPr>
          <w:ilvl w:val="2"/>
          <w:numId w:val="17"/>
        </w:numPr>
        <w:spacing w:before="200" w:after="120" w:line="276" w:lineRule="auto"/>
        <w:ind w:left="851" w:hanging="851"/>
        <w:contextualSpacing w:val="0"/>
      </w:pPr>
      <w:bookmarkStart w:id="699" w:name="_Toc380754725"/>
      <w:bookmarkStart w:id="700" w:name="_Toc466884224"/>
      <w:bookmarkStart w:id="701" w:name="_Toc467505237"/>
      <w:bookmarkStart w:id="702" w:name="_Toc467745611"/>
      <w:bookmarkStart w:id="703" w:name="_Toc468204071"/>
      <w:r w:rsidRPr="00E54042">
        <w:t>Cost unit</w:t>
      </w:r>
      <w:bookmarkEnd w:id="699"/>
      <w:bookmarkEnd w:id="700"/>
      <w:bookmarkEnd w:id="701"/>
      <w:bookmarkEnd w:id="702"/>
      <w:bookmarkEnd w:id="703"/>
    </w:p>
    <w:p w14:paraId="0C94E249" w14:textId="77777777" w:rsidR="003642EA" w:rsidRPr="00E54042" w:rsidRDefault="003642EA" w:rsidP="002D606E">
      <w:pPr>
        <w:tabs>
          <w:tab w:val="left" w:pos="1162"/>
        </w:tabs>
        <w:rPr>
          <w:rFonts w:cs="Arial"/>
          <w:szCs w:val="20"/>
        </w:rPr>
      </w:pPr>
      <w:r w:rsidRPr="00E54042">
        <w:rPr>
          <w:rFonts w:cs="Arial"/>
          <w:szCs w:val="20"/>
        </w:rPr>
        <w:t>The cost unit for non-admitted care is a Non-Admitted Patient Service Event. This is “</w:t>
      </w:r>
      <w:r w:rsidRPr="00E54042">
        <w:rPr>
          <w:rFonts w:cs="Arial"/>
          <w:i/>
          <w:szCs w:val="20"/>
        </w:rPr>
        <w:t>An interaction between one or more healthcare provider(s) with one non-admitted patient, which must contain therapeutic/clinical content and result in a dated entry in the patient's medical record.</w:t>
      </w:r>
      <w:r w:rsidRPr="00E54042">
        <w:rPr>
          <w:rFonts w:cs="Arial"/>
          <w:szCs w:val="20"/>
        </w:rPr>
        <w:t>”</w:t>
      </w:r>
      <w:r w:rsidRPr="00E54042">
        <w:rPr>
          <w:rStyle w:val="FootnoteReference"/>
          <w:rFonts w:cs="Arial"/>
          <w:szCs w:val="20"/>
        </w:rPr>
        <w:t xml:space="preserve"> </w:t>
      </w:r>
      <w:r w:rsidRPr="00E54042">
        <w:rPr>
          <w:rStyle w:val="FootnoteReference"/>
          <w:rFonts w:cs="Arial"/>
          <w:szCs w:val="20"/>
        </w:rPr>
        <w:footnoteReference w:id="17"/>
      </w:r>
    </w:p>
    <w:p w14:paraId="46B9C02B" w14:textId="77777777" w:rsidR="003642EA" w:rsidRPr="00E54042" w:rsidRDefault="003642EA" w:rsidP="00560AC0">
      <w:pPr>
        <w:pStyle w:val="Heading3"/>
        <w:numPr>
          <w:ilvl w:val="2"/>
          <w:numId w:val="17"/>
        </w:numPr>
        <w:spacing w:before="200" w:after="120" w:line="276" w:lineRule="auto"/>
        <w:ind w:left="851" w:hanging="851"/>
        <w:contextualSpacing w:val="0"/>
      </w:pPr>
      <w:bookmarkStart w:id="704" w:name="_Toc380754726"/>
      <w:bookmarkStart w:id="705" w:name="_Toc466884225"/>
      <w:bookmarkStart w:id="706" w:name="_Toc467505238"/>
      <w:bookmarkStart w:id="707" w:name="_Toc467745612"/>
      <w:bookmarkStart w:id="708" w:name="_Toc468204072"/>
      <w:r w:rsidRPr="00E54042">
        <w:t>Scope</w:t>
      </w:r>
      <w:bookmarkEnd w:id="704"/>
      <w:bookmarkEnd w:id="705"/>
      <w:bookmarkEnd w:id="706"/>
      <w:bookmarkEnd w:id="707"/>
      <w:bookmarkEnd w:id="708"/>
    </w:p>
    <w:p w14:paraId="5F0E0D8E" w14:textId="77777777" w:rsidR="003642EA" w:rsidRPr="00E54042" w:rsidRDefault="003642EA" w:rsidP="002D606E">
      <w:pPr>
        <w:tabs>
          <w:tab w:val="left" w:pos="1162"/>
        </w:tabs>
        <w:rPr>
          <w:rFonts w:cs="Arial"/>
          <w:szCs w:val="20"/>
        </w:rPr>
      </w:pPr>
      <w:r w:rsidRPr="00E54042">
        <w:rPr>
          <w:rFonts w:cs="Arial"/>
          <w:szCs w:val="20"/>
        </w:rPr>
        <w:t>The scope of non-admitted care includes service events occurring in outpatient clinics in ABF hospitals and in the community, as explained in the Pricing Framework.</w:t>
      </w:r>
    </w:p>
    <w:p w14:paraId="392AFBEB" w14:textId="77777777" w:rsidR="003642EA" w:rsidRPr="00E54042" w:rsidRDefault="003642EA" w:rsidP="00560AC0">
      <w:pPr>
        <w:pStyle w:val="Heading3"/>
        <w:numPr>
          <w:ilvl w:val="2"/>
          <w:numId w:val="17"/>
        </w:numPr>
        <w:spacing w:before="200" w:after="120" w:line="276" w:lineRule="auto"/>
        <w:ind w:left="851" w:hanging="851"/>
        <w:contextualSpacing w:val="0"/>
      </w:pPr>
      <w:bookmarkStart w:id="709" w:name="_Toc380754727"/>
      <w:bookmarkStart w:id="710" w:name="_Toc466884226"/>
      <w:bookmarkStart w:id="711" w:name="_Toc467505239"/>
      <w:bookmarkStart w:id="712" w:name="_Toc467745613"/>
      <w:bookmarkStart w:id="713" w:name="_Toc468204073"/>
      <w:r w:rsidRPr="00E54042">
        <w:t>Classification</w:t>
      </w:r>
      <w:bookmarkEnd w:id="709"/>
      <w:bookmarkEnd w:id="710"/>
      <w:bookmarkEnd w:id="711"/>
      <w:bookmarkEnd w:id="712"/>
      <w:bookmarkEnd w:id="713"/>
    </w:p>
    <w:p w14:paraId="410F3F76" w14:textId="77777777" w:rsidR="003642EA" w:rsidRPr="00E54042" w:rsidRDefault="003642EA" w:rsidP="002D606E">
      <w:pPr>
        <w:tabs>
          <w:tab w:val="left" w:pos="1162"/>
        </w:tabs>
        <w:spacing w:after="360"/>
        <w:rPr>
          <w:rFonts w:cs="Arial"/>
          <w:szCs w:val="20"/>
        </w:rPr>
      </w:pPr>
      <w:r w:rsidRPr="00E54042">
        <w:rPr>
          <w:rFonts w:cs="Arial"/>
          <w:szCs w:val="20"/>
        </w:rPr>
        <w:t xml:space="preserve">The Tier 2 non-admitted services v4.1 is used to classify non-admitted care for the purposes of ABF as explained in the Pricing Framework and set out in the </w:t>
      </w:r>
      <w:r w:rsidRPr="00E54042">
        <w:rPr>
          <w:rFonts w:cs="Arial"/>
          <w:i/>
          <w:szCs w:val="20"/>
        </w:rPr>
        <w:t>NEP17 Determination</w:t>
      </w:r>
      <w:r w:rsidRPr="00E54042">
        <w:rPr>
          <w:rFonts w:cs="Arial"/>
          <w:szCs w:val="20"/>
        </w:rPr>
        <w:t>.</w:t>
      </w:r>
    </w:p>
    <w:p w14:paraId="01026A96" w14:textId="77777777" w:rsidR="003642EA" w:rsidRPr="00E91DE5" w:rsidRDefault="003642EA" w:rsidP="00560AC0">
      <w:pPr>
        <w:pStyle w:val="Heading2"/>
        <w:numPr>
          <w:ilvl w:val="1"/>
          <w:numId w:val="17"/>
        </w:numPr>
        <w:ind w:left="567" w:right="-28" w:hanging="567"/>
      </w:pPr>
      <w:bookmarkStart w:id="714" w:name="_Toc380754728"/>
      <w:bookmarkStart w:id="715" w:name="_Toc466884227"/>
      <w:bookmarkStart w:id="716" w:name="_Toc467505240"/>
      <w:bookmarkStart w:id="717" w:name="_Toc467745614"/>
      <w:bookmarkStart w:id="718" w:name="_Toc467759587"/>
      <w:bookmarkStart w:id="719" w:name="_Toc468204074"/>
      <w:bookmarkStart w:id="720" w:name="_Toc476305242"/>
      <w:r w:rsidRPr="00E91DE5">
        <w:t>Analysis of costs to derive NWAU for non-admitted (outpatient) care</w:t>
      </w:r>
      <w:bookmarkEnd w:id="714"/>
      <w:bookmarkEnd w:id="715"/>
      <w:bookmarkEnd w:id="716"/>
      <w:bookmarkEnd w:id="717"/>
      <w:bookmarkEnd w:id="718"/>
      <w:bookmarkEnd w:id="719"/>
      <w:bookmarkEnd w:id="720"/>
    </w:p>
    <w:p w14:paraId="54BFB25D" w14:textId="77777777" w:rsidR="003642EA" w:rsidRDefault="003642EA">
      <w:pPr>
        <w:spacing w:before="240"/>
      </w:pPr>
      <w:r w:rsidRPr="00E91DE5">
        <w:t>This section provides an overview of the steps involved in developing the NWAU for non-admitted care. The steps are included below.</w:t>
      </w:r>
    </w:p>
    <w:p w14:paraId="41C33321" w14:textId="06168C9C" w:rsidR="00E91DE5" w:rsidRDefault="00E91DE5">
      <w:pPr>
        <w:pStyle w:val="Heading3"/>
        <w:numPr>
          <w:ilvl w:val="2"/>
          <w:numId w:val="17"/>
        </w:numPr>
        <w:spacing w:before="200" w:after="120" w:line="276" w:lineRule="auto"/>
        <w:ind w:left="851" w:hanging="851"/>
        <w:contextualSpacing w:val="0"/>
      </w:pPr>
      <w:bookmarkStart w:id="721" w:name="_Ref467852021"/>
      <w:bookmarkStart w:id="722" w:name="_Toc468204075"/>
      <w:r>
        <w:t>Adoption of the NHCDC</w:t>
      </w:r>
      <w:bookmarkEnd w:id="721"/>
      <w:bookmarkEnd w:id="722"/>
      <w:r>
        <w:t xml:space="preserve"> </w:t>
      </w:r>
    </w:p>
    <w:p w14:paraId="4CB38E30" w14:textId="45C748A2" w:rsidR="00D224B2" w:rsidRDefault="00E91DE5" w:rsidP="002D606E">
      <w:r>
        <w:t xml:space="preserve">Historically the </w:t>
      </w:r>
      <w:r w:rsidR="005409F0">
        <w:t>Non-admitted cost model had</w:t>
      </w:r>
      <w:r>
        <w:t xml:space="preserve"> relied heavily </w:t>
      </w:r>
      <w:r>
        <w:rPr>
          <w:rFonts w:cs="Arial"/>
          <w:szCs w:val="20"/>
        </w:rPr>
        <w:t>on the</w:t>
      </w:r>
      <w:r w:rsidRPr="00E91DE5">
        <w:rPr>
          <w:rFonts w:cs="Arial"/>
          <w:szCs w:val="20"/>
        </w:rPr>
        <w:t xml:space="preserve"> 2012 Ernst &amp; Young Non-admitted and Subacute Care Costing </w:t>
      </w:r>
      <w:r>
        <w:rPr>
          <w:rFonts w:cs="Arial"/>
          <w:szCs w:val="20"/>
        </w:rPr>
        <w:t>Study (the EY Costing Study) due to the limited quality</w:t>
      </w:r>
      <w:r w:rsidR="00D224B2">
        <w:rPr>
          <w:rFonts w:cs="Arial"/>
          <w:szCs w:val="20"/>
        </w:rPr>
        <w:t xml:space="preserve"> and stability</w:t>
      </w:r>
      <w:r>
        <w:rPr>
          <w:rFonts w:cs="Arial"/>
          <w:szCs w:val="20"/>
        </w:rPr>
        <w:t xml:space="preserve"> of NHCDC</w:t>
      </w:r>
      <w:r w:rsidR="00D224B2">
        <w:rPr>
          <w:rFonts w:cs="Arial"/>
          <w:szCs w:val="20"/>
        </w:rPr>
        <w:t xml:space="preserve"> reporting</w:t>
      </w:r>
      <w:r>
        <w:rPr>
          <w:rFonts w:cs="Arial"/>
          <w:szCs w:val="20"/>
        </w:rPr>
        <w:t>.</w:t>
      </w:r>
      <w:r w:rsidR="00D224B2">
        <w:rPr>
          <w:rFonts w:cs="Arial"/>
          <w:szCs w:val="20"/>
        </w:rPr>
        <w:t xml:space="preserve"> </w:t>
      </w:r>
      <w:r w:rsidR="000D69EB">
        <w:rPr>
          <w:rFonts w:cs="Arial"/>
          <w:szCs w:val="20"/>
        </w:rPr>
        <w:t>With the improvement in reporting and quality of the NHCDC the</w:t>
      </w:r>
      <w:r w:rsidR="00D224B2">
        <w:rPr>
          <w:rFonts w:cs="Arial"/>
          <w:szCs w:val="20"/>
        </w:rPr>
        <w:t xml:space="preserve"> cost weights for NEP17 has shifted to adopt the NHCDC</w:t>
      </w:r>
      <w:r w:rsidR="00542CD9">
        <w:rPr>
          <w:rFonts w:cs="Arial"/>
          <w:szCs w:val="20"/>
        </w:rPr>
        <w:t>.</w:t>
      </w:r>
    </w:p>
    <w:p w14:paraId="0B5EB66B" w14:textId="1B206A31" w:rsidR="00A5256C" w:rsidRDefault="000A2535">
      <w:r>
        <w:t xml:space="preserve">The table below illustrates the shift in hierarchy for </w:t>
      </w:r>
      <w:r w:rsidR="00542CD9">
        <w:t>n</w:t>
      </w:r>
      <w:r>
        <w:t>on</w:t>
      </w:r>
      <w:r w:rsidR="00542CD9">
        <w:t>-</w:t>
      </w:r>
      <w:r>
        <w:t xml:space="preserve">admitted cost weight selection. </w:t>
      </w:r>
    </w:p>
    <w:p w14:paraId="55087B13" w14:textId="77930447" w:rsidR="000A2535" w:rsidRPr="002D606E" w:rsidRDefault="000A2535" w:rsidP="002D606E">
      <w:pPr>
        <w:spacing w:before="120" w:after="0" w:line="240" w:lineRule="auto"/>
        <w:rPr>
          <w:b/>
        </w:rPr>
      </w:pPr>
      <w:bookmarkStart w:id="723" w:name="_Ref467850742"/>
      <w:r w:rsidRPr="002D606E">
        <w:rPr>
          <w:b/>
        </w:rPr>
        <w:t xml:space="preserve">Table </w:t>
      </w:r>
      <w:r w:rsidR="0095747A" w:rsidRPr="002D606E">
        <w:rPr>
          <w:b/>
        </w:rPr>
        <w:fldChar w:fldCharType="begin"/>
      </w:r>
      <w:r w:rsidR="0095747A" w:rsidRPr="002D606E">
        <w:rPr>
          <w:b/>
        </w:rPr>
        <w:instrText xml:space="preserve"> SEQ Table \* ARABIC </w:instrText>
      </w:r>
      <w:r w:rsidR="0095747A" w:rsidRPr="002D606E">
        <w:rPr>
          <w:b/>
        </w:rPr>
        <w:fldChar w:fldCharType="separate"/>
      </w:r>
      <w:r w:rsidR="00F84458">
        <w:rPr>
          <w:b/>
          <w:noProof/>
        </w:rPr>
        <w:t>11</w:t>
      </w:r>
      <w:r w:rsidR="0095747A" w:rsidRPr="002D606E">
        <w:rPr>
          <w:b/>
        </w:rPr>
        <w:fldChar w:fldCharType="end"/>
      </w:r>
      <w:bookmarkEnd w:id="723"/>
      <w:r w:rsidRPr="002D606E">
        <w:rPr>
          <w:b/>
        </w:rPr>
        <w:t xml:space="preserve">: Non admitted Cost weight selection hierarchy </w:t>
      </w:r>
    </w:p>
    <w:tbl>
      <w:tblPr>
        <w:tblStyle w:val="TableGrid"/>
        <w:tblW w:w="0" w:type="auto"/>
        <w:tblLook w:val="04A0" w:firstRow="1" w:lastRow="0" w:firstColumn="1" w:lastColumn="0" w:noHBand="0" w:noVBand="1"/>
        <w:tblCaption w:val="Table 11: Non admitted Cost weight selection hierarchy "/>
      </w:tblPr>
      <w:tblGrid>
        <w:gridCol w:w="1838"/>
        <w:gridCol w:w="3827"/>
        <w:gridCol w:w="3934"/>
      </w:tblGrid>
      <w:tr w:rsidR="00886332" w14:paraId="78DA5332" w14:textId="77777777" w:rsidTr="00D236A4">
        <w:trPr>
          <w:trHeight w:val="119"/>
          <w:tblHeader/>
        </w:trPr>
        <w:tc>
          <w:tcPr>
            <w:tcW w:w="1838" w:type="dxa"/>
            <w:shd w:val="clear" w:color="auto" w:fill="288A32"/>
          </w:tcPr>
          <w:p w14:paraId="29F1BE30" w14:textId="77777777" w:rsidR="00886332" w:rsidRPr="00886332" w:rsidRDefault="00886332">
            <w:pPr>
              <w:rPr>
                <w:b/>
                <w:color w:val="FFFFFF" w:themeColor="background1"/>
                <w:sz w:val="18"/>
                <w:szCs w:val="18"/>
              </w:rPr>
            </w:pPr>
          </w:p>
        </w:tc>
        <w:tc>
          <w:tcPr>
            <w:tcW w:w="7761" w:type="dxa"/>
            <w:gridSpan w:val="2"/>
            <w:shd w:val="clear" w:color="auto" w:fill="288A32"/>
          </w:tcPr>
          <w:p w14:paraId="104D1990" w14:textId="78B741DE" w:rsidR="00886332" w:rsidRPr="00886332" w:rsidRDefault="00886332" w:rsidP="002D606E">
            <w:pPr>
              <w:rPr>
                <w:b/>
                <w:color w:val="FFFFFF" w:themeColor="background1"/>
                <w:sz w:val="18"/>
                <w:szCs w:val="18"/>
              </w:rPr>
            </w:pPr>
            <w:r w:rsidRPr="00886332">
              <w:rPr>
                <w:b/>
                <w:color w:val="FFFFFF" w:themeColor="background1"/>
                <w:sz w:val="18"/>
                <w:szCs w:val="18"/>
              </w:rPr>
              <w:t xml:space="preserve">Cost Weight Selection </w:t>
            </w:r>
            <w:r w:rsidR="000A2535">
              <w:rPr>
                <w:b/>
                <w:color w:val="FFFFFF" w:themeColor="background1"/>
                <w:sz w:val="18"/>
                <w:szCs w:val="18"/>
              </w:rPr>
              <w:t>Hierarchy</w:t>
            </w:r>
          </w:p>
        </w:tc>
      </w:tr>
      <w:tr w:rsidR="00886332" w14:paraId="20507A50" w14:textId="77777777" w:rsidTr="000A2535">
        <w:tc>
          <w:tcPr>
            <w:tcW w:w="1838" w:type="dxa"/>
            <w:shd w:val="clear" w:color="auto" w:fill="288A32"/>
          </w:tcPr>
          <w:p w14:paraId="6AB6939B" w14:textId="4E5C7A8D" w:rsidR="00886332" w:rsidRPr="00886332" w:rsidRDefault="00886332" w:rsidP="00560AC0">
            <w:pPr>
              <w:rPr>
                <w:b/>
                <w:color w:val="FFFFFF" w:themeColor="background1"/>
                <w:sz w:val="18"/>
                <w:szCs w:val="18"/>
              </w:rPr>
            </w:pPr>
          </w:p>
        </w:tc>
        <w:tc>
          <w:tcPr>
            <w:tcW w:w="3827" w:type="dxa"/>
            <w:shd w:val="clear" w:color="auto" w:fill="288A32"/>
          </w:tcPr>
          <w:p w14:paraId="7949979E" w14:textId="164C39B7" w:rsidR="00886332" w:rsidRPr="00886332" w:rsidRDefault="00886332">
            <w:pPr>
              <w:rPr>
                <w:b/>
                <w:color w:val="FFFFFF" w:themeColor="background1"/>
                <w:sz w:val="18"/>
                <w:szCs w:val="18"/>
              </w:rPr>
            </w:pPr>
            <w:r w:rsidRPr="00886332">
              <w:rPr>
                <w:b/>
                <w:color w:val="FFFFFF" w:themeColor="background1"/>
                <w:sz w:val="18"/>
                <w:szCs w:val="18"/>
              </w:rPr>
              <w:t>NEP16</w:t>
            </w:r>
          </w:p>
        </w:tc>
        <w:tc>
          <w:tcPr>
            <w:tcW w:w="3934" w:type="dxa"/>
            <w:shd w:val="clear" w:color="auto" w:fill="288A32"/>
          </w:tcPr>
          <w:p w14:paraId="174A8156" w14:textId="44145EEB" w:rsidR="00886332" w:rsidRPr="00886332" w:rsidRDefault="00886332">
            <w:pPr>
              <w:rPr>
                <w:b/>
                <w:color w:val="FFFFFF" w:themeColor="background1"/>
                <w:sz w:val="18"/>
                <w:szCs w:val="18"/>
              </w:rPr>
            </w:pPr>
            <w:r w:rsidRPr="00886332">
              <w:rPr>
                <w:b/>
                <w:color w:val="FFFFFF" w:themeColor="background1"/>
                <w:sz w:val="18"/>
                <w:szCs w:val="18"/>
              </w:rPr>
              <w:t>NEP17</w:t>
            </w:r>
          </w:p>
        </w:tc>
      </w:tr>
      <w:tr w:rsidR="00886332" w14:paraId="3ADBD864" w14:textId="77777777" w:rsidTr="000A2535">
        <w:tc>
          <w:tcPr>
            <w:tcW w:w="1838" w:type="dxa"/>
          </w:tcPr>
          <w:p w14:paraId="4A712022" w14:textId="4CD644F8" w:rsidR="00886332" w:rsidRPr="00886332" w:rsidRDefault="00886332" w:rsidP="00560AC0">
            <w:pPr>
              <w:rPr>
                <w:sz w:val="18"/>
                <w:szCs w:val="18"/>
              </w:rPr>
            </w:pPr>
            <w:r w:rsidRPr="00886332">
              <w:rPr>
                <w:sz w:val="18"/>
                <w:szCs w:val="18"/>
              </w:rPr>
              <w:t>Stage 1</w:t>
            </w:r>
          </w:p>
        </w:tc>
        <w:tc>
          <w:tcPr>
            <w:tcW w:w="3827" w:type="dxa"/>
          </w:tcPr>
          <w:p w14:paraId="70EAA6B8" w14:textId="0BBB3C5C" w:rsidR="00886332" w:rsidRPr="00886332" w:rsidRDefault="00886332">
            <w:pPr>
              <w:rPr>
                <w:sz w:val="18"/>
                <w:szCs w:val="18"/>
              </w:rPr>
            </w:pPr>
            <w:r>
              <w:rPr>
                <w:sz w:val="18"/>
                <w:szCs w:val="18"/>
              </w:rPr>
              <w:t>Logical Links to acute clinics or other clinics</w:t>
            </w:r>
          </w:p>
        </w:tc>
        <w:tc>
          <w:tcPr>
            <w:tcW w:w="3934" w:type="dxa"/>
          </w:tcPr>
          <w:p w14:paraId="750AD009" w14:textId="61C29D1A" w:rsidR="00886332" w:rsidRPr="00886332" w:rsidRDefault="00886332">
            <w:pPr>
              <w:rPr>
                <w:sz w:val="18"/>
                <w:szCs w:val="18"/>
              </w:rPr>
            </w:pPr>
            <w:r>
              <w:rPr>
                <w:sz w:val="18"/>
                <w:szCs w:val="18"/>
              </w:rPr>
              <w:t>Logical Links to acute clinics</w:t>
            </w:r>
          </w:p>
        </w:tc>
      </w:tr>
      <w:tr w:rsidR="00886332" w14:paraId="087A198F" w14:textId="77777777" w:rsidTr="000A2535">
        <w:tc>
          <w:tcPr>
            <w:tcW w:w="1838" w:type="dxa"/>
          </w:tcPr>
          <w:p w14:paraId="1F093631" w14:textId="0211D28E" w:rsidR="00886332" w:rsidRPr="00886332" w:rsidRDefault="00886332" w:rsidP="00560AC0">
            <w:pPr>
              <w:rPr>
                <w:sz w:val="18"/>
                <w:szCs w:val="18"/>
              </w:rPr>
            </w:pPr>
            <w:r>
              <w:rPr>
                <w:sz w:val="18"/>
                <w:szCs w:val="18"/>
              </w:rPr>
              <w:t>Stage 2</w:t>
            </w:r>
          </w:p>
        </w:tc>
        <w:tc>
          <w:tcPr>
            <w:tcW w:w="3827" w:type="dxa"/>
          </w:tcPr>
          <w:p w14:paraId="3F70C2AD" w14:textId="24854579" w:rsidR="00886332" w:rsidRPr="00886332" w:rsidRDefault="00886332">
            <w:pPr>
              <w:rPr>
                <w:sz w:val="18"/>
                <w:szCs w:val="18"/>
              </w:rPr>
            </w:pPr>
            <w:r>
              <w:rPr>
                <w:sz w:val="18"/>
                <w:szCs w:val="18"/>
              </w:rPr>
              <w:t xml:space="preserve">Adopt EY Costing Study or other Costing studies </w:t>
            </w:r>
          </w:p>
        </w:tc>
        <w:tc>
          <w:tcPr>
            <w:tcW w:w="3934" w:type="dxa"/>
          </w:tcPr>
          <w:p w14:paraId="63E94E9F" w14:textId="12D7A00C" w:rsidR="00886332" w:rsidRPr="00886332" w:rsidRDefault="00886332">
            <w:pPr>
              <w:rPr>
                <w:sz w:val="18"/>
                <w:szCs w:val="18"/>
              </w:rPr>
            </w:pPr>
            <w:r>
              <w:rPr>
                <w:sz w:val="18"/>
                <w:szCs w:val="18"/>
              </w:rPr>
              <w:t xml:space="preserve">Adopt NHCDC </w:t>
            </w:r>
            <w:r w:rsidR="0017140A">
              <w:rPr>
                <w:sz w:val="18"/>
                <w:szCs w:val="18"/>
              </w:rPr>
              <w:t>(Provided adequate sample and stable across years)</w:t>
            </w:r>
            <w:r>
              <w:rPr>
                <w:sz w:val="18"/>
                <w:szCs w:val="18"/>
              </w:rPr>
              <w:t xml:space="preserve"> </w:t>
            </w:r>
          </w:p>
        </w:tc>
      </w:tr>
      <w:tr w:rsidR="00886332" w14:paraId="48D48128" w14:textId="77777777" w:rsidTr="000A2535">
        <w:tc>
          <w:tcPr>
            <w:tcW w:w="1838" w:type="dxa"/>
          </w:tcPr>
          <w:p w14:paraId="69688C6D" w14:textId="1B6BC3AF" w:rsidR="00886332" w:rsidRDefault="00886332" w:rsidP="00560AC0">
            <w:pPr>
              <w:rPr>
                <w:sz w:val="18"/>
                <w:szCs w:val="18"/>
              </w:rPr>
            </w:pPr>
            <w:r>
              <w:rPr>
                <w:sz w:val="18"/>
                <w:szCs w:val="18"/>
              </w:rPr>
              <w:t>Stage 3</w:t>
            </w:r>
          </w:p>
        </w:tc>
        <w:tc>
          <w:tcPr>
            <w:tcW w:w="3827" w:type="dxa"/>
          </w:tcPr>
          <w:p w14:paraId="6AE016E6" w14:textId="2B6516CC" w:rsidR="002E50A5" w:rsidRDefault="002E50A5">
            <w:pPr>
              <w:rPr>
                <w:sz w:val="18"/>
                <w:szCs w:val="18"/>
              </w:rPr>
            </w:pPr>
            <w:r>
              <w:rPr>
                <w:sz w:val="18"/>
                <w:szCs w:val="18"/>
              </w:rPr>
              <w:t xml:space="preserve">Adopt </w:t>
            </w:r>
            <w:r w:rsidR="000A2535">
              <w:rPr>
                <w:sz w:val="18"/>
                <w:szCs w:val="18"/>
              </w:rPr>
              <w:t>NHCDC</w:t>
            </w:r>
          </w:p>
        </w:tc>
        <w:tc>
          <w:tcPr>
            <w:tcW w:w="3934" w:type="dxa"/>
          </w:tcPr>
          <w:p w14:paraId="31DB6593" w14:textId="09DD9D15" w:rsidR="00886332" w:rsidRDefault="000A2535">
            <w:pPr>
              <w:rPr>
                <w:sz w:val="18"/>
                <w:szCs w:val="18"/>
              </w:rPr>
            </w:pPr>
            <w:r>
              <w:rPr>
                <w:sz w:val="18"/>
                <w:szCs w:val="18"/>
              </w:rPr>
              <w:t>Adopt EY Costing Study or other Costing studies</w:t>
            </w:r>
          </w:p>
        </w:tc>
      </w:tr>
    </w:tbl>
    <w:p w14:paraId="2C08CD52" w14:textId="77777777" w:rsidR="00685751" w:rsidRDefault="00685751" w:rsidP="00560AC0"/>
    <w:p w14:paraId="5E0BA11A" w14:textId="3946C746" w:rsidR="00886332" w:rsidRPr="00116CFA" w:rsidRDefault="000A2535" w:rsidP="00560AC0">
      <w:r w:rsidRPr="00116CFA">
        <w:fldChar w:fldCharType="begin"/>
      </w:r>
      <w:r w:rsidRPr="00116CFA">
        <w:instrText xml:space="preserve"> REF _Ref467850742 \h </w:instrText>
      </w:r>
      <w:r w:rsidR="00A47F5F" w:rsidRPr="00116CFA">
        <w:instrText xml:space="preserve"> \* MERGEFORMAT </w:instrText>
      </w:r>
      <w:r w:rsidRPr="00116CFA">
        <w:fldChar w:fldCharType="separate"/>
      </w:r>
      <w:r w:rsidR="00F84458" w:rsidRPr="00F84458">
        <w:t xml:space="preserve">Table </w:t>
      </w:r>
      <w:r w:rsidR="00F84458" w:rsidRPr="00F84458">
        <w:rPr>
          <w:noProof/>
        </w:rPr>
        <w:t>11</w:t>
      </w:r>
      <w:r w:rsidRPr="00116CFA">
        <w:fldChar w:fldCharType="end"/>
      </w:r>
      <w:r w:rsidRPr="00116CFA">
        <w:t xml:space="preserve"> illustrates the </w:t>
      </w:r>
      <w:r w:rsidR="0017140A" w:rsidRPr="00116CFA">
        <w:t xml:space="preserve">primary change is the switch in hierarchy between the adoption of NHCDC and the EY Costing Study. For NEP17, this has resulted in </w:t>
      </w:r>
      <w:r w:rsidR="0017140A" w:rsidRPr="0074662D">
        <w:t>83 Clinics using the NHCDC as the</w:t>
      </w:r>
      <w:r w:rsidR="0017140A" w:rsidRPr="00116CFA">
        <w:t xml:space="preserve"> primary data source relative to 13 in the previous NEP. </w:t>
      </w:r>
      <w:r w:rsidR="00A15760" w:rsidRPr="00116CFA">
        <w:fldChar w:fldCharType="begin"/>
      </w:r>
      <w:r w:rsidR="00A15760" w:rsidRPr="00116CFA">
        <w:instrText xml:space="preserve"> REF _Ref467851082 \h  \* MERGEFORMAT </w:instrText>
      </w:r>
      <w:r w:rsidR="00A15760" w:rsidRPr="00116CFA">
        <w:fldChar w:fldCharType="separate"/>
      </w:r>
      <w:r w:rsidR="00F84458" w:rsidRPr="00F84458">
        <w:t xml:space="preserve">Table </w:t>
      </w:r>
      <w:r w:rsidR="00F84458" w:rsidRPr="00F84458">
        <w:rPr>
          <w:noProof/>
        </w:rPr>
        <w:t>12</w:t>
      </w:r>
      <w:r w:rsidR="00A15760" w:rsidRPr="00116CFA">
        <w:fldChar w:fldCharType="end"/>
      </w:r>
      <w:r w:rsidR="00A15760" w:rsidRPr="00116CFA">
        <w:t xml:space="preserve"> provides a breakdown for each clinic by the source data. </w:t>
      </w:r>
    </w:p>
    <w:p w14:paraId="0E78059B" w14:textId="01751E20" w:rsidR="0017140A" w:rsidRPr="00116CFA" w:rsidRDefault="0017140A" w:rsidP="002D606E">
      <w:pPr>
        <w:spacing w:before="120" w:after="0" w:line="240" w:lineRule="auto"/>
        <w:rPr>
          <w:b/>
        </w:rPr>
      </w:pPr>
      <w:bookmarkStart w:id="724" w:name="_Ref467851082"/>
      <w:r w:rsidRPr="0074662D">
        <w:rPr>
          <w:b/>
        </w:rPr>
        <w:lastRenderedPageBreak/>
        <w:t xml:space="preserve">Table </w:t>
      </w:r>
      <w:r w:rsidRPr="00116CFA">
        <w:rPr>
          <w:b/>
        </w:rPr>
        <w:fldChar w:fldCharType="begin"/>
      </w:r>
      <w:r w:rsidRPr="00116CFA">
        <w:rPr>
          <w:b/>
        </w:rPr>
        <w:instrText xml:space="preserve"> SEQ Table \* ARABIC </w:instrText>
      </w:r>
      <w:r w:rsidRPr="00116CFA">
        <w:rPr>
          <w:b/>
        </w:rPr>
        <w:fldChar w:fldCharType="separate"/>
      </w:r>
      <w:r w:rsidR="00F84458">
        <w:rPr>
          <w:b/>
          <w:noProof/>
        </w:rPr>
        <w:t>12</w:t>
      </w:r>
      <w:r w:rsidRPr="00116CFA">
        <w:rPr>
          <w:b/>
        </w:rPr>
        <w:fldChar w:fldCharType="end"/>
      </w:r>
      <w:bookmarkEnd w:id="724"/>
      <w:r w:rsidRPr="00116CFA">
        <w:rPr>
          <w:b/>
        </w:rPr>
        <w:t xml:space="preserve">: Non-Admitted Data Source Breakdown </w:t>
      </w:r>
    </w:p>
    <w:tbl>
      <w:tblPr>
        <w:tblStyle w:val="TableGrid"/>
        <w:tblW w:w="0" w:type="auto"/>
        <w:jc w:val="center"/>
        <w:tblLook w:val="04A0" w:firstRow="1" w:lastRow="0" w:firstColumn="1" w:lastColumn="0" w:noHBand="0" w:noVBand="1"/>
        <w:tblCaption w:val="Table 12: Non-Admitted Data Source Breakdown "/>
      </w:tblPr>
      <w:tblGrid>
        <w:gridCol w:w="3510"/>
        <w:gridCol w:w="1588"/>
        <w:gridCol w:w="1588"/>
      </w:tblGrid>
      <w:tr w:rsidR="000A2535" w:rsidRPr="00116CFA" w14:paraId="640E0DBB" w14:textId="77777777" w:rsidTr="000A2535">
        <w:trPr>
          <w:tblHeader/>
          <w:jc w:val="center"/>
        </w:trPr>
        <w:tc>
          <w:tcPr>
            <w:tcW w:w="3510" w:type="dxa"/>
            <w:shd w:val="clear" w:color="auto" w:fill="288A32"/>
            <w:vAlign w:val="center"/>
          </w:tcPr>
          <w:p w14:paraId="72C5E2B7" w14:textId="2F9D2C42" w:rsidR="000A2535" w:rsidRPr="00116CFA" w:rsidRDefault="000A2535">
            <w:pPr>
              <w:spacing w:before="80" w:after="80"/>
              <w:rPr>
                <w:b/>
                <w:color w:val="FFFFFF" w:themeColor="background1"/>
                <w:sz w:val="20"/>
                <w:szCs w:val="20"/>
              </w:rPr>
            </w:pPr>
            <w:r w:rsidRPr="0074662D">
              <w:br w:type="page"/>
            </w:r>
            <w:r w:rsidRPr="0074662D">
              <w:rPr>
                <w:b/>
                <w:color w:val="FFFFFF" w:themeColor="background1"/>
                <w:sz w:val="20"/>
                <w:szCs w:val="20"/>
              </w:rPr>
              <w:t>Source</w:t>
            </w:r>
          </w:p>
        </w:tc>
        <w:tc>
          <w:tcPr>
            <w:tcW w:w="1588" w:type="dxa"/>
            <w:shd w:val="clear" w:color="auto" w:fill="288A32"/>
          </w:tcPr>
          <w:p w14:paraId="2C9779F2" w14:textId="77777777" w:rsidR="000A2535" w:rsidRPr="00116CFA" w:rsidRDefault="000A2535" w:rsidP="00E0054C">
            <w:pPr>
              <w:spacing w:before="80" w:after="80"/>
              <w:jc w:val="center"/>
              <w:rPr>
                <w:b/>
                <w:color w:val="FFFFFF" w:themeColor="background1"/>
                <w:sz w:val="20"/>
                <w:szCs w:val="20"/>
              </w:rPr>
            </w:pPr>
            <w:r w:rsidRPr="00116CFA">
              <w:rPr>
                <w:b/>
                <w:color w:val="FFFFFF" w:themeColor="background1"/>
                <w:sz w:val="20"/>
                <w:szCs w:val="20"/>
              </w:rPr>
              <w:t>No. of Clinics NEP 16</w:t>
            </w:r>
          </w:p>
        </w:tc>
        <w:tc>
          <w:tcPr>
            <w:tcW w:w="1588" w:type="dxa"/>
            <w:shd w:val="clear" w:color="auto" w:fill="288A32"/>
            <w:vAlign w:val="center"/>
          </w:tcPr>
          <w:p w14:paraId="4A2E0F4E" w14:textId="77777777" w:rsidR="000A2535" w:rsidRPr="00116CFA" w:rsidRDefault="000A2535" w:rsidP="00E0054C">
            <w:pPr>
              <w:spacing w:before="80" w:after="80"/>
              <w:jc w:val="center"/>
              <w:rPr>
                <w:b/>
                <w:color w:val="FFFFFF" w:themeColor="background1"/>
                <w:sz w:val="20"/>
                <w:szCs w:val="20"/>
              </w:rPr>
            </w:pPr>
            <w:r w:rsidRPr="00116CFA">
              <w:rPr>
                <w:b/>
                <w:color w:val="FFFFFF" w:themeColor="background1"/>
                <w:sz w:val="20"/>
                <w:szCs w:val="20"/>
              </w:rPr>
              <w:t>No. of Clinics NEP 17</w:t>
            </w:r>
          </w:p>
        </w:tc>
      </w:tr>
      <w:tr w:rsidR="000A2535" w:rsidRPr="00116CFA" w14:paraId="1D9707FD" w14:textId="77777777" w:rsidTr="000D69EB">
        <w:trPr>
          <w:jc w:val="center"/>
        </w:trPr>
        <w:tc>
          <w:tcPr>
            <w:tcW w:w="3510" w:type="dxa"/>
          </w:tcPr>
          <w:p w14:paraId="0A31BC71" w14:textId="77777777" w:rsidR="000A2535" w:rsidRPr="00116CFA" w:rsidRDefault="000A2535" w:rsidP="00560AC0">
            <w:pPr>
              <w:spacing w:before="80" w:after="80"/>
              <w:rPr>
                <w:sz w:val="18"/>
                <w:szCs w:val="20"/>
              </w:rPr>
            </w:pPr>
            <w:r w:rsidRPr="00116CFA">
              <w:rPr>
                <w:sz w:val="18"/>
                <w:szCs w:val="20"/>
              </w:rPr>
              <w:t>Victorian radiotherapy costs</w:t>
            </w:r>
          </w:p>
        </w:tc>
        <w:tc>
          <w:tcPr>
            <w:tcW w:w="1588" w:type="dxa"/>
          </w:tcPr>
          <w:p w14:paraId="3116F80B" w14:textId="77777777" w:rsidR="000A2535" w:rsidRPr="00116CFA" w:rsidRDefault="000A2535" w:rsidP="00E0054C">
            <w:pPr>
              <w:spacing w:before="80" w:after="80"/>
              <w:jc w:val="center"/>
              <w:rPr>
                <w:rFonts w:eastAsiaTheme="minorHAnsi" w:cstheme="minorBidi"/>
                <w:b/>
                <w:noProof/>
                <w:sz w:val="18"/>
                <w:szCs w:val="20"/>
              </w:rPr>
            </w:pPr>
            <w:r w:rsidRPr="00116CFA">
              <w:rPr>
                <w:sz w:val="18"/>
                <w:szCs w:val="20"/>
              </w:rPr>
              <w:t>2</w:t>
            </w:r>
          </w:p>
        </w:tc>
        <w:tc>
          <w:tcPr>
            <w:tcW w:w="1588" w:type="dxa"/>
            <w:vAlign w:val="center"/>
          </w:tcPr>
          <w:p w14:paraId="5936924A" w14:textId="77777777" w:rsidR="000A2535" w:rsidRPr="00C21501" w:rsidRDefault="000A2535" w:rsidP="00E0054C">
            <w:pPr>
              <w:spacing w:before="80" w:after="80"/>
              <w:jc w:val="center"/>
              <w:rPr>
                <w:rFonts w:eastAsiaTheme="minorHAnsi" w:cstheme="minorBidi"/>
                <w:b/>
                <w:noProof/>
                <w:sz w:val="18"/>
                <w:szCs w:val="20"/>
              </w:rPr>
            </w:pPr>
            <w:r w:rsidRPr="00116CFA">
              <w:rPr>
                <w:sz w:val="18"/>
                <w:szCs w:val="20"/>
              </w:rPr>
              <w:t>1</w:t>
            </w:r>
          </w:p>
        </w:tc>
      </w:tr>
      <w:tr w:rsidR="000A2535" w:rsidRPr="00116CFA" w14:paraId="284C571F" w14:textId="77777777" w:rsidTr="000A2535">
        <w:trPr>
          <w:jc w:val="center"/>
        </w:trPr>
        <w:tc>
          <w:tcPr>
            <w:tcW w:w="3510" w:type="dxa"/>
          </w:tcPr>
          <w:p w14:paraId="461A25FD" w14:textId="77777777" w:rsidR="000A2535" w:rsidRPr="00116CFA" w:rsidRDefault="000A2535" w:rsidP="00560AC0">
            <w:pPr>
              <w:spacing w:before="80" w:after="80"/>
              <w:rPr>
                <w:sz w:val="18"/>
                <w:szCs w:val="20"/>
              </w:rPr>
            </w:pPr>
            <w:r w:rsidRPr="00116CFA">
              <w:rPr>
                <w:sz w:val="18"/>
                <w:szCs w:val="20"/>
              </w:rPr>
              <w:t>EY Costing Study</w:t>
            </w:r>
          </w:p>
        </w:tc>
        <w:tc>
          <w:tcPr>
            <w:tcW w:w="1588" w:type="dxa"/>
            <w:shd w:val="clear" w:color="auto" w:fill="D9EDD0" w:themeFill="accent4" w:themeFillTint="66"/>
          </w:tcPr>
          <w:p w14:paraId="743033C6" w14:textId="77777777" w:rsidR="000A2535" w:rsidRPr="00116CFA" w:rsidRDefault="000A2535" w:rsidP="00E0054C">
            <w:pPr>
              <w:spacing w:before="80" w:after="80"/>
              <w:jc w:val="center"/>
              <w:rPr>
                <w:rFonts w:eastAsiaTheme="minorHAnsi" w:cstheme="minorBidi"/>
                <w:b/>
                <w:noProof/>
                <w:sz w:val="18"/>
                <w:szCs w:val="20"/>
              </w:rPr>
            </w:pPr>
            <w:r w:rsidRPr="00116CFA">
              <w:rPr>
                <w:sz w:val="18"/>
                <w:szCs w:val="20"/>
                <w:shd w:val="clear" w:color="auto" w:fill="D9EDD0" w:themeFill="accent4" w:themeFillTint="66"/>
              </w:rPr>
              <w:t>1</w:t>
            </w:r>
            <w:r w:rsidRPr="00116CFA">
              <w:rPr>
                <w:sz w:val="18"/>
                <w:szCs w:val="20"/>
              </w:rPr>
              <w:t>03</w:t>
            </w:r>
          </w:p>
        </w:tc>
        <w:tc>
          <w:tcPr>
            <w:tcW w:w="1588" w:type="dxa"/>
            <w:vAlign w:val="center"/>
          </w:tcPr>
          <w:p w14:paraId="783F1D1A" w14:textId="77777777" w:rsidR="000A2535" w:rsidRPr="00C21501" w:rsidRDefault="000A2535" w:rsidP="00E0054C">
            <w:pPr>
              <w:spacing w:before="80" w:after="80"/>
              <w:jc w:val="center"/>
              <w:rPr>
                <w:rFonts w:eastAsiaTheme="minorHAnsi" w:cstheme="minorBidi"/>
                <w:b/>
                <w:noProof/>
                <w:sz w:val="18"/>
                <w:szCs w:val="20"/>
              </w:rPr>
            </w:pPr>
            <w:r w:rsidRPr="00116CFA">
              <w:rPr>
                <w:sz w:val="18"/>
                <w:szCs w:val="20"/>
              </w:rPr>
              <w:t>35</w:t>
            </w:r>
          </w:p>
        </w:tc>
      </w:tr>
      <w:tr w:rsidR="000A2535" w:rsidRPr="00116CFA" w14:paraId="610394A2" w14:textId="77777777" w:rsidTr="000D69EB">
        <w:trPr>
          <w:jc w:val="center"/>
        </w:trPr>
        <w:tc>
          <w:tcPr>
            <w:tcW w:w="3510" w:type="dxa"/>
          </w:tcPr>
          <w:p w14:paraId="13B710AA" w14:textId="77777777" w:rsidR="000A2535" w:rsidRPr="00116CFA" w:rsidRDefault="000A2535" w:rsidP="00560AC0">
            <w:pPr>
              <w:spacing w:before="80" w:after="80"/>
              <w:rPr>
                <w:sz w:val="18"/>
                <w:szCs w:val="20"/>
              </w:rPr>
            </w:pPr>
            <w:r w:rsidRPr="00116CFA">
              <w:rPr>
                <w:sz w:val="18"/>
                <w:szCs w:val="20"/>
              </w:rPr>
              <w:t>2014 Costing Study</w:t>
            </w:r>
          </w:p>
        </w:tc>
        <w:tc>
          <w:tcPr>
            <w:tcW w:w="1588" w:type="dxa"/>
          </w:tcPr>
          <w:p w14:paraId="7106F969" w14:textId="77777777" w:rsidR="000A2535" w:rsidRPr="00116CFA" w:rsidRDefault="000A2535" w:rsidP="00E0054C">
            <w:pPr>
              <w:spacing w:before="80" w:after="80"/>
              <w:jc w:val="center"/>
              <w:rPr>
                <w:rFonts w:eastAsiaTheme="minorHAnsi" w:cstheme="minorBidi"/>
                <w:b/>
                <w:noProof/>
                <w:sz w:val="18"/>
                <w:szCs w:val="20"/>
              </w:rPr>
            </w:pPr>
            <w:r w:rsidRPr="00116CFA">
              <w:rPr>
                <w:sz w:val="18"/>
                <w:szCs w:val="20"/>
              </w:rPr>
              <w:t>5</w:t>
            </w:r>
          </w:p>
        </w:tc>
        <w:tc>
          <w:tcPr>
            <w:tcW w:w="1588" w:type="dxa"/>
            <w:vAlign w:val="center"/>
          </w:tcPr>
          <w:p w14:paraId="339B1F11" w14:textId="77777777" w:rsidR="000A2535" w:rsidRPr="00116CFA" w:rsidRDefault="000A2535" w:rsidP="00E0054C">
            <w:pPr>
              <w:spacing w:before="80" w:after="80"/>
              <w:jc w:val="center"/>
              <w:rPr>
                <w:rFonts w:eastAsiaTheme="minorHAnsi" w:cstheme="minorBidi"/>
                <w:b/>
                <w:noProof/>
                <w:sz w:val="18"/>
                <w:szCs w:val="20"/>
              </w:rPr>
            </w:pPr>
            <w:r w:rsidRPr="00116CFA">
              <w:rPr>
                <w:sz w:val="18"/>
                <w:szCs w:val="20"/>
              </w:rPr>
              <w:t>5</w:t>
            </w:r>
          </w:p>
        </w:tc>
      </w:tr>
      <w:tr w:rsidR="000A2535" w:rsidRPr="00116CFA" w14:paraId="44ED1299" w14:textId="77777777" w:rsidTr="000A2535">
        <w:trPr>
          <w:jc w:val="center"/>
        </w:trPr>
        <w:tc>
          <w:tcPr>
            <w:tcW w:w="3510" w:type="dxa"/>
          </w:tcPr>
          <w:p w14:paraId="6169F34D" w14:textId="77777777" w:rsidR="000A2535" w:rsidRPr="00116CFA" w:rsidRDefault="000A2535" w:rsidP="00560AC0">
            <w:pPr>
              <w:spacing w:before="80" w:after="80"/>
              <w:rPr>
                <w:sz w:val="18"/>
                <w:szCs w:val="20"/>
              </w:rPr>
            </w:pPr>
            <w:r w:rsidRPr="00116CFA">
              <w:rPr>
                <w:sz w:val="18"/>
                <w:szCs w:val="20"/>
              </w:rPr>
              <w:t>NHCDC Round 18/19</w:t>
            </w:r>
          </w:p>
        </w:tc>
        <w:tc>
          <w:tcPr>
            <w:tcW w:w="1588" w:type="dxa"/>
          </w:tcPr>
          <w:p w14:paraId="38A7B2C1" w14:textId="77777777" w:rsidR="000A2535" w:rsidRPr="00116CFA" w:rsidRDefault="000A2535" w:rsidP="00E0054C">
            <w:pPr>
              <w:spacing w:before="80" w:after="80"/>
              <w:jc w:val="center"/>
              <w:rPr>
                <w:rFonts w:eastAsiaTheme="minorHAnsi" w:cstheme="minorBidi"/>
                <w:b/>
                <w:noProof/>
                <w:sz w:val="18"/>
                <w:szCs w:val="20"/>
              </w:rPr>
            </w:pPr>
            <w:r w:rsidRPr="00116CFA">
              <w:rPr>
                <w:sz w:val="18"/>
                <w:szCs w:val="20"/>
              </w:rPr>
              <w:t>13</w:t>
            </w:r>
          </w:p>
        </w:tc>
        <w:tc>
          <w:tcPr>
            <w:tcW w:w="1588" w:type="dxa"/>
            <w:shd w:val="clear" w:color="auto" w:fill="D9EDD0" w:themeFill="accent4" w:themeFillTint="66"/>
            <w:vAlign w:val="center"/>
          </w:tcPr>
          <w:p w14:paraId="14817187" w14:textId="77777777" w:rsidR="000A2535" w:rsidRPr="00C21501" w:rsidRDefault="000A2535" w:rsidP="00E0054C">
            <w:pPr>
              <w:spacing w:before="80" w:after="80"/>
              <w:jc w:val="center"/>
              <w:rPr>
                <w:rFonts w:eastAsiaTheme="minorHAnsi" w:cstheme="minorBidi"/>
                <w:b/>
                <w:noProof/>
                <w:sz w:val="18"/>
                <w:szCs w:val="20"/>
              </w:rPr>
            </w:pPr>
            <w:r w:rsidRPr="00116CFA">
              <w:rPr>
                <w:sz w:val="18"/>
                <w:szCs w:val="20"/>
              </w:rPr>
              <w:t>83</w:t>
            </w:r>
          </w:p>
        </w:tc>
      </w:tr>
      <w:tr w:rsidR="000A2535" w:rsidRPr="00116CFA" w14:paraId="63A346EE" w14:textId="77777777" w:rsidTr="000D69EB">
        <w:trPr>
          <w:jc w:val="center"/>
        </w:trPr>
        <w:tc>
          <w:tcPr>
            <w:tcW w:w="3510" w:type="dxa"/>
          </w:tcPr>
          <w:p w14:paraId="55EF4728" w14:textId="77777777" w:rsidR="000A2535" w:rsidRPr="00116CFA" w:rsidRDefault="000A2535" w:rsidP="00560AC0">
            <w:pPr>
              <w:spacing w:before="80" w:after="80"/>
              <w:rPr>
                <w:sz w:val="18"/>
                <w:szCs w:val="20"/>
              </w:rPr>
            </w:pPr>
            <w:r w:rsidRPr="00116CFA">
              <w:rPr>
                <w:sz w:val="18"/>
                <w:szCs w:val="20"/>
              </w:rPr>
              <w:t>Admitted acute</w:t>
            </w:r>
          </w:p>
        </w:tc>
        <w:tc>
          <w:tcPr>
            <w:tcW w:w="1588" w:type="dxa"/>
          </w:tcPr>
          <w:p w14:paraId="57899F9F" w14:textId="77777777" w:rsidR="000A2535" w:rsidRPr="00116CFA" w:rsidRDefault="000A2535" w:rsidP="00E0054C">
            <w:pPr>
              <w:spacing w:before="80" w:after="80"/>
              <w:jc w:val="center"/>
              <w:rPr>
                <w:rFonts w:eastAsiaTheme="minorHAnsi" w:cstheme="minorBidi"/>
                <w:b/>
                <w:noProof/>
                <w:sz w:val="18"/>
                <w:szCs w:val="20"/>
              </w:rPr>
            </w:pPr>
            <w:r w:rsidRPr="00116CFA">
              <w:rPr>
                <w:sz w:val="18"/>
                <w:szCs w:val="20"/>
              </w:rPr>
              <w:t>2</w:t>
            </w:r>
          </w:p>
        </w:tc>
        <w:tc>
          <w:tcPr>
            <w:tcW w:w="1588" w:type="dxa"/>
            <w:vAlign w:val="center"/>
          </w:tcPr>
          <w:p w14:paraId="55BD8BA6" w14:textId="77777777" w:rsidR="000A2535" w:rsidRPr="00C21501" w:rsidRDefault="000A2535" w:rsidP="00E0054C">
            <w:pPr>
              <w:spacing w:before="80" w:after="80"/>
              <w:jc w:val="center"/>
              <w:rPr>
                <w:rFonts w:eastAsiaTheme="minorHAnsi" w:cstheme="minorBidi"/>
                <w:b/>
                <w:noProof/>
                <w:sz w:val="18"/>
                <w:szCs w:val="20"/>
              </w:rPr>
            </w:pPr>
            <w:r w:rsidRPr="00116CFA">
              <w:rPr>
                <w:sz w:val="18"/>
                <w:szCs w:val="20"/>
              </w:rPr>
              <w:t>2</w:t>
            </w:r>
          </w:p>
        </w:tc>
      </w:tr>
      <w:tr w:rsidR="000A2535" w:rsidRPr="00116CFA" w14:paraId="2854D4C8" w14:textId="77777777" w:rsidTr="000D69EB">
        <w:trPr>
          <w:jc w:val="center"/>
        </w:trPr>
        <w:tc>
          <w:tcPr>
            <w:tcW w:w="3510" w:type="dxa"/>
          </w:tcPr>
          <w:p w14:paraId="015AE6A3" w14:textId="77777777" w:rsidR="000A2535" w:rsidRPr="00116CFA" w:rsidRDefault="000A2535" w:rsidP="00560AC0">
            <w:pPr>
              <w:spacing w:before="80" w:after="80"/>
              <w:rPr>
                <w:b/>
                <w:sz w:val="18"/>
                <w:szCs w:val="20"/>
              </w:rPr>
            </w:pPr>
            <w:r w:rsidRPr="00116CFA">
              <w:rPr>
                <w:b/>
                <w:sz w:val="18"/>
                <w:szCs w:val="20"/>
              </w:rPr>
              <w:t>Total</w:t>
            </w:r>
          </w:p>
        </w:tc>
        <w:tc>
          <w:tcPr>
            <w:tcW w:w="1588" w:type="dxa"/>
          </w:tcPr>
          <w:p w14:paraId="174EA4CE" w14:textId="77777777" w:rsidR="000A2535" w:rsidRPr="00116CFA" w:rsidRDefault="000A2535" w:rsidP="00E0054C">
            <w:pPr>
              <w:spacing w:before="80" w:after="80"/>
              <w:jc w:val="center"/>
              <w:rPr>
                <w:rFonts w:eastAsiaTheme="minorHAnsi" w:cstheme="minorBidi"/>
                <w:b/>
                <w:noProof/>
                <w:sz w:val="18"/>
                <w:szCs w:val="20"/>
              </w:rPr>
            </w:pPr>
            <w:r w:rsidRPr="00116CFA">
              <w:rPr>
                <w:b/>
                <w:sz w:val="18"/>
                <w:szCs w:val="20"/>
              </w:rPr>
              <w:t>125</w:t>
            </w:r>
          </w:p>
        </w:tc>
        <w:tc>
          <w:tcPr>
            <w:tcW w:w="1588" w:type="dxa"/>
            <w:vAlign w:val="center"/>
          </w:tcPr>
          <w:p w14:paraId="3F151F0C" w14:textId="77777777" w:rsidR="000A2535" w:rsidRPr="00C21501" w:rsidRDefault="000A2535" w:rsidP="00E0054C">
            <w:pPr>
              <w:spacing w:before="80" w:after="80"/>
              <w:jc w:val="center"/>
              <w:rPr>
                <w:rFonts w:eastAsiaTheme="minorHAnsi" w:cstheme="minorBidi"/>
                <w:b/>
                <w:noProof/>
                <w:sz w:val="18"/>
                <w:szCs w:val="20"/>
              </w:rPr>
            </w:pPr>
            <w:r w:rsidRPr="00116CFA">
              <w:rPr>
                <w:b/>
                <w:sz w:val="18"/>
                <w:szCs w:val="20"/>
              </w:rPr>
              <w:t>126</w:t>
            </w:r>
          </w:p>
        </w:tc>
      </w:tr>
    </w:tbl>
    <w:p w14:paraId="254C74C1" w14:textId="77777777" w:rsidR="00685751" w:rsidRPr="00116CFA" w:rsidRDefault="00685751" w:rsidP="00560AC0"/>
    <w:p w14:paraId="26B7C3E9" w14:textId="195B40E0" w:rsidR="00685751" w:rsidRPr="0074662D" w:rsidRDefault="00685751" w:rsidP="002D606E">
      <w:pPr>
        <w:tabs>
          <w:tab w:val="left" w:pos="1162"/>
        </w:tabs>
        <w:rPr>
          <w:rFonts w:cs="Arial"/>
          <w:szCs w:val="20"/>
        </w:rPr>
      </w:pPr>
      <w:bookmarkStart w:id="725" w:name="_Toc380754729"/>
      <w:bookmarkStart w:id="726" w:name="_Toc466884228"/>
      <w:bookmarkStart w:id="727" w:name="_Toc467505241"/>
      <w:bookmarkStart w:id="728" w:name="_Toc467745615"/>
      <w:r w:rsidRPr="00116CFA">
        <w:rPr>
          <w:rFonts w:cs="Arial"/>
          <w:szCs w:val="20"/>
        </w:rPr>
        <w:t>The current National Pricing Model Stability Policy requires that the year-to-year movement in price weights be restricted to a maximum of 20 per cent. As a result of the change in methodology for NEP17</w:t>
      </w:r>
      <w:proofErr w:type="gramStart"/>
      <w:r w:rsidRPr="00116CFA">
        <w:rPr>
          <w:rFonts w:cs="Arial"/>
          <w:szCs w:val="20"/>
        </w:rPr>
        <w:t xml:space="preserve">, </w:t>
      </w:r>
      <w:r w:rsidR="00147855" w:rsidRPr="00C21501">
        <w:rPr>
          <w:rFonts w:cs="Arial"/>
          <w:szCs w:val="20"/>
        </w:rPr>
        <w:t xml:space="preserve"> 45</w:t>
      </w:r>
      <w:proofErr w:type="gramEnd"/>
      <w:r w:rsidRPr="00116CFA">
        <w:rPr>
          <w:rFonts w:cs="Arial"/>
          <w:szCs w:val="20"/>
        </w:rPr>
        <w:t xml:space="preserve"> clinics </w:t>
      </w:r>
      <w:r w:rsidR="00E8066B" w:rsidRPr="00116CFA">
        <w:rPr>
          <w:rFonts w:cs="Arial"/>
          <w:szCs w:val="20"/>
        </w:rPr>
        <w:t>were stabilised as they moved beyond the 20% thresh</w:t>
      </w:r>
      <w:r w:rsidR="00E8066B" w:rsidRPr="0074662D">
        <w:rPr>
          <w:rFonts w:cs="Arial"/>
          <w:szCs w:val="20"/>
        </w:rPr>
        <w:t xml:space="preserve">old. </w:t>
      </w:r>
      <w:r w:rsidR="00E8066B" w:rsidRPr="00116CFA">
        <w:rPr>
          <w:rFonts w:cs="Arial"/>
          <w:szCs w:val="20"/>
        </w:rPr>
        <w:fldChar w:fldCharType="begin"/>
      </w:r>
      <w:r w:rsidR="00E8066B" w:rsidRPr="00116CFA">
        <w:rPr>
          <w:rFonts w:cs="Arial"/>
          <w:szCs w:val="20"/>
        </w:rPr>
        <w:instrText xml:space="preserve"> REF _Ref467851671 \h  \* MERGEFORMAT </w:instrText>
      </w:r>
      <w:r w:rsidR="00E8066B" w:rsidRPr="00116CFA">
        <w:rPr>
          <w:rFonts w:cs="Arial"/>
          <w:szCs w:val="20"/>
        </w:rPr>
      </w:r>
      <w:r w:rsidR="00E8066B" w:rsidRPr="00116CFA">
        <w:rPr>
          <w:rFonts w:cs="Arial"/>
          <w:szCs w:val="20"/>
        </w:rPr>
        <w:fldChar w:fldCharType="separate"/>
      </w:r>
      <w:r w:rsidR="00F84458" w:rsidRPr="00F84458">
        <w:t xml:space="preserve">Table </w:t>
      </w:r>
      <w:r w:rsidR="00F84458" w:rsidRPr="00F84458">
        <w:rPr>
          <w:noProof/>
        </w:rPr>
        <w:t>13</w:t>
      </w:r>
      <w:r w:rsidR="00E8066B" w:rsidRPr="00116CFA">
        <w:rPr>
          <w:rFonts w:cs="Arial"/>
          <w:szCs w:val="20"/>
        </w:rPr>
        <w:fldChar w:fldCharType="end"/>
      </w:r>
      <w:r w:rsidR="00E8066B" w:rsidRPr="00116CFA">
        <w:rPr>
          <w:rFonts w:cs="Arial"/>
          <w:szCs w:val="20"/>
        </w:rPr>
        <w:t xml:space="preserve"> provides the stabilised clinics broken down to a series level. </w:t>
      </w:r>
    </w:p>
    <w:p w14:paraId="46074CD8" w14:textId="7FB1C1FC" w:rsidR="00E8066B" w:rsidRPr="0074662D" w:rsidRDefault="00E8066B" w:rsidP="002D606E">
      <w:pPr>
        <w:spacing w:before="120" w:after="0" w:line="240" w:lineRule="auto"/>
        <w:rPr>
          <w:b/>
        </w:rPr>
      </w:pPr>
      <w:bookmarkStart w:id="729" w:name="_Ref467851671"/>
      <w:r w:rsidRPr="0074662D">
        <w:rPr>
          <w:b/>
        </w:rPr>
        <w:t xml:space="preserve">Table </w:t>
      </w:r>
      <w:r w:rsidRPr="00116CFA">
        <w:rPr>
          <w:b/>
        </w:rPr>
        <w:fldChar w:fldCharType="begin"/>
      </w:r>
      <w:r w:rsidRPr="00116CFA">
        <w:rPr>
          <w:b/>
        </w:rPr>
        <w:instrText xml:space="preserve"> SEQ Table \* ARABIC </w:instrText>
      </w:r>
      <w:r w:rsidRPr="00116CFA">
        <w:rPr>
          <w:b/>
        </w:rPr>
        <w:fldChar w:fldCharType="separate"/>
      </w:r>
      <w:r w:rsidR="00F84458">
        <w:rPr>
          <w:b/>
          <w:noProof/>
        </w:rPr>
        <w:t>13</w:t>
      </w:r>
      <w:r w:rsidRPr="00116CFA">
        <w:rPr>
          <w:b/>
        </w:rPr>
        <w:fldChar w:fldCharType="end"/>
      </w:r>
      <w:bookmarkEnd w:id="729"/>
      <w:r w:rsidRPr="00116CFA">
        <w:rPr>
          <w:b/>
        </w:rPr>
        <w:t xml:space="preserve">: Non-Admitted Clinics Stabilised by Series.  </w:t>
      </w:r>
    </w:p>
    <w:tbl>
      <w:tblPr>
        <w:tblStyle w:val="TableGrid10"/>
        <w:tblW w:w="4772" w:type="dxa"/>
        <w:tblInd w:w="2542" w:type="dxa"/>
        <w:tblLook w:val="04A0" w:firstRow="1" w:lastRow="0" w:firstColumn="1" w:lastColumn="0" w:noHBand="0" w:noVBand="1"/>
        <w:tblCaption w:val="Table 13: Non-Admitted Clinics Stabilised by Series"/>
      </w:tblPr>
      <w:tblGrid>
        <w:gridCol w:w="1990"/>
        <w:gridCol w:w="2782"/>
      </w:tblGrid>
      <w:tr w:rsidR="00E8066B" w:rsidRPr="00116CFA" w14:paraId="4AF68528" w14:textId="77777777" w:rsidTr="00B56B15">
        <w:trPr>
          <w:trHeight w:val="335"/>
          <w:tblHeader/>
        </w:trPr>
        <w:tc>
          <w:tcPr>
            <w:tcW w:w="1990" w:type="dxa"/>
            <w:shd w:val="clear" w:color="auto" w:fill="288A32"/>
            <w:vAlign w:val="center"/>
            <w:hideMark/>
          </w:tcPr>
          <w:p w14:paraId="5E405A39" w14:textId="77777777" w:rsidR="00E8066B" w:rsidRPr="00116CFA" w:rsidRDefault="00E8066B" w:rsidP="002D606E">
            <w:pPr>
              <w:spacing w:after="0" w:line="240" w:lineRule="auto"/>
              <w:rPr>
                <w:rFonts w:eastAsia="Times New Roman" w:cs="Arial"/>
                <w:b/>
                <w:bCs/>
                <w:color w:val="FFFFFF" w:themeColor="background1"/>
                <w:sz w:val="20"/>
                <w:szCs w:val="20"/>
                <w:lang w:eastAsia="en-AU"/>
              </w:rPr>
            </w:pPr>
            <w:r w:rsidRPr="0074662D">
              <w:rPr>
                <w:rFonts w:cs="Arial"/>
                <w:b/>
                <w:bCs/>
                <w:color w:val="FFFFFF" w:themeColor="background1"/>
                <w:sz w:val="20"/>
                <w:szCs w:val="20"/>
              </w:rPr>
              <w:t>Series</w:t>
            </w:r>
          </w:p>
        </w:tc>
        <w:tc>
          <w:tcPr>
            <w:tcW w:w="2782" w:type="dxa"/>
            <w:shd w:val="clear" w:color="auto" w:fill="288A32"/>
            <w:vAlign w:val="center"/>
            <w:hideMark/>
          </w:tcPr>
          <w:p w14:paraId="65D22C33" w14:textId="43D6CD67" w:rsidR="00E8066B" w:rsidRPr="00116CFA" w:rsidRDefault="00E8066B" w:rsidP="00E0054C">
            <w:pPr>
              <w:spacing w:after="0" w:line="240" w:lineRule="auto"/>
              <w:jc w:val="center"/>
              <w:rPr>
                <w:rFonts w:eastAsia="Times New Roman" w:cs="Arial"/>
                <w:b/>
                <w:bCs/>
                <w:color w:val="FFFFFF" w:themeColor="background1"/>
                <w:sz w:val="20"/>
                <w:szCs w:val="20"/>
                <w:lang w:eastAsia="en-AU"/>
              </w:rPr>
            </w:pPr>
            <w:r w:rsidRPr="00116CFA">
              <w:rPr>
                <w:rFonts w:cs="Arial"/>
                <w:b/>
                <w:bCs/>
                <w:color w:val="FFFFFF" w:themeColor="background1"/>
                <w:sz w:val="20"/>
                <w:szCs w:val="20"/>
              </w:rPr>
              <w:t>Number Clinics Stabilised</w:t>
            </w:r>
          </w:p>
        </w:tc>
      </w:tr>
      <w:tr w:rsidR="00E8066B" w:rsidRPr="00116CFA" w14:paraId="7AFE2CB5" w14:textId="77777777" w:rsidTr="000351BD">
        <w:trPr>
          <w:trHeight w:val="335"/>
        </w:trPr>
        <w:tc>
          <w:tcPr>
            <w:tcW w:w="1990" w:type="dxa"/>
            <w:vAlign w:val="center"/>
            <w:hideMark/>
          </w:tcPr>
          <w:p w14:paraId="6E5F2732" w14:textId="38837DA5" w:rsidR="00E8066B" w:rsidRPr="00116CFA" w:rsidRDefault="00E8066B" w:rsidP="002D606E">
            <w:pPr>
              <w:spacing w:after="0" w:line="240" w:lineRule="auto"/>
              <w:rPr>
                <w:rFonts w:asciiTheme="minorHAnsi" w:eastAsia="Times New Roman" w:hAnsiTheme="minorHAnsi" w:cstheme="minorHAnsi"/>
                <w:b/>
                <w:bCs/>
                <w:color w:val="000000"/>
                <w:sz w:val="20"/>
                <w:szCs w:val="20"/>
                <w:lang w:eastAsia="en-AU"/>
              </w:rPr>
            </w:pPr>
            <w:r w:rsidRPr="00116CFA">
              <w:rPr>
                <w:rFonts w:asciiTheme="minorHAnsi" w:hAnsiTheme="minorHAnsi" w:cstheme="minorHAnsi"/>
                <w:b/>
                <w:bCs/>
                <w:color w:val="000000"/>
                <w:sz w:val="20"/>
                <w:szCs w:val="20"/>
              </w:rPr>
              <w:t>10: Procedure</w:t>
            </w:r>
          </w:p>
        </w:tc>
        <w:tc>
          <w:tcPr>
            <w:tcW w:w="2782" w:type="dxa"/>
            <w:noWrap/>
            <w:vAlign w:val="center"/>
            <w:hideMark/>
          </w:tcPr>
          <w:p w14:paraId="536F96EF" w14:textId="77777777" w:rsidR="00E8066B" w:rsidRPr="00116CFA" w:rsidRDefault="00E8066B" w:rsidP="00E0054C">
            <w:pPr>
              <w:spacing w:after="0" w:line="240" w:lineRule="auto"/>
              <w:jc w:val="center"/>
              <w:rPr>
                <w:rFonts w:asciiTheme="minorHAnsi" w:eastAsiaTheme="minorHAnsi" w:hAnsiTheme="minorHAnsi" w:cstheme="minorHAnsi"/>
                <w:b/>
                <w:noProof/>
                <w:color w:val="000000"/>
                <w:sz w:val="20"/>
                <w:szCs w:val="20"/>
                <w:lang w:eastAsia="en-AU"/>
              </w:rPr>
            </w:pPr>
            <w:r w:rsidRPr="00116CFA">
              <w:rPr>
                <w:rFonts w:asciiTheme="minorHAnsi" w:hAnsiTheme="minorHAnsi" w:cstheme="minorHAnsi"/>
                <w:color w:val="000000"/>
                <w:sz w:val="20"/>
                <w:szCs w:val="20"/>
              </w:rPr>
              <w:t>4</w:t>
            </w:r>
          </w:p>
        </w:tc>
      </w:tr>
      <w:tr w:rsidR="00E8066B" w:rsidRPr="00116CFA" w14:paraId="7B1FC1DE" w14:textId="77777777" w:rsidTr="000351BD">
        <w:trPr>
          <w:trHeight w:val="335"/>
        </w:trPr>
        <w:tc>
          <w:tcPr>
            <w:tcW w:w="1990" w:type="dxa"/>
            <w:vAlign w:val="center"/>
            <w:hideMark/>
          </w:tcPr>
          <w:p w14:paraId="04060C73" w14:textId="1129F259" w:rsidR="00E8066B" w:rsidRPr="00116CFA" w:rsidRDefault="00E8066B" w:rsidP="002D606E">
            <w:pPr>
              <w:spacing w:after="0" w:line="240" w:lineRule="auto"/>
              <w:rPr>
                <w:rFonts w:asciiTheme="minorHAnsi" w:eastAsiaTheme="minorHAnsi" w:hAnsiTheme="minorHAnsi" w:cstheme="minorHAnsi"/>
                <w:b/>
                <w:bCs/>
                <w:noProof/>
                <w:color w:val="000000"/>
                <w:sz w:val="20"/>
                <w:szCs w:val="20"/>
                <w:lang w:eastAsia="en-AU"/>
              </w:rPr>
            </w:pPr>
            <w:r w:rsidRPr="00116CFA">
              <w:rPr>
                <w:rFonts w:asciiTheme="minorHAnsi" w:hAnsiTheme="minorHAnsi" w:cstheme="minorHAnsi"/>
                <w:b/>
                <w:bCs/>
                <w:color w:val="000000"/>
                <w:sz w:val="20"/>
                <w:szCs w:val="20"/>
              </w:rPr>
              <w:t>20: Medical</w:t>
            </w:r>
          </w:p>
        </w:tc>
        <w:tc>
          <w:tcPr>
            <w:tcW w:w="2782" w:type="dxa"/>
            <w:noWrap/>
            <w:vAlign w:val="center"/>
            <w:hideMark/>
          </w:tcPr>
          <w:p w14:paraId="77185271" w14:textId="77777777" w:rsidR="00E8066B" w:rsidRPr="00116CFA" w:rsidRDefault="00E8066B" w:rsidP="00E0054C">
            <w:pPr>
              <w:spacing w:after="0" w:line="240" w:lineRule="auto"/>
              <w:jc w:val="center"/>
              <w:rPr>
                <w:rFonts w:asciiTheme="minorHAnsi" w:eastAsiaTheme="minorHAnsi" w:hAnsiTheme="minorHAnsi" w:cstheme="minorHAnsi"/>
                <w:b/>
                <w:noProof/>
                <w:color w:val="000000"/>
                <w:sz w:val="20"/>
                <w:szCs w:val="20"/>
                <w:lang w:eastAsia="en-AU"/>
              </w:rPr>
            </w:pPr>
            <w:r w:rsidRPr="00116CFA">
              <w:rPr>
                <w:rFonts w:asciiTheme="minorHAnsi" w:hAnsiTheme="minorHAnsi" w:cstheme="minorHAnsi"/>
                <w:color w:val="000000"/>
                <w:sz w:val="20"/>
                <w:szCs w:val="20"/>
              </w:rPr>
              <w:t>23</w:t>
            </w:r>
          </w:p>
        </w:tc>
      </w:tr>
      <w:tr w:rsidR="00E8066B" w:rsidRPr="00116CFA" w14:paraId="1AF15CD8" w14:textId="77777777" w:rsidTr="000351BD">
        <w:trPr>
          <w:trHeight w:val="335"/>
        </w:trPr>
        <w:tc>
          <w:tcPr>
            <w:tcW w:w="1990" w:type="dxa"/>
            <w:vAlign w:val="center"/>
            <w:hideMark/>
          </w:tcPr>
          <w:p w14:paraId="0C5D5591" w14:textId="50901DDF" w:rsidR="00E8066B" w:rsidRPr="00116CFA" w:rsidRDefault="00E8066B" w:rsidP="002D606E">
            <w:pPr>
              <w:spacing w:after="0" w:line="240" w:lineRule="auto"/>
              <w:rPr>
                <w:rFonts w:asciiTheme="minorHAnsi" w:eastAsiaTheme="minorHAnsi" w:hAnsiTheme="minorHAnsi" w:cstheme="minorHAnsi"/>
                <w:b/>
                <w:bCs/>
                <w:noProof/>
                <w:color w:val="000000"/>
                <w:sz w:val="20"/>
                <w:szCs w:val="20"/>
                <w:lang w:eastAsia="en-AU"/>
              </w:rPr>
            </w:pPr>
            <w:r w:rsidRPr="00116CFA">
              <w:rPr>
                <w:rFonts w:asciiTheme="minorHAnsi" w:hAnsiTheme="minorHAnsi" w:cstheme="minorHAnsi"/>
                <w:b/>
                <w:bCs/>
                <w:color w:val="000000"/>
                <w:sz w:val="20"/>
                <w:szCs w:val="20"/>
              </w:rPr>
              <w:t>40:Allied</w:t>
            </w:r>
          </w:p>
        </w:tc>
        <w:tc>
          <w:tcPr>
            <w:tcW w:w="2782" w:type="dxa"/>
            <w:noWrap/>
            <w:vAlign w:val="center"/>
            <w:hideMark/>
          </w:tcPr>
          <w:p w14:paraId="73A84F26" w14:textId="77777777" w:rsidR="00E8066B" w:rsidRPr="00116CFA" w:rsidRDefault="00E8066B" w:rsidP="00E0054C">
            <w:pPr>
              <w:spacing w:after="0" w:line="240" w:lineRule="auto"/>
              <w:jc w:val="center"/>
              <w:rPr>
                <w:rFonts w:asciiTheme="minorHAnsi" w:eastAsiaTheme="minorHAnsi" w:hAnsiTheme="minorHAnsi" w:cstheme="minorHAnsi"/>
                <w:b/>
                <w:noProof/>
                <w:color w:val="000000"/>
                <w:sz w:val="20"/>
                <w:szCs w:val="20"/>
                <w:lang w:eastAsia="en-AU"/>
              </w:rPr>
            </w:pPr>
            <w:r w:rsidRPr="00116CFA">
              <w:rPr>
                <w:rFonts w:asciiTheme="minorHAnsi" w:hAnsiTheme="minorHAnsi" w:cstheme="minorHAnsi"/>
                <w:color w:val="000000"/>
                <w:sz w:val="20"/>
                <w:szCs w:val="20"/>
              </w:rPr>
              <w:t>18</w:t>
            </w:r>
          </w:p>
        </w:tc>
      </w:tr>
    </w:tbl>
    <w:p w14:paraId="592A8AA1" w14:textId="77777777" w:rsidR="003642EA" w:rsidRPr="00116CFA" w:rsidRDefault="003642EA" w:rsidP="00560AC0">
      <w:pPr>
        <w:pStyle w:val="Heading3"/>
        <w:numPr>
          <w:ilvl w:val="2"/>
          <w:numId w:val="17"/>
        </w:numPr>
        <w:spacing w:before="200" w:after="120" w:line="276" w:lineRule="auto"/>
        <w:ind w:left="851" w:hanging="851"/>
        <w:contextualSpacing w:val="0"/>
      </w:pPr>
      <w:bookmarkStart w:id="730" w:name="_Toc468204076"/>
      <w:bookmarkStart w:id="731" w:name="_Toc468204077"/>
      <w:bookmarkEnd w:id="730"/>
      <w:r w:rsidRPr="00116CFA">
        <w:t>Data preparation</w:t>
      </w:r>
      <w:bookmarkEnd w:id="725"/>
      <w:bookmarkEnd w:id="726"/>
      <w:bookmarkEnd w:id="727"/>
      <w:bookmarkEnd w:id="728"/>
      <w:bookmarkEnd w:id="731"/>
    </w:p>
    <w:p w14:paraId="5015168F" w14:textId="56B5C445" w:rsidR="003642EA" w:rsidRPr="000351BD" w:rsidRDefault="003642EA" w:rsidP="002D606E">
      <w:pPr>
        <w:tabs>
          <w:tab w:val="left" w:pos="1162"/>
        </w:tabs>
        <w:rPr>
          <w:rFonts w:cs="Arial"/>
          <w:szCs w:val="20"/>
        </w:rPr>
      </w:pPr>
      <w:r w:rsidRPr="00116CFA">
        <w:rPr>
          <w:rFonts w:cs="Arial"/>
          <w:szCs w:val="20"/>
        </w:rPr>
        <w:t xml:space="preserve">Non-admitted patient cost data was received for </w:t>
      </w:r>
      <w:r w:rsidR="00556C5D" w:rsidRPr="00116CFA">
        <w:rPr>
          <w:rFonts w:cs="Arial"/>
          <w:szCs w:val="20"/>
        </w:rPr>
        <w:t>eight</w:t>
      </w:r>
      <w:r w:rsidRPr="00116CFA">
        <w:rPr>
          <w:rFonts w:cs="Arial"/>
          <w:szCs w:val="20"/>
        </w:rPr>
        <w:t xml:space="preserve"> jurisdictions. NHCDC Round 19 included non-admitted data </w:t>
      </w:r>
      <w:proofErr w:type="gramStart"/>
      <w:r w:rsidRPr="00116CFA">
        <w:rPr>
          <w:rFonts w:cs="Arial"/>
          <w:szCs w:val="20"/>
        </w:rPr>
        <w:t xml:space="preserve">for  </w:t>
      </w:r>
      <w:r w:rsidR="00147855" w:rsidRPr="00C21501">
        <w:rPr>
          <w:rFonts w:cs="Arial"/>
          <w:szCs w:val="20"/>
        </w:rPr>
        <w:t>221</w:t>
      </w:r>
      <w:proofErr w:type="gramEnd"/>
      <w:r w:rsidR="00147855" w:rsidRPr="00C21501">
        <w:rPr>
          <w:rFonts w:cs="Arial"/>
          <w:szCs w:val="20"/>
        </w:rPr>
        <w:t xml:space="preserve"> </w:t>
      </w:r>
      <w:r w:rsidRPr="00116CFA">
        <w:rPr>
          <w:rFonts w:cs="Arial"/>
          <w:szCs w:val="20"/>
        </w:rPr>
        <w:t>ABF establishments and 136 Tier 2 Clinics.</w:t>
      </w:r>
      <w:r w:rsidRPr="00A47F5F">
        <w:rPr>
          <w:rFonts w:cs="Arial"/>
          <w:szCs w:val="20"/>
        </w:rPr>
        <w:t xml:space="preserve"> This compares to </w:t>
      </w:r>
      <w:r w:rsidR="00E91DE5" w:rsidRPr="00A47F5F">
        <w:rPr>
          <w:rFonts w:cs="Arial"/>
          <w:szCs w:val="20"/>
        </w:rPr>
        <w:t>188</w:t>
      </w:r>
      <w:r w:rsidRPr="00A47F5F">
        <w:rPr>
          <w:rFonts w:cs="Arial"/>
          <w:szCs w:val="20"/>
        </w:rPr>
        <w:t> ABF establishments and 13</w:t>
      </w:r>
      <w:r w:rsidR="00556C5D" w:rsidRPr="00A47F5F">
        <w:rPr>
          <w:rFonts w:cs="Arial"/>
          <w:szCs w:val="20"/>
        </w:rPr>
        <w:t>6</w:t>
      </w:r>
      <w:r w:rsidRPr="00A47F5F">
        <w:rPr>
          <w:rFonts w:cs="Arial"/>
          <w:szCs w:val="20"/>
        </w:rPr>
        <w:t xml:space="preserve"> Tier 2 Clinics in</w:t>
      </w:r>
      <w:r w:rsidRPr="000351BD">
        <w:rPr>
          <w:rFonts w:cs="Arial"/>
          <w:szCs w:val="20"/>
        </w:rPr>
        <w:t xml:space="preserve"> 2013-14. </w:t>
      </w:r>
    </w:p>
    <w:p w14:paraId="540F3E25" w14:textId="45969F7C" w:rsidR="003642EA" w:rsidRPr="00E91DE5" w:rsidRDefault="003642EA" w:rsidP="002D606E">
      <w:pPr>
        <w:tabs>
          <w:tab w:val="left" w:pos="1162"/>
        </w:tabs>
        <w:rPr>
          <w:rFonts w:cs="Arial"/>
          <w:szCs w:val="20"/>
        </w:rPr>
      </w:pPr>
      <w:r w:rsidRPr="00A47F5F">
        <w:rPr>
          <w:rFonts w:cs="Arial"/>
          <w:szCs w:val="20"/>
        </w:rPr>
        <w:t>In NEP1</w:t>
      </w:r>
      <w:r w:rsidR="00542CD9">
        <w:rPr>
          <w:rFonts w:cs="Arial"/>
          <w:szCs w:val="20"/>
        </w:rPr>
        <w:t>6</w:t>
      </w:r>
      <w:r w:rsidRPr="00A47F5F">
        <w:rPr>
          <w:rFonts w:cs="Arial"/>
          <w:szCs w:val="20"/>
        </w:rPr>
        <w:t>, the cost weights were largely determined using the 2012 Ernst &amp; Young Non-admitted and Subacute Care Costing Study (the EY Costing Study). The cost weights for NEP17 are based on the same data, but were calibrated against</w:t>
      </w:r>
      <w:r w:rsidRPr="00E91DE5">
        <w:rPr>
          <w:rFonts w:cs="Arial"/>
          <w:szCs w:val="20"/>
        </w:rPr>
        <w:t xml:space="preserve"> NHCDC Round 19 costs in the same way that NEP15 cost weights were calibrated against Round 17 data.</w:t>
      </w:r>
    </w:p>
    <w:p w14:paraId="2BDD6AEA" w14:textId="48230E8E" w:rsidR="006921AB" w:rsidRPr="00256441" w:rsidRDefault="006921AB" w:rsidP="002D606E">
      <w:pPr>
        <w:tabs>
          <w:tab w:val="left" w:pos="1162"/>
        </w:tabs>
        <w:rPr>
          <w:rFonts w:cs="Arial"/>
          <w:szCs w:val="20"/>
        </w:rPr>
      </w:pPr>
      <w:r w:rsidRPr="00256441">
        <w:rPr>
          <w:rFonts w:cs="Arial"/>
          <w:szCs w:val="20"/>
        </w:rPr>
        <w:t xml:space="preserve">Establishment/clinic combinations were excluded </w:t>
      </w:r>
      <w:r w:rsidR="000A0BF3">
        <w:rPr>
          <w:rFonts w:cs="Arial"/>
          <w:szCs w:val="20"/>
        </w:rPr>
        <w:t>based on</w:t>
      </w:r>
      <w:r w:rsidRPr="00256441">
        <w:rPr>
          <w:rFonts w:cs="Arial"/>
          <w:szCs w:val="20"/>
        </w:rPr>
        <w:t>:</w:t>
      </w:r>
    </w:p>
    <w:p w14:paraId="11556D17" w14:textId="792C9F64" w:rsidR="006921AB" w:rsidRPr="00256441" w:rsidRDefault="000A0BF3" w:rsidP="00560AC0">
      <w:pPr>
        <w:pStyle w:val="ListParagraph"/>
        <w:numPr>
          <w:ilvl w:val="0"/>
          <w:numId w:val="47"/>
        </w:numPr>
        <w:tabs>
          <w:tab w:val="left" w:pos="1162"/>
        </w:tabs>
        <w:spacing w:after="200" w:line="276" w:lineRule="auto"/>
        <w:rPr>
          <w:rFonts w:cs="Arial"/>
          <w:szCs w:val="20"/>
        </w:rPr>
      </w:pPr>
      <w:r>
        <w:rPr>
          <w:rFonts w:cs="Arial"/>
          <w:szCs w:val="20"/>
        </w:rPr>
        <w:t xml:space="preserve">Jurisdictional advice; </w:t>
      </w:r>
    </w:p>
    <w:p w14:paraId="40C660B4" w14:textId="658BAFC8" w:rsidR="006921AB" w:rsidRPr="00256441" w:rsidRDefault="00062C77">
      <w:pPr>
        <w:pStyle w:val="ListParagraph"/>
        <w:numPr>
          <w:ilvl w:val="0"/>
          <w:numId w:val="47"/>
        </w:numPr>
        <w:tabs>
          <w:tab w:val="left" w:pos="1162"/>
        </w:tabs>
        <w:spacing w:after="200" w:line="276" w:lineRule="auto"/>
        <w:rPr>
          <w:rFonts w:cs="Arial"/>
          <w:szCs w:val="20"/>
        </w:rPr>
      </w:pPr>
      <w:r>
        <w:rPr>
          <w:rFonts w:cs="Arial"/>
          <w:szCs w:val="20"/>
        </w:rPr>
        <w:t>Cost ratios being significantly different from the population</w:t>
      </w:r>
      <w:r w:rsidR="004A4D3B">
        <w:rPr>
          <w:rFonts w:cs="Arial"/>
          <w:szCs w:val="20"/>
        </w:rPr>
        <w:t>.</w:t>
      </w:r>
    </w:p>
    <w:p w14:paraId="1578B149" w14:textId="74168FAA" w:rsidR="006921AB" w:rsidRDefault="006921AB" w:rsidP="002D606E">
      <w:pPr>
        <w:tabs>
          <w:tab w:val="left" w:pos="1162"/>
        </w:tabs>
        <w:rPr>
          <w:rFonts w:cs="Arial"/>
          <w:szCs w:val="20"/>
        </w:rPr>
      </w:pPr>
      <w:r w:rsidRPr="00256441">
        <w:rPr>
          <w:rFonts w:cs="Arial"/>
          <w:szCs w:val="20"/>
        </w:rPr>
        <w:t>Clinic specific outlier exclusion rules developed for NEP1</w:t>
      </w:r>
      <w:r>
        <w:rPr>
          <w:rFonts w:cs="Arial"/>
          <w:szCs w:val="20"/>
        </w:rPr>
        <w:t>7</w:t>
      </w:r>
      <w:r w:rsidRPr="00256441">
        <w:rPr>
          <w:rFonts w:cs="Arial"/>
          <w:szCs w:val="20"/>
        </w:rPr>
        <w:t xml:space="preserve"> </w:t>
      </w:r>
      <w:r w:rsidR="0018150B" w:rsidRPr="00256441">
        <w:rPr>
          <w:rFonts w:cs="Arial"/>
          <w:szCs w:val="20"/>
        </w:rPr>
        <w:t>were applied</w:t>
      </w:r>
      <w:r w:rsidRPr="00256441">
        <w:rPr>
          <w:rFonts w:cs="Arial"/>
          <w:szCs w:val="20"/>
        </w:rPr>
        <w:t xml:space="preserve">. Whole establishments were then excluded if their cost ratios across clinics remained consistently high. </w:t>
      </w:r>
      <w:r>
        <w:rPr>
          <w:rFonts w:cs="Arial"/>
          <w:szCs w:val="20"/>
        </w:rPr>
        <w:t>At the service event level, c</w:t>
      </w:r>
      <w:r w:rsidRPr="00256441">
        <w:rPr>
          <w:rFonts w:cs="Arial"/>
          <w:szCs w:val="20"/>
        </w:rPr>
        <w:t xml:space="preserve">onservative record level trimming within clinics followed to exclude records with </w:t>
      </w:r>
    </w:p>
    <w:p w14:paraId="5235F378" w14:textId="77777777" w:rsidR="006921AB" w:rsidRDefault="006921AB" w:rsidP="002D606E">
      <w:pPr>
        <w:pStyle w:val="ListParagraph"/>
        <w:numPr>
          <w:ilvl w:val="0"/>
          <w:numId w:val="55"/>
        </w:numPr>
        <w:tabs>
          <w:tab w:val="left" w:pos="1162"/>
        </w:tabs>
        <w:rPr>
          <w:rFonts w:cs="Arial"/>
          <w:szCs w:val="20"/>
        </w:rPr>
      </w:pPr>
      <w:r w:rsidRPr="00E32AB0">
        <w:rPr>
          <w:rFonts w:cs="Arial"/>
          <w:szCs w:val="20"/>
        </w:rPr>
        <w:t>Costs less than $5.</w:t>
      </w:r>
    </w:p>
    <w:p w14:paraId="7ACA140A" w14:textId="77777777" w:rsidR="006921AB" w:rsidRDefault="006921AB" w:rsidP="002D606E">
      <w:pPr>
        <w:pStyle w:val="ListParagraph"/>
        <w:numPr>
          <w:ilvl w:val="0"/>
          <w:numId w:val="55"/>
        </w:numPr>
        <w:tabs>
          <w:tab w:val="left" w:pos="1162"/>
        </w:tabs>
        <w:rPr>
          <w:rFonts w:cs="Arial"/>
          <w:szCs w:val="20"/>
        </w:rPr>
      </w:pPr>
      <w:r>
        <w:rPr>
          <w:rFonts w:cs="Arial"/>
          <w:szCs w:val="20"/>
        </w:rPr>
        <w:t xml:space="preserve">Events with high cost thresholds after ranking of events by cost. </w:t>
      </w:r>
    </w:p>
    <w:p w14:paraId="196A6409" w14:textId="77777777" w:rsidR="00062C77" w:rsidRPr="00256441" w:rsidRDefault="00062C77" w:rsidP="00560AC0">
      <w:pPr>
        <w:pStyle w:val="ListParagraph"/>
        <w:numPr>
          <w:ilvl w:val="0"/>
          <w:numId w:val="55"/>
        </w:numPr>
        <w:tabs>
          <w:tab w:val="left" w:pos="1162"/>
        </w:tabs>
        <w:spacing w:after="200" w:line="276" w:lineRule="auto"/>
        <w:rPr>
          <w:rFonts w:cs="Arial"/>
          <w:szCs w:val="20"/>
        </w:rPr>
      </w:pPr>
      <w:r>
        <w:rPr>
          <w:rFonts w:cs="Arial"/>
          <w:szCs w:val="20"/>
        </w:rPr>
        <w:t>Cost ratios being significantly different from the population</w:t>
      </w:r>
    </w:p>
    <w:p w14:paraId="52A39F8F" w14:textId="77777777" w:rsidR="003642EA" w:rsidRPr="00660DE8" w:rsidRDefault="003642EA" w:rsidP="00560AC0">
      <w:pPr>
        <w:pStyle w:val="Heading3"/>
        <w:numPr>
          <w:ilvl w:val="2"/>
          <w:numId w:val="17"/>
        </w:numPr>
        <w:spacing w:before="200" w:after="120" w:line="276" w:lineRule="auto"/>
        <w:ind w:left="851" w:hanging="851"/>
        <w:contextualSpacing w:val="0"/>
      </w:pPr>
      <w:bookmarkStart w:id="732" w:name="_Toc468204078"/>
      <w:bookmarkStart w:id="733" w:name="_Toc380754730"/>
      <w:bookmarkStart w:id="734" w:name="_Toc466884229"/>
      <w:bookmarkStart w:id="735" w:name="_Toc467505242"/>
      <w:bookmarkStart w:id="736" w:name="_Toc467745616"/>
      <w:bookmarkStart w:id="737" w:name="_Toc468204079"/>
      <w:bookmarkEnd w:id="732"/>
      <w:r w:rsidRPr="00660DE8">
        <w:t>Sample weights</w:t>
      </w:r>
      <w:bookmarkEnd w:id="733"/>
      <w:bookmarkEnd w:id="734"/>
      <w:bookmarkEnd w:id="735"/>
      <w:bookmarkEnd w:id="736"/>
      <w:bookmarkEnd w:id="737"/>
    </w:p>
    <w:p w14:paraId="258B0746" w14:textId="3E712F0A" w:rsidR="003642EA" w:rsidRPr="000351BD" w:rsidRDefault="00660DE8">
      <w:pPr>
        <w:rPr>
          <w:rFonts w:cs="Arial"/>
          <w:szCs w:val="20"/>
        </w:rPr>
      </w:pPr>
      <w:r w:rsidRPr="00660DE8">
        <w:t xml:space="preserve">See </w:t>
      </w:r>
      <w:r w:rsidR="00A83F3A">
        <w:t>Section</w:t>
      </w:r>
      <w:r w:rsidRPr="00660DE8">
        <w:t xml:space="preserve"> </w:t>
      </w:r>
      <w:r w:rsidRPr="00660DE8">
        <w:fldChar w:fldCharType="begin"/>
      </w:r>
      <w:r w:rsidRPr="00660DE8">
        <w:instrText xml:space="preserve"> REF _Ref467852021 \r \h </w:instrText>
      </w:r>
      <w:r>
        <w:instrText xml:space="preserve"> \* MERGEFORMAT </w:instrText>
      </w:r>
      <w:r w:rsidRPr="00660DE8">
        <w:fldChar w:fldCharType="separate"/>
      </w:r>
      <w:r w:rsidR="00F84458">
        <w:t>6.2.1</w:t>
      </w:r>
      <w:r w:rsidRPr="00660DE8">
        <w:fldChar w:fldCharType="end"/>
      </w:r>
      <w:r w:rsidR="003642EA" w:rsidRPr="000351BD">
        <w:rPr>
          <w:rFonts w:cs="Arial"/>
          <w:szCs w:val="20"/>
        </w:rPr>
        <w:t>.</w:t>
      </w:r>
    </w:p>
    <w:p w14:paraId="61A2D634" w14:textId="7FAA73A3" w:rsidR="003642EA" w:rsidRPr="00842793" w:rsidRDefault="00842793">
      <w:pPr>
        <w:pStyle w:val="Heading3"/>
        <w:numPr>
          <w:ilvl w:val="2"/>
          <w:numId w:val="17"/>
        </w:numPr>
        <w:spacing w:before="200" w:after="120" w:line="276" w:lineRule="auto"/>
        <w:ind w:left="851" w:hanging="851"/>
        <w:contextualSpacing w:val="0"/>
      </w:pPr>
      <w:bookmarkStart w:id="738" w:name="_Toc468204080"/>
      <w:r w:rsidRPr="00842793">
        <w:lastRenderedPageBreak/>
        <w:t>Adjustments</w:t>
      </w:r>
      <w:bookmarkEnd w:id="738"/>
    </w:p>
    <w:p w14:paraId="1085C81F" w14:textId="77777777" w:rsidR="00842793" w:rsidRDefault="00842793">
      <w:pPr>
        <w:rPr>
          <w:rFonts w:cs="Arial"/>
          <w:szCs w:val="20"/>
        </w:rPr>
      </w:pPr>
      <w:r>
        <w:rPr>
          <w:rFonts w:cs="Arial"/>
          <w:szCs w:val="20"/>
        </w:rPr>
        <w:t>T</w:t>
      </w:r>
      <w:r w:rsidRPr="0068154B">
        <w:rPr>
          <w:rFonts w:cs="Arial"/>
          <w:szCs w:val="20"/>
        </w:rPr>
        <w:t xml:space="preserve">he </w:t>
      </w:r>
      <w:r>
        <w:rPr>
          <w:rFonts w:cs="Arial"/>
          <w:szCs w:val="20"/>
        </w:rPr>
        <w:t>NEP17</w:t>
      </w:r>
      <w:r w:rsidRPr="0068154B">
        <w:rPr>
          <w:rFonts w:cs="Arial"/>
          <w:szCs w:val="20"/>
        </w:rPr>
        <w:t xml:space="preserve"> </w:t>
      </w:r>
      <w:r>
        <w:rPr>
          <w:rFonts w:cs="Arial"/>
          <w:szCs w:val="20"/>
        </w:rPr>
        <w:t>Indigenous</w:t>
      </w:r>
      <w:r w:rsidRPr="0068154B">
        <w:rPr>
          <w:rFonts w:cs="Arial"/>
          <w:szCs w:val="20"/>
        </w:rPr>
        <w:t xml:space="preserve"> a</w:t>
      </w:r>
      <w:r>
        <w:rPr>
          <w:rFonts w:cs="Arial"/>
          <w:szCs w:val="20"/>
        </w:rPr>
        <w:t>djustment</w:t>
      </w:r>
      <w:r w:rsidRPr="0068154B">
        <w:rPr>
          <w:rFonts w:cs="Arial"/>
          <w:szCs w:val="20"/>
        </w:rPr>
        <w:t xml:space="preserve"> w</w:t>
      </w:r>
      <w:r>
        <w:rPr>
          <w:rFonts w:cs="Arial"/>
          <w:szCs w:val="20"/>
        </w:rPr>
        <w:t>as</w:t>
      </w:r>
      <w:r w:rsidRPr="0068154B">
        <w:rPr>
          <w:rFonts w:cs="Arial"/>
          <w:szCs w:val="20"/>
        </w:rPr>
        <w:t xml:space="preserve"> applied to non-admitted episodes in the same way as for ED presentations.</w:t>
      </w:r>
      <w:r>
        <w:rPr>
          <w:rFonts w:cs="Arial"/>
          <w:szCs w:val="20"/>
        </w:rPr>
        <w:t xml:space="preserve"> The NEP17 multi-disciplinary clinic adjustment is applied after the Indigenous adjustment.</w:t>
      </w:r>
    </w:p>
    <w:p w14:paraId="67D42A90" w14:textId="24823CB1" w:rsidR="007C11EE" w:rsidRPr="007C11EE" w:rsidRDefault="007C11EE">
      <w:pPr>
        <w:pStyle w:val="Heading3"/>
        <w:numPr>
          <w:ilvl w:val="2"/>
          <w:numId w:val="17"/>
        </w:numPr>
        <w:spacing w:before="200" w:after="120" w:line="276" w:lineRule="auto"/>
        <w:ind w:left="851" w:hanging="851"/>
        <w:contextualSpacing w:val="0"/>
      </w:pPr>
      <w:bookmarkStart w:id="739" w:name="_Toc468204081"/>
      <w:r w:rsidRPr="004E7836">
        <w:t>Price weights and NWAU</w:t>
      </w:r>
      <w:bookmarkStart w:id="740" w:name="_Toc468204082"/>
      <w:bookmarkEnd w:id="739"/>
      <w:bookmarkEnd w:id="740"/>
    </w:p>
    <w:p w14:paraId="175159A0" w14:textId="77777777" w:rsidR="003642EA" w:rsidRPr="005D2CAB" w:rsidRDefault="003642EA" w:rsidP="00D04B94">
      <w:pPr>
        <w:rPr>
          <w:rFonts w:cs="Arial"/>
          <w:color w:val="000000"/>
        </w:rPr>
      </w:pPr>
      <w:r w:rsidRPr="005D2CAB">
        <w:rPr>
          <w:rFonts w:cs="Arial"/>
          <w:b/>
          <w:color w:val="000000"/>
        </w:rPr>
        <w:t>Price of a non-admitted ABF Activity</w:t>
      </w:r>
    </w:p>
    <w:p w14:paraId="2E5F581E" w14:textId="7575FD55" w:rsidR="003642EA" w:rsidRPr="005D2CAB" w:rsidRDefault="003642EA" w:rsidP="002D606E">
      <w:pPr>
        <w:spacing w:before="280"/>
        <w:rPr>
          <w:rFonts w:cs="Arial"/>
        </w:rPr>
      </w:pPr>
      <w:r w:rsidRPr="005D2CAB">
        <w:rPr>
          <w:rFonts w:cs="Arial"/>
          <w:color w:val="000000"/>
        </w:rPr>
        <w:t xml:space="preserve">= </w:t>
      </w:r>
      <w:r w:rsidRPr="005D2CAB">
        <w:rPr>
          <w:rFonts w:cstheme="minorHAnsi"/>
          <w:color w:val="000000"/>
          <w:sz w:val="28"/>
          <w:szCs w:val="28"/>
        </w:rPr>
        <w:t>{</w:t>
      </w:r>
      <w:r w:rsidRPr="005D2CAB">
        <w:rPr>
          <w:rFonts w:cs="Arial"/>
          <w:color w:val="000000"/>
        </w:rPr>
        <w:t xml:space="preserve">PW x (1 + </w:t>
      </w:r>
      <w:proofErr w:type="spellStart"/>
      <w:r w:rsidRPr="005D2CAB">
        <w:rPr>
          <w:rFonts w:cs="Arial"/>
          <w:color w:val="000000"/>
        </w:rPr>
        <w:t>A</w:t>
      </w:r>
      <w:r w:rsidRPr="005D2CAB">
        <w:rPr>
          <w:rFonts w:cs="Arial"/>
          <w:color w:val="000000"/>
          <w:vertAlign w:val="subscript"/>
        </w:rPr>
        <w:t>Ind</w:t>
      </w:r>
      <w:proofErr w:type="spellEnd"/>
      <w:r w:rsidRPr="005D2CAB">
        <w:rPr>
          <w:rFonts w:cs="Arial"/>
          <w:color w:val="000000"/>
        </w:rPr>
        <w:t>) x (1 + A</w:t>
      </w:r>
      <w:r w:rsidRPr="005D2CAB">
        <w:rPr>
          <w:rFonts w:cs="Arial"/>
          <w:color w:val="000000"/>
          <w:vertAlign w:val="subscript"/>
        </w:rPr>
        <w:t>NMC</w:t>
      </w:r>
      <w:r w:rsidRPr="005D2CAB">
        <w:rPr>
          <w:rFonts w:cs="Arial"/>
          <w:color w:val="000000"/>
        </w:rPr>
        <w:t>)</w:t>
      </w:r>
      <w:r w:rsidRPr="005D2CAB">
        <w:rPr>
          <w:rFonts w:cstheme="minorHAnsi"/>
          <w:color w:val="000000"/>
          <w:sz w:val="28"/>
          <w:szCs w:val="28"/>
        </w:rPr>
        <w:t>}</w:t>
      </w:r>
      <w:r w:rsidRPr="005D2CAB">
        <w:rPr>
          <w:rFonts w:cs="Arial"/>
          <w:color w:val="000000"/>
        </w:rPr>
        <w:t xml:space="preserve"> x NEP</w:t>
      </w:r>
    </w:p>
    <w:p w14:paraId="1AC44773" w14:textId="77777777" w:rsidR="003642EA" w:rsidRDefault="003642EA" w:rsidP="00560AC0">
      <w:pPr>
        <w:rPr>
          <w:rFonts w:cs="Arial"/>
          <w:noProof/>
        </w:rPr>
      </w:pPr>
      <w:r w:rsidRPr="005D2CAB">
        <w:rPr>
          <w:rFonts w:cs="Arial"/>
        </w:rPr>
        <w:t>Where:</w:t>
      </w:r>
      <w:r w:rsidRPr="005D2CAB">
        <w:rPr>
          <w:rFonts w:cs="Arial"/>
          <w:noProof/>
        </w:rPr>
        <w:t xml:space="preserve"> </w:t>
      </w:r>
    </w:p>
    <w:p w14:paraId="3CEF579E" w14:textId="77777777" w:rsidR="007C11EE" w:rsidRDefault="007C11EE">
      <w:pPr>
        <w:rPr>
          <w:rFonts w:cs="Arial"/>
          <w:noProof/>
        </w:rPr>
      </w:pPr>
    </w:p>
    <w:p w14:paraId="59687A5D" w14:textId="77777777" w:rsidR="007C11EE" w:rsidRDefault="007C11EE">
      <w:pPr>
        <w:spacing w:after="180"/>
        <w:ind w:left="1985" w:hanging="1985"/>
        <w:rPr>
          <w:rFonts w:cs="Arial"/>
          <w:b/>
        </w:rPr>
      </w:pPr>
      <w:proofErr w:type="spellStart"/>
      <w:r w:rsidRPr="000306BE">
        <w:rPr>
          <w:rFonts w:cs="Arial"/>
          <w:b/>
        </w:rPr>
        <w:t>A</w:t>
      </w:r>
      <w:r w:rsidRPr="000306BE">
        <w:rPr>
          <w:rFonts w:cs="Arial"/>
          <w:b/>
          <w:vertAlign w:val="subscript"/>
        </w:rPr>
        <w:t>Ind</w:t>
      </w:r>
      <w:proofErr w:type="spellEnd"/>
      <w:r w:rsidRPr="000306BE">
        <w:rPr>
          <w:rFonts w:cs="Arial"/>
          <w:vertAlign w:val="subscript"/>
        </w:rPr>
        <w:tab/>
      </w:r>
      <w:r w:rsidRPr="000306BE">
        <w:rPr>
          <w:rFonts w:cs="Arial"/>
        </w:rPr>
        <w:t xml:space="preserve">means the </w:t>
      </w:r>
      <w:r w:rsidRPr="000306BE">
        <w:rPr>
          <w:rFonts w:cs="Arial"/>
          <w:i/>
        </w:rPr>
        <w:t>Indigenous Adjustment</w:t>
      </w:r>
    </w:p>
    <w:p w14:paraId="182B219F" w14:textId="2013C3AA" w:rsidR="007C11EE" w:rsidRPr="000306BE" w:rsidRDefault="007C11EE">
      <w:pPr>
        <w:spacing w:after="180"/>
        <w:ind w:left="1985" w:hanging="1985"/>
        <w:rPr>
          <w:rFonts w:cs="Arial"/>
        </w:rPr>
      </w:pPr>
      <w:r>
        <w:rPr>
          <w:rFonts w:cs="Arial"/>
          <w:b/>
        </w:rPr>
        <w:t>A</w:t>
      </w:r>
      <w:r>
        <w:rPr>
          <w:rFonts w:cs="Arial"/>
          <w:b/>
          <w:vertAlign w:val="subscript"/>
        </w:rPr>
        <w:t>NMC</w:t>
      </w:r>
      <w:r>
        <w:rPr>
          <w:rFonts w:cs="Arial"/>
          <w:b/>
          <w:vertAlign w:val="subscript"/>
        </w:rPr>
        <w:tab/>
      </w:r>
      <w:r w:rsidRPr="00245713">
        <w:rPr>
          <w:rFonts w:cs="Arial"/>
        </w:rPr>
        <w:t xml:space="preserve">means the </w:t>
      </w:r>
      <w:r>
        <w:rPr>
          <w:rFonts w:cs="Arial"/>
          <w:i/>
        </w:rPr>
        <w:t xml:space="preserve">Non-admitted </w:t>
      </w:r>
      <w:proofErr w:type="spellStart"/>
      <w:r>
        <w:rPr>
          <w:rFonts w:cs="Arial"/>
          <w:i/>
        </w:rPr>
        <w:t>Multi disciplinary</w:t>
      </w:r>
      <w:proofErr w:type="spellEnd"/>
      <w:r>
        <w:rPr>
          <w:rFonts w:cs="Arial"/>
          <w:i/>
        </w:rPr>
        <w:t xml:space="preserve"> Clinic Adjustment</w:t>
      </w:r>
      <w:r w:rsidRPr="00245713">
        <w:rPr>
          <w:rFonts w:cs="Arial"/>
          <w:i/>
        </w:rPr>
        <w:t xml:space="preserve"> Care </w:t>
      </w:r>
    </w:p>
    <w:p w14:paraId="49B59073" w14:textId="77777777" w:rsidR="007C11EE" w:rsidRPr="000306BE" w:rsidRDefault="007C11EE">
      <w:pPr>
        <w:spacing w:after="180"/>
        <w:ind w:left="1985" w:hanging="1985"/>
        <w:rPr>
          <w:rFonts w:cs="Arial"/>
        </w:rPr>
      </w:pPr>
      <w:r w:rsidRPr="000306BE">
        <w:rPr>
          <w:rFonts w:cs="Arial"/>
          <w:b/>
        </w:rPr>
        <w:t>NEP</w:t>
      </w:r>
      <w:r w:rsidRPr="000306BE">
        <w:rPr>
          <w:rFonts w:cs="Arial"/>
        </w:rPr>
        <w:tab/>
        <w:t xml:space="preserve">National Efficient Price </w:t>
      </w:r>
      <w:r>
        <w:rPr>
          <w:rFonts w:cs="Arial"/>
        </w:rPr>
        <w:t>2017-18</w:t>
      </w:r>
    </w:p>
    <w:p w14:paraId="557374C0" w14:textId="111EC76F" w:rsidR="007C11EE" w:rsidRDefault="007C11EE">
      <w:pPr>
        <w:spacing w:after="0"/>
        <w:ind w:left="1985" w:hanging="1985"/>
        <w:rPr>
          <w:rFonts w:cs="Arial"/>
        </w:rPr>
      </w:pPr>
      <w:r w:rsidRPr="000306BE">
        <w:rPr>
          <w:rFonts w:cs="Arial"/>
          <w:b/>
        </w:rPr>
        <w:t>PW</w:t>
      </w:r>
      <w:r w:rsidRPr="000306BE">
        <w:rPr>
          <w:rFonts w:cs="Arial"/>
          <w:b/>
        </w:rPr>
        <w:tab/>
      </w:r>
      <w:r w:rsidRPr="000306BE">
        <w:rPr>
          <w:rFonts w:cs="Arial"/>
        </w:rPr>
        <w:t>means the Price Weight f</w:t>
      </w:r>
      <w:r>
        <w:rPr>
          <w:rFonts w:cs="Arial"/>
        </w:rPr>
        <w:t>or an ABF Activity as set out in</w:t>
      </w:r>
      <w:r w:rsidRPr="000306BE">
        <w:rPr>
          <w:rFonts w:cs="Arial"/>
        </w:rPr>
        <w:t xml:space="preserve"> </w:t>
      </w:r>
      <w:r>
        <w:rPr>
          <w:rFonts w:cs="Arial"/>
        </w:rPr>
        <w:t xml:space="preserve">Appendix H </w:t>
      </w:r>
    </w:p>
    <w:p w14:paraId="4DB6406F" w14:textId="77777777" w:rsidR="007C11EE" w:rsidRPr="005D2CAB" w:rsidRDefault="007C11EE">
      <w:pPr>
        <w:spacing w:after="0"/>
        <w:rPr>
          <w:rFonts w:cs="Arial"/>
          <w:sz w:val="20"/>
          <w:szCs w:val="20"/>
        </w:rPr>
      </w:pPr>
    </w:p>
    <w:p w14:paraId="0A998179" w14:textId="798B2A1C" w:rsidR="003642EA" w:rsidRPr="005D2CAB" w:rsidRDefault="007C11EE" w:rsidP="002D606E">
      <w:pPr>
        <w:tabs>
          <w:tab w:val="left" w:pos="1162"/>
        </w:tabs>
        <w:autoSpaceDE w:val="0"/>
        <w:autoSpaceDN w:val="0"/>
        <w:adjustRightInd w:val="0"/>
        <w:spacing w:before="240"/>
        <w:ind w:right="-28"/>
        <w:rPr>
          <w:rFonts w:cs="Arial"/>
          <w:szCs w:val="20"/>
          <w:highlight w:val="lightGray"/>
        </w:rPr>
      </w:pPr>
      <w:r>
        <w:rPr>
          <w:rFonts w:cs="Arial"/>
          <w:szCs w:val="20"/>
        </w:rPr>
        <w:t xml:space="preserve">The table below outlines the required information in order to apply the above formula. </w:t>
      </w:r>
    </w:p>
    <w:p w14:paraId="32952D23" w14:textId="169B9480" w:rsidR="003642EA" w:rsidRPr="002D606E" w:rsidRDefault="003642EA" w:rsidP="002D606E">
      <w:pPr>
        <w:spacing w:before="120" w:after="0" w:line="240" w:lineRule="auto"/>
        <w:rPr>
          <w:b/>
        </w:rPr>
      </w:pPr>
      <w:bookmarkStart w:id="741" w:name="_Toc412123646"/>
      <w:bookmarkStart w:id="742" w:name="_Toc412191154"/>
      <w:bookmarkStart w:id="743" w:name="_Toc412193589"/>
      <w:bookmarkStart w:id="744" w:name="_Toc412193691"/>
      <w:bookmarkStart w:id="745" w:name="_Toc412196585"/>
      <w:bookmarkStart w:id="746" w:name="_Toc412196688"/>
      <w:bookmarkStart w:id="747" w:name="_Toc412196791"/>
      <w:bookmarkStart w:id="748" w:name="_Toc412197091"/>
      <w:bookmarkStart w:id="749" w:name="_Toc412198115"/>
      <w:bookmarkStart w:id="750" w:name="_Toc412204644"/>
      <w:bookmarkStart w:id="751" w:name="_Toc412206036"/>
      <w:bookmarkStart w:id="752" w:name="_Toc412206622"/>
      <w:bookmarkStart w:id="753" w:name="_Toc412206747"/>
      <w:bookmarkStart w:id="754" w:name="_Toc412206849"/>
      <w:bookmarkStart w:id="755" w:name="_Toc412206949"/>
      <w:bookmarkStart w:id="756" w:name="_Toc412207158"/>
      <w:bookmarkStart w:id="757" w:name="_Toc412207421"/>
      <w:bookmarkStart w:id="758" w:name="_Ref466642595"/>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Pr="002D606E">
        <w:rPr>
          <w:b/>
        </w:rPr>
        <w:t xml:space="preserve">Table </w:t>
      </w:r>
      <w:r w:rsidR="0095747A" w:rsidRPr="002D606E">
        <w:rPr>
          <w:b/>
        </w:rPr>
        <w:fldChar w:fldCharType="begin"/>
      </w:r>
      <w:r w:rsidR="0095747A" w:rsidRPr="002D606E">
        <w:rPr>
          <w:b/>
        </w:rPr>
        <w:instrText xml:space="preserve"> SEQ Table \* ARABIC </w:instrText>
      </w:r>
      <w:r w:rsidR="0095747A" w:rsidRPr="002D606E">
        <w:rPr>
          <w:b/>
        </w:rPr>
        <w:fldChar w:fldCharType="separate"/>
      </w:r>
      <w:r w:rsidR="00F84458">
        <w:rPr>
          <w:b/>
          <w:noProof/>
        </w:rPr>
        <w:t>14</w:t>
      </w:r>
      <w:r w:rsidR="0095747A" w:rsidRPr="002D606E">
        <w:rPr>
          <w:b/>
        </w:rPr>
        <w:fldChar w:fldCharType="end"/>
      </w:r>
      <w:bookmarkEnd w:id="758"/>
      <w:r w:rsidRPr="002D606E">
        <w:rPr>
          <w:b/>
        </w:rPr>
        <w:t>: Dataset and tables required for assignment of NWAU to non-admitted patient data.</w:t>
      </w:r>
    </w:p>
    <w:tbl>
      <w:tblPr>
        <w:tblStyle w:val="TableGrid"/>
        <w:tblW w:w="8818" w:type="dxa"/>
        <w:jc w:val="center"/>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A summary of table 11 is outlined in the text prior to this table."/>
      </w:tblPr>
      <w:tblGrid>
        <w:gridCol w:w="3478"/>
        <w:gridCol w:w="5340"/>
      </w:tblGrid>
      <w:tr w:rsidR="003642EA" w:rsidRPr="007C11EE" w14:paraId="7191583A" w14:textId="77777777" w:rsidTr="00D04B94">
        <w:trPr>
          <w:cantSplit/>
          <w:tblHeader/>
          <w:jc w:val="center"/>
        </w:trPr>
        <w:tc>
          <w:tcPr>
            <w:tcW w:w="3478" w:type="dxa"/>
            <w:shd w:val="clear" w:color="auto" w:fill="288A32"/>
          </w:tcPr>
          <w:p w14:paraId="1FF15DC6" w14:textId="77777777" w:rsidR="003642EA" w:rsidRPr="005D2CAB" w:rsidRDefault="003642EA" w:rsidP="00560AC0">
            <w:pPr>
              <w:tabs>
                <w:tab w:val="left" w:pos="1162"/>
              </w:tabs>
              <w:spacing w:before="80" w:after="80"/>
              <w:rPr>
                <w:rFonts w:cs="Arial"/>
                <w:b/>
                <w:color w:val="FFFFFF" w:themeColor="background1"/>
                <w:szCs w:val="20"/>
              </w:rPr>
            </w:pPr>
            <w:r w:rsidRPr="005D2CAB">
              <w:rPr>
                <w:rFonts w:cs="Arial"/>
                <w:b/>
                <w:color w:val="FFFFFF" w:themeColor="background1"/>
                <w:szCs w:val="20"/>
              </w:rPr>
              <w:t>Input dataset or table</w:t>
            </w:r>
          </w:p>
        </w:tc>
        <w:tc>
          <w:tcPr>
            <w:tcW w:w="5340" w:type="dxa"/>
            <w:shd w:val="clear" w:color="auto" w:fill="288A32"/>
          </w:tcPr>
          <w:p w14:paraId="09A74867" w14:textId="77777777" w:rsidR="003642EA" w:rsidRPr="005D2CAB" w:rsidRDefault="003642EA">
            <w:pPr>
              <w:tabs>
                <w:tab w:val="left" w:pos="1162"/>
              </w:tabs>
              <w:spacing w:before="80" w:after="80"/>
              <w:rPr>
                <w:rFonts w:cs="Arial"/>
                <w:b/>
                <w:color w:val="FFFFFF" w:themeColor="background1"/>
                <w:szCs w:val="20"/>
              </w:rPr>
            </w:pPr>
            <w:r w:rsidRPr="005D2CAB">
              <w:rPr>
                <w:rFonts w:cs="Arial"/>
                <w:b/>
                <w:color w:val="FFFFFF" w:themeColor="background1"/>
                <w:szCs w:val="20"/>
              </w:rPr>
              <w:t>Description</w:t>
            </w:r>
          </w:p>
        </w:tc>
      </w:tr>
      <w:tr w:rsidR="003642EA" w:rsidRPr="007C11EE" w14:paraId="52555E3D" w14:textId="77777777" w:rsidTr="00D04B94">
        <w:trPr>
          <w:cantSplit/>
          <w:jc w:val="center"/>
        </w:trPr>
        <w:tc>
          <w:tcPr>
            <w:tcW w:w="3478" w:type="dxa"/>
          </w:tcPr>
          <w:p w14:paraId="6FF2ADD7" w14:textId="77777777" w:rsidR="003642EA" w:rsidRPr="005D2CAB" w:rsidRDefault="003642EA" w:rsidP="00560AC0">
            <w:pPr>
              <w:tabs>
                <w:tab w:val="left" w:pos="1162"/>
              </w:tabs>
              <w:spacing w:before="40" w:after="40"/>
              <w:rPr>
                <w:rFonts w:cs="Arial"/>
                <w:szCs w:val="20"/>
              </w:rPr>
            </w:pPr>
            <w:r w:rsidRPr="005D2CAB">
              <w:rPr>
                <w:rFonts w:cs="Arial"/>
                <w:szCs w:val="20"/>
              </w:rPr>
              <w:t>Non-admitted patient ABF DSS Dataset</w:t>
            </w:r>
          </w:p>
        </w:tc>
        <w:tc>
          <w:tcPr>
            <w:tcW w:w="5340" w:type="dxa"/>
          </w:tcPr>
          <w:p w14:paraId="4C040C36" w14:textId="77777777" w:rsidR="003642EA" w:rsidRPr="005D2CAB" w:rsidRDefault="003642EA">
            <w:pPr>
              <w:tabs>
                <w:tab w:val="left" w:pos="1162"/>
              </w:tabs>
              <w:spacing w:before="40" w:after="40"/>
              <w:rPr>
                <w:rFonts w:cs="Arial"/>
                <w:szCs w:val="20"/>
              </w:rPr>
            </w:pPr>
            <w:r w:rsidRPr="005D2CAB">
              <w:rPr>
                <w:rFonts w:cs="Arial"/>
                <w:szCs w:val="20"/>
              </w:rPr>
              <w:t>Dataset based on the 2017-18 Non-admitted patient ABF Data Set Specifications located on the IHPA website.</w:t>
            </w:r>
          </w:p>
        </w:tc>
      </w:tr>
      <w:tr w:rsidR="003642EA" w:rsidRPr="007C11EE" w14:paraId="4C90544E" w14:textId="77777777" w:rsidTr="00D04B94">
        <w:trPr>
          <w:cantSplit/>
          <w:jc w:val="center"/>
        </w:trPr>
        <w:tc>
          <w:tcPr>
            <w:tcW w:w="3478" w:type="dxa"/>
          </w:tcPr>
          <w:p w14:paraId="300D3635" w14:textId="77777777" w:rsidR="003642EA" w:rsidRPr="005D2CAB" w:rsidRDefault="003642EA" w:rsidP="00560AC0">
            <w:pPr>
              <w:tabs>
                <w:tab w:val="left" w:pos="1162"/>
              </w:tabs>
              <w:spacing w:before="40" w:after="40"/>
              <w:rPr>
                <w:rFonts w:cs="Arial"/>
                <w:szCs w:val="20"/>
              </w:rPr>
            </w:pPr>
            <w:r w:rsidRPr="005D2CAB">
              <w:rPr>
                <w:rFonts w:cs="Arial"/>
                <w:szCs w:val="20"/>
              </w:rPr>
              <w:t>2017-18 NWAU Price Weight table</w:t>
            </w:r>
          </w:p>
        </w:tc>
        <w:tc>
          <w:tcPr>
            <w:tcW w:w="5340" w:type="dxa"/>
          </w:tcPr>
          <w:p w14:paraId="05E56640" w14:textId="77777777" w:rsidR="003642EA" w:rsidRPr="005D2CAB" w:rsidRDefault="003642EA">
            <w:pPr>
              <w:tabs>
                <w:tab w:val="left" w:pos="1162"/>
              </w:tabs>
              <w:spacing w:before="40" w:after="40"/>
              <w:rPr>
                <w:rFonts w:cs="Arial"/>
                <w:szCs w:val="20"/>
              </w:rPr>
            </w:pPr>
            <w:r w:rsidRPr="005D2CAB">
              <w:rPr>
                <w:rFonts w:cs="Arial"/>
                <w:szCs w:val="20"/>
              </w:rPr>
              <w:t>2017-18 Non-Admitted NWAU Price Weight table, found in the NEP17 Determination.</w:t>
            </w:r>
          </w:p>
        </w:tc>
      </w:tr>
      <w:tr w:rsidR="003642EA" w:rsidRPr="008B0A88" w14:paraId="3107CB45" w14:textId="77777777" w:rsidTr="00D04B94">
        <w:trPr>
          <w:cantSplit/>
          <w:jc w:val="center"/>
        </w:trPr>
        <w:tc>
          <w:tcPr>
            <w:tcW w:w="3478" w:type="dxa"/>
          </w:tcPr>
          <w:p w14:paraId="57FF10DF" w14:textId="77777777" w:rsidR="003642EA" w:rsidRPr="005D2CAB" w:rsidRDefault="003642EA" w:rsidP="00560AC0">
            <w:pPr>
              <w:tabs>
                <w:tab w:val="left" w:pos="1162"/>
              </w:tabs>
              <w:spacing w:before="40" w:after="40"/>
              <w:rPr>
                <w:rFonts w:cs="Arial"/>
                <w:szCs w:val="20"/>
              </w:rPr>
            </w:pPr>
            <w:r w:rsidRPr="005D2CAB">
              <w:rPr>
                <w:rFonts w:cs="Arial"/>
                <w:szCs w:val="20"/>
              </w:rPr>
              <w:t>2017-18 NWAU Adjustments</w:t>
            </w:r>
          </w:p>
        </w:tc>
        <w:tc>
          <w:tcPr>
            <w:tcW w:w="5340" w:type="dxa"/>
          </w:tcPr>
          <w:p w14:paraId="6F37215C" w14:textId="77777777" w:rsidR="003642EA" w:rsidRPr="005D2CAB" w:rsidRDefault="003642EA">
            <w:pPr>
              <w:tabs>
                <w:tab w:val="left" w:pos="1162"/>
              </w:tabs>
              <w:spacing w:before="40" w:after="40"/>
              <w:rPr>
                <w:rFonts w:cs="Arial"/>
                <w:szCs w:val="20"/>
              </w:rPr>
            </w:pPr>
            <w:r w:rsidRPr="005D2CAB">
              <w:rPr>
                <w:rFonts w:cs="Arial"/>
                <w:szCs w:val="20"/>
              </w:rPr>
              <w:t>2017-18 Non-Admitted NWAU Adjustments, found in the NEP17 Determination.</w:t>
            </w:r>
          </w:p>
        </w:tc>
      </w:tr>
    </w:tbl>
    <w:p w14:paraId="130DF1DB" w14:textId="77777777" w:rsidR="003642EA" w:rsidRPr="005D2CAB" w:rsidRDefault="003642EA" w:rsidP="00560AC0">
      <w:pPr>
        <w:spacing w:before="240"/>
      </w:pPr>
      <w:bookmarkStart w:id="759" w:name="_Ref342308248"/>
      <w:bookmarkStart w:id="760" w:name="_Ref373494090"/>
      <w:bookmarkStart w:id="761" w:name="_Ref342306765"/>
      <w:r w:rsidRPr="005D2CAB">
        <w:rPr>
          <w:rFonts w:cs="Arial"/>
          <w:szCs w:val="20"/>
        </w:rPr>
        <w:t>Five variables are required to form the input non-admitted dataset:</w:t>
      </w:r>
    </w:p>
    <w:p w14:paraId="19042598" w14:textId="77777777" w:rsidR="003642EA" w:rsidRPr="005D2CAB" w:rsidRDefault="003642EA">
      <w:pPr>
        <w:pStyle w:val="ListParagraph"/>
        <w:numPr>
          <w:ilvl w:val="0"/>
          <w:numId w:val="40"/>
        </w:numPr>
        <w:tabs>
          <w:tab w:val="left" w:pos="1162"/>
        </w:tabs>
        <w:spacing w:before="80" w:after="80" w:line="276" w:lineRule="auto"/>
        <w:ind w:left="714" w:hanging="357"/>
        <w:rPr>
          <w:rFonts w:cs="Arial"/>
        </w:rPr>
      </w:pPr>
      <w:r w:rsidRPr="005D2CAB">
        <w:rPr>
          <w:rFonts w:cs="Arial"/>
          <w:color w:val="000000"/>
        </w:rPr>
        <w:t>Establishment Identifier;</w:t>
      </w:r>
    </w:p>
    <w:p w14:paraId="4F22F330" w14:textId="77777777" w:rsidR="003642EA" w:rsidRPr="005D2CAB" w:rsidRDefault="003642EA">
      <w:pPr>
        <w:pStyle w:val="ListParagraph"/>
        <w:numPr>
          <w:ilvl w:val="0"/>
          <w:numId w:val="40"/>
        </w:numPr>
        <w:tabs>
          <w:tab w:val="left" w:pos="1162"/>
        </w:tabs>
        <w:spacing w:before="80" w:after="80" w:line="276" w:lineRule="auto"/>
        <w:ind w:left="714" w:hanging="357"/>
        <w:rPr>
          <w:rFonts w:cs="Arial"/>
        </w:rPr>
      </w:pPr>
      <w:r w:rsidRPr="005D2CAB">
        <w:rPr>
          <w:rFonts w:cs="Arial"/>
          <w:color w:val="000000"/>
        </w:rPr>
        <w:t>Indigenous status;</w:t>
      </w:r>
    </w:p>
    <w:p w14:paraId="0AD85068" w14:textId="77777777" w:rsidR="003642EA" w:rsidRPr="005D2CAB" w:rsidRDefault="003642EA">
      <w:pPr>
        <w:pStyle w:val="ListParagraph"/>
        <w:numPr>
          <w:ilvl w:val="0"/>
          <w:numId w:val="40"/>
        </w:numPr>
        <w:tabs>
          <w:tab w:val="left" w:pos="1162"/>
        </w:tabs>
        <w:spacing w:before="80" w:after="80" w:line="276" w:lineRule="auto"/>
        <w:ind w:left="714" w:hanging="357"/>
        <w:rPr>
          <w:rFonts w:cs="Arial"/>
        </w:rPr>
      </w:pPr>
      <w:r w:rsidRPr="005D2CAB">
        <w:rPr>
          <w:rFonts w:cs="Arial"/>
        </w:rPr>
        <w:t>Multiple health care provider indicator (see NEP17 Determination);</w:t>
      </w:r>
    </w:p>
    <w:p w14:paraId="279162B3" w14:textId="77777777" w:rsidR="003642EA" w:rsidRPr="005D2CAB" w:rsidRDefault="003642EA">
      <w:pPr>
        <w:pStyle w:val="ListParagraph"/>
        <w:numPr>
          <w:ilvl w:val="0"/>
          <w:numId w:val="40"/>
        </w:numPr>
        <w:tabs>
          <w:tab w:val="left" w:pos="1162"/>
        </w:tabs>
        <w:spacing w:before="80" w:after="80" w:line="276" w:lineRule="auto"/>
        <w:ind w:left="714" w:hanging="357"/>
        <w:rPr>
          <w:rFonts w:cs="Arial"/>
        </w:rPr>
      </w:pPr>
      <w:r w:rsidRPr="005D2CAB">
        <w:rPr>
          <w:rFonts w:cs="Arial"/>
          <w:color w:val="000000"/>
        </w:rPr>
        <w:t>Outpatient clinic type Tier 2 (Version 4.1); and the</w:t>
      </w:r>
    </w:p>
    <w:p w14:paraId="0F843A5B" w14:textId="77777777" w:rsidR="003642EA" w:rsidRPr="005D2CAB" w:rsidRDefault="003642EA">
      <w:pPr>
        <w:pStyle w:val="ListParagraph"/>
        <w:numPr>
          <w:ilvl w:val="0"/>
          <w:numId w:val="40"/>
        </w:numPr>
        <w:tabs>
          <w:tab w:val="left" w:pos="1162"/>
        </w:tabs>
        <w:spacing w:before="80" w:after="80" w:line="276" w:lineRule="auto"/>
        <w:ind w:left="714" w:hanging="357"/>
        <w:rPr>
          <w:rFonts w:cs="Arial"/>
          <w:szCs w:val="20"/>
        </w:rPr>
      </w:pPr>
      <w:r w:rsidRPr="005D2CAB">
        <w:rPr>
          <w:rFonts w:cs="Arial"/>
          <w:color w:val="000000"/>
        </w:rPr>
        <w:t xml:space="preserve">Funding source. </w:t>
      </w:r>
    </w:p>
    <w:p w14:paraId="5EBF79EB" w14:textId="77777777" w:rsidR="003642EA" w:rsidRPr="005D2CAB" w:rsidRDefault="003642EA">
      <w:pPr>
        <w:spacing w:before="240"/>
        <w:rPr>
          <w:rFonts w:cs="Arial"/>
          <w:szCs w:val="20"/>
        </w:rPr>
      </w:pPr>
      <w:r w:rsidRPr="005D2CAB">
        <w:rPr>
          <w:rFonts w:cs="Arial"/>
          <w:szCs w:val="20"/>
        </w:rPr>
        <w:t>These variables form part of the Non-Admitted Patient ABF Data Set Specifications on the IHPA website.</w:t>
      </w:r>
    </w:p>
    <w:bookmarkEnd w:id="759"/>
    <w:bookmarkEnd w:id="760"/>
    <w:p w14:paraId="2551BC13" w14:textId="77777777" w:rsidR="003642EA" w:rsidRDefault="003642EA">
      <w:pPr>
        <w:rPr>
          <w:b/>
          <w:sz w:val="20"/>
        </w:rPr>
      </w:pPr>
      <w:r>
        <w:br w:type="page"/>
      </w:r>
    </w:p>
    <w:p w14:paraId="7D4F030D" w14:textId="15BC8995" w:rsidR="00D313E0" w:rsidRDefault="00D313E0">
      <w:pPr>
        <w:pStyle w:val="Heading1"/>
        <w:pageBreakBefore/>
        <w:numPr>
          <w:ilvl w:val="0"/>
          <w:numId w:val="17"/>
        </w:numPr>
        <w:spacing w:before="100" w:beforeAutospacing="1" w:after="100" w:afterAutospacing="1" w:line="276" w:lineRule="auto"/>
        <w:contextualSpacing w:val="0"/>
      </w:pPr>
      <w:bookmarkStart w:id="762" w:name="_Toc467745621"/>
      <w:bookmarkStart w:id="763" w:name="_Ref467748754"/>
      <w:bookmarkStart w:id="764" w:name="_Toc467759589"/>
      <w:bookmarkStart w:id="765" w:name="_Toc468204083"/>
      <w:bookmarkStart w:id="766" w:name="_Ref468263782"/>
      <w:bookmarkStart w:id="767" w:name="_Ref468264212"/>
      <w:bookmarkStart w:id="768" w:name="_Toc476305243"/>
      <w:bookmarkStart w:id="769" w:name="_Toc380754762"/>
      <w:bookmarkStart w:id="770" w:name="_Toc466884234"/>
      <w:bookmarkStart w:id="771" w:name="_Toc467505247"/>
      <w:bookmarkStart w:id="772" w:name="_Toc467676238"/>
      <w:bookmarkEnd w:id="761"/>
      <w:r>
        <w:rPr>
          <w:sz w:val="44"/>
        </w:rPr>
        <w:lastRenderedPageBreak/>
        <w:t xml:space="preserve">Conversion to a </w:t>
      </w:r>
      <w:r w:rsidR="00641039">
        <w:rPr>
          <w:sz w:val="44"/>
        </w:rPr>
        <w:t>p</w:t>
      </w:r>
      <w:r>
        <w:rPr>
          <w:sz w:val="44"/>
        </w:rPr>
        <w:t xml:space="preserve">ricing </w:t>
      </w:r>
      <w:r w:rsidR="00641039">
        <w:rPr>
          <w:sz w:val="44"/>
        </w:rPr>
        <w:t>m</w:t>
      </w:r>
      <w:r>
        <w:rPr>
          <w:sz w:val="44"/>
        </w:rPr>
        <w:t>odel</w:t>
      </w:r>
      <w:bookmarkEnd w:id="762"/>
      <w:bookmarkEnd w:id="763"/>
      <w:bookmarkEnd w:id="764"/>
      <w:bookmarkEnd w:id="765"/>
      <w:bookmarkEnd w:id="766"/>
      <w:bookmarkEnd w:id="767"/>
      <w:bookmarkEnd w:id="768"/>
      <w:r>
        <w:t xml:space="preserve"> </w:t>
      </w:r>
    </w:p>
    <w:p w14:paraId="070B54FD" w14:textId="1ABCA309" w:rsidR="00D313E0" w:rsidRDefault="00D313E0">
      <w:pPr>
        <w:pStyle w:val="Heading2"/>
        <w:numPr>
          <w:ilvl w:val="1"/>
          <w:numId w:val="17"/>
        </w:numPr>
        <w:ind w:left="567" w:right="-28" w:hanging="567"/>
      </w:pPr>
      <w:bookmarkStart w:id="773" w:name="_Toc467745622"/>
      <w:bookmarkStart w:id="774" w:name="_Toc467759590"/>
      <w:bookmarkStart w:id="775" w:name="_Toc468204084"/>
      <w:bookmarkStart w:id="776" w:name="_Toc476305244"/>
      <w:r>
        <w:t>Overview</w:t>
      </w:r>
      <w:bookmarkEnd w:id="773"/>
      <w:bookmarkEnd w:id="774"/>
      <w:bookmarkEnd w:id="775"/>
      <w:bookmarkEnd w:id="776"/>
    </w:p>
    <w:p w14:paraId="4CDC5EB7" w14:textId="77777777" w:rsidR="00D313E0" w:rsidRPr="00033F91" w:rsidRDefault="00D313E0" w:rsidP="002D606E">
      <w:pPr>
        <w:spacing w:before="100" w:beforeAutospacing="1" w:after="100" w:afterAutospacing="1"/>
        <w:rPr>
          <w:rFonts w:eastAsia="Calibri" w:cstheme="minorHAnsi"/>
        </w:rPr>
      </w:pPr>
      <w:proofErr w:type="gramStart"/>
      <w:r w:rsidRPr="00033F91">
        <w:rPr>
          <w:rFonts w:eastAsia="Calibri" w:cstheme="minorHAnsi"/>
        </w:rPr>
        <w:t xml:space="preserve">The </w:t>
      </w:r>
      <w:r w:rsidRPr="00801AF5">
        <w:rPr>
          <w:rFonts w:eastAsia="Calibri" w:cstheme="minorHAnsi"/>
        </w:rPr>
        <w:t>2017-18</w:t>
      </w:r>
      <w:r w:rsidRPr="00033F91">
        <w:rPr>
          <w:rFonts w:eastAsia="Calibri" w:cstheme="minorHAnsi"/>
        </w:rPr>
        <w:t xml:space="preserve"> National Pricing Model</w:t>
      </w:r>
      <w:proofErr w:type="gramEnd"/>
      <w:r w:rsidRPr="00033F91">
        <w:rPr>
          <w:rFonts w:eastAsia="Calibri" w:cstheme="minorHAnsi"/>
        </w:rPr>
        <w:t xml:space="preserve"> is the </w:t>
      </w:r>
      <w:r w:rsidRPr="00801AF5">
        <w:rPr>
          <w:rFonts w:eastAsia="Calibri" w:cstheme="minorHAnsi"/>
        </w:rPr>
        <w:t>sixth</w:t>
      </w:r>
      <w:r w:rsidRPr="00033F91">
        <w:rPr>
          <w:rFonts w:eastAsia="Calibri" w:cstheme="minorHAnsi"/>
        </w:rPr>
        <w:t xml:space="preserve"> annual pricing model that IHPA has produced. Each pricing model comprises a National Efficient Price (NEP), Price Weights and </w:t>
      </w:r>
      <w:r>
        <w:rPr>
          <w:rFonts w:eastAsia="Calibri" w:cstheme="minorHAnsi"/>
        </w:rPr>
        <w:t>a</w:t>
      </w:r>
      <w:r w:rsidRPr="00033F91">
        <w:rPr>
          <w:rFonts w:eastAsia="Calibri" w:cstheme="minorHAnsi"/>
        </w:rPr>
        <w:t>djustments, and each is based on cost and activity data from three years prior</w:t>
      </w:r>
      <w:r>
        <w:rPr>
          <w:rFonts w:eastAsia="Calibri" w:cstheme="minorHAnsi"/>
        </w:rPr>
        <w:t>;</w:t>
      </w:r>
      <w:r w:rsidRPr="00033F91">
        <w:rPr>
          <w:rFonts w:eastAsia="Calibri" w:cstheme="minorHAnsi"/>
        </w:rPr>
        <w:t xml:space="preserve"> the </w:t>
      </w:r>
      <w:r w:rsidRPr="00801AF5">
        <w:rPr>
          <w:rFonts w:eastAsia="Calibri" w:cstheme="minorHAnsi"/>
        </w:rPr>
        <w:t>2017-18</w:t>
      </w:r>
      <w:r w:rsidRPr="00033F91">
        <w:rPr>
          <w:rFonts w:eastAsia="Calibri" w:cstheme="minorHAnsi"/>
        </w:rPr>
        <w:t xml:space="preserve"> pricing model is based on </w:t>
      </w:r>
      <w:r w:rsidRPr="00801AF5">
        <w:rPr>
          <w:rFonts w:eastAsia="Calibri" w:cstheme="minorHAnsi"/>
        </w:rPr>
        <w:t>2014-15</w:t>
      </w:r>
      <w:r w:rsidRPr="00033F91">
        <w:rPr>
          <w:rFonts w:eastAsia="Calibri" w:cstheme="minorHAnsi"/>
        </w:rPr>
        <w:t xml:space="preserve"> cost and activity data.</w:t>
      </w:r>
    </w:p>
    <w:p w14:paraId="3D2A6F8B" w14:textId="77777777" w:rsidR="00D313E0" w:rsidRPr="00033F91" w:rsidRDefault="00D313E0" w:rsidP="002D606E">
      <w:pPr>
        <w:spacing w:before="100" w:beforeAutospacing="1" w:after="100" w:afterAutospacing="1"/>
        <w:rPr>
          <w:rFonts w:eastAsia="Calibri" w:cstheme="minorHAnsi"/>
        </w:rPr>
      </w:pPr>
      <w:r w:rsidRPr="00033F91">
        <w:rPr>
          <w:rFonts w:eastAsia="Calibri" w:cstheme="minorHAnsi"/>
        </w:rPr>
        <w:t xml:space="preserve">The cost and activity data for each of the historical years are used to derive a cost model for that year, with only those costs and activity from </w:t>
      </w:r>
      <w:r>
        <w:rPr>
          <w:rFonts w:eastAsia="Calibri" w:cstheme="minorHAnsi"/>
        </w:rPr>
        <w:t>A</w:t>
      </w:r>
      <w:r w:rsidRPr="00033F91">
        <w:rPr>
          <w:rFonts w:eastAsia="Calibri" w:cstheme="minorHAnsi"/>
        </w:rPr>
        <w:t xml:space="preserve">ctivity </w:t>
      </w:r>
      <w:r>
        <w:rPr>
          <w:rFonts w:eastAsia="Calibri" w:cstheme="minorHAnsi"/>
        </w:rPr>
        <w:t>B</w:t>
      </w:r>
      <w:r w:rsidRPr="00033F91">
        <w:rPr>
          <w:rFonts w:eastAsia="Calibri" w:cstheme="minorHAnsi"/>
        </w:rPr>
        <w:t xml:space="preserve">ased </w:t>
      </w:r>
      <w:r>
        <w:rPr>
          <w:rFonts w:eastAsia="Calibri" w:cstheme="minorHAnsi"/>
        </w:rPr>
        <w:t>F</w:t>
      </w:r>
      <w:r w:rsidRPr="00033F91">
        <w:rPr>
          <w:rFonts w:eastAsia="Calibri" w:cstheme="minorHAnsi"/>
        </w:rPr>
        <w:t>unding (ABF) establishments being used. The cost model is designed to ensure that the total model costs are equalised with the estimated total actual costs across the ABF establishments.</w:t>
      </w:r>
    </w:p>
    <w:p w14:paraId="2005F1E7" w14:textId="77777777" w:rsidR="00D313E0" w:rsidRPr="00033F91" w:rsidRDefault="00D313E0" w:rsidP="002D606E">
      <w:pPr>
        <w:spacing w:before="100" w:beforeAutospacing="1" w:after="100" w:afterAutospacing="1"/>
        <w:rPr>
          <w:rFonts w:eastAsia="Calibri" w:cstheme="minorHAnsi"/>
        </w:rPr>
      </w:pPr>
      <w:r w:rsidRPr="00033F91">
        <w:rPr>
          <w:rFonts w:eastAsia="Calibri" w:cstheme="minorHAnsi"/>
        </w:rPr>
        <w:t xml:space="preserve">The cost model is made up of cost parameters and adjustments, including the paediatric adjustment, specialist mental health age adjustment, </w:t>
      </w:r>
      <w:r>
        <w:rPr>
          <w:rFonts w:eastAsia="Calibri" w:cstheme="minorHAnsi"/>
        </w:rPr>
        <w:t>Indigenous</w:t>
      </w:r>
      <w:r w:rsidRPr="00033F91">
        <w:rPr>
          <w:rFonts w:eastAsia="Calibri" w:cstheme="minorHAnsi"/>
        </w:rPr>
        <w:t xml:space="preserve"> adjustment, remoteness area adjustment and ICU adjustment, </w:t>
      </w:r>
      <w:r w:rsidRPr="00E528C0">
        <w:rPr>
          <w:rFonts w:eastAsia="Calibri" w:cstheme="minorHAnsi"/>
        </w:rPr>
        <w:t xml:space="preserve">but it excludes the private patient service adjustment and private patient accommodation adjustment. The latter two adjustments are introduced in the pricing model to remove out of scope patient costs associated with private patients (see Section </w:t>
      </w:r>
      <w:r w:rsidRPr="00BD4DD8">
        <w:rPr>
          <w:rFonts w:eastAsia="Calibri" w:cstheme="minorHAnsi"/>
        </w:rPr>
        <w:t>2</w:t>
      </w:r>
      <w:r w:rsidRPr="00E528C0">
        <w:rPr>
          <w:rFonts w:eastAsia="Calibri" w:cstheme="minorHAnsi"/>
        </w:rPr>
        <w:t>).</w:t>
      </w:r>
    </w:p>
    <w:p w14:paraId="1F1DEC8F" w14:textId="77777777" w:rsidR="00D313E0" w:rsidRPr="00033F91" w:rsidRDefault="00D313E0" w:rsidP="002D606E">
      <w:pPr>
        <w:spacing w:before="100" w:beforeAutospacing="1" w:after="100" w:afterAutospacing="1"/>
        <w:rPr>
          <w:rFonts w:eastAsia="Calibri" w:cstheme="minorHAnsi"/>
        </w:rPr>
      </w:pPr>
      <w:r w:rsidRPr="00033F91">
        <w:rPr>
          <w:rFonts w:eastAsia="Calibri" w:cstheme="minorHAnsi"/>
        </w:rPr>
        <w:t>There are four steps in the transformation of each year’s cost model into its associated pricing model, namely:</w:t>
      </w:r>
    </w:p>
    <w:p w14:paraId="5A08E1EB" w14:textId="77777777" w:rsidR="00D313E0" w:rsidRPr="00033F91" w:rsidRDefault="00D313E0" w:rsidP="002D606E">
      <w:pPr>
        <w:numPr>
          <w:ilvl w:val="0"/>
          <w:numId w:val="62"/>
        </w:numPr>
        <w:spacing w:before="100" w:beforeAutospacing="1" w:after="100" w:afterAutospacing="1" w:line="240" w:lineRule="auto"/>
        <w:contextualSpacing/>
        <w:rPr>
          <w:rFonts w:eastAsia="Calibri" w:cstheme="minorHAnsi"/>
        </w:rPr>
      </w:pPr>
      <w:r w:rsidRPr="00033F91">
        <w:rPr>
          <w:rFonts w:eastAsia="Calibri" w:cstheme="minorHAnsi"/>
        </w:rPr>
        <w:t>Identification and exclusion of costs and activity regarded under the National Health Reform Agreement as out of scope for the purpose of ABF.</w:t>
      </w:r>
    </w:p>
    <w:p w14:paraId="21CFE883" w14:textId="77777777" w:rsidR="00D313E0" w:rsidRPr="00033F91" w:rsidRDefault="00D313E0" w:rsidP="002D606E">
      <w:pPr>
        <w:numPr>
          <w:ilvl w:val="0"/>
          <w:numId w:val="62"/>
        </w:numPr>
        <w:spacing w:before="100" w:beforeAutospacing="1" w:after="100" w:afterAutospacing="1" w:line="240" w:lineRule="auto"/>
        <w:contextualSpacing/>
        <w:rPr>
          <w:rFonts w:eastAsia="Calibri" w:cstheme="minorHAnsi"/>
        </w:rPr>
      </w:pPr>
      <w:r w:rsidRPr="00033F91">
        <w:rPr>
          <w:rFonts w:eastAsia="Calibri" w:cstheme="minorHAnsi"/>
        </w:rPr>
        <w:t>Derivation of a reference cost (or standardised mean) used to transform the cost model into a cost weight model.</w:t>
      </w:r>
    </w:p>
    <w:p w14:paraId="4017B1E5" w14:textId="77777777" w:rsidR="00D313E0" w:rsidRPr="00033F91" w:rsidRDefault="00D313E0" w:rsidP="002D606E">
      <w:pPr>
        <w:numPr>
          <w:ilvl w:val="0"/>
          <w:numId w:val="62"/>
        </w:numPr>
        <w:spacing w:before="100" w:beforeAutospacing="1" w:after="100" w:afterAutospacing="1" w:line="240" w:lineRule="auto"/>
        <w:contextualSpacing/>
        <w:rPr>
          <w:rFonts w:eastAsia="Calibri" w:cstheme="minorHAnsi"/>
        </w:rPr>
      </w:pPr>
      <w:r w:rsidRPr="00033F91">
        <w:rPr>
          <w:rFonts w:eastAsia="Calibri" w:cstheme="minorHAnsi"/>
        </w:rPr>
        <w:t xml:space="preserve">Derivation of an annual indexation rate used to inflate the cost model to a level reflective of the estimated cost of delivering hospital services in the year of the pricing model. </w:t>
      </w:r>
    </w:p>
    <w:p w14:paraId="681082E5" w14:textId="77777777" w:rsidR="00D313E0" w:rsidRPr="00033F91" w:rsidRDefault="00D313E0" w:rsidP="002D606E">
      <w:pPr>
        <w:numPr>
          <w:ilvl w:val="0"/>
          <w:numId w:val="62"/>
        </w:numPr>
        <w:spacing w:before="100" w:beforeAutospacing="1" w:after="240" w:line="240" w:lineRule="auto"/>
        <w:rPr>
          <w:rFonts w:eastAsia="Calibri" w:cstheme="minorHAnsi"/>
        </w:rPr>
      </w:pPr>
      <w:r w:rsidRPr="00033F91">
        <w:rPr>
          <w:rFonts w:eastAsia="Calibri" w:cstheme="minorHAnsi"/>
        </w:rPr>
        <w:t>Transformation of the cost model to the pricing model using the results of the previous three steps.</w:t>
      </w:r>
    </w:p>
    <w:p w14:paraId="5C7A69D3" w14:textId="60162F92" w:rsidR="0063574B" w:rsidRDefault="00A47F5F" w:rsidP="002D606E">
      <w:pPr>
        <w:spacing w:before="100" w:beforeAutospacing="1" w:after="100" w:afterAutospacing="1"/>
        <w:rPr>
          <w:rFonts w:eastAsia="Calibri" w:cstheme="minorHAnsi"/>
        </w:rPr>
      </w:pPr>
      <w:r w:rsidRPr="00E5091C">
        <w:rPr>
          <w:rFonts w:eastAsia="Calibri" w:cstheme="minorHAnsi"/>
        </w:rPr>
        <w:fldChar w:fldCharType="begin"/>
      </w:r>
      <w:r w:rsidRPr="00A47F5F">
        <w:rPr>
          <w:rFonts w:eastAsia="Calibri" w:cstheme="minorHAnsi"/>
        </w:rPr>
        <w:instrText xml:space="preserve"> REF _Ref468264374 \h </w:instrText>
      </w:r>
      <w:r w:rsidRPr="000351BD">
        <w:rPr>
          <w:rFonts w:eastAsia="Calibri" w:cstheme="minorHAnsi"/>
        </w:rPr>
        <w:instrText xml:space="preserve"> \* MERGEFORMAT </w:instrText>
      </w:r>
      <w:r w:rsidRPr="00E5091C">
        <w:rPr>
          <w:rFonts w:eastAsia="Calibri" w:cstheme="minorHAnsi"/>
        </w:rPr>
      </w:r>
      <w:r w:rsidRPr="00E5091C">
        <w:rPr>
          <w:rFonts w:eastAsia="Calibri" w:cstheme="minorHAnsi"/>
        </w:rPr>
        <w:fldChar w:fldCharType="separate"/>
      </w:r>
      <w:r w:rsidR="00F84458" w:rsidRPr="00F84458">
        <w:t xml:space="preserve">Figure </w:t>
      </w:r>
      <w:r w:rsidR="00F84458" w:rsidRPr="00F84458">
        <w:rPr>
          <w:noProof/>
        </w:rPr>
        <w:t>5</w:t>
      </w:r>
      <w:r w:rsidRPr="00E5091C">
        <w:rPr>
          <w:rFonts w:eastAsia="Calibri" w:cstheme="minorHAnsi"/>
        </w:rPr>
        <w:fldChar w:fldCharType="end"/>
      </w:r>
      <w:r w:rsidRPr="00A47F5F">
        <w:rPr>
          <w:rFonts w:eastAsia="Calibri" w:cstheme="minorHAnsi"/>
        </w:rPr>
        <w:t xml:space="preserve"> </w:t>
      </w:r>
      <w:r w:rsidR="00D313E0" w:rsidRPr="00A47F5F">
        <w:rPr>
          <w:rFonts w:eastAsia="Calibri" w:cstheme="minorHAnsi"/>
        </w:rPr>
        <w:t>summarises this process of transforming the 2014-15 Cost Model to the 2017-18 National</w:t>
      </w:r>
      <w:r w:rsidR="00D313E0" w:rsidRPr="00A45259">
        <w:rPr>
          <w:rFonts w:eastAsia="Calibri" w:cstheme="minorHAnsi"/>
        </w:rPr>
        <w:t xml:space="preserve"> Pricing Model.</w:t>
      </w:r>
    </w:p>
    <w:p w14:paraId="58920DB7" w14:textId="77777777" w:rsidR="0063574B" w:rsidRDefault="0063574B" w:rsidP="00560AC0">
      <w:pPr>
        <w:spacing w:after="0" w:line="240" w:lineRule="auto"/>
        <w:rPr>
          <w:rFonts w:eastAsia="Calibri" w:cstheme="minorHAnsi"/>
        </w:rPr>
      </w:pPr>
      <w:r>
        <w:rPr>
          <w:rFonts w:eastAsia="Calibri" w:cstheme="minorHAnsi"/>
        </w:rPr>
        <w:br w:type="page"/>
      </w:r>
    </w:p>
    <w:p w14:paraId="702A1814" w14:textId="66ABB12F" w:rsidR="00C83E69" w:rsidRPr="0063574B" w:rsidRDefault="00C83E69" w:rsidP="002D606E">
      <w:pPr>
        <w:spacing w:after="0" w:line="240" w:lineRule="auto"/>
        <w:rPr>
          <w:b/>
        </w:rPr>
      </w:pPr>
      <w:bookmarkStart w:id="777" w:name="_Ref468264374"/>
      <w:r w:rsidRPr="0063574B">
        <w:rPr>
          <w:b/>
        </w:rPr>
        <w:lastRenderedPageBreak/>
        <w:t xml:space="preserve">Figure </w:t>
      </w:r>
      <w:r w:rsidRPr="0063574B">
        <w:rPr>
          <w:b/>
        </w:rPr>
        <w:fldChar w:fldCharType="begin"/>
      </w:r>
      <w:r w:rsidRPr="0063574B">
        <w:rPr>
          <w:b/>
        </w:rPr>
        <w:instrText xml:space="preserve"> SEQ Figure \* ARABIC </w:instrText>
      </w:r>
      <w:r w:rsidRPr="0063574B">
        <w:rPr>
          <w:b/>
        </w:rPr>
        <w:fldChar w:fldCharType="separate"/>
      </w:r>
      <w:r w:rsidR="00F84458">
        <w:rPr>
          <w:b/>
          <w:noProof/>
        </w:rPr>
        <w:t>5</w:t>
      </w:r>
      <w:r w:rsidRPr="0063574B">
        <w:rPr>
          <w:b/>
        </w:rPr>
        <w:fldChar w:fldCharType="end"/>
      </w:r>
      <w:bookmarkEnd w:id="777"/>
      <w:r w:rsidRPr="0063574B">
        <w:rPr>
          <w:b/>
        </w:rPr>
        <w:t xml:space="preserve">: Process of transforming the 2014-15 Cost Model </w:t>
      </w:r>
      <w:proofErr w:type="gramStart"/>
      <w:r w:rsidRPr="0063574B">
        <w:rPr>
          <w:b/>
        </w:rPr>
        <w:t>to the 2017-18 National Pricing Model</w:t>
      </w:r>
      <w:proofErr w:type="gramEnd"/>
      <w:r w:rsidRPr="0063574B">
        <w:rPr>
          <w:b/>
        </w:rPr>
        <w:t>.</w:t>
      </w:r>
    </w:p>
    <w:p w14:paraId="661C5D0E" w14:textId="692AC896" w:rsidR="00C83E69" w:rsidRPr="00A45259" w:rsidRDefault="00C83E69" w:rsidP="002D606E">
      <w:pPr>
        <w:spacing w:after="0" w:line="240" w:lineRule="auto"/>
        <w:rPr>
          <w:rFonts w:eastAsia="Calibri" w:cstheme="minorHAnsi"/>
        </w:rPr>
      </w:pPr>
      <w:r w:rsidRPr="0063574B">
        <w:rPr>
          <w:b/>
          <w:noProof/>
        </w:rPr>
        <w:drawing>
          <wp:inline distT="0" distB="0" distL="0" distR="0" wp14:anchorId="295E0EEA" wp14:editId="196ABCD6">
            <wp:extent cx="6101715" cy="2658355"/>
            <wp:effectExtent l="19050" t="19050" r="13335" b="27940"/>
            <wp:docPr id="117" name="Picture 117" descr="D:\Attach B fig1.PNG" title="Figure 5: Process of transforming the 2014-15 Cost Model to the 2017-18 National Pric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ttach B fig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1715" cy="2658355"/>
                    </a:xfrm>
                    <a:prstGeom prst="rect">
                      <a:avLst/>
                    </a:prstGeom>
                    <a:noFill/>
                    <a:ln>
                      <a:solidFill>
                        <a:schemeClr val="accent1"/>
                      </a:solidFill>
                    </a:ln>
                  </pic:spPr>
                </pic:pic>
              </a:graphicData>
            </a:graphic>
          </wp:inline>
        </w:drawing>
      </w:r>
    </w:p>
    <w:p w14:paraId="258267E5" w14:textId="77777777" w:rsidR="00D313E0" w:rsidRPr="00C83E69" w:rsidRDefault="00D313E0">
      <w:pPr>
        <w:pStyle w:val="Heading2"/>
        <w:numPr>
          <w:ilvl w:val="1"/>
          <w:numId w:val="17"/>
        </w:numPr>
        <w:ind w:left="567" w:right="-28" w:hanging="567"/>
      </w:pPr>
      <w:bookmarkStart w:id="778" w:name="_Toc467745623"/>
      <w:bookmarkStart w:id="779" w:name="_Toc467759591"/>
      <w:bookmarkStart w:id="780" w:name="_Toc468204085"/>
      <w:bookmarkStart w:id="781" w:name="_Toc476305245"/>
      <w:r w:rsidRPr="00C83E69">
        <w:t>Identification of out of scope costs</w:t>
      </w:r>
      <w:bookmarkEnd w:id="778"/>
      <w:bookmarkEnd w:id="779"/>
      <w:bookmarkEnd w:id="780"/>
      <w:bookmarkEnd w:id="781"/>
    </w:p>
    <w:p w14:paraId="16D8883F" w14:textId="77777777" w:rsidR="00D313E0" w:rsidRPr="00033F91" w:rsidRDefault="00D313E0" w:rsidP="002D606E">
      <w:pPr>
        <w:spacing w:before="100" w:beforeAutospacing="1"/>
        <w:rPr>
          <w:rFonts w:eastAsia="Calibri" w:cstheme="minorHAnsi"/>
        </w:rPr>
      </w:pPr>
      <w:r w:rsidRPr="00033F91">
        <w:rPr>
          <w:rFonts w:eastAsia="Calibri" w:cstheme="minorHAnsi"/>
        </w:rPr>
        <w:t>The first step in the process of transforming cost model to pricing model involves the identification of out of scope costs, such as those associated with programs covered entirely or in part by other Commonwealth funding. These out of scope costs can be separated into three groups:</w:t>
      </w:r>
    </w:p>
    <w:p w14:paraId="0BEF9A61" w14:textId="77777777" w:rsidR="00D313E0" w:rsidRPr="00BD4DD8" w:rsidRDefault="00D313E0" w:rsidP="002D606E">
      <w:pPr>
        <w:pStyle w:val="ListParagraph"/>
        <w:numPr>
          <w:ilvl w:val="0"/>
          <w:numId w:val="30"/>
        </w:numPr>
        <w:spacing w:before="100" w:beforeAutospacing="1" w:line="240" w:lineRule="auto"/>
        <w:ind w:left="714" w:hanging="357"/>
        <w:contextualSpacing w:val="0"/>
        <w:rPr>
          <w:rFonts w:eastAsia="Calibri" w:cstheme="minorHAnsi"/>
        </w:rPr>
      </w:pPr>
      <w:r w:rsidRPr="00BD4DD8">
        <w:rPr>
          <w:rFonts w:eastAsia="Calibri" w:cstheme="minorHAnsi"/>
        </w:rPr>
        <w:t>Group 1: Costs associated with out of scope activity, including activity delivered to out of scope patient types such as the Department of Veteran’s Affairs (DVA), Defence and compensable patients, and activity not regarded as from an in-scope service type, such as that delivered through out of scope non-admitted Tier 2 Clinics.</w:t>
      </w:r>
    </w:p>
    <w:p w14:paraId="02022547" w14:textId="77777777" w:rsidR="00D313E0" w:rsidRPr="00BD4DD8" w:rsidRDefault="00D313E0" w:rsidP="002D606E">
      <w:pPr>
        <w:pStyle w:val="ListParagraph"/>
        <w:numPr>
          <w:ilvl w:val="0"/>
          <w:numId w:val="30"/>
        </w:numPr>
        <w:spacing w:before="100" w:beforeAutospacing="1" w:line="240" w:lineRule="auto"/>
        <w:ind w:left="714" w:hanging="357"/>
        <w:contextualSpacing w:val="0"/>
        <w:rPr>
          <w:rFonts w:eastAsia="Calibri" w:cstheme="minorHAnsi"/>
        </w:rPr>
      </w:pPr>
      <w:r w:rsidRPr="00BD4DD8">
        <w:rPr>
          <w:rFonts w:eastAsia="Calibri" w:cstheme="minorHAnsi"/>
        </w:rPr>
        <w:t>Group 2: Those proportions of costs associated with private patients that are offset by non-government and Commonwealth revenue.</w:t>
      </w:r>
    </w:p>
    <w:p w14:paraId="275CC473" w14:textId="77777777" w:rsidR="00D313E0" w:rsidRPr="00BD4DD8" w:rsidRDefault="00D313E0" w:rsidP="002D606E">
      <w:pPr>
        <w:pStyle w:val="ListParagraph"/>
        <w:numPr>
          <w:ilvl w:val="0"/>
          <w:numId w:val="30"/>
        </w:numPr>
        <w:spacing w:before="100" w:beforeAutospacing="1" w:line="240" w:lineRule="auto"/>
        <w:contextualSpacing w:val="0"/>
        <w:rPr>
          <w:rFonts w:eastAsia="Calibri" w:cstheme="minorHAnsi"/>
        </w:rPr>
      </w:pPr>
      <w:r w:rsidRPr="00BD4DD8">
        <w:rPr>
          <w:rFonts w:eastAsia="Calibri" w:cstheme="minorHAnsi"/>
        </w:rPr>
        <w:t>Group 3: Costs associated with other Commonwealth programs that are inherent within the cost data such as the Highly Specialised Drugs program and Pharmacy Reform Agreements.</w:t>
      </w:r>
    </w:p>
    <w:p w14:paraId="2CE93756" w14:textId="77777777" w:rsidR="00D313E0" w:rsidRPr="00033F91" w:rsidRDefault="00D313E0" w:rsidP="002D606E">
      <w:pPr>
        <w:spacing w:before="100" w:beforeAutospacing="1" w:after="100" w:afterAutospacing="1"/>
        <w:rPr>
          <w:rFonts w:eastAsia="Calibri" w:cstheme="minorHAnsi"/>
        </w:rPr>
      </w:pPr>
      <w:r w:rsidRPr="00033F91">
        <w:rPr>
          <w:rFonts w:eastAsia="Calibri" w:cstheme="minorHAnsi"/>
        </w:rPr>
        <w:t>Exclusion of these costs from the cost model is undertaken as follows:</w:t>
      </w:r>
    </w:p>
    <w:p w14:paraId="09FCBAA2" w14:textId="77777777" w:rsidR="00D313E0" w:rsidRPr="00033F91" w:rsidRDefault="00D313E0" w:rsidP="002D606E">
      <w:pPr>
        <w:pStyle w:val="ListParagraph"/>
        <w:numPr>
          <w:ilvl w:val="0"/>
          <w:numId w:val="30"/>
        </w:numPr>
        <w:spacing w:before="100" w:beforeAutospacing="1" w:line="240" w:lineRule="auto"/>
        <w:ind w:left="714" w:hanging="357"/>
        <w:contextualSpacing w:val="0"/>
        <w:rPr>
          <w:rFonts w:eastAsia="Calibri" w:cstheme="minorHAnsi"/>
        </w:rPr>
      </w:pPr>
      <w:r w:rsidRPr="00033F91">
        <w:rPr>
          <w:rFonts w:eastAsia="Calibri" w:cstheme="minorHAnsi"/>
        </w:rPr>
        <w:t>Group 1 costs are excluded by simply restricting the cost model to in-scope activity.</w:t>
      </w:r>
    </w:p>
    <w:p w14:paraId="3F908AE7" w14:textId="77777777" w:rsidR="00D313E0" w:rsidRPr="00033F91" w:rsidRDefault="00D313E0" w:rsidP="002D606E">
      <w:pPr>
        <w:pStyle w:val="ListParagraph"/>
        <w:numPr>
          <w:ilvl w:val="0"/>
          <w:numId w:val="30"/>
        </w:numPr>
        <w:spacing w:before="100" w:beforeAutospacing="1" w:line="240" w:lineRule="auto"/>
        <w:ind w:left="714" w:hanging="357"/>
        <w:contextualSpacing w:val="0"/>
        <w:rPr>
          <w:rFonts w:eastAsia="Calibri" w:cstheme="minorHAnsi"/>
        </w:rPr>
      </w:pPr>
      <w:r w:rsidRPr="00033F91">
        <w:rPr>
          <w:rFonts w:eastAsia="Calibri" w:cstheme="minorHAnsi"/>
        </w:rPr>
        <w:t>Group 2 costs are excluded through the implementation of the private patient service adjustment and private patient accommodation adjustment within the pricing model.</w:t>
      </w:r>
    </w:p>
    <w:p w14:paraId="272DA6A6" w14:textId="77777777" w:rsidR="00D313E0" w:rsidRPr="00033F91" w:rsidRDefault="00D313E0" w:rsidP="002D606E">
      <w:pPr>
        <w:pStyle w:val="ListParagraph"/>
        <w:numPr>
          <w:ilvl w:val="0"/>
          <w:numId w:val="30"/>
        </w:numPr>
        <w:spacing w:before="100" w:beforeAutospacing="1" w:line="240" w:lineRule="auto"/>
        <w:ind w:left="714" w:hanging="357"/>
        <w:contextualSpacing w:val="0"/>
        <w:rPr>
          <w:rFonts w:eastAsia="Calibri" w:cstheme="minorHAnsi"/>
        </w:rPr>
      </w:pPr>
      <w:r w:rsidRPr="00033F91">
        <w:rPr>
          <w:rFonts w:eastAsia="Calibri" w:cstheme="minorHAnsi"/>
        </w:rPr>
        <w:t xml:space="preserve">Group 3 costs are excluded by </w:t>
      </w:r>
      <w:r>
        <w:rPr>
          <w:rFonts w:eastAsia="Calibri" w:cstheme="minorHAnsi"/>
        </w:rPr>
        <w:t xml:space="preserve">matching at the patient level where possible, otherwise by </w:t>
      </w:r>
      <w:r w:rsidRPr="00033F91">
        <w:rPr>
          <w:rFonts w:eastAsia="Calibri" w:cstheme="minorHAnsi"/>
        </w:rPr>
        <w:t xml:space="preserve">first calculating the costs as a </w:t>
      </w:r>
      <w:r>
        <w:rPr>
          <w:rFonts w:eastAsia="Calibri" w:cstheme="minorHAnsi"/>
        </w:rPr>
        <w:t>percent</w:t>
      </w:r>
      <w:r w:rsidRPr="00033F91">
        <w:rPr>
          <w:rFonts w:eastAsia="Calibri" w:cstheme="minorHAnsi"/>
        </w:rPr>
        <w:t>age of estimated total costs, and then deflating the cost model by this percentage.</w:t>
      </w:r>
    </w:p>
    <w:p w14:paraId="1D5EE2E8" w14:textId="77777777" w:rsidR="00D313E0" w:rsidRPr="00C83E69" w:rsidRDefault="00D313E0" w:rsidP="00560AC0">
      <w:pPr>
        <w:pStyle w:val="Heading2"/>
        <w:numPr>
          <w:ilvl w:val="1"/>
          <w:numId w:val="17"/>
        </w:numPr>
        <w:ind w:left="567" w:right="-28" w:hanging="567"/>
      </w:pPr>
      <w:bookmarkStart w:id="782" w:name="_Toc467745624"/>
      <w:bookmarkStart w:id="783" w:name="_Toc467759592"/>
      <w:bookmarkStart w:id="784" w:name="_Toc468204086"/>
      <w:bookmarkStart w:id="785" w:name="_Toc476305246"/>
      <w:r w:rsidRPr="00C83E69">
        <w:t>Derivation of a reference cost</w:t>
      </w:r>
      <w:bookmarkEnd w:id="782"/>
      <w:bookmarkEnd w:id="783"/>
      <w:bookmarkEnd w:id="784"/>
      <w:bookmarkEnd w:id="785"/>
      <w:r w:rsidRPr="00C83E69">
        <w:t xml:space="preserve"> </w:t>
      </w:r>
    </w:p>
    <w:p w14:paraId="5C33A563" w14:textId="77777777" w:rsidR="00D313E0" w:rsidRPr="00704036" w:rsidRDefault="00D313E0" w:rsidP="002D606E">
      <w:pPr>
        <w:spacing w:before="100" w:beforeAutospacing="1" w:after="100" w:afterAutospacing="1"/>
        <w:rPr>
          <w:rFonts w:eastAsia="Calibri" w:cstheme="minorHAnsi"/>
        </w:rPr>
      </w:pPr>
      <w:r w:rsidRPr="00704036">
        <w:rPr>
          <w:rFonts w:eastAsia="Calibri" w:cstheme="minorHAnsi"/>
        </w:rPr>
        <w:t>The second step in the transformation of cost model to pricing model is the derivation of a reference cost (or a mean standardised to ensure the measure of an NWAU remains constant over time) that is used to convert the cost model into a cost weight model. Put simply, the parameters of the cost model are divided by this reference cost, converting the parameters to cost weights.</w:t>
      </w:r>
    </w:p>
    <w:p w14:paraId="445CAF44" w14:textId="77777777" w:rsidR="00D313E0" w:rsidRPr="00704036" w:rsidRDefault="00D313E0" w:rsidP="002D606E">
      <w:pPr>
        <w:spacing w:before="100" w:beforeAutospacing="1" w:after="100" w:afterAutospacing="1"/>
        <w:rPr>
          <w:rFonts w:eastAsia="Calibri" w:cstheme="minorHAnsi"/>
        </w:rPr>
      </w:pPr>
      <w:r w:rsidRPr="00704036">
        <w:rPr>
          <w:rFonts w:eastAsia="Calibri" w:cstheme="minorHAnsi"/>
        </w:rPr>
        <w:lastRenderedPageBreak/>
        <w:t xml:space="preserve">A separate reference cost is derived for each year’s cost model based on the modelled costs of </w:t>
      </w:r>
      <w:r>
        <w:rPr>
          <w:rFonts w:eastAsia="Calibri" w:cstheme="minorHAnsi"/>
        </w:rPr>
        <w:t>admitted acute</w:t>
      </w:r>
      <w:r w:rsidRPr="00704036">
        <w:rPr>
          <w:rFonts w:eastAsia="Calibri" w:cstheme="minorHAnsi"/>
        </w:rPr>
        <w:t xml:space="preserve"> activity in-scope for ABF. In particular, this activity excludes the Group 1 out of scope costs discussed in Section </w:t>
      </w:r>
      <w:r>
        <w:rPr>
          <w:rFonts w:eastAsia="Calibri" w:cstheme="minorHAnsi"/>
        </w:rPr>
        <w:t>2</w:t>
      </w:r>
      <w:r w:rsidRPr="00704036">
        <w:rPr>
          <w:rFonts w:eastAsia="Calibri" w:cstheme="minorHAnsi"/>
        </w:rPr>
        <w:t>.</w:t>
      </w:r>
    </w:p>
    <w:p w14:paraId="32BC978D" w14:textId="77777777" w:rsidR="00D313E0" w:rsidRPr="00704036" w:rsidRDefault="00D313E0" w:rsidP="002D606E">
      <w:pPr>
        <w:spacing w:before="100" w:beforeAutospacing="1" w:after="100" w:afterAutospacing="1"/>
        <w:rPr>
          <w:rFonts w:eastAsia="Calibri" w:cstheme="minorHAnsi"/>
        </w:rPr>
      </w:pPr>
      <w:r w:rsidRPr="008D74EF">
        <w:rPr>
          <w:rFonts w:eastAsia="Calibri" w:cstheme="minorHAnsi"/>
        </w:rPr>
        <w:t xml:space="preserve">The </w:t>
      </w:r>
      <w:r w:rsidRPr="00801AF5">
        <w:rPr>
          <w:rFonts w:eastAsia="Calibri" w:cstheme="minorHAnsi"/>
        </w:rPr>
        <w:t>2009-10</w:t>
      </w:r>
      <w:r w:rsidRPr="008D74EF">
        <w:rPr>
          <w:rFonts w:eastAsia="Calibri" w:cstheme="minorHAnsi"/>
        </w:rPr>
        <w:t xml:space="preserve"> reference cost associated with IHPA’s </w:t>
      </w:r>
      <w:r w:rsidRPr="00801AF5">
        <w:rPr>
          <w:rFonts w:eastAsia="Calibri" w:cstheme="minorHAnsi"/>
        </w:rPr>
        <w:t>first</w:t>
      </w:r>
      <w:r w:rsidRPr="008D74EF">
        <w:rPr>
          <w:rFonts w:eastAsia="Calibri" w:cstheme="minorHAnsi"/>
        </w:rPr>
        <w:t xml:space="preserve"> National Pricing Model is defined as the mean model cost taken across all </w:t>
      </w:r>
      <w:r w:rsidRPr="00801AF5">
        <w:rPr>
          <w:rFonts w:eastAsia="Calibri" w:cstheme="minorHAnsi"/>
        </w:rPr>
        <w:t>2009</w:t>
      </w:r>
      <w:r w:rsidRPr="00801AF5">
        <w:rPr>
          <w:rFonts w:eastAsia="Calibri" w:cstheme="minorHAnsi"/>
        </w:rPr>
        <w:noBreakHyphen/>
        <w:t>10</w:t>
      </w:r>
      <w:r w:rsidRPr="008D74EF">
        <w:rPr>
          <w:rFonts w:eastAsia="Calibri" w:cstheme="minorHAnsi"/>
        </w:rPr>
        <w:t xml:space="preserve"> admitted acute activity in-scope for ABF. This mean model cost </w:t>
      </w:r>
      <w:r w:rsidRPr="00801AF5">
        <w:rPr>
          <w:rFonts w:eastAsia="Calibri" w:cstheme="minorHAnsi"/>
        </w:rPr>
        <w:t>is $4,260.</w:t>
      </w:r>
    </w:p>
    <w:p w14:paraId="080EB985" w14:textId="77777777" w:rsidR="00D313E0" w:rsidRPr="00704036" w:rsidRDefault="00D313E0" w:rsidP="00560AC0">
      <w:pPr>
        <w:spacing w:before="100" w:beforeAutospacing="1" w:after="100" w:afterAutospacing="1"/>
        <w:rPr>
          <w:rFonts w:eastAsia="Calibri" w:cstheme="minorHAnsi"/>
        </w:rPr>
      </w:pPr>
      <w:r w:rsidRPr="00704036">
        <w:rPr>
          <w:rFonts w:eastAsia="Calibri" w:cstheme="minorHAnsi"/>
        </w:rPr>
        <w:t xml:space="preserve">From </w:t>
      </w:r>
      <w:r w:rsidRPr="00801AF5">
        <w:rPr>
          <w:rFonts w:eastAsia="Calibri" w:cstheme="minorHAnsi"/>
        </w:rPr>
        <w:t>2010-11</w:t>
      </w:r>
      <w:r w:rsidRPr="00704036">
        <w:rPr>
          <w:rFonts w:eastAsia="Calibri" w:cstheme="minorHAnsi"/>
        </w:rPr>
        <w:t xml:space="preserve"> onward, the reference cost is defined so that change in the reference cost over time reflects change in unit costs, excluding any influence of underlying changes in activity profiles between years (i.e. case-mix change). So, the </w:t>
      </w:r>
      <w:r w:rsidRPr="00801AF5">
        <w:rPr>
          <w:rFonts w:eastAsia="Calibri" w:cstheme="minorHAnsi"/>
        </w:rPr>
        <w:t>2010-11</w:t>
      </w:r>
      <w:r w:rsidRPr="00704036">
        <w:rPr>
          <w:rFonts w:eastAsia="Calibri" w:cstheme="minorHAnsi"/>
        </w:rPr>
        <w:t xml:space="preserve"> reference cost is defined so that the change from the </w:t>
      </w:r>
      <w:r w:rsidRPr="00801AF5">
        <w:rPr>
          <w:rFonts w:eastAsia="Calibri" w:cstheme="minorHAnsi"/>
        </w:rPr>
        <w:t>2009-10</w:t>
      </w:r>
      <w:r w:rsidRPr="00704036">
        <w:rPr>
          <w:rFonts w:eastAsia="Calibri" w:cstheme="minorHAnsi"/>
        </w:rPr>
        <w:t xml:space="preserve"> reference cost represents change in unit costs of an NWAU between the </w:t>
      </w:r>
      <w:r w:rsidRPr="00801AF5">
        <w:rPr>
          <w:rFonts w:eastAsia="Calibri" w:cstheme="minorHAnsi"/>
        </w:rPr>
        <w:t>2009-10</w:t>
      </w:r>
      <w:r w:rsidRPr="00704036">
        <w:rPr>
          <w:rFonts w:eastAsia="Calibri" w:cstheme="minorHAnsi"/>
        </w:rPr>
        <w:t xml:space="preserve"> and </w:t>
      </w:r>
      <w:r w:rsidRPr="00801AF5">
        <w:rPr>
          <w:rFonts w:eastAsia="Calibri" w:cstheme="minorHAnsi"/>
        </w:rPr>
        <w:t>2010-11</w:t>
      </w:r>
      <w:r w:rsidRPr="00704036">
        <w:rPr>
          <w:rFonts w:eastAsia="Calibri" w:cstheme="minorHAnsi"/>
        </w:rPr>
        <w:t xml:space="preserve"> cost models, excluding the effect of any changes in case-mix between </w:t>
      </w:r>
      <w:r w:rsidRPr="00801AF5">
        <w:rPr>
          <w:rFonts w:eastAsia="Calibri" w:cstheme="minorHAnsi"/>
        </w:rPr>
        <w:t>2009-10 and 2010-11. Similarly, the 2014-15</w:t>
      </w:r>
      <w:r w:rsidRPr="00704036">
        <w:rPr>
          <w:rFonts w:eastAsia="Calibri" w:cstheme="minorHAnsi"/>
        </w:rPr>
        <w:t xml:space="preserve"> reference cost represents the change in unit cost between the </w:t>
      </w:r>
      <w:r w:rsidRPr="00801AF5">
        <w:rPr>
          <w:rFonts w:eastAsia="Calibri" w:cstheme="minorHAnsi"/>
        </w:rPr>
        <w:t>2013-14 and 2014-15</w:t>
      </w:r>
      <w:r w:rsidRPr="00704036">
        <w:rPr>
          <w:rFonts w:eastAsia="Calibri" w:cstheme="minorHAnsi"/>
        </w:rPr>
        <w:t xml:space="preserve"> cost models, excluding the effect of any changes in case-mix between </w:t>
      </w:r>
      <w:r w:rsidRPr="00801AF5">
        <w:rPr>
          <w:rFonts w:eastAsia="Calibri" w:cstheme="minorHAnsi"/>
        </w:rPr>
        <w:t>2013-14 and 2014-15</w:t>
      </w:r>
      <w:r w:rsidRPr="00704036">
        <w:rPr>
          <w:rFonts w:eastAsia="Calibri" w:cstheme="minorHAnsi"/>
        </w:rPr>
        <w:t>.</w:t>
      </w:r>
    </w:p>
    <w:p w14:paraId="37EFC6C2" w14:textId="77777777" w:rsidR="00D313E0" w:rsidRPr="00704036" w:rsidRDefault="00D313E0">
      <w:pPr>
        <w:spacing w:before="100" w:beforeAutospacing="1" w:after="100" w:afterAutospacing="1"/>
        <w:rPr>
          <w:rFonts w:eastAsia="Calibri" w:cstheme="minorHAnsi"/>
        </w:rPr>
      </w:pPr>
      <w:r w:rsidRPr="00704036">
        <w:rPr>
          <w:rFonts w:eastAsia="Calibri" w:cstheme="minorHAnsi"/>
        </w:rPr>
        <w:t xml:space="preserve">To exclude the external effects of case-mix change between years, the two cost models are compared by first applying them to a common set of activity, namely </w:t>
      </w:r>
      <w:r>
        <w:rPr>
          <w:rFonts w:eastAsia="Calibri" w:cstheme="minorHAnsi"/>
        </w:rPr>
        <w:t>2014-15</w:t>
      </w:r>
      <w:r w:rsidRPr="00704036">
        <w:rPr>
          <w:rFonts w:eastAsia="Calibri" w:cstheme="minorHAnsi"/>
        </w:rPr>
        <w:t xml:space="preserve"> </w:t>
      </w:r>
      <w:r>
        <w:rPr>
          <w:rFonts w:eastAsia="Calibri" w:cstheme="minorHAnsi"/>
        </w:rPr>
        <w:t>admitted acute</w:t>
      </w:r>
      <w:r w:rsidRPr="00704036">
        <w:rPr>
          <w:rFonts w:eastAsia="Calibri" w:cstheme="minorHAnsi"/>
        </w:rPr>
        <w:t xml:space="preserve"> activity in-scope for ABF. Once applied to this activity, the resulting pair of mean model costs is calculated, and the change between the two cost models is defined as the change in these two mean values. This is referred to as the standardised change in cost models, with the associated growth referred to as the standardised growth rate. In other words, the growth between the </w:t>
      </w:r>
      <w:r w:rsidRPr="00801AF5">
        <w:rPr>
          <w:rFonts w:eastAsia="Calibri" w:cstheme="minorHAnsi"/>
        </w:rPr>
        <w:t>2013-14 and 2014-15</w:t>
      </w:r>
      <w:r w:rsidRPr="00704036">
        <w:rPr>
          <w:rFonts w:eastAsia="Calibri" w:cstheme="minorHAnsi"/>
        </w:rPr>
        <w:t xml:space="preserve"> cost models is standardised against </w:t>
      </w:r>
      <w:r w:rsidRPr="00801AF5">
        <w:rPr>
          <w:rFonts w:eastAsia="Calibri" w:cstheme="minorHAnsi"/>
        </w:rPr>
        <w:t>2014-15</w:t>
      </w:r>
      <w:r w:rsidRPr="00704036">
        <w:rPr>
          <w:rFonts w:eastAsia="Calibri" w:cstheme="minorHAnsi"/>
        </w:rPr>
        <w:t xml:space="preserve"> activity.</w:t>
      </w:r>
    </w:p>
    <w:p w14:paraId="04A8D719" w14:textId="4E2BF0F2" w:rsidR="00D313E0" w:rsidRPr="00453A66" w:rsidRDefault="00A47F5F">
      <w:pPr>
        <w:spacing w:before="100" w:beforeAutospacing="1" w:after="100" w:afterAutospacing="1"/>
        <w:rPr>
          <w:rFonts w:eastAsia="Calibri" w:cstheme="minorHAnsi"/>
        </w:rPr>
      </w:pPr>
      <w:r w:rsidRPr="00686E99">
        <w:rPr>
          <w:rFonts w:eastAsia="Calibri" w:cstheme="minorHAnsi"/>
        </w:rPr>
        <w:fldChar w:fldCharType="begin"/>
      </w:r>
      <w:r w:rsidRPr="00A47F5F">
        <w:rPr>
          <w:rFonts w:eastAsia="Calibri" w:cstheme="minorHAnsi"/>
        </w:rPr>
        <w:instrText xml:space="preserve"> REF _Ref468264456 \h </w:instrText>
      </w:r>
      <w:r w:rsidRPr="000351BD">
        <w:rPr>
          <w:rFonts w:eastAsia="Calibri" w:cstheme="minorHAnsi"/>
        </w:rPr>
        <w:instrText xml:space="preserve"> \* MERGEFORMAT </w:instrText>
      </w:r>
      <w:r w:rsidRPr="00686E99">
        <w:rPr>
          <w:rFonts w:eastAsia="Calibri" w:cstheme="minorHAnsi"/>
        </w:rPr>
      </w:r>
      <w:r w:rsidRPr="00686E99">
        <w:rPr>
          <w:rFonts w:eastAsia="Calibri" w:cstheme="minorHAnsi"/>
        </w:rPr>
        <w:fldChar w:fldCharType="separate"/>
      </w:r>
      <w:r w:rsidR="00F84458" w:rsidRPr="00F84458">
        <w:t>Table 15</w:t>
      </w:r>
      <w:r w:rsidRPr="00686E99">
        <w:rPr>
          <w:rFonts w:eastAsia="Calibri" w:cstheme="minorHAnsi"/>
        </w:rPr>
        <w:fldChar w:fldCharType="end"/>
      </w:r>
      <w:r w:rsidR="00D313E0" w:rsidRPr="00A47F5F">
        <w:rPr>
          <w:rFonts w:eastAsia="Calibri" w:cstheme="minorHAnsi"/>
        </w:rPr>
        <w:t xml:space="preserve"> shows the mean model costs of each model based on their application to the 2014-15</w:t>
      </w:r>
      <w:r w:rsidR="00D313E0" w:rsidRPr="00704036">
        <w:rPr>
          <w:rFonts w:eastAsia="Calibri" w:cstheme="minorHAnsi"/>
        </w:rPr>
        <w:t xml:space="preserve"> ABF </w:t>
      </w:r>
      <w:r w:rsidR="00D313E0" w:rsidRPr="00453A66">
        <w:rPr>
          <w:rFonts w:eastAsia="Calibri" w:cstheme="minorHAnsi"/>
        </w:rPr>
        <w:t>activity along with the resulting standardised growth rate.</w:t>
      </w:r>
    </w:p>
    <w:p w14:paraId="5C508CA8" w14:textId="0802764A" w:rsidR="00D313E0" w:rsidRPr="000351BD" w:rsidRDefault="00D313E0">
      <w:pPr>
        <w:spacing w:before="120" w:after="0" w:line="240" w:lineRule="auto"/>
        <w:rPr>
          <w:b/>
        </w:rPr>
      </w:pPr>
      <w:bookmarkStart w:id="786" w:name="_Ref468264456"/>
      <w:bookmarkStart w:id="787" w:name="_Ref468264450"/>
      <w:r w:rsidRPr="000351BD">
        <w:rPr>
          <w:b/>
        </w:rPr>
        <w:t xml:space="preserve">Table </w:t>
      </w:r>
      <w:r w:rsidR="000C2F37" w:rsidRPr="000351BD">
        <w:rPr>
          <w:b/>
        </w:rPr>
        <w:fldChar w:fldCharType="begin"/>
      </w:r>
      <w:r w:rsidR="000C2F37" w:rsidRPr="000351BD">
        <w:rPr>
          <w:b/>
        </w:rPr>
        <w:instrText xml:space="preserve"> SEQ Table \* ARABIC </w:instrText>
      </w:r>
      <w:r w:rsidR="000C2F37" w:rsidRPr="000351BD">
        <w:rPr>
          <w:b/>
        </w:rPr>
        <w:fldChar w:fldCharType="separate"/>
      </w:r>
      <w:r w:rsidR="00F84458">
        <w:rPr>
          <w:b/>
          <w:noProof/>
        </w:rPr>
        <w:t>15</w:t>
      </w:r>
      <w:r w:rsidR="000C2F37" w:rsidRPr="000351BD">
        <w:rPr>
          <w:b/>
        </w:rPr>
        <w:fldChar w:fldCharType="end"/>
      </w:r>
      <w:bookmarkEnd w:id="786"/>
      <w:r w:rsidRPr="000351BD">
        <w:rPr>
          <w:b/>
        </w:rPr>
        <w:t>: Mean model costs when each cost model is applied to 2014-15 in-scope admitted acute activity data, and resulting standardised growth rate.</w:t>
      </w:r>
      <w:bookmarkEnd w:id="787"/>
    </w:p>
    <w:tbl>
      <w:tblPr>
        <w:tblStyle w:val="TableGrid10"/>
        <w:tblW w:w="0" w:type="auto"/>
        <w:jc w:val="center"/>
        <w:tblInd w:w="108" w:type="dxa"/>
        <w:tblLook w:val="04A0" w:firstRow="1" w:lastRow="0" w:firstColumn="1" w:lastColumn="0" w:noHBand="0" w:noVBand="1"/>
        <w:tblDescription w:val="A summary of table 1 is outlined in the text prior to this table."/>
      </w:tblPr>
      <w:tblGrid>
        <w:gridCol w:w="2269"/>
        <w:gridCol w:w="2269"/>
        <w:gridCol w:w="2941"/>
      </w:tblGrid>
      <w:tr w:rsidR="00D313E0" w:rsidRPr="001B60A0" w14:paraId="78E25103" w14:textId="77777777" w:rsidTr="00D04B94">
        <w:trPr>
          <w:tblHeader/>
          <w:jc w:val="center"/>
        </w:trPr>
        <w:tc>
          <w:tcPr>
            <w:tcW w:w="2269" w:type="dxa"/>
            <w:shd w:val="clear" w:color="auto" w:fill="A3D58F"/>
          </w:tcPr>
          <w:p w14:paraId="1930FA2D" w14:textId="77777777" w:rsidR="00D313E0" w:rsidRPr="00A50F14" w:rsidRDefault="00D313E0" w:rsidP="00D04B94">
            <w:pPr>
              <w:spacing w:before="60" w:after="60"/>
              <w:jc w:val="center"/>
              <w:rPr>
                <w:rFonts w:asciiTheme="majorHAnsi" w:eastAsia="Times New Roman" w:hAnsiTheme="majorHAnsi" w:cstheme="majorHAnsi"/>
                <w:b/>
                <w:lang w:eastAsia="en-AU"/>
              </w:rPr>
            </w:pPr>
            <w:r w:rsidRPr="00A50F14">
              <w:rPr>
                <w:rFonts w:asciiTheme="majorHAnsi" w:hAnsiTheme="majorHAnsi" w:cstheme="majorHAnsi"/>
                <w:b/>
              </w:rPr>
              <w:t>2013-14 cost model</w:t>
            </w:r>
          </w:p>
        </w:tc>
        <w:tc>
          <w:tcPr>
            <w:tcW w:w="2269" w:type="dxa"/>
            <w:shd w:val="clear" w:color="auto" w:fill="A3D58F"/>
          </w:tcPr>
          <w:p w14:paraId="06FA4E78" w14:textId="77777777" w:rsidR="00D313E0" w:rsidRPr="00A50F14" w:rsidRDefault="00D313E0" w:rsidP="00D04B94">
            <w:pPr>
              <w:spacing w:before="60" w:after="60"/>
              <w:jc w:val="center"/>
              <w:rPr>
                <w:rFonts w:asciiTheme="majorHAnsi" w:eastAsia="Times New Roman" w:hAnsiTheme="majorHAnsi" w:cstheme="majorHAnsi"/>
                <w:b/>
                <w:lang w:eastAsia="en-AU"/>
              </w:rPr>
            </w:pPr>
            <w:r w:rsidRPr="00A50F14">
              <w:rPr>
                <w:rFonts w:asciiTheme="majorHAnsi" w:hAnsiTheme="majorHAnsi" w:cstheme="majorHAnsi"/>
                <w:b/>
              </w:rPr>
              <w:t>2014-15 cost model</w:t>
            </w:r>
          </w:p>
        </w:tc>
        <w:tc>
          <w:tcPr>
            <w:tcW w:w="2941" w:type="dxa"/>
            <w:shd w:val="clear" w:color="auto" w:fill="A3D58F"/>
          </w:tcPr>
          <w:p w14:paraId="4BA0F4F6" w14:textId="77777777" w:rsidR="00D313E0" w:rsidRPr="00A50F14" w:rsidRDefault="00D313E0" w:rsidP="00D04B94">
            <w:pPr>
              <w:spacing w:before="60" w:after="60"/>
              <w:jc w:val="center"/>
              <w:rPr>
                <w:rFonts w:asciiTheme="majorHAnsi" w:eastAsia="Times New Roman" w:hAnsiTheme="majorHAnsi" w:cstheme="majorHAnsi"/>
                <w:b/>
                <w:lang w:eastAsia="en-AU"/>
              </w:rPr>
            </w:pPr>
            <w:r w:rsidRPr="00A50F14">
              <w:rPr>
                <w:rFonts w:asciiTheme="majorHAnsi" w:hAnsiTheme="majorHAnsi" w:cstheme="majorHAnsi"/>
                <w:b/>
              </w:rPr>
              <w:t>Standardised growth rate</w:t>
            </w:r>
          </w:p>
        </w:tc>
      </w:tr>
      <w:tr w:rsidR="00D313E0" w:rsidRPr="001B60A0" w14:paraId="340D8191" w14:textId="77777777" w:rsidTr="00D04B94">
        <w:trPr>
          <w:jc w:val="center"/>
        </w:trPr>
        <w:tc>
          <w:tcPr>
            <w:tcW w:w="2269" w:type="dxa"/>
          </w:tcPr>
          <w:p w14:paraId="1D4AE384" w14:textId="163778D7" w:rsidR="00D313E0" w:rsidRPr="00BD4DD8" w:rsidRDefault="00D313E0" w:rsidP="00D04B94">
            <w:pPr>
              <w:spacing w:before="60" w:after="60"/>
              <w:jc w:val="center"/>
              <w:rPr>
                <w:rFonts w:asciiTheme="minorHAnsi" w:eastAsia="Times New Roman" w:hAnsiTheme="minorHAnsi" w:cstheme="minorHAnsi"/>
                <w:lang w:eastAsia="en-AU"/>
              </w:rPr>
            </w:pPr>
            <w:r w:rsidRPr="009974D8">
              <w:t>$4,</w:t>
            </w:r>
            <w:r w:rsidR="00ED41CD" w:rsidRPr="009974D8">
              <w:t>6</w:t>
            </w:r>
            <w:r w:rsidR="00ED41CD">
              <w:t>77</w:t>
            </w:r>
          </w:p>
        </w:tc>
        <w:tc>
          <w:tcPr>
            <w:tcW w:w="2269" w:type="dxa"/>
          </w:tcPr>
          <w:p w14:paraId="5D070981" w14:textId="6923878D" w:rsidR="00D313E0" w:rsidRPr="00BD4DD8" w:rsidRDefault="00D313E0" w:rsidP="00D04B94">
            <w:pPr>
              <w:spacing w:before="60" w:after="60"/>
              <w:jc w:val="center"/>
              <w:rPr>
                <w:rFonts w:asciiTheme="minorHAnsi" w:eastAsiaTheme="minorHAnsi" w:hAnsiTheme="minorHAnsi" w:cstheme="minorHAnsi"/>
                <w:b/>
                <w:noProof/>
                <w:lang w:eastAsia="en-AU"/>
              </w:rPr>
            </w:pPr>
            <w:r w:rsidRPr="009974D8">
              <w:t>$4,</w:t>
            </w:r>
            <w:r w:rsidR="00ED41CD" w:rsidRPr="009974D8">
              <w:t>77</w:t>
            </w:r>
            <w:r w:rsidR="00ED41CD">
              <w:t>3</w:t>
            </w:r>
          </w:p>
        </w:tc>
        <w:tc>
          <w:tcPr>
            <w:tcW w:w="2941" w:type="dxa"/>
          </w:tcPr>
          <w:p w14:paraId="72048FCC" w14:textId="131415F3" w:rsidR="00D313E0" w:rsidRPr="00BD4DD8" w:rsidRDefault="00D313E0" w:rsidP="00D04B94">
            <w:pPr>
              <w:spacing w:before="60" w:after="60"/>
              <w:jc w:val="center"/>
              <w:rPr>
                <w:rFonts w:asciiTheme="minorHAnsi" w:eastAsiaTheme="minorHAnsi" w:hAnsiTheme="minorHAnsi" w:cstheme="minorHAnsi"/>
                <w:b/>
                <w:noProof/>
                <w:lang w:eastAsia="en-AU"/>
              </w:rPr>
            </w:pPr>
            <w:r w:rsidRPr="009974D8">
              <w:t>2.</w:t>
            </w:r>
            <w:r w:rsidR="00ED41CD">
              <w:t>1</w:t>
            </w:r>
            <w:r w:rsidRPr="009974D8">
              <w:t>%</w:t>
            </w:r>
          </w:p>
        </w:tc>
      </w:tr>
    </w:tbl>
    <w:p w14:paraId="05306648" w14:textId="77777777" w:rsidR="00D313E0" w:rsidRPr="001B60A0" w:rsidRDefault="00D313E0" w:rsidP="00560AC0">
      <w:pPr>
        <w:spacing w:before="100" w:beforeAutospacing="1"/>
        <w:rPr>
          <w:rFonts w:eastAsia="Calibri" w:cstheme="minorHAnsi"/>
        </w:rPr>
      </w:pPr>
      <w:r w:rsidRPr="001B60A0">
        <w:rPr>
          <w:rFonts w:eastAsia="Calibri" w:cstheme="minorHAnsi"/>
        </w:rPr>
        <w:t xml:space="preserve">Finally, the </w:t>
      </w:r>
      <w:r w:rsidRPr="00801AF5">
        <w:rPr>
          <w:rFonts w:eastAsia="Calibri" w:cstheme="minorHAnsi"/>
        </w:rPr>
        <w:t xml:space="preserve">2014-15 </w:t>
      </w:r>
      <w:r w:rsidRPr="001B60A0">
        <w:rPr>
          <w:rFonts w:eastAsia="Calibri" w:cstheme="minorHAnsi"/>
        </w:rPr>
        <w:t xml:space="preserve">reference cost is defined as </w:t>
      </w:r>
      <w:r w:rsidRPr="00801AF5">
        <w:rPr>
          <w:rFonts w:eastAsia="Calibri" w:cstheme="minorHAnsi"/>
        </w:rPr>
        <w:t xml:space="preserve">the 2013-14 </w:t>
      </w:r>
      <w:r w:rsidRPr="001B60A0">
        <w:rPr>
          <w:rFonts w:eastAsia="Calibri" w:cstheme="minorHAnsi"/>
        </w:rPr>
        <w:t xml:space="preserve">reference cost indexed by the standardised growth rate; that is, the </w:t>
      </w:r>
      <w:r w:rsidRPr="00801AF5">
        <w:rPr>
          <w:rFonts w:cstheme="minorHAnsi"/>
        </w:rPr>
        <w:t xml:space="preserve">2014-15 </w:t>
      </w:r>
      <w:r w:rsidRPr="001B60A0">
        <w:rPr>
          <w:rFonts w:cstheme="minorHAnsi"/>
        </w:rPr>
        <w:t>reference cost:</w:t>
      </w:r>
    </w:p>
    <w:p w14:paraId="2CD07A06" w14:textId="77777777" w:rsidR="00D313E0" w:rsidRPr="001B60A0" w:rsidRDefault="00D313E0">
      <w:pPr>
        <w:spacing w:before="120"/>
        <w:ind w:left="2880"/>
        <w:rPr>
          <w:rFonts w:eastAsia="Calibri" w:cstheme="minorHAnsi"/>
        </w:rPr>
      </w:pPr>
      <w:r w:rsidRPr="00BD4DD8">
        <w:rPr>
          <w:rFonts w:cstheme="minorHAnsi"/>
        </w:rPr>
        <w:t>= (2013-14 reference cost) × (standardised growth rate)</w:t>
      </w:r>
    </w:p>
    <w:p w14:paraId="54E615EA" w14:textId="049ACA12" w:rsidR="00D313E0" w:rsidRPr="00BD4DD8" w:rsidRDefault="00D313E0">
      <w:pPr>
        <w:ind w:left="2880"/>
        <w:rPr>
          <w:rFonts w:cstheme="minorHAnsi"/>
          <w:highlight w:val="yellow"/>
        </w:rPr>
      </w:pPr>
      <w:r w:rsidRPr="00BD4DD8">
        <w:rPr>
          <w:rFonts w:cstheme="minorHAnsi"/>
        </w:rPr>
        <w:t>= $</w:t>
      </w:r>
      <w:r>
        <w:rPr>
          <w:rFonts w:cstheme="minorHAnsi"/>
        </w:rPr>
        <w:t>4,588</w:t>
      </w:r>
      <w:r w:rsidRPr="00801AF5">
        <w:rPr>
          <w:rFonts w:cstheme="minorHAnsi"/>
        </w:rPr>
        <w:t xml:space="preserve"> × 10</w:t>
      </w:r>
      <w:r>
        <w:rPr>
          <w:rFonts w:cstheme="minorHAnsi"/>
        </w:rPr>
        <w:t>2</w:t>
      </w:r>
      <w:r w:rsidRPr="00801AF5">
        <w:rPr>
          <w:rFonts w:cstheme="minorHAnsi"/>
        </w:rPr>
        <w:t>.</w:t>
      </w:r>
      <w:r w:rsidR="00ED41CD">
        <w:rPr>
          <w:rFonts w:cstheme="minorHAnsi"/>
        </w:rPr>
        <w:t>1</w:t>
      </w:r>
      <w:r w:rsidRPr="00801AF5">
        <w:rPr>
          <w:rFonts w:cstheme="minorHAnsi"/>
        </w:rPr>
        <w:t xml:space="preserve">% </w:t>
      </w:r>
    </w:p>
    <w:p w14:paraId="19E394C4" w14:textId="4146D042" w:rsidR="00D313E0" w:rsidRPr="00BD4DD8" w:rsidRDefault="00D313E0">
      <w:pPr>
        <w:ind w:left="2880"/>
        <w:rPr>
          <w:rFonts w:cstheme="minorHAnsi"/>
        </w:rPr>
      </w:pPr>
      <w:r w:rsidRPr="00801AF5">
        <w:rPr>
          <w:rFonts w:cstheme="minorHAnsi"/>
        </w:rPr>
        <w:t>= $4,</w:t>
      </w:r>
      <w:r w:rsidR="00ED41CD">
        <w:rPr>
          <w:rFonts w:cstheme="minorHAnsi"/>
        </w:rPr>
        <w:t>682</w:t>
      </w:r>
    </w:p>
    <w:p w14:paraId="4ACEE61D" w14:textId="06C745E4" w:rsidR="00D313E0" w:rsidRPr="00FE5CF0" w:rsidRDefault="00D313E0">
      <w:pPr>
        <w:spacing w:before="100" w:beforeAutospacing="1" w:after="100" w:afterAutospacing="1"/>
        <w:rPr>
          <w:rFonts w:eastAsia="Calibri" w:cstheme="minorHAnsi"/>
        </w:rPr>
      </w:pPr>
      <w:r w:rsidRPr="001B60A0">
        <w:rPr>
          <w:rFonts w:eastAsia="Calibri" w:cstheme="minorHAnsi"/>
        </w:rPr>
        <w:t xml:space="preserve">Both </w:t>
      </w:r>
      <w:r w:rsidRPr="00801AF5">
        <w:rPr>
          <w:rFonts w:eastAsia="Calibri" w:cstheme="minorHAnsi"/>
        </w:rPr>
        <w:t>2013-14 and 2014-15</w:t>
      </w:r>
      <w:r w:rsidRPr="001B60A0">
        <w:rPr>
          <w:rFonts w:eastAsia="Calibri" w:cstheme="minorHAnsi"/>
        </w:rPr>
        <w:t xml:space="preserve"> </w:t>
      </w:r>
      <w:r w:rsidRPr="00FE5CF0">
        <w:rPr>
          <w:rFonts w:eastAsia="Calibri" w:cstheme="minorHAnsi"/>
        </w:rPr>
        <w:t xml:space="preserve">reference costs are given in </w:t>
      </w:r>
      <w:r w:rsidR="00FE5CF0" w:rsidRPr="00686E99">
        <w:rPr>
          <w:rFonts w:eastAsia="Calibri" w:cstheme="minorHAnsi"/>
        </w:rPr>
        <w:fldChar w:fldCharType="begin"/>
      </w:r>
      <w:r w:rsidR="00FE5CF0" w:rsidRPr="00FE5CF0">
        <w:rPr>
          <w:rFonts w:eastAsia="Calibri" w:cstheme="minorHAnsi"/>
        </w:rPr>
        <w:instrText xml:space="preserve"> REF _Ref468264497 \h </w:instrText>
      </w:r>
      <w:r w:rsidR="00FE5CF0" w:rsidRPr="000351BD">
        <w:rPr>
          <w:rFonts w:eastAsia="Calibri" w:cstheme="minorHAnsi"/>
        </w:rPr>
        <w:instrText xml:space="preserve"> \* MERGEFORMAT </w:instrText>
      </w:r>
      <w:r w:rsidR="00FE5CF0" w:rsidRPr="00686E99">
        <w:rPr>
          <w:rFonts w:eastAsia="Calibri" w:cstheme="minorHAnsi"/>
        </w:rPr>
      </w:r>
      <w:r w:rsidR="00FE5CF0" w:rsidRPr="00686E99">
        <w:rPr>
          <w:rFonts w:eastAsia="Calibri" w:cstheme="minorHAnsi"/>
        </w:rPr>
        <w:fldChar w:fldCharType="separate"/>
      </w:r>
      <w:r w:rsidR="00F84458" w:rsidRPr="00F84458">
        <w:t>Table 16</w:t>
      </w:r>
      <w:r w:rsidR="00FE5CF0" w:rsidRPr="00686E99">
        <w:rPr>
          <w:rFonts w:eastAsia="Calibri" w:cstheme="minorHAnsi"/>
        </w:rPr>
        <w:fldChar w:fldCharType="end"/>
      </w:r>
    </w:p>
    <w:p w14:paraId="7E5EC83D" w14:textId="7C2DA47A" w:rsidR="00D313E0" w:rsidRPr="000351BD" w:rsidRDefault="00D313E0">
      <w:pPr>
        <w:spacing w:before="120" w:after="0" w:line="240" w:lineRule="auto"/>
        <w:rPr>
          <w:b/>
        </w:rPr>
      </w:pPr>
      <w:bookmarkStart w:id="788" w:name="_Ref468264497"/>
      <w:r w:rsidRPr="000351BD">
        <w:rPr>
          <w:b/>
        </w:rPr>
        <w:t xml:space="preserve">Table </w:t>
      </w:r>
      <w:r w:rsidR="000C2F37" w:rsidRPr="000351BD">
        <w:rPr>
          <w:b/>
        </w:rPr>
        <w:fldChar w:fldCharType="begin"/>
      </w:r>
      <w:r w:rsidR="000C2F37" w:rsidRPr="000351BD">
        <w:rPr>
          <w:b/>
        </w:rPr>
        <w:instrText xml:space="preserve"> SEQ Table \* ARABIC </w:instrText>
      </w:r>
      <w:r w:rsidR="000C2F37" w:rsidRPr="000351BD">
        <w:rPr>
          <w:b/>
        </w:rPr>
        <w:fldChar w:fldCharType="separate"/>
      </w:r>
      <w:r w:rsidR="00F84458">
        <w:rPr>
          <w:b/>
          <w:noProof/>
        </w:rPr>
        <w:t>16</w:t>
      </w:r>
      <w:r w:rsidR="000C2F37" w:rsidRPr="000351BD">
        <w:rPr>
          <w:b/>
        </w:rPr>
        <w:fldChar w:fldCharType="end"/>
      </w:r>
      <w:bookmarkEnd w:id="788"/>
      <w:r w:rsidRPr="000351BD">
        <w:rPr>
          <w:b/>
        </w:rPr>
        <w:t>: Reference costs for 2013-14 and 2014-15 cost models.</w:t>
      </w:r>
    </w:p>
    <w:tbl>
      <w:tblPr>
        <w:tblStyle w:val="TableGrid10"/>
        <w:tblW w:w="0" w:type="auto"/>
        <w:jc w:val="center"/>
        <w:tblInd w:w="108" w:type="dxa"/>
        <w:tblLook w:val="04A0" w:firstRow="1" w:lastRow="0" w:firstColumn="1" w:lastColumn="0" w:noHBand="0" w:noVBand="1"/>
        <w:tblDescription w:val="A summary of table 2 is outlined in the text prior to this table."/>
      </w:tblPr>
      <w:tblGrid>
        <w:gridCol w:w="2268"/>
        <w:gridCol w:w="2268"/>
      </w:tblGrid>
      <w:tr w:rsidR="00D313E0" w:rsidRPr="001B60A0" w14:paraId="3DC1C2A3" w14:textId="77777777" w:rsidTr="00D04B94">
        <w:trPr>
          <w:tblHeader/>
          <w:jc w:val="center"/>
        </w:trPr>
        <w:tc>
          <w:tcPr>
            <w:tcW w:w="2268" w:type="dxa"/>
            <w:shd w:val="clear" w:color="auto" w:fill="A3D58F"/>
          </w:tcPr>
          <w:p w14:paraId="1534C6F8" w14:textId="2F9F14EB" w:rsidR="00D313E0" w:rsidRPr="00A50F14" w:rsidRDefault="00D313E0" w:rsidP="00D04B94">
            <w:pPr>
              <w:spacing w:before="60" w:after="60"/>
              <w:jc w:val="center"/>
              <w:rPr>
                <w:rFonts w:eastAsia="Times New Roman" w:cs="Arial"/>
                <w:b/>
                <w:lang w:eastAsia="en-AU"/>
              </w:rPr>
            </w:pPr>
            <w:r w:rsidRPr="00A50F14">
              <w:rPr>
                <w:rFonts w:cs="Arial"/>
                <w:b/>
              </w:rPr>
              <w:t>2013-14 cost model</w:t>
            </w:r>
          </w:p>
        </w:tc>
        <w:tc>
          <w:tcPr>
            <w:tcW w:w="2268" w:type="dxa"/>
            <w:shd w:val="clear" w:color="auto" w:fill="A3D58F"/>
          </w:tcPr>
          <w:p w14:paraId="24C1E6D8" w14:textId="04F24182" w:rsidR="00D313E0" w:rsidRPr="00A50F14" w:rsidRDefault="00D313E0" w:rsidP="00D04B94">
            <w:pPr>
              <w:spacing w:before="60" w:after="60"/>
              <w:jc w:val="center"/>
              <w:rPr>
                <w:rFonts w:eastAsia="Times New Roman" w:cs="Arial"/>
                <w:b/>
                <w:lang w:eastAsia="en-AU"/>
              </w:rPr>
            </w:pPr>
            <w:r w:rsidRPr="00A50F14">
              <w:rPr>
                <w:rFonts w:cs="Arial"/>
                <w:b/>
              </w:rPr>
              <w:t>2014-15 cost model</w:t>
            </w:r>
          </w:p>
        </w:tc>
      </w:tr>
      <w:tr w:rsidR="00D313E0" w:rsidRPr="00453A66" w14:paraId="73657934" w14:textId="77777777" w:rsidTr="00D04B94">
        <w:trPr>
          <w:jc w:val="center"/>
        </w:trPr>
        <w:tc>
          <w:tcPr>
            <w:tcW w:w="2268" w:type="dxa"/>
          </w:tcPr>
          <w:p w14:paraId="4D54BCB5" w14:textId="77777777" w:rsidR="00D313E0" w:rsidRPr="00801AF5" w:rsidRDefault="00D313E0" w:rsidP="00D04B94">
            <w:pPr>
              <w:spacing w:before="60" w:after="60"/>
              <w:jc w:val="center"/>
              <w:rPr>
                <w:rFonts w:asciiTheme="minorHAnsi" w:eastAsia="Times New Roman" w:hAnsiTheme="minorHAnsi" w:cstheme="minorHAnsi"/>
                <w:lang w:eastAsia="en-AU"/>
              </w:rPr>
            </w:pPr>
            <w:r w:rsidRPr="00801AF5">
              <w:rPr>
                <w:rFonts w:asciiTheme="minorHAnsi" w:hAnsiTheme="minorHAnsi" w:cstheme="minorHAnsi"/>
              </w:rPr>
              <w:t>$4,588</w:t>
            </w:r>
          </w:p>
        </w:tc>
        <w:tc>
          <w:tcPr>
            <w:tcW w:w="2268" w:type="dxa"/>
          </w:tcPr>
          <w:p w14:paraId="46D84F42" w14:textId="54B044E6" w:rsidR="00D313E0" w:rsidRPr="00801AF5" w:rsidRDefault="00D313E0" w:rsidP="00D04B94">
            <w:pPr>
              <w:spacing w:before="60" w:after="60"/>
              <w:jc w:val="center"/>
              <w:rPr>
                <w:rFonts w:asciiTheme="minorHAnsi" w:eastAsiaTheme="minorHAnsi" w:hAnsiTheme="minorHAnsi" w:cstheme="minorHAnsi"/>
                <w:b/>
                <w:noProof/>
                <w:lang w:eastAsia="en-AU"/>
              </w:rPr>
            </w:pPr>
            <w:r w:rsidRPr="00801AF5">
              <w:rPr>
                <w:rFonts w:asciiTheme="minorHAnsi" w:hAnsiTheme="minorHAnsi" w:cstheme="minorHAnsi"/>
              </w:rPr>
              <w:t>$4,</w:t>
            </w:r>
            <w:r w:rsidR="00ED41CD" w:rsidRPr="00801AF5">
              <w:rPr>
                <w:rFonts w:asciiTheme="minorHAnsi" w:hAnsiTheme="minorHAnsi" w:cstheme="minorHAnsi"/>
              </w:rPr>
              <w:t>6</w:t>
            </w:r>
            <w:r w:rsidR="00ED41CD">
              <w:rPr>
                <w:rFonts w:asciiTheme="minorHAnsi" w:hAnsiTheme="minorHAnsi" w:cstheme="minorHAnsi"/>
              </w:rPr>
              <w:t>82</w:t>
            </w:r>
          </w:p>
        </w:tc>
      </w:tr>
    </w:tbl>
    <w:p w14:paraId="4723A76E" w14:textId="77777777" w:rsidR="00F84458" w:rsidRPr="00F84458" w:rsidRDefault="00D313E0" w:rsidP="00F84458">
      <w:pPr>
        <w:spacing w:before="100" w:beforeAutospacing="1" w:after="100" w:afterAutospacing="1"/>
      </w:pPr>
      <w:r w:rsidRPr="00453A66">
        <w:rPr>
          <w:rFonts w:eastAsia="Calibri" w:cstheme="minorHAnsi"/>
        </w:rPr>
        <w:t xml:space="preserve">The conversion of the 2014-15 unadjusted mean </w:t>
      </w:r>
      <w:r w:rsidRPr="00542CD9">
        <w:rPr>
          <w:rFonts w:eastAsia="Calibri" w:cstheme="minorHAnsi"/>
        </w:rPr>
        <w:t>model cost given in</w:t>
      </w:r>
      <w:r w:rsidR="00542CD9" w:rsidRPr="00542CD9">
        <w:rPr>
          <w:rFonts w:eastAsia="Calibri" w:cstheme="minorHAnsi"/>
        </w:rPr>
        <w:t xml:space="preserve"> </w:t>
      </w:r>
      <w:r w:rsidR="00542CD9" w:rsidRPr="00E61740">
        <w:rPr>
          <w:rFonts w:eastAsia="Calibri" w:cstheme="minorHAnsi"/>
        </w:rPr>
        <w:fldChar w:fldCharType="begin"/>
      </w:r>
      <w:r w:rsidR="00542CD9" w:rsidRPr="00542CD9">
        <w:rPr>
          <w:rFonts w:eastAsia="Calibri" w:cstheme="minorHAnsi"/>
        </w:rPr>
        <w:instrText xml:space="preserve"> REF _Ref468264456 \h </w:instrText>
      </w:r>
      <w:r w:rsidR="00542CD9" w:rsidRPr="002D606E">
        <w:rPr>
          <w:rFonts w:eastAsia="Calibri" w:cstheme="minorHAnsi"/>
        </w:rPr>
        <w:instrText xml:space="preserve"> \* MERGEFORMAT </w:instrText>
      </w:r>
      <w:r w:rsidR="00542CD9" w:rsidRPr="00E61740">
        <w:rPr>
          <w:rFonts w:eastAsia="Calibri" w:cstheme="minorHAnsi"/>
        </w:rPr>
      </w:r>
      <w:r w:rsidR="00542CD9" w:rsidRPr="00E61740">
        <w:rPr>
          <w:rFonts w:eastAsia="Calibri" w:cstheme="minorHAnsi"/>
        </w:rPr>
        <w:fldChar w:fldCharType="separate"/>
      </w:r>
      <w:r w:rsidR="00F84458" w:rsidRPr="00F84458">
        <w:t xml:space="preserve">Table </w:t>
      </w:r>
      <w:r w:rsidR="00F84458" w:rsidRPr="00F84458">
        <w:rPr>
          <w:noProof/>
        </w:rPr>
        <w:t>15</w:t>
      </w:r>
      <w:r w:rsidR="00542CD9" w:rsidRPr="00E61740">
        <w:rPr>
          <w:rFonts w:eastAsia="Calibri" w:cstheme="minorHAnsi"/>
        </w:rPr>
        <w:fldChar w:fldCharType="end"/>
      </w:r>
      <w:r w:rsidRPr="00542CD9">
        <w:rPr>
          <w:rFonts w:eastAsia="Calibri" w:cstheme="minorHAnsi"/>
        </w:rPr>
        <w:t xml:space="preserve"> to the 2014-15 reference cost given in </w:t>
      </w:r>
      <w:r w:rsidR="00BA0326" w:rsidRPr="00E61740">
        <w:rPr>
          <w:rFonts w:eastAsia="Calibri" w:cstheme="minorHAnsi"/>
        </w:rPr>
        <w:fldChar w:fldCharType="begin"/>
      </w:r>
      <w:r w:rsidR="00BA0326" w:rsidRPr="00542CD9">
        <w:rPr>
          <w:rFonts w:eastAsia="Calibri" w:cstheme="minorHAnsi"/>
        </w:rPr>
        <w:instrText xml:space="preserve"> REF _Ref468264497 \h </w:instrText>
      </w:r>
      <w:r w:rsidR="00560AC0" w:rsidRPr="00542CD9">
        <w:rPr>
          <w:rFonts w:eastAsia="Calibri" w:cstheme="minorHAnsi"/>
        </w:rPr>
        <w:instrText xml:space="preserve"> \* MERGEFORMAT </w:instrText>
      </w:r>
      <w:r w:rsidR="00BA0326" w:rsidRPr="00E61740">
        <w:rPr>
          <w:rFonts w:eastAsia="Calibri" w:cstheme="minorHAnsi"/>
        </w:rPr>
      </w:r>
      <w:r w:rsidR="00BA0326" w:rsidRPr="00E61740">
        <w:rPr>
          <w:rFonts w:eastAsia="Calibri" w:cstheme="minorHAnsi"/>
        </w:rPr>
        <w:fldChar w:fldCharType="separate"/>
      </w:r>
      <w:r w:rsidR="00F84458" w:rsidRPr="00F84458">
        <w:t xml:space="preserve">Table </w:t>
      </w:r>
      <w:r w:rsidR="00F84458" w:rsidRPr="00F84458">
        <w:rPr>
          <w:noProof/>
        </w:rPr>
        <w:t>16</w:t>
      </w:r>
      <w:r w:rsidR="00BA0326" w:rsidRPr="00E61740">
        <w:rPr>
          <w:rFonts w:eastAsia="Calibri" w:cstheme="minorHAnsi"/>
        </w:rPr>
        <w:fldChar w:fldCharType="end"/>
      </w:r>
      <w:r w:rsidR="00BA0326" w:rsidRPr="00542CD9">
        <w:rPr>
          <w:rFonts w:eastAsia="Calibri" w:cstheme="minorHAnsi"/>
        </w:rPr>
        <w:t xml:space="preserve"> </w:t>
      </w:r>
      <w:r w:rsidRPr="00542CD9">
        <w:rPr>
          <w:rFonts w:eastAsia="Calibri" w:cstheme="minorHAnsi"/>
        </w:rPr>
        <w:t>(i.e. $4,</w:t>
      </w:r>
      <w:r w:rsidR="00ED41CD" w:rsidRPr="00542CD9">
        <w:rPr>
          <w:rFonts w:eastAsia="Calibri" w:cstheme="minorHAnsi"/>
        </w:rPr>
        <w:t>77</w:t>
      </w:r>
      <w:r w:rsidR="00ED41CD">
        <w:rPr>
          <w:rFonts w:eastAsia="Calibri" w:cstheme="minorHAnsi"/>
        </w:rPr>
        <w:t>3</w:t>
      </w:r>
      <w:r w:rsidR="00ED41CD" w:rsidRPr="00542CD9">
        <w:rPr>
          <w:rFonts w:eastAsia="Calibri" w:cstheme="minorHAnsi"/>
        </w:rPr>
        <w:t xml:space="preserve"> </w:t>
      </w:r>
      <w:r w:rsidRPr="00542CD9">
        <w:rPr>
          <w:rFonts w:eastAsia="Calibri" w:cstheme="minorHAnsi"/>
        </w:rPr>
        <w:t>→ $4,</w:t>
      </w:r>
      <w:r w:rsidR="00ED41CD" w:rsidRPr="00542CD9">
        <w:rPr>
          <w:rFonts w:eastAsia="Calibri" w:cstheme="minorHAnsi"/>
        </w:rPr>
        <w:t>6</w:t>
      </w:r>
      <w:r w:rsidR="00ED41CD">
        <w:rPr>
          <w:rFonts w:eastAsia="Calibri" w:cstheme="minorHAnsi"/>
        </w:rPr>
        <w:t>82</w:t>
      </w:r>
      <w:r w:rsidRPr="00542CD9">
        <w:rPr>
          <w:rFonts w:eastAsia="Calibri" w:cstheme="minorHAnsi"/>
        </w:rPr>
        <w:t>) is often referred</w:t>
      </w:r>
      <w:r w:rsidRPr="00704036">
        <w:rPr>
          <w:rFonts w:eastAsia="Calibri" w:cstheme="minorHAnsi"/>
        </w:rPr>
        <w:t xml:space="preserve"> to as ‘rebasing’. </w:t>
      </w:r>
      <w:r w:rsidR="00BA0326" w:rsidRPr="001B57FC">
        <w:rPr>
          <w:rFonts w:eastAsia="Calibri" w:cstheme="minorHAnsi"/>
        </w:rPr>
        <w:fldChar w:fldCharType="begin"/>
      </w:r>
      <w:r w:rsidR="00BA0326" w:rsidRPr="00542CD9">
        <w:rPr>
          <w:rFonts w:eastAsia="Calibri" w:cstheme="minorHAnsi"/>
        </w:rPr>
        <w:instrText xml:space="preserve"> REF _Ref468265593 \h </w:instrText>
      </w:r>
      <w:r w:rsidR="00560AC0" w:rsidRPr="00542CD9">
        <w:rPr>
          <w:rFonts w:eastAsia="Calibri" w:cstheme="minorHAnsi"/>
        </w:rPr>
        <w:instrText xml:space="preserve"> \* MERGEFORMAT </w:instrText>
      </w:r>
      <w:r w:rsidR="00BA0326" w:rsidRPr="001B57FC">
        <w:rPr>
          <w:rFonts w:eastAsia="Calibri" w:cstheme="minorHAnsi"/>
        </w:rPr>
      </w:r>
      <w:r w:rsidR="00BA0326" w:rsidRPr="001B57FC">
        <w:rPr>
          <w:rFonts w:eastAsia="Calibri" w:cstheme="minorHAnsi"/>
        </w:rPr>
        <w:fldChar w:fldCharType="separate"/>
      </w:r>
      <w:r w:rsidR="00F84458" w:rsidRPr="00F84458">
        <w:br w:type="page"/>
      </w:r>
    </w:p>
    <w:p w14:paraId="64D9FACF" w14:textId="15DCBBC8" w:rsidR="00E0054C" w:rsidRDefault="00F84458" w:rsidP="00F84458">
      <w:pPr>
        <w:spacing w:before="100" w:beforeAutospacing="1" w:after="100" w:afterAutospacing="1"/>
        <w:rPr>
          <w:b/>
        </w:rPr>
      </w:pPr>
      <w:r w:rsidRPr="0063574B">
        <w:rPr>
          <w:b/>
          <w:noProof/>
        </w:rPr>
        <w:lastRenderedPageBreak/>
        <w:t>Figure</w:t>
      </w:r>
      <w:r w:rsidRPr="0063574B">
        <w:rPr>
          <w:b/>
        </w:rPr>
        <w:t xml:space="preserve"> </w:t>
      </w:r>
      <w:r>
        <w:rPr>
          <w:b/>
          <w:noProof/>
        </w:rPr>
        <w:t>6</w:t>
      </w:r>
      <w:r w:rsidR="00BA0326" w:rsidRPr="001B57FC">
        <w:rPr>
          <w:rFonts w:eastAsia="Calibri" w:cstheme="minorHAnsi"/>
        </w:rPr>
        <w:fldChar w:fldCharType="end"/>
      </w:r>
      <w:r w:rsidR="00542CD9">
        <w:rPr>
          <w:rFonts w:eastAsia="Calibri" w:cstheme="minorHAnsi"/>
        </w:rPr>
        <w:t xml:space="preserve"> </w:t>
      </w:r>
      <w:r w:rsidR="00D313E0" w:rsidRPr="00542CD9">
        <w:rPr>
          <w:rFonts w:eastAsia="Calibri" w:cstheme="minorHAnsi"/>
        </w:rPr>
        <w:t>illustrates this rebasing process in the context of the derivation of the 2014-15 reference cost.</w:t>
      </w:r>
      <w:bookmarkStart w:id="789" w:name="_Ref468265593"/>
      <w:bookmarkStart w:id="790" w:name="_Ref468265590"/>
    </w:p>
    <w:p w14:paraId="10F78E23" w14:textId="5260C107" w:rsidR="00D313E0" w:rsidRDefault="00D313E0" w:rsidP="002D606E">
      <w:pPr>
        <w:spacing w:after="0" w:line="240" w:lineRule="auto"/>
        <w:rPr>
          <w:b/>
          <w:highlight w:val="yellow"/>
        </w:rPr>
      </w:pPr>
      <w:r w:rsidRPr="0063574B">
        <w:rPr>
          <w:b/>
        </w:rPr>
        <w:t xml:space="preserve">Figure </w:t>
      </w:r>
      <w:r w:rsidRPr="0063574B">
        <w:rPr>
          <w:b/>
        </w:rPr>
        <w:fldChar w:fldCharType="begin"/>
      </w:r>
      <w:r w:rsidRPr="0063574B">
        <w:rPr>
          <w:b/>
        </w:rPr>
        <w:instrText xml:space="preserve"> SEQ Figure \* ARABIC </w:instrText>
      </w:r>
      <w:r w:rsidRPr="0063574B">
        <w:rPr>
          <w:b/>
        </w:rPr>
        <w:fldChar w:fldCharType="separate"/>
      </w:r>
      <w:r w:rsidR="00F84458">
        <w:rPr>
          <w:b/>
          <w:noProof/>
        </w:rPr>
        <w:t>6</w:t>
      </w:r>
      <w:r w:rsidRPr="0063574B">
        <w:rPr>
          <w:b/>
        </w:rPr>
        <w:fldChar w:fldCharType="end"/>
      </w:r>
      <w:bookmarkEnd w:id="789"/>
      <w:r w:rsidRPr="0063574B">
        <w:rPr>
          <w:b/>
        </w:rPr>
        <w:t>: Derivation of 2014-15 reference cost</w:t>
      </w:r>
      <w:bookmarkEnd w:id="790"/>
    </w:p>
    <w:p w14:paraId="5C067D0F" w14:textId="2133C08E" w:rsidR="00B72AAB" w:rsidRPr="000351BD" w:rsidRDefault="00CA39C3" w:rsidP="00C21501">
      <w:pPr>
        <w:spacing w:after="0" w:line="240" w:lineRule="auto"/>
        <w:jc w:val="center"/>
        <w:rPr>
          <w:rFonts w:ascii="Calibri" w:eastAsia="Calibri" w:hAnsi="Calibri"/>
          <w:bCs/>
        </w:rPr>
      </w:pPr>
      <w:r w:rsidRPr="00CA39C3">
        <w:rPr>
          <w:rFonts w:eastAsia="Calibri"/>
          <w:noProof/>
        </w:rPr>
        <w:drawing>
          <wp:inline distT="0" distB="0" distL="0" distR="0" wp14:anchorId="6BA2077B" wp14:editId="262D57A3">
            <wp:extent cx="5429250" cy="3486150"/>
            <wp:effectExtent l="0" t="0" r="0" b="0"/>
            <wp:docPr id="17" name="Picture 17" title="Figure 6: Derivation of 2014-15 referen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9250" cy="3486150"/>
                    </a:xfrm>
                    <a:prstGeom prst="rect">
                      <a:avLst/>
                    </a:prstGeom>
                    <a:noFill/>
                    <a:ln>
                      <a:noFill/>
                    </a:ln>
                  </pic:spPr>
                </pic:pic>
              </a:graphicData>
            </a:graphic>
          </wp:inline>
        </w:drawing>
      </w:r>
    </w:p>
    <w:p w14:paraId="04148D71" w14:textId="77777777" w:rsidR="00D313E0" w:rsidRPr="00704036" w:rsidRDefault="00D313E0" w:rsidP="002D606E">
      <w:pPr>
        <w:spacing w:before="100" w:beforeAutospacing="1" w:after="100" w:afterAutospacing="1"/>
        <w:rPr>
          <w:rFonts w:eastAsia="Calibri" w:cstheme="minorHAnsi"/>
        </w:rPr>
      </w:pPr>
      <w:r w:rsidRPr="00BA0326">
        <w:rPr>
          <w:rFonts w:eastAsia="Calibri" w:cstheme="minorHAnsi"/>
        </w:rPr>
        <w:t>There are two intended consequences of the selection of the reference costs:</w:t>
      </w:r>
    </w:p>
    <w:p w14:paraId="2382C86C" w14:textId="77777777" w:rsidR="00D313E0" w:rsidRPr="00704036" w:rsidRDefault="00D313E0" w:rsidP="002D606E">
      <w:pPr>
        <w:numPr>
          <w:ilvl w:val="0"/>
          <w:numId w:val="29"/>
        </w:numPr>
        <w:spacing w:before="100" w:beforeAutospacing="1" w:after="100" w:afterAutospacing="1" w:line="240" w:lineRule="auto"/>
        <w:contextualSpacing/>
        <w:rPr>
          <w:rFonts w:eastAsia="Calibri" w:cstheme="minorHAnsi"/>
        </w:rPr>
      </w:pPr>
      <w:r w:rsidRPr="00704036">
        <w:rPr>
          <w:rFonts w:eastAsia="Calibri" w:cstheme="minorHAnsi"/>
        </w:rPr>
        <w:t>The change in reference costs represents change in unit costs excluding the effect of any changes in case-mix; and</w:t>
      </w:r>
    </w:p>
    <w:p w14:paraId="6B4F9CB1" w14:textId="77777777" w:rsidR="00D313E0" w:rsidRPr="00704036" w:rsidRDefault="00D313E0" w:rsidP="002D606E">
      <w:pPr>
        <w:numPr>
          <w:ilvl w:val="0"/>
          <w:numId w:val="29"/>
        </w:numPr>
        <w:spacing w:before="100" w:beforeAutospacing="1" w:after="100" w:afterAutospacing="1" w:line="240" w:lineRule="auto"/>
        <w:contextualSpacing/>
        <w:rPr>
          <w:rFonts w:eastAsia="Calibri" w:cstheme="minorHAnsi"/>
        </w:rPr>
      </w:pPr>
      <w:r w:rsidRPr="00704036">
        <w:rPr>
          <w:rFonts w:eastAsia="Calibri" w:cstheme="minorHAnsi"/>
        </w:rPr>
        <w:t xml:space="preserve">The </w:t>
      </w:r>
      <w:r w:rsidRPr="00801AF5">
        <w:rPr>
          <w:rFonts w:eastAsia="Calibri" w:cstheme="minorHAnsi"/>
        </w:rPr>
        <w:t>2013-14 and 2014-15</w:t>
      </w:r>
      <w:r w:rsidRPr="00704036">
        <w:rPr>
          <w:rFonts w:eastAsia="Calibri" w:cstheme="minorHAnsi"/>
        </w:rPr>
        <w:t xml:space="preserve"> cost weight models give the same total weighted volume when applied to the </w:t>
      </w:r>
      <w:r>
        <w:rPr>
          <w:rFonts w:eastAsia="Calibri" w:cstheme="minorHAnsi"/>
        </w:rPr>
        <w:t>2014-15</w:t>
      </w:r>
      <w:r w:rsidRPr="00704036">
        <w:rPr>
          <w:rFonts w:eastAsia="Calibri" w:cstheme="minorHAnsi"/>
        </w:rPr>
        <w:t xml:space="preserve"> activity data on which the standardised growth rate is derived.</w:t>
      </w:r>
    </w:p>
    <w:p w14:paraId="683B1AC0" w14:textId="77777777" w:rsidR="00D313E0" w:rsidRPr="000351BD" w:rsidRDefault="00D313E0" w:rsidP="00560AC0">
      <w:pPr>
        <w:pStyle w:val="Heading2"/>
        <w:numPr>
          <w:ilvl w:val="1"/>
          <w:numId w:val="17"/>
        </w:numPr>
        <w:ind w:left="567" w:right="-28" w:hanging="567"/>
      </w:pPr>
      <w:bookmarkStart w:id="791" w:name="_Toc468204087"/>
      <w:bookmarkStart w:id="792" w:name="_Ref468437878"/>
      <w:bookmarkStart w:id="793" w:name="_Ref468437972"/>
      <w:bookmarkStart w:id="794" w:name="_Toc476305247"/>
      <w:r w:rsidRPr="000A0BF3">
        <w:t>Indexation</w:t>
      </w:r>
      <w:bookmarkEnd w:id="791"/>
      <w:bookmarkEnd w:id="792"/>
      <w:bookmarkEnd w:id="793"/>
      <w:bookmarkEnd w:id="794"/>
      <w:r w:rsidRPr="000351BD">
        <w:t xml:space="preserve"> </w:t>
      </w:r>
    </w:p>
    <w:p w14:paraId="3E7E19AF" w14:textId="77777777" w:rsidR="00D313E0" w:rsidRPr="00704036" w:rsidRDefault="00D313E0" w:rsidP="002D606E">
      <w:pPr>
        <w:spacing w:before="100" w:beforeAutospacing="1" w:after="100" w:afterAutospacing="1"/>
        <w:rPr>
          <w:rFonts w:eastAsia="Calibri" w:cstheme="minorHAnsi"/>
        </w:rPr>
      </w:pPr>
      <w:r w:rsidRPr="00704036">
        <w:rPr>
          <w:rFonts w:eastAsia="Calibri" w:cstheme="minorHAnsi"/>
        </w:rPr>
        <w:t xml:space="preserve">The final step in the transformation of the cost model to pricing model is the indexation of costs to estimate those in the year of the pricing model. Describing the methodology in the context of the </w:t>
      </w:r>
      <w:r>
        <w:rPr>
          <w:rFonts w:eastAsia="Calibri" w:cstheme="minorHAnsi"/>
        </w:rPr>
        <w:t>2017-18</w:t>
      </w:r>
      <w:r w:rsidRPr="00704036">
        <w:rPr>
          <w:rFonts w:eastAsia="Calibri" w:cstheme="minorHAnsi"/>
        </w:rPr>
        <w:t xml:space="preserve"> pricing model, the objective is to derive an annual indexation rate that is used to inflate the </w:t>
      </w:r>
      <w:r>
        <w:rPr>
          <w:rFonts w:eastAsia="Calibri" w:cstheme="minorHAnsi"/>
        </w:rPr>
        <w:t>2014-15</w:t>
      </w:r>
      <w:r w:rsidRPr="00704036">
        <w:rPr>
          <w:rFonts w:eastAsia="Calibri" w:cstheme="minorHAnsi"/>
        </w:rPr>
        <w:t xml:space="preserve"> cost </w:t>
      </w:r>
      <w:proofErr w:type="gramStart"/>
      <w:r w:rsidRPr="00704036">
        <w:rPr>
          <w:rFonts w:eastAsia="Calibri" w:cstheme="minorHAnsi"/>
        </w:rPr>
        <w:t>model</w:t>
      </w:r>
      <w:proofErr w:type="gramEnd"/>
      <w:r w:rsidRPr="00704036">
        <w:rPr>
          <w:rFonts w:eastAsia="Calibri" w:cstheme="minorHAnsi"/>
        </w:rPr>
        <w:t xml:space="preserve"> over three years to a level reflective of estimated </w:t>
      </w:r>
      <w:r>
        <w:rPr>
          <w:rFonts w:eastAsia="Calibri" w:cstheme="minorHAnsi"/>
        </w:rPr>
        <w:t>2017-18</w:t>
      </w:r>
      <w:r w:rsidRPr="00704036">
        <w:rPr>
          <w:rFonts w:eastAsia="Calibri" w:cstheme="minorHAnsi"/>
        </w:rPr>
        <w:t xml:space="preserve"> costs.</w:t>
      </w:r>
    </w:p>
    <w:p w14:paraId="06AC1190" w14:textId="77777777" w:rsidR="00D313E0" w:rsidRDefault="00D313E0" w:rsidP="002D606E">
      <w:pPr>
        <w:rPr>
          <w:rFonts w:eastAsia="Calibri" w:cstheme="minorHAnsi"/>
        </w:rPr>
      </w:pPr>
      <w:r w:rsidRPr="00704036">
        <w:rPr>
          <w:rFonts w:eastAsia="Calibri" w:cstheme="minorHAnsi"/>
        </w:rPr>
        <w:t xml:space="preserve">To derive this rate, the </w:t>
      </w:r>
      <w:r>
        <w:rPr>
          <w:rFonts w:eastAsia="Calibri" w:cstheme="minorHAnsi"/>
        </w:rPr>
        <w:t>2014-15</w:t>
      </w:r>
      <w:r w:rsidRPr="00704036">
        <w:rPr>
          <w:rFonts w:eastAsia="Calibri" w:cstheme="minorHAnsi"/>
        </w:rPr>
        <w:t xml:space="preserve"> cost model is applied retrospectively to the </w:t>
      </w:r>
      <w:r w:rsidRPr="00801AF5">
        <w:rPr>
          <w:rFonts w:eastAsia="Calibri" w:cstheme="minorHAnsi"/>
        </w:rPr>
        <w:t>five years</w:t>
      </w:r>
      <w:r w:rsidRPr="00704036">
        <w:rPr>
          <w:rFonts w:eastAsia="Calibri" w:cstheme="minorHAnsi"/>
        </w:rPr>
        <w:t xml:space="preserve"> of patient costed </w:t>
      </w:r>
      <w:r>
        <w:rPr>
          <w:rFonts w:eastAsia="Calibri" w:cstheme="minorHAnsi"/>
        </w:rPr>
        <w:t>admitted acute</w:t>
      </w:r>
      <w:r w:rsidRPr="00704036">
        <w:rPr>
          <w:rFonts w:eastAsia="Calibri" w:cstheme="minorHAnsi"/>
        </w:rPr>
        <w:t xml:space="preserve"> activity data</w:t>
      </w:r>
      <w:r w:rsidRPr="00704036">
        <w:rPr>
          <w:rFonts w:eastAsia="Calibri" w:cstheme="minorHAnsi"/>
          <w:vertAlign w:val="superscript"/>
        </w:rPr>
        <w:footnoteReference w:id="18"/>
      </w:r>
      <w:r w:rsidRPr="00704036">
        <w:rPr>
          <w:rFonts w:eastAsia="Calibri" w:cstheme="minorHAnsi"/>
        </w:rPr>
        <w:t xml:space="preserve"> </w:t>
      </w:r>
      <w:r>
        <w:rPr>
          <w:rFonts w:eastAsia="Calibri" w:cstheme="minorHAnsi"/>
        </w:rPr>
        <w:t>prior to</w:t>
      </w:r>
      <w:r w:rsidRPr="00704036">
        <w:rPr>
          <w:rFonts w:eastAsia="Calibri" w:cstheme="minorHAnsi"/>
        </w:rPr>
        <w:t xml:space="preserve"> </w:t>
      </w:r>
      <w:r>
        <w:rPr>
          <w:rFonts w:eastAsia="Calibri" w:cstheme="minorHAnsi"/>
        </w:rPr>
        <w:t>2014-15</w:t>
      </w:r>
      <w:r w:rsidRPr="00704036">
        <w:rPr>
          <w:rFonts w:eastAsia="Calibri" w:cstheme="minorHAnsi"/>
        </w:rPr>
        <w:t xml:space="preserve">, and comparisons are made between actual and model costs to determine the scaling of the </w:t>
      </w:r>
      <w:r>
        <w:rPr>
          <w:rFonts w:eastAsia="Calibri" w:cstheme="minorHAnsi"/>
        </w:rPr>
        <w:t>2014-15</w:t>
      </w:r>
      <w:r w:rsidRPr="00704036">
        <w:rPr>
          <w:rFonts w:eastAsia="Calibri" w:cstheme="minorHAnsi"/>
        </w:rPr>
        <w:t xml:space="preserve"> cost model required to equalise each year’s model costs and actual costs. The trend of these scaling factors from </w:t>
      </w:r>
      <w:r w:rsidRPr="00801AF5">
        <w:rPr>
          <w:rFonts w:eastAsia="Calibri" w:cstheme="minorHAnsi"/>
        </w:rPr>
        <w:t>2009-10 to 2014-15</w:t>
      </w:r>
      <w:r w:rsidRPr="00704036">
        <w:rPr>
          <w:rFonts w:eastAsia="Calibri" w:cstheme="minorHAnsi"/>
        </w:rPr>
        <w:t xml:space="preserve"> is then projected to model the indexation rate for the following </w:t>
      </w:r>
      <w:r w:rsidRPr="00801AF5">
        <w:rPr>
          <w:rFonts w:eastAsia="Calibri" w:cstheme="minorHAnsi"/>
        </w:rPr>
        <w:t>three years</w:t>
      </w:r>
      <w:r w:rsidRPr="00704036">
        <w:rPr>
          <w:rFonts w:eastAsia="Calibri" w:cstheme="minorHAnsi"/>
        </w:rPr>
        <w:t>.</w:t>
      </w:r>
    </w:p>
    <w:p w14:paraId="7838B06F" w14:textId="3F80E5DE" w:rsidR="00542CD9" w:rsidRDefault="000C2251">
      <w:pPr>
        <w:rPr>
          <w:rFonts w:eastAsia="Calibri" w:cstheme="minorHAnsi"/>
        </w:rPr>
      </w:pPr>
      <w:r w:rsidRPr="00E5091C">
        <w:rPr>
          <w:rFonts w:eastAsia="Calibri" w:cstheme="minorHAnsi"/>
        </w:rPr>
        <w:fldChar w:fldCharType="begin"/>
      </w:r>
      <w:r w:rsidRPr="000C2251">
        <w:rPr>
          <w:rFonts w:eastAsia="Calibri" w:cstheme="minorHAnsi"/>
        </w:rPr>
        <w:instrText xml:space="preserve"> REF _Ref468265806 \h </w:instrText>
      </w:r>
      <w:r w:rsidRPr="000351BD">
        <w:rPr>
          <w:rFonts w:eastAsia="Calibri" w:cstheme="minorHAnsi"/>
        </w:rPr>
        <w:instrText xml:space="preserve"> \* MERGEFORMAT </w:instrText>
      </w:r>
      <w:r w:rsidRPr="00E5091C">
        <w:rPr>
          <w:rFonts w:eastAsia="Calibri" w:cstheme="minorHAnsi"/>
        </w:rPr>
      </w:r>
      <w:r w:rsidRPr="00E5091C">
        <w:rPr>
          <w:rFonts w:eastAsia="Calibri" w:cstheme="minorHAnsi"/>
        </w:rPr>
        <w:fldChar w:fldCharType="separate"/>
      </w:r>
      <w:r w:rsidR="00F84458" w:rsidRPr="00F84458">
        <w:t xml:space="preserve">Figure </w:t>
      </w:r>
      <w:r w:rsidR="00F84458" w:rsidRPr="00F84458">
        <w:rPr>
          <w:noProof/>
        </w:rPr>
        <w:t>7</w:t>
      </w:r>
      <w:r w:rsidRPr="00E5091C">
        <w:rPr>
          <w:rFonts w:eastAsia="Calibri" w:cstheme="minorHAnsi"/>
        </w:rPr>
        <w:fldChar w:fldCharType="end"/>
      </w:r>
      <w:r w:rsidRPr="000C2251">
        <w:rPr>
          <w:rFonts w:eastAsia="Calibri" w:cstheme="minorHAnsi"/>
        </w:rPr>
        <w:t xml:space="preserve"> </w:t>
      </w:r>
      <w:r w:rsidR="00D313E0" w:rsidRPr="000C2251">
        <w:rPr>
          <w:rFonts w:eastAsia="Calibri" w:cstheme="minorHAnsi"/>
        </w:rPr>
        <w:t>illustrates the 2014-15 cost model applied to patient costed admitted acute activity data</w:t>
      </w:r>
      <w:r w:rsidR="00D313E0" w:rsidRPr="00704036">
        <w:rPr>
          <w:rFonts w:eastAsia="Calibri" w:cstheme="minorHAnsi"/>
        </w:rPr>
        <w:t xml:space="preserve"> and shows the scaling factors required to ensure the model costs are equalised with actual costs. Since the </w:t>
      </w:r>
      <w:r w:rsidR="00D313E0">
        <w:rPr>
          <w:rFonts w:eastAsia="Calibri" w:cstheme="minorHAnsi"/>
        </w:rPr>
        <w:t>2014-15</w:t>
      </w:r>
      <w:r w:rsidR="00D313E0" w:rsidRPr="00704036">
        <w:rPr>
          <w:rFonts w:eastAsia="Calibri" w:cstheme="minorHAnsi"/>
        </w:rPr>
        <w:t xml:space="preserve"> cost model itself is equalised against </w:t>
      </w:r>
      <w:r w:rsidR="00D313E0">
        <w:rPr>
          <w:rFonts w:eastAsia="Calibri" w:cstheme="minorHAnsi"/>
        </w:rPr>
        <w:t>2014-15</w:t>
      </w:r>
      <w:r w:rsidR="00D313E0" w:rsidRPr="00704036">
        <w:rPr>
          <w:rFonts w:eastAsia="Calibri" w:cstheme="minorHAnsi"/>
        </w:rPr>
        <w:t xml:space="preserve"> actual costs, the scaling factor for </w:t>
      </w:r>
      <w:r w:rsidR="00D313E0">
        <w:rPr>
          <w:rFonts w:eastAsia="Calibri" w:cstheme="minorHAnsi"/>
        </w:rPr>
        <w:t>2014-15</w:t>
      </w:r>
      <w:r w:rsidR="00D313E0" w:rsidRPr="00704036">
        <w:rPr>
          <w:rFonts w:eastAsia="Calibri" w:cstheme="minorHAnsi"/>
        </w:rPr>
        <w:t xml:space="preserve"> is equal to 1 (i.e. no scaling required). Going back through the </w:t>
      </w:r>
      <w:r w:rsidR="00D313E0" w:rsidRPr="00801AF5">
        <w:rPr>
          <w:rFonts w:eastAsia="Calibri" w:cstheme="minorHAnsi"/>
        </w:rPr>
        <w:t>prior five years</w:t>
      </w:r>
      <w:r w:rsidR="00D313E0" w:rsidRPr="00704036">
        <w:rPr>
          <w:rFonts w:eastAsia="Calibri" w:cstheme="minorHAnsi"/>
        </w:rPr>
        <w:t xml:space="preserve"> of cost </w:t>
      </w:r>
      <w:r w:rsidR="00D313E0" w:rsidRPr="00704036">
        <w:rPr>
          <w:rFonts w:eastAsia="Calibri" w:cstheme="minorHAnsi"/>
        </w:rPr>
        <w:lastRenderedPageBreak/>
        <w:t xml:space="preserve">data, scaling factors of less than 1 are required to deflate the modelled costs down to the level of the actual costs. </w:t>
      </w:r>
    </w:p>
    <w:p w14:paraId="04086174" w14:textId="501CA4CC" w:rsidR="00D313E0" w:rsidRPr="00704036" w:rsidRDefault="00D313E0" w:rsidP="002D606E">
      <w:pPr>
        <w:spacing w:after="0" w:line="240" w:lineRule="auto"/>
        <w:rPr>
          <w:rFonts w:eastAsia="Calibri" w:cstheme="minorHAnsi"/>
        </w:rPr>
      </w:pPr>
      <w:r w:rsidRPr="00704036">
        <w:rPr>
          <w:rFonts w:eastAsia="Calibri" w:cstheme="minorHAnsi"/>
        </w:rPr>
        <w:t>This time series of scaling factors</w:t>
      </w:r>
      <w:r>
        <w:rPr>
          <w:rFonts w:eastAsia="Calibri" w:cstheme="minorHAnsi"/>
        </w:rPr>
        <w:t>,</w:t>
      </w:r>
    </w:p>
    <w:p w14:paraId="508F47D3" w14:textId="77777777" w:rsidR="00D313E0" w:rsidRPr="00BD4DD8" w:rsidRDefault="00D313E0" w:rsidP="002D606E">
      <w:pPr>
        <w:spacing w:before="100" w:beforeAutospacing="1" w:after="100" w:afterAutospacing="1"/>
        <w:rPr>
          <w:rFonts w:eastAsia="Calibri" w:cstheme="minorHAnsi"/>
        </w:rPr>
      </w:pPr>
      <w:proofErr w:type="gramStart"/>
      <w:r w:rsidRPr="00801AF5">
        <w:rPr>
          <w:rFonts w:eastAsia="Calibri" w:cstheme="minorHAnsi"/>
          <w:i/>
        </w:rPr>
        <w:t>s</w:t>
      </w:r>
      <w:r w:rsidRPr="00801AF5">
        <w:rPr>
          <w:rFonts w:eastAsia="Calibri" w:cstheme="minorHAnsi"/>
          <w:i/>
          <w:vertAlign w:val="subscript"/>
        </w:rPr>
        <w:t>200</w:t>
      </w:r>
      <w:r>
        <w:rPr>
          <w:rFonts w:eastAsia="Calibri" w:cstheme="minorHAnsi"/>
          <w:i/>
          <w:vertAlign w:val="subscript"/>
        </w:rPr>
        <w:t>9</w:t>
      </w:r>
      <w:r w:rsidRPr="00801AF5">
        <w:rPr>
          <w:rFonts w:eastAsia="Calibri" w:cstheme="minorHAnsi"/>
          <w:i/>
          <w:vertAlign w:val="subscript"/>
        </w:rPr>
        <w:t>-</w:t>
      </w:r>
      <w:r>
        <w:rPr>
          <w:rFonts w:eastAsia="Calibri" w:cstheme="minorHAnsi"/>
          <w:i/>
          <w:vertAlign w:val="subscript"/>
        </w:rPr>
        <w:t>10</w:t>
      </w:r>
      <w:proofErr w:type="gramEnd"/>
      <w:r w:rsidRPr="00BD4DD8">
        <w:rPr>
          <w:rFonts w:eastAsia="Calibri" w:cstheme="minorHAnsi"/>
        </w:rPr>
        <w:t xml:space="preserve"> </w:t>
      </w:r>
      <w:r w:rsidRPr="00BD4DD8">
        <w:rPr>
          <w:rFonts w:eastAsia="Calibri" w:cstheme="minorHAnsi"/>
        </w:rPr>
        <w:sym w:font="Wingdings" w:char="F0E0"/>
      </w:r>
      <w:r w:rsidRPr="00BD4DD8">
        <w:rPr>
          <w:rFonts w:eastAsia="Calibri" w:cstheme="minorHAnsi"/>
        </w:rPr>
        <w:t xml:space="preserve"> </w:t>
      </w:r>
      <w:r w:rsidRPr="00BD4DD8">
        <w:rPr>
          <w:rFonts w:eastAsia="Calibri" w:cstheme="minorHAnsi"/>
          <w:b/>
        </w:rPr>
        <w:t>…</w:t>
      </w:r>
      <w:r w:rsidRPr="00BD4DD8">
        <w:rPr>
          <w:rFonts w:eastAsia="Calibri" w:cstheme="minorHAnsi"/>
        </w:rPr>
        <w:t xml:space="preserve"> </w:t>
      </w:r>
      <w:r w:rsidRPr="00BD4DD8">
        <w:rPr>
          <w:rFonts w:eastAsia="Calibri" w:cstheme="minorHAnsi"/>
        </w:rPr>
        <w:sym w:font="Wingdings" w:char="F0E0"/>
      </w:r>
      <w:r w:rsidRPr="00BD4DD8">
        <w:rPr>
          <w:rFonts w:eastAsia="Calibri" w:cstheme="minorHAnsi"/>
        </w:rPr>
        <w:t xml:space="preserve"> </w:t>
      </w:r>
      <w:r w:rsidRPr="00BD4DD8">
        <w:rPr>
          <w:rFonts w:eastAsia="Calibri" w:cstheme="minorHAnsi"/>
          <w:i/>
        </w:rPr>
        <w:t>s</w:t>
      </w:r>
      <w:r w:rsidRPr="00BD4DD8">
        <w:rPr>
          <w:rFonts w:eastAsia="Calibri" w:cstheme="minorHAnsi"/>
          <w:i/>
          <w:vertAlign w:val="subscript"/>
        </w:rPr>
        <w:t>2014-15</w:t>
      </w:r>
      <w:r>
        <w:rPr>
          <w:rFonts w:eastAsia="Calibri" w:cstheme="minorHAnsi"/>
          <w:i/>
          <w:vertAlign w:val="subscript"/>
        </w:rPr>
        <w:t>,</w:t>
      </w:r>
    </w:p>
    <w:p w14:paraId="23C35BB2" w14:textId="77777777" w:rsidR="00D313E0" w:rsidRPr="00704036" w:rsidRDefault="00D313E0" w:rsidP="002D606E">
      <w:pPr>
        <w:spacing w:before="100" w:beforeAutospacing="1" w:after="100" w:afterAutospacing="1"/>
        <w:rPr>
          <w:rFonts w:eastAsia="Calibri" w:cstheme="minorHAnsi"/>
        </w:rPr>
      </w:pPr>
      <w:proofErr w:type="gramStart"/>
      <w:r w:rsidRPr="00704036">
        <w:rPr>
          <w:rFonts w:eastAsia="Calibri" w:cstheme="minorHAnsi"/>
        </w:rPr>
        <w:t>is</w:t>
      </w:r>
      <w:proofErr w:type="gramEnd"/>
      <w:r w:rsidRPr="00704036">
        <w:rPr>
          <w:rFonts w:eastAsia="Calibri" w:cstheme="minorHAnsi"/>
        </w:rPr>
        <w:t xml:space="preserve"> then used to model an annual scaling factor, denoted </w:t>
      </w:r>
      <w:r w:rsidRPr="00BD4DD8">
        <w:rPr>
          <w:rFonts w:eastAsia="Calibri" w:cstheme="minorHAnsi"/>
          <w:b/>
          <w:i/>
        </w:rPr>
        <w:t>s</w:t>
      </w:r>
      <w:r w:rsidRPr="00704036">
        <w:rPr>
          <w:rFonts w:eastAsia="Calibri" w:cstheme="minorHAnsi"/>
        </w:rPr>
        <w:t xml:space="preserve">, which would inflate the </w:t>
      </w:r>
      <w:r>
        <w:rPr>
          <w:rFonts w:eastAsia="Calibri" w:cstheme="minorHAnsi"/>
        </w:rPr>
        <w:t>2014-15</w:t>
      </w:r>
      <w:r w:rsidRPr="00704036">
        <w:rPr>
          <w:rFonts w:eastAsia="Calibri" w:cstheme="minorHAnsi"/>
        </w:rPr>
        <w:t xml:space="preserve"> cost model up to </w:t>
      </w:r>
      <w:r>
        <w:rPr>
          <w:rFonts w:eastAsia="Calibri" w:cstheme="minorHAnsi"/>
        </w:rPr>
        <w:t>2017-18</w:t>
      </w:r>
      <w:r w:rsidRPr="00704036">
        <w:rPr>
          <w:rFonts w:eastAsia="Calibri" w:cstheme="minorHAnsi"/>
        </w:rPr>
        <w:t xml:space="preserve"> projected actual costs. The indexation rate is then based on this annual scaling factor.</w:t>
      </w:r>
    </w:p>
    <w:p w14:paraId="18A180AD" w14:textId="71FB4AAB" w:rsidR="00D313E0" w:rsidRPr="00704036" w:rsidRDefault="000C2251" w:rsidP="002D606E">
      <w:pPr>
        <w:spacing w:before="100" w:beforeAutospacing="1" w:after="100" w:afterAutospacing="1"/>
        <w:rPr>
          <w:rFonts w:eastAsia="Calibri" w:cstheme="minorHAnsi"/>
        </w:rPr>
      </w:pPr>
      <w:r w:rsidRPr="00E5091C">
        <w:rPr>
          <w:rFonts w:eastAsia="Calibri" w:cstheme="minorHAnsi"/>
        </w:rPr>
        <w:fldChar w:fldCharType="begin"/>
      </w:r>
      <w:r w:rsidRPr="000C2251">
        <w:rPr>
          <w:rFonts w:eastAsia="Calibri" w:cstheme="minorHAnsi"/>
        </w:rPr>
        <w:instrText xml:space="preserve"> REF _Ref468265806 \h </w:instrText>
      </w:r>
      <w:r w:rsidRPr="000351BD">
        <w:rPr>
          <w:rFonts w:eastAsia="Calibri" w:cstheme="minorHAnsi"/>
        </w:rPr>
        <w:instrText xml:space="preserve"> \* MERGEFORMAT </w:instrText>
      </w:r>
      <w:r w:rsidRPr="00E5091C">
        <w:rPr>
          <w:rFonts w:eastAsia="Calibri" w:cstheme="minorHAnsi"/>
        </w:rPr>
      </w:r>
      <w:r w:rsidRPr="00E5091C">
        <w:rPr>
          <w:rFonts w:eastAsia="Calibri" w:cstheme="minorHAnsi"/>
        </w:rPr>
        <w:fldChar w:fldCharType="separate"/>
      </w:r>
      <w:r w:rsidR="00F84458" w:rsidRPr="00F84458">
        <w:t xml:space="preserve">Figure </w:t>
      </w:r>
      <w:r w:rsidR="00F84458" w:rsidRPr="00F84458">
        <w:rPr>
          <w:noProof/>
        </w:rPr>
        <w:t>7</w:t>
      </w:r>
      <w:r w:rsidRPr="00E5091C">
        <w:rPr>
          <w:rFonts w:eastAsia="Calibri" w:cstheme="minorHAnsi"/>
        </w:rPr>
        <w:fldChar w:fldCharType="end"/>
      </w:r>
      <w:r w:rsidRPr="000C2251">
        <w:rPr>
          <w:rFonts w:eastAsia="Calibri" w:cstheme="minorHAnsi"/>
        </w:rPr>
        <w:t xml:space="preserve"> </w:t>
      </w:r>
      <w:r w:rsidR="00D313E0" w:rsidRPr="000C2251">
        <w:rPr>
          <w:rFonts w:eastAsia="Calibri" w:cstheme="minorHAnsi"/>
        </w:rPr>
        <w:t xml:space="preserve">also illustrates the projected annual scaling factor, </w:t>
      </w:r>
      <w:r w:rsidR="00D313E0" w:rsidRPr="000C2251">
        <w:rPr>
          <w:rFonts w:eastAsia="Calibri" w:cstheme="minorHAnsi"/>
          <w:i/>
        </w:rPr>
        <w:t>s,</w:t>
      </w:r>
      <w:r w:rsidR="00D313E0" w:rsidRPr="000C2251">
        <w:rPr>
          <w:rFonts w:eastAsia="Calibri" w:cstheme="minorHAnsi"/>
        </w:rPr>
        <w:t xml:space="preserve"> together with projected actual and</w:t>
      </w:r>
      <w:r w:rsidR="00D313E0" w:rsidRPr="00704036">
        <w:rPr>
          <w:rFonts w:eastAsia="Calibri" w:cstheme="minorHAnsi"/>
        </w:rPr>
        <w:t xml:space="preserve"> model costs. The </w:t>
      </w:r>
      <w:r w:rsidR="00D313E0">
        <w:rPr>
          <w:rFonts w:eastAsia="Calibri" w:cstheme="minorHAnsi"/>
        </w:rPr>
        <w:t>2017-18</w:t>
      </w:r>
      <w:r w:rsidR="00D313E0" w:rsidRPr="00704036">
        <w:rPr>
          <w:rFonts w:eastAsia="Calibri" w:cstheme="minorHAnsi"/>
        </w:rPr>
        <w:t xml:space="preserve"> projected scaling factor of </w:t>
      </w:r>
      <w:r w:rsidR="00D313E0" w:rsidRPr="00704036">
        <w:rPr>
          <w:rFonts w:eastAsia="Calibri" w:cstheme="minorHAnsi"/>
          <w:i/>
        </w:rPr>
        <w:t>s</w:t>
      </w:r>
      <w:r w:rsidR="00D313E0" w:rsidRPr="00704036">
        <w:rPr>
          <w:rFonts w:eastAsia="Calibri" w:cstheme="minorHAnsi"/>
          <w:i/>
          <w:vertAlign w:val="superscript"/>
        </w:rPr>
        <w:t>3</w:t>
      </w:r>
      <w:r w:rsidR="00D313E0" w:rsidRPr="00704036">
        <w:rPr>
          <w:rFonts w:eastAsia="Calibri" w:cstheme="minorHAnsi"/>
        </w:rPr>
        <w:t xml:space="preserve"> is pictured alongside projected actual and model costs to illustrate that the </w:t>
      </w:r>
      <w:r w:rsidR="00D313E0">
        <w:rPr>
          <w:rFonts w:eastAsia="Calibri" w:cstheme="minorHAnsi"/>
        </w:rPr>
        <w:t>2014-15</w:t>
      </w:r>
      <w:r w:rsidR="00D313E0" w:rsidRPr="00704036">
        <w:rPr>
          <w:rFonts w:eastAsia="Calibri" w:cstheme="minorHAnsi"/>
        </w:rPr>
        <w:t xml:space="preserve"> cost model would require scaling by </w:t>
      </w:r>
      <w:r w:rsidR="00D313E0" w:rsidRPr="00704036">
        <w:rPr>
          <w:rFonts w:eastAsia="Calibri" w:cstheme="minorHAnsi"/>
          <w:i/>
        </w:rPr>
        <w:t>s</w:t>
      </w:r>
      <w:r w:rsidR="00D313E0" w:rsidRPr="00704036">
        <w:rPr>
          <w:rFonts w:eastAsia="Calibri" w:cstheme="minorHAnsi"/>
          <w:i/>
          <w:vertAlign w:val="superscript"/>
        </w:rPr>
        <w:t>3</w:t>
      </w:r>
      <w:r w:rsidR="00D313E0" w:rsidRPr="00704036">
        <w:rPr>
          <w:rFonts w:eastAsia="Calibri" w:cstheme="minorHAnsi"/>
        </w:rPr>
        <w:t xml:space="preserve"> to ensure that the resulting ‘</w:t>
      </w:r>
      <w:r w:rsidR="00D313E0" w:rsidRPr="00704036">
        <w:rPr>
          <w:rFonts w:eastAsia="Calibri" w:cstheme="minorHAnsi"/>
          <w:i/>
        </w:rPr>
        <w:t>s</w:t>
      </w:r>
      <w:r w:rsidR="00D313E0" w:rsidRPr="00704036">
        <w:rPr>
          <w:rFonts w:eastAsia="Calibri" w:cstheme="minorHAnsi"/>
          <w:i/>
          <w:vertAlign w:val="superscript"/>
        </w:rPr>
        <w:t>3</w:t>
      </w:r>
      <w:r w:rsidR="00D313E0" w:rsidRPr="00704036">
        <w:rPr>
          <w:rFonts w:eastAsia="Calibri" w:cstheme="minorHAnsi"/>
        </w:rPr>
        <w:t xml:space="preserve">-scaled </w:t>
      </w:r>
      <w:r w:rsidR="00D313E0">
        <w:rPr>
          <w:rFonts w:eastAsia="Calibri" w:cstheme="minorHAnsi"/>
        </w:rPr>
        <w:t>2014-15</w:t>
      </w:r>
      <w:r w:rsidR="00D313E0" w:rsidRPr="00704036">
        <w:rPr>
          <w:rFonts w:eastAsia="Calibri" w:cstheme="minorHAnsi"/>
        </w:rPr>
        <w:t xml:space="preserve"> cost model’, when applied to </w:t>
      </w:r>
      <w:r w:rsidR="00D313E0">
        <w:rPr>
          <w:rFonts w:eastAsia="Calibri" w:cstheme="minorHAnsi"/>
        </w:rPr>
        <w:t>2017-18</w:t>
      </w:r>
      <w:r w:rsidR="00D313E0" w:rsidRPr="00704036">
        <w:rPr>
          <w:rFonts w:eastAsia="Calibri" w:cstheme="minorHAnsi"/>
        </w:rPr>
        <w:t xml:space="preserve"> patient costed activity, would estimate the actual costs of the activity. </w:t>
      </w:r>
    </w:p>
    <w:p w14:paraId="06D22B7E" w14:textId="13FB89F5" w:rsidR="00D313E0" w:rsidRPr="0063574B" w:rsidRDefault="00D313E0" w:rsidP="00D04B94">
      <w:pPr>
        <w:spacing w:after="0" w:line="240" w:lineRule="auto"/>
        <w:rPr>
          <w:b/>
        </w:rPr>
      </w:pPr>
      <w:bookmarkStart w:id="795" w:name="_Ref468265806"/>
      <w:bookmarkStart w:id="796" w:name="_Ref467584852"/>
      <w:r w:rsidRPr="0063574B">
        <w:rPr>
          <w:b/>
        </w:rPr>
        <w:t xml:space="preserve">Figure </w:t>
      </w:r>
      <w:r w:rsidRPr="0063574B">
        <w:rPr>
          <w:b/>
        </w:rPr>
        <w:fldChar w:fldCharType="begin"/>
      </w:r>
      <w:r w:rsidRPr="0063574B">
        <w:rPr>
          <w:b/>
        </w:rPr>
        <w:instrText xml:space="preserve"> SEQ Figure \* ARABIC </w:instrText>
      </w:r>
      <w:r w:rsidRPr="0063574B">
        <w:rPr>
          <w:b/>
        </w:rPr>
        <w:fldChar w:fldCharType="separate"/>
      </w:r>
      <w:r w:rsidR="00F84458">
        <w:rPr>
          <w:b/>
          <w:noProof/>
        </w:rPr>
        <w:t>7</w:t>
      </w:r>
      <w:r w:rsidRPr="0063574B">
        <w:rPr>
          <w:b/>
        </w:rPr>
        <w:fldChar w:fldCharType="end"/>
      </w:r>
      <w:bookmarkEnd w:id="795"/>
      <w:r w:rsidRPr="0063574B">
        <w:rPr>
          <w:b/>
        </w:rPr>
        <w:t>: Illustration of scaling factors required to equalise model and actual costs.</w:t>
      </w:r>
      <w:bookmarkEnd w:id="796"/>
    </w:p>
    <w:p w14:paraId="47DB2E8E" w14:textId="370EE59B" w:rsidR="00D313E0" w:rsidRPr="00704036" w:rsidRDefault="00D313E0" w:rsidP="00D04B94">
      <w:pPr>
        <w:spacing w:after="100" w:afterAutospacing="1"/>
        <w:jc w:val="center"/>
        <w:rPr>
          <w:rFonts w:eastAsia="Calibri" w:cs="Arial"/>
          <w:sz w:val="18"/>
        </w:rPr>
      </w:pPr>
      <w:r w:rsidRPr="00767441">
        <w:rPr>
          <w:rFonts w:ascii="Calibri" w:eastAsia="Calibri" w:hAnsi="Calibri"/>
          <w:noProof/>
        </w:rPr>
        <mc:AlternateContent>
          <mc:Choice Requires="wpc">
            <w:drawing>
              <wp:inline distT="0" distB="0" distL="0" distR="0" wp14:anchorId="31E3D329" wp14:editId="3CF8FD01">
                <wp:extent cx="4857750" cy="3371850"/>
                <wp:effectExtent l="0" t="0" r="19050" b="19050"/>
                <wp:docPr id="114" name="Canvas 114" descr="A summary of Figure 3 is outlined in the text prior to this figure. "/>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8" name="Rectangle 19"/>
                        <wps:cNvSpPr/>
                        <wps:spPr>
                          <a:xfrm>
                            <a:off x="555070" y="1755249"/>
                            <a:ext cx="166254" cy="504173"/>
                          </a:xfrm>
                          <a:prstGeom prst="rect">
                            <a:avLst/>
                          </a:prstGeom>
                          <a:solidFill>
                            <a:srgbClr val="9BBB59">
                              <a:lumMod val="75000"/>
                            </a:srgbClr>
                          </a:solidFill>
                          <a:ln w="127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0"/>
                        <wps:cNvSpPr/>
                        <wps:spPr>
                          <a:xfrm>
                            <a:off x="721324" y="1470067"/>
                            <a:ext cx="165735" cy="789356"/>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14:paraId="02338B37" w14:textId="77777777" w:rsidR="00F84458" w:rsidRDefault="00F84458" w:rsidP="00D313E0"/>
                            <w:p w14:paraId="0E707E52"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1"/>
                        <wps:cNvCnPr/>
                        <wps:spPr>
                          <a:xfrm>
                            <a:off x="634583" y="1470067"/>
                            <a:ext cx="0" cy="285182"/>
                          </a:xfrm>
                          <a:prstGeom prst="straightConnector1">
                            <a:avLst/>
                          </a:prstGeom>
                          <a:noFill/>
                          <a:ln w="9525" cap="flat" cmpd="sng" algn="ctr">
                            <a:solidFill>
                              <a:sysClr val="windowText" lastClr="000000"/>
                            </a:solidFill>
                            <a:prstDash val="solid"/>
                            <a:tailEnd type="arrow" w="sm" len="sm"/>
                          </a:ln>
                          <a:effectLst/>
                        </wps:spPr>
                        <wps:bodyPr/>
                      </wps:wsp>
                      <wps:wsp>
                        <wps:cNvPr id="23" name="Oval 22"/>
                        <wps:cNvSpPr/>
                        <wps:spPr>
                          <a:xfrm>
                            <a:off x="1110006" y="1881684"/>
                            <a:ext cx="45719" cy="45719"/>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3"/>
                        <wps:cNvSpPr/>
                        <wps:spPr>
                          <a:xfrm>
                            <a:off x="1317836" y="1882318"/>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14:paraId="1050D684" w14:textId="77777777" w:rsidR="00F84458" w:rsidRDefault="00F84458" w:rsidP="00D313E0"/>
                            <w:p w14:paraId="084243B3"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Oval 24"/>
                        <wps:cNvSpPr/>
                        <wps:spPr>
                          <a:xfrm>
                            <a:off x="1524570" y="1881684"/>
                            <a:ext cx="45085" cy="45085"/>
                          </a:xfrm>
                          <a:prstGeom prst="ellipse">
                            <a:avLst/>
                          </a:prstGeom>
                          <a:solidFill>
                            <a:sysClr val="windowText" lastClr="000000"/>
                          </a:solidFill>
                          <a:ln w="25400" cap="flat" cmpd="sng" algn="ctr">
                            <a:solidFill>
                              <a:sysClr val="windowText" lastClr="000000"/>
                            </a:solidFill>
                            <a:prstDash val="solid"/>
                          </a:ln>
                          <a:effectLst/>
                        </wps:spPr>
                        <wps:txbx>
                          <w:txbxContent>
                            <w:p w14:paraId="38FA8543" w14:textId="77777777" w:rsidR="00F84458" w:rsidRDefault="00F84458" w:rsidP="00D313E0"/>
                            <w:p w14:paraId="7DD736AD"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11"/>
                        <wps:cNvSpPr txBox="1"/>
                        <wps:spPr>
                          <a:xfrm>
                            <a:off x="1204280" y="1151787"/>
                            <a:ext cx="699035" cy="298450"/>
                          </a:xfrm>
                          <a:prstGeom prst="rect">
                            <a:avLst/>
                          </a:prstGeom>
                          <a:noFill/>
                          <a:ln w="6350">
                            <a:noFill/>
                          </a:ln>
                          <a:effectLst/>
                        </wps:spPr>
                        <wps:txbx>
                          <w:txbxContent>
                            <w:p w14:paraId="36E289F4" w14:textId="77777777" w:rsidR="00F84458" w:rsidRPr="00490D61" w:rsidRDefault="00F84458" w:rsidP="00D313E0">
                              <w:pPr>
                                <w:pStyle w:val="NormalWeb"/>
                                <w:spacing w:before="0" w:after="200" w:line="276" w:lineRule="auto"/>
                                <w:rPr>
                                  <w:rFonts w:asciiTheme="minorHAnsi" w:hAnsiTheme="minorHAnsi"/>
                                </w:rPr>
                              </w:pPr>
                              <w:r w:rsidRPr="008916CD">
                                <w:rPr>
                                  <w:rFonts w:asciiTheme="minorHAnsi" w:hAnsiTheme="minorHAnsi"/>
                                  <w:i/>
                                  <w:vertAlign w:val="superscript"/>
                                </w:rPr>
                                <w:t>S</w:t>
                              </w:r>
                              <w:r>
                                <w:rPr>
                                  <w:rFonts w:asciiTheme="minorHAnsi" w:hAnsiTheme="minorHAnsi"/>
                                  <w:vertAlign w:val="subscript"/>
                                </w:rPr>
                                <w:t>2013-14</w:t>
                              </w:r>
                            </w:p>
                            <w:p w14:paraId="2BD3394C"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Rectangle 26"/>
                        <wps:cNvSpPr/>
                        <wps:spPr>
                          <a:xfrm>
                            <a:off x="1756345" y="1404607"/>
                            <a:ext cx="165735" cy="854182"/>
                          </a:xfrm>
                          <a:prstGeom prst="rect">
                            <a:avLst/>
                          </a:prstGeom>
                          <a:solidFill>
                            <a:srgbClr val="9BBB59">
                              <a:lumMod val="75000"/>
                            </a:srgbClr>
                          </a:solidFill>
                          <a:ln w="12700" cap="flat" cmpd="sng" algn="ctr">
                            <a:solidFill>
                              <a:srgbClr val="9BBB59">
                                <a:lumMod val="50000"/>
                              </a:srgbClr>
                            </a:solidFill>
                            <a:prstDash val="solid"/>
                          </a:ln>
                          <a:effectLst/>
                        </wps:spPr>
                        <wps:txbx>
                          <w:txbxContent>
                            <w:p w14:paraId="6A7FD31F" w14:textId="77777777" w:rsidR="00F84458" w:rsidRDefault="00F84458" w:rsidP="00D313E0"/>
                            <w:p w14:paraId="44D34B91"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27"/>
                        <wps:cNvSpPr/>
                        <wps:spPr>
                          <a:xfrm>
                            <a:off x="1922715" y="1293288"/>
                            <a:ext cx="165735" cy="966136"/>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14:paraId="13AB7A9F" w14:textId="77777777" w:rsidR="00F84458" w:rsidRDefault="00F84458" w:rsidP="00D313E0">
                              <w:pPr>
                                <w:pStyle w:val="NormalWeb"/>
                                <w:spacing w:before="0" w:after="200" w:line="276" w:lineRule="auto"/>
                              </w:pPr>
                            </w:p>
                            <w:p w14:paraId="348BEF91"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Straight Arrow Connector 28"/>
                        <wps:cNvCnPr/>
                        <wps:spPr>
                          <a:xfrm>
                            <a:off x="1835720" y="1293288"/>
                            <a:ext cx="0" cy="108081"/>
                          </a:xfrm>
                          <a:prstGeom prst="straightConnector1">
                            <a:avLst/>
                          </a:prstGeom>
                          <a:noFill/>
                          <a:ln w="9525" cap="flat" cmpd="sng" algn="ctr">
                            <a:solidFill>
                              <a:sysClr val="windowText" lastClr="000000"/>
                            </a:solidFill>
                            <a:prstDash val="solid"/>
                            <a:tailEnd type="arrow" w="sm" len="sm"/>
                          </a:ln>
                          <a:effectLst/>
                        </wps:spPr>
                        <wps:bodyPr/>
                      </wps:wsp>
                      <wps:wsp>
                        <wps:cNvPr id="36" name="Text Box 11"/>
                        <wps:cNvSpPr txBox="1"/>
                        <wps:spPr>
                          <a:xfrm>
                            <a:off x="1922715" y="891747"/>
                            <a:ext cx="1096989" cy="298450"/>
                          </a:xfrm>
                          <a:prstGeom prst="rect">
                            <a:avLst/>
                          </a:prstGeom>
                          <a:noFill/>
                          <a:ln w="6350">
                            <a:noFill/>
                          </a:ln>
                          <a:effectLst/>
                        </wps:spPr>
                        <wps:txbx>
                          <w:txbxContent>
                            <w:p w14:paraId="7A7E6A2F" w14:textId="77777777" w:rsidR="00F84458" w:rsidRPr="008916CD" w:rsidRDefault="00F84458" w:rsidP="00D313E0">
                              <w:pPr>
                                <w:pStyle w:val="NormalWeb"/>
                                <w:spacing w:before="0" w:after="200" w:line="276" w:lineRule="auto"/>
                                <w:jc w:val="center"/>
                                <w:rPr>
                                  <w:rFonts w:asciiTheme="minorHAnsi" w:hAnsiTheme="minorHAnsi"/>
                                  <w:vertAlign w:val="subscript"/>
                                </w:rPr>
                              </w:pPr>
                              <w:r w:rsidRPr="008916CD">
                                <w:rPr>
                                  <w:rFonts w:asciiTheme="minorHAnsi" w:hAnsiTheme="minorHAnsi"/>
                                  <w:i/>
                                  <w:vertAlign w:val="superscript"/>
                                </w:rPr>
                                <w:t>S</w:t>
                              </w:r>
                              <w:r>
                                <w:rPr>
                                  <w:rFonts w:asciiTheme="minorHAnsi" w:hAnsiTheme="minorHAnsi"/>
                                  <w:vertAlign w:val="subscript"/>
                                </w:rPr>
                                <w:t>2014-15</w:t>
                              </w:r>
                              <w:r w:rsidRPr="008916CD">
                                <w:rPr>
                                  <w:rFonts w:asciiTheme="minorHAnsi" w:hAnsiTheme="minorHAnsi"/>
                                  <w:vertAlign w:val="subscript"/>
                                </w:rPr>
                                <w:t xml:space="preserve"> </w:t>
                              </w:r>
                              <w:r w:rsidRPr="008916CD">
                                <w:rPr>
                                  <w:rFonts w:asciiTheme="minorHAnsi" w:hAnsiTheme="minorHAnsi"/>
                                </w:rPr>
                                <w:t>= 1</w:t>
                              </w:r>
                            </w:p>
                            <w:p w14:paraId="5EBC7E4A" w14:textId="77777777" w:rsidR="00F84458" w:rsidRPr="00490D61" w:rsidRDefault="00F84458" w:rsidP="00D313E0">
                              <w:pPr>
                                <w:pStyle w:val="NormalWeb"/>
                                <w:spacing w:before="0" w:after="200" w:line="276" w:lineRule="auto"/>
                                <w:rPr>
                                  <w:rFonts w:asciiTheme="minorHAnsi" w:hAnsiTheme="minorHAnsi"/>
                                </w:rPr>
                              </w:pPr>
                            </w:p>
                            <w:p w14:paraId="0045C869"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Rectangle 30"/>
                        <wps:cNvSpPr/>
                        <wps:spPr>
                          <a:xfrm>
                            <a:off x="2377694" y="1155763"/>
                            <a:ext cx="165735" cy="1111105"/>
                          </a:xfrm>
                          <a:prstGeom prst="rect">
                            <a:avLst/>
                          </a:prstGeom>
                          <a:solidFill>
                            <a:srgbClr val="9BBB59">
                              <a:lumMod val="75000"/>
                            </a:srgbClr>
                          </a:solidFill>
                          <a:ln w="12700" cap="flat" cmpd="sng" algn="ctr">
                            <a:solidFill>
                              <a:srgbClr val="9BBB59">
                                <a:lumMod val="50000"/>
                              </a:srgbClr>
                            </a:solidFill>
                            <a:prstDash val="solid"/>
                          </a:ln>
                          <a:effectLst/>
                        </wps:spPr>
                        <wps:txbx>
                          <w:txbxContent>
                            <w:p w14:paraId="1E683754" w14:textId="77777777" w:rsidR="00F84458" w:rsidRDefault="00F84458" w:rsidP="00D313E0">
                              <w:pPr>
                                <w:pStyle w:val="NormalWeb"/>
                                <w:spacing w:before="0" w:after="200" w:line="276" w:lineRule="auto"/>
                              </w:pPr>
                            </w:p>
                            <w:p w14:paraId="1F1F5370"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1"/>
                        <wps:cNvSpPr/>
                        <wps:spPr>
                          <a:xfrm>
                            <a:off x="2544064" y="1155763"/>
                            <a:ext cx="165735" cy="1111105"/>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14:paraId="525830B2" w14:textId="77777777" w:rsidR="00F84458" w:rsidRDefault="00F84458" w:rsidP="00D313E0">
                              <w:pPr>
                                <w:pStyle w:val="NormalWeb"/>
                                <w:spacing w:before="0" w:after="200" w:line="276" w:lineRule="auto"/>
                              </w:pPr>
                            </w:p>
                            <w:p w14:paraId="1C51021F"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Text Box 11"/>
                        <wps:cNvSpPr txBox="1"/>
                        <wps:spPr>
                          <a:xfrm>
                            <a:off x="3257600" y="802291"/>
                            <a:ext cx="257736" cy="320034"/>
                          </a:xfrm>
                          <a:prstGeom prst="rect">
                            <a:avLst/>
                          </a:prstGeom>
                          <a:noFill/>
                          <a:ln w="6350">
                            <a:noFill/>
                          </a:ln>
                          <a:effectLst/>
                        </wps:spPr>
                        <wps:txbx>
                          <w:txbxContent>
                            <w:p w14:paraId="0B447237" w14:textId="77777777" w:rsidR="00F84458" w:rsidRPr="00BD4DD8" w:rsidRDefault="00F84458" w:rsidP="00D313E0">
                              <w:pPr>
                                <w:pStyle w:val="NormalWeb"/>
                                <w:spacing w:before="0" w:after="200" w:line="276" w:lineRule="auto"/>
                                <w:rPr>
                                  <w:rFonts w:asciiTheme="minorHAnsi" w:hAnsiTheme="minorHAnsi"/>
                                  <w:i/>
                                  <w:vertAlign w:val="subscript"/>
                                </w:rPr>
                              </w:pPr>
                              <w:r w:rsidRPr="00BD4DD8">
                                <w:rPr>
                                  <w:rFonts w:asciiTheme="minorHAnsi" w:hAnsiTheme="minorHAnsi"/>
                                  <w:i/>
                                  <w:vertAlign w:val="subscript"/>
                                </w:rPr>
                                <w:t>S</w:t>
                              </w:r>
                            </w:p>
                            <w:p w14:paraId="5BDE638C"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Rectangle 33"/>
                        <wps:cNvSpPr/>
                        <wps:spPr>
                          <a:xfrm>
                            <a:off x="3019705" y="923552"/>
                            <a:ext cx="165735" cy="1342173"/>
                          </a:xfrm>
                          <a:prstGeom prst="rect">
                            <a:avLst/>
                          </a:prstGeom>
                          <a:solidFill>
                            <a:srgbClr val="9BBB59">
                              <a:lumMod val="75000"/>
                            </a:srgbClr>
                          </a:solidFill>
                          <a:ln w="12700" cap="flat" cmpd="sng" algn="ctr">
                            <a:solidFill>
                              <a:srgbClr val="9BBB59">
                                <a:lumMod val="50000"/>
                              </a:srgbClr>
                            </a:solidFill>
                            <a:prstDash val="solid"/>
                          </a:ln>
                          <a:effectLst/>
                        </wps:spPr>
                        <wps:txbx>
                          <w:txbxContent>
                            <w:p w14:paraId="2BEF68EE" w14:textId="77777777" w:rsidR="00F84458" w:rsidRDefault="00F84458" w:rsidP="00D313E0">
                              <w:pPr>
                                <w:pStyle w:val="NormalWeb"/>
                                <w:spacing w:before="0" w:after="200" w:line="276" w:lineRule="auto"/>
                              </w:pPr>
                            </w:p>
                            <w:p w14:paraId="1A9942DD"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34"/>
                        <wps:cNvSpPr/>
                        <wps:spPr>
                          <a:xfrm>
                            <a:off x="3180137" y="1031502"/>
                            <a:ext cx="165735" cy="1234223"/>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14:paraId="0D51301C" w14:textId="77777777" w:rsidR="00F84458" w:rsidRDefault="00F84458" w:rsidP="00D313E0">
                              <w:pPr>
                                <w:pStyle w:val="NormalWeb"/>
                                <w:spacing w:before="0" w:after="200" w:line="276" w:lineRule="auto"/>
                              </w:pPr>
                            </w:p>
                            <w:p w14:paraId="7EAF678D"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Straight Arrow Connector 35"/>
                        <wps:cNvCnPr/>
                        <wps:spPr>
                          <a:xfrm>
                            <a:off x="3266109" y="923552"/>
                            <a:ext cx="0" cy="107950"/>
                          </a:xfrm>
                          <a:prstGeom prst="straightConnector1">
                            <a:avLst/>
                          </a:prstGeom>
                          <a:noFill/>
                          <a:ln w="9525" cap="flat" cmpd="sng" algn="ctr">
                            <a:solidFill>
                              <a:sysClr val="windowText" lastClr="000000"/>
                            </a:solidFill>
                            <a:prstDash val="solid"/>
                            <a:headEnd type="arrow" w="sm" len="sm"/>
                            <a:tailEnd type="none" w="sm" len="sm"/>
                          </a:ln>
                          <a:effectLst/>
                        </wps:spPr>
                        <wps:bodyPr/>
                      </wps:wsp>
                      <wps:wsp>
                        <wps:cNvPr id="45" name="Text Box 11"/>
                        <wps:cNvSpPr txBox="1"/>
                        <wps:spPr>
                          <a:xfrm>
                            <a:off x="3870569" y="593469"/>
                            <a:ext cx="420221" cy="298122"/>
                          </a:xfrm>
                          <a:prstGeom prst="rect">
                            <a:avLst/>
                          </a:prstGeom>
                          <a:noFill/>
                          <a:ln w="6350">
                            <a:noFill/>
                          </a:ln>
                          <a:effectLst/>
                        </wps:spPr>
                        <wps:txbx>
                          <w:txbxContent>
                            <w:p w14:paraId="58513627" w14:textId="77777777" w:rsidR="00F84458" w:rsidRPr="00C034B3" w:rsidRDefault="00F84458" w:rsidP="00D313E0">
                              <w:pPr>
                                <w:pStyle w:val="NormalWeb"/>
                                <w:spacing w:before="0" w:after="200" w:line="276" w:lineRule="auto"/>
                                <w:rPr>
                                  <w:rFonts w:asciiTheme="minorHAnsi" w:hAnsiTheme="minorHAnsi"/>
                                  <w:sz w:val="28"/>
                                  <w:vertAlign w:val="superscript"/>
                                </w:rPr>
                              </w:pPr>
                              <w:r w:rsidRPr="00C034B3">
                                <w:rPr>
                                  <w:rFonts w:asciiTheme="minorHAnsi" w:hAnsiTheme="minorHAnsi"/>
                                  <w:i/>
                                  <w:szCs w:val="18"/>
                                  <w:vertAlign w:val="subscript"/>
                                </w:rPr>
                                <w:t>S</w:t>
                              </w:r>
                              <w:r w:rsidRPr="00C034B3">
                                <w:rPr>
                                  <w:rFonts w:asciiTheme="minorHAnsi" w:hAnsiTheme="minorHAnsi"/>
                                  <w:i/>
                                  <w:szCs w:val="18"/>
                                  <w:vertAlign w:val="superscript"/>
                                </w:rPr>
                                <w:t>2</w:t>
                              </w:r>
                            </w:p>
                            <w:p w14:paraId="3E97582D"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Rectangle 37"/>
                        <wps:cNvSpPr/>
                        <wps:spPr>
                          <a:xfrm>
                            <a:off x="3660062" y="593573"/>
                            <a:ext cx="165735" cy="1671465"/>
                          </a:xfrm>
                          <a:prstGeom prst="rect">
                            <a:avLst/>
                          </a:prstGeom>
                          <a:solidFill>
                            <a:srgbClr val="9BBB59">
                              <a:lumMod val="75000"/>
                            </a:srgbClr>
                          </a:solidFill>
                          <a:ln w="12700" cap="flat" cmpd="sng" algn="ctr">
                            <a:solidFill>
                              <a:srgbClr val="9BBB59">
                                <a:lumMod val="50000"/>
                              </a:srgbClr>
                            </a:solidFill>
                            <a:prstDash val="solid"/>
                          </a:ln>
                          <a:effectLst/>
                        </wps:spPr>
                        <wps:txbx>
                          <w:txbxContent>
                            <w:p w14:paraId="602CEE86" w14:textId="77777777" w:rsidR="00F84458" w:rsidRDefault="00F84458" w:rsidP="00D313E0">
                              <w:pPr>
                                <w:pStyle w:val="NormalWeb"/>
                                <w:spacing w:before="0" w:after="200" w:line="276" w:lineRule="auto"/>
                              </w:pPr>
                            </w:p>
                            <w:p w14:paraId="36C781BE"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Rectangle 38"/>
                        <wps:cNvSpPr/>
                        <wps:spPr>
                          <a:xfrm>
                            <a:off x="3826432" y="831843"/>
                            <a:ext cx="165735" cy="1433195"/>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14:paraId="2518FBA9" w14:textId="77777777" w:rsidR="00F84458" w:rsidRDefault="00F84458" w:rsidP="00D313E0">
                              <w:pPr>
                                <w:pStyle w:val="NormalWeb"/>
                                <w:spacing w:before="0" w:after="200" w:line="276" w:lineRule="auto"/>
                              </w:pPr>
                            </w:p>
                            <w:p w14:paraId="4A7B4947"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Straight Arrow Connector 39"/>
                        <wps:cNvCnPr/>
                        <wps:spPr>
                          <a:xfrm flipH="1">
                            <a:off x="3918507" y="601227"/>
                            <a:ext cx="1" cy="230616"/>
                          </a:xfrm>
                          <a:prstGeom prst="straightConnector1">
                            <a:avLst/>
                          </a:prstGeom>
                          <a:noFill/>
                          <a:ln w="9525" cap="flat" cmpd="sng" algn="ctr">
                            <a:solidFill>
                              <a:sysClr val="windowText" lastClr="000000"/>
                            </a:solidFill>
                            <a:prstDash val="solid"/>
                            <a:headEnd type="arrow" w="sm" len="sm"/>
                            <a:tailEnd type="none" w="sm" len="sm"/>
                          </a:ln>
                          <a:effectLst/>
                        </wps:spPr>
                        <wps:bodyPr/>
                      </wps:wsp>
                      <wps:wsp>
                        <wps:cNvPr id="49" name="Text Box 11"/>
                        <wps:cNvSpPr txBox="1"/>
                        <wps:spPr>
                          <a:xfrm>
                            <a:off x="4488610" y="291808"/>
                            <a:ext cx="354482" cy="333540"/>
                          </a:xfrm>
                          <a:prstGeom prst="rect">
                            <a:avLst/>
                          </a:prstGeom>
                          <a:noFill/>
                          <a:ln w="6350">
                            <a:noFill/>
                          </a:ln>
                          <a:effectLst/>
                        </wps:spPr>
                        <wps:txbx>
                          <w:txbxContent>
                            <w:p w14:paraId="64F59DA5" w14:textId="77777777" w:rsidR="00F84458" w:rsidRPr="005846EB" w:rsidRDefault="00F84458" w:rsidP="00D313E0">
                              <w:pPr>
                                <w:pStyle w:val="NormalWeb"/>
                                <w:spacing w:before="0" w:after="200" w:line="276" w:lineRule="auto"/>
                                <w:jc w:val="center"/>
                                <w:rPr>
                                  <w:rFonts w:asciiTheme="minorHAnsi" w:hAnsiTheme="minorHAnsi"/>
                                  <w:sz w:val="32"/>
                                  <w:vertAlign w:val="superscript"/>
                                </w:rPr>
                              </w:pPr>
                              <w:r w:rsidRPr="00BD4DD8">
                                <w:rPr>
                                  <w:rFonts w:asciiTheme="minorHAnsi" w:hAnsiTheme="minorHAnsi"/>
                                  <w:i/>
                                  <w:szCs w:val="18"/>
                                  <w:vertAlign w:val="subscript"/>
                                </w:rPr>
                                <w:t>S</w:t>
                              </w:r>
                              <w:r w:rsidRPr="005846EB">
                                <w:rPr>
                                  <w:rFonts w:asciiTheme="minorHAnsi" w:hAnsiTheme="minorHAnsi"/>
                                  <w:i/>
                                  <w:szCs w:val="18"/>
                                  <w:vertAlign w:val="superscript"/>
                                </w:rPr>
                                <w:t>3</w:t>
                              </w:r>
                            </w:p>
                            <w:p w14:paraId="3DADA579" w14:textId="77777777" w:rsidR="00F84458" w:rsidRPr="00490D61" w:rsidRDefault="00F84458" w:rsidP="00D313E0">
                              <w:pPr>
                                <w:pStyle w:val="NormalWeb"/>
                                <w:spacing w:before="0" w:after="200" w:line="276" w:lineRule="auto"/>
                                <w:rPr>
                                  <w:rFonts w:asciiTheme="minorHAnsi" w:hAnsiTheme="minorHAnsi"/>
                                  <w:i/>
                                  <w:vertAlign w:val="superscript"/>
                                </w:rPr>
                              </w:pPr>
                            </w:p>
                            <w:p w14:paraId="49B1E753"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Rectangle 41"/>
                        <wps:cNvSpPr/>
                        <wps:spPr>
                          <a:xfrm>
                            <a:off x="4247481" y="251667"/>
                            <a:ext cx="165100" cy="2008146"/>
                          </a:xfrm>
                          <a:prstGeom prst="rect">
                            <a:avLst/>
                          </a:prstGeom>
                          <a:solidFill>
                            <a:srgbClr val="9BBB59">
                              <a:lumMod val="75000"/>
                            </a:srgbClr>
                          </a:solidFill>
                          <a:ln w="12700" cap="flat" cmpd="sng" algn="ctr">
                            <a:solidFill>
                              <a:srgbClr val="9BBB59">
                                <a:lumMod val="50000"/>
                              </a:srgbClr>
                            </a:solidFill>
                            <a:prstDash val="solid"/>
                          </a:ln>
                          <a:effectLst/>
                        </wps:spPr>
                        <wps:txbx>
                          <w:txbxContent>
                            <w:p w14:paraId="4479E307" w14:textId="77777777" w:rsidR="00F84458" w:rsidRDefault="00F84458" w:rsidP="00D313E0">
                              <w:pPr>
                                <w:pStyle w:val="NormalWeb"/>
                                <w:spacing w:before="0" w:after="200" w:line="276" w:lineRule="auto"/>
                              </w:pPr>
                            </w:p>
                            <w:p w14:paraId="13075CC9"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42"/>
                        <wps:cNvSpPr/>
                        <wps:spPr>
                          <a:xfrm>
                            <a:off x="4413847" y="625378"/>
                            <a:ext cx="165100" cy="1634435"/>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14:paraId="5A78E9B1" w14:textId="77777777" w:rsidR="00F84458" w:rsidRDefault="00F84458" w:rsidP="00D313E0">
                              <w:pPr>
                                <w:pStyle w:val="NormalWeb"/>
                                <w:spacing w:before="0" w:after="200" w:line="276" w:lineRule="auto"/>
                              </w:pPr>
                            </w:p>
                            <w:p w14:paraId="6BAA1CE4"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Straight Arrow Connector 43"/>
                        <wps:cNvCnPr/>
                        <wps:spPr>
                          <a:xfrm>
                            <a:off x="4496243" y="251667"/>
                            <a:ext cx="154" cy="373711"/>
                          </a:xfrm>
                          <a:prstGeom prst="straightConnector1">
                            <a:avLst/>
                          </a:prstGeom>
                          <a:noFill/>
                          <a:ln w="9525" cap="flat" cmpd="sng" algn="ctr">
                            <a:solidFill>
                              <a:sysClr val="windowText" lastClr="000000"/>
                            </a:solidFill>
                            <a:prstDash val="solid"/>
                            <a:headEnd type="arrow" w="sm" len="sm"/>
                            <a:tailEnd type="none" w="sm" len="sm"/>
                          </a:ln>
                          <a:effectLst/>
                        </wps:spPr>
                        <wps:bodyPr/>
                      </wps:wsp>
                      <wps:wsp>
                        <wps:cNvPr id="53" name="Text Box 11"/>
                        <wps:cNvSpPr txBox="1"/>
                        <wps:spPr>
                          <a:xfrm>
                            <a:off x="421611" y="2355488"/>
                            <a:ext cx="609449" cy="241608"/>
                          </a:xfrm>
                          <a:prstGeom prst="rect">
                            <a:avLst/>
                          </a:prstGeom>
                          <a:noFill/>
                          <a:ln w="6350">
                            <a:noFill/>
                          </a:ln>
                          <a:effectLst/>
                        </wps:spPr>
                        <wps:txbx>
                          <w:txbxContent>
                            <w:p w14:paraId="7B2B498D" w14:textId="77777777" w:rsidR="00F84458" w:rsidRPr="001A297C" w:rsidRDefault="00F84458" w:rsidP="00D313E0">
                              <w:pPr>
                                <w:pStyle w:val="NormalWeb"/>
                                <w:spacing w:before="0" w:after="200" w:line="276" w:lineRule="auto"/>
                                <w:jc w:val="center"/>
                                <w:rPr>
                                  <w:rFonts w:asciiTheme="minorHAnsi" w:hAnsiTheme="minorHAnsi"/>
                                  <w:sz w:val="18"/>
                                  <w:szCs w:val="18"/>
                                </w:rPr>
                              </w:pPr>
                              <w:r w:rsidRPr="00801AF5">
                                <w:rPr>
                                  <w:rFonts w:asciiTheme="minorHAnsi" w:hAnsiTheme="minorHAnsi"/>
                                  <w:sz w:val="18"/>
                                  <w:szCs w:val="18"/>
                                </w:rPr>
                                <w:t>2009-10</w:t>
                              </w:r>
                            </w:p>
                            <w:p w14:paraId="46B1A587"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11"/>
                        <wps:cNvSpPr txBox="1"/>
                        <wps:spPr>
                          <a:xfrm>
                            <a:off x="1550200" y="2355401"/>
                            <a:ext cx="759913" cy="241300"/>
                          </a:xfrm>
                          <a:prstGeom prst="rect">
                            <a:avLst/>
                          </a:prstGeom>
                          <a:noFill/>
                          <a:ln w="6350">
                            <a:noFill/>
                          </a:ln>
                          <a:effectLst/>
                        </wps:spPr>
                        <wps:txbx>
                          <w:txbxContent>
                            <w:p w14:paraId="20379AA4" w14:textId="77777777" w:rsidR="00F84458" w:rsidRPr="00D9271F" w:rsidRDefault="00F84458" w:rsidP="00D313E0">
                              <w:pPr>
                                <w:pStyle w:val="NormalWeb"/>
                                <w:spacing w:before="0" w:after="200" w:line="276" w:lineRule="auto"/>
                                <w:rPr>
                                  <w:rFonts w:asciiTheme="minorHAnsi" w:hAnsiTheme="minorHAnsi"/>
                                  <w:sz w:val="18"/>
                                </w:rPr>
                              </w:pPr>
                              <w:r>
                                <w:rPr>
                                  <w:rFonts w:asciiTheme="minorHAnsi" w:hAnsiTheme="minorHAnsi"/>
                                  <w:sz w:val="18"/>
                                </w:rPr>
                                <w:t>2013-14</w:t>
                              </w:r>
                            </w:p>
                            <w:p w14:paraId="10344B31"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11"/>
                        <wps:cNvSpPr txBox="1"/>
                        <wps:spPr>
                          <a:xfrm>
                            <a:off x="2241364" y="2362290"/>
                            <a:ext cx="711385" cy="240665"/>
                          </a:xfrm>
                          <a:prstGeom prst="rect">
                            <a:avLst/>
                          </a:prstGeom>
                          <a:noFill/>
                          <a:ln w="6350">
                            <a:noFill/>
                          </a:ln>
                          <a:effectLst/>
                        </wps:spPr>
                        <wps:txbx>
                          <w:txbxContent>
                            <w:p w14:paraId="32F6C868" w14:textId="77777777" w:rsidR="00F84458" w:rsidRPr="00D9271F" w:rsidRDefault="00F84458" w:rsidP="00D313E0">
                              <w:pPr>
                                <w:pStyle w:val="NormalWeb"/>
                                <w:spacing w:before="0" w:after="200" w:line="276" w:lineRule="auto"/>
                                <w:jc w:val="center"/>
                                <w:rPr>
                                  <w:rFonts w:asciiTheme="minorHAnsi" w:hAnsiTheme="minorHAnsi"/>
                                  <w:sz w:val="18"/>
                                  <w:szCs w:val="18"/>
                                </w:rPr>
                              </w:pPr>
                              <w:r>
                                <w:rPr>
                                  <w:rFonts w:asciiTheme="minorHAnsi" w:hAnsiTheme="minorHAnsi"/>
                                  <w:sz w:val="18"/>
                                  <w:szCs w:val="18"/>
                                </w:rPr>
                                <w:t>2014-15</w:t>
                              </w:r>
                            </w:p>
                            <w:p w14:paraId="407319F1"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Text Box 11"/>
                        <wps:cNvSpPr txBox="1"/>
                        <wps:spPr>
                          <a:xfrm>
                            <a:off x="2888167" y="2362413"/>
                            <a:ext cx="636720" cy="240030"/>
                          </a:xfrm>
                          <a:prstGeom prst="rect">
                            <a:avLst/>
                          </a:prstGeom>
                          <a:noFill/>
                          <a:ln w="6350">
                            <a:noFill/>
                          </a:ln>
                          <a:effectLst/>
                        </wps:spPr>
                        <wps:txbx>
                          <w:txbxContent>
                            <w:p w14:paraId="7DCA4E52" w14:textId="77777777" w:rsidR="00F84458" w:rsidRPr="00D9271F" w:rsidRDefault="00F84458" w:rsidP="00D313E0">
                              <w:pPr>
                                <w:pStyle w:val="NormalWeb"/>
                                <w:spacing w:before="0" w:after="200" w:line="276" w:lineRule="auto"/>
                                <w:jc w:val="center"/>
                                <w:rPr>
                                  <w:rFonts w:asciiTheme="minorHAnsi" w:hAnsiTheme="minorHAnsi"/>
                                  <w:sz w:val="18"/>
                                  <w:szCs w:val="18"/>
                                </w:rPr>
                              </w:pPr>
                              <w:r w:rsidRPr="00D9271F">
                                <w:rPr>
                                  <w:rFonts w:asciiTheme="minorHAnsi" w:hAnsiTheme="minorHAnsi"/>
                                  <w:sz w:val="18"/>
                                  <w:szCs w:val="18"/>
                                </w:rPr>
                                <w:t>2014-</w:t>
                              </w:r>
                              <w:r>
                                <w:rPr>
                                  <w:rFonts w:asciiTheme="minorHAnsi" w:hAnsiTheme="minorHAnsi"/>
                                  <w:sz w:val="18"/>
                                  <w:szCs w:val="18"/>
                                </w:rPr>
                                <w:t>15</w:t>
                              </w:r>
                            </w:p>
                            <w:p w14:paraId="552B9FFE"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Text Box 11"/>
                        <wps:cNvSpPr txBox="1"/>
                        <wps:spPr>
                          <a:xfrm>
                            <a:off x="3524887" y="2359072"/>
                            <a:ext cx="649548" cy="240030"/>
                          </a:xfrm>
                          <a:prstGeom prst="rect">
                            <a:avLst/>
                          </a:prstGeom>
                          <a:noFill/>
                          <a:ln w="6350">
                            <a:noFill/>
                          </a:ln>
                          <a:effectLst/>
                        </wps:spPr>
                        <wps:txbx>
                          <w:txbxContent>
                            <w:p w14:paraId="3EB8912D" w14:textId="77777777" w:rsidR="00F84458" w:rsidRPr="00D9271F" w:rsidRDefault="00F84458" w:rsidP="00D313E0">
                              <w:pPr>
                                <w:pStyle w:val="NormalWeb"/>
                                <w:spacing w:before="0" w:after="200" w:line="276" w:lineRule="auto"/>
                                <w:jc w:val="center"/>
                                <w:rPr>
                                  <w:rFonts w:asciiTheme="minorHAnsi" w:hAnsiTheme="minorHAnsi"/>
                                  <w:sz w:val="18"/>
                                  <w:szCs w:val="18"/>
                                </w:rPr>
                              </w:pPr>
                              <w:r w:rsidRPr="00D9271F">
                                <w:rPr>
                                  <w:rFonts w:asciiTheme="minorHAnsi" w:hAnsiTheme="minorHAnsi"/>
                                  <w:sz w:val="18"/>
                                  <w:szCs w:val="18"/>
                                </w:rPr>
                                <w:t>2015-</w:t>
                              </w:r>
                              <w:r>
                                <w:rPr>
                                  <w:rFonts w:asciiTheme="minorHAnsi" w:hAnsiTheme="minorHAnsi"/>
                                  <w:sz w:val="18"/>
                                  <w:szCs w:val="18"/>
                                </w:rPr>
                                <w:t>16</w:t>
                              </w:r>
                            </w:p>
                            <w:p w14:paraId="49A63574"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Text Box 11"/>
                        <wps:cNvSpPr txBox="1"/>
                        <wps:spPr>
                          <a:xfrm>
                            <a:off x="4112568" y="2349632"/>
                            <a:ext cx="682069" cy="240030"/>
                          </a:xfrm>
                          <a:prstGeom prst="rect">
                            <a:avLst/>
                          </a:prstGeom>
                          <a:noFill/>
                          <a:ln w="6350">
                            <a:noFill/>
                          </a:ln>
                          <a:effectLst/>
                        </wps:spPr>
                        <wps:txbx>
                          <w:txbxContent>
                            <w:p w14:paraId="03827287" w14:textId="77777777" w:rsidR="00F84458" w:rsidRPr="00D9271F" w:rsidRDefault="00F84458" w:rsidP="00D313E0">
                              <w:pPr>
                                <w:pStyle w:val="NormalWeb"/>
                                <w:spacing w:before="0" w:after="200" w:line="276" w:lineRule="auto"/>
                                <w:jc w:val="center"/>
                                <w:rPr>
                                  <w:rFonts w:asciiTheme="minorHAnsi" w:hAnsiTheme="minorHAnsi"/>
                                  <w:sz w:val="18"/>
                                </w:rPr>
                              </w:pPr>
                              <w:r>
                                <w:rPr>
                                  <w:rFonts w:asciiTheme="minorHAnsi" w:hAnsiTheme="minorHAnsi"/>
                                  <w:sz w:val="18"/>
                                </w:rPr>
                                <w:t>2017-18</w:t>
                              </w:r>
                            </w:p>
                            <w:p w14:paraId="3E704AF5"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Text Box 11"/>
                        <wps:cNvSpPr txBox="1"/>
                        <wps:spPr>
                          <a:xfrm>
                            <a:off x="222880" y="387566"/>
                            <a:ext cx="972524" cy="241300"/>
                          </a:xfrm>
                          <a:prstGeom prst="rect">
                            <a:avLst/>
                          </a:prstGeom>
                          <a:noFill/>
                          <a:ln w="6350">
                            <a:noFill/>
                          </a:ln>
                          <a:effectLst/>
                        </wps:spPr>
                        <wps:txbx>
                          <w:txbxContent>
                            <w:p w14:paraId="79D66016" w14:textId="77777777" w:rsidR="00F84458" w:rsidRPr="001A297C" w:rsidRDefault="00F84458" w:rsidP="00D313E0">
                              <w:pPr>
                                <w:pStyle w:val="NormalWeb"/>
                                <w:spacing w:before="0" w:after="200" w:line="276" w:lineRule="auto"/>
                                <w:rPr>
                                  <w:rFonts w:asciiTheme="minorHAnsi" w:hAnsiTheme="minorHAnsi"/>
                                  <w:sz w:val="16"/>
                                  <w:szCs w:val="16"/>
                                </w:rPr>
                              </w:pPr>
                              <w:r>
                                <w:rPr>
                                  <w:rFonts w:asciiTheme="minorHAnsi" w:hAnsiTheme="minorHAnsi"/>
                                  <w:sz w:val="16"/>
                                  <w:szCs w:val="16"/>
                                </w:rPr>
                                <w:t>Actual costs</w:t>
                              </w:r>
                            </w:p>
                            <w:p w14:paraId="30312980"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Rectangle 51"/>
                        <wps:cNvSpPr/>
                        <wps:spPr>
                          <a:xfrm>
                            <a:off x="77107" y="430425"/>
                            <a:ext cx="165735" cy="139107"/>
                          </a:xfrm>
                          <a:prstGeom prst="rect">
                            <a:avLst/>
                          </a:prstGeom>
                          <a:solidFill>
                            <a:srgbClr val="9BBB59">
                              <a:lumMod val="75000"/>
                            </a:srgbClr>
                          </a:solidFill>
                          <a:ln w="12700" cap="flat" cmpd="sng" algn="ctr">
                            <a:solidFill>
                              <a:srgbClr val="9BBB59">
                                <a:lumMod val="50000"/>
                              </a:srgbClr>
                            </a:solidFill>
                            <a:prstDash val="solid"/>
                          </a:ln>
                          <a:effectLst/>
                        </wps:spPr>
                        <wps:txbx>
                          <w:txbxContent>
                            <w:p w14:paraId="6B7B25F0" w14:textId="77777777" w:rsidR="00F84458" w:rsidRDefault="00F84458" w:rsidP="00D313E0"/>
                            <w:p w14:paraId="6E6B4B2A"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52"/>
                        <wps:cNvSpPr/>
                        <wps:spPr>
                          <a:xfrm>
                            <a:off x="72064" y="649855"/>
                            <a:ext cx="165735" cy="139065"/>
                          </a:xfrm>
                          <a:prstGeom prst="rect">
                            <a:avLst/>
                          </a:prstGeom>
                          <a:solidFill>
                            <a:srgbClr val="9BBB59">
                              <a:lumMod val="60000"/>
                              <a:lumOff val="40000"/>
                            </a:srgbClr>
                          </a:solidFill>
                          <a:ln w="12700" cap="flat" cmpd="sng" algn="ctr">
                            <a:solidFill>
                              <a:srgbClr val="9BBB59">
                                <a:lumMod val="50000"/>
                              </a:srgbClr>
                            </a:solidFill>
                            <a:prstDash val="solid"/>
                          </a:ln>
                          <a:effectLst/>
                        </wps:spPr>
                        <wps:txbx>
                          <w:txbxContent>
                            <w:p w14:paraId="2B94E5FA" w14:textId="77777777" w:rsidR="00F84458" w:rsidRDefault="00F84458" w:rsidP="00D313E0">
                              <w:pPr>
                                <w:pStyle w:val="NormalWeb"/>
                                <w:spacing w:before="0" w:after="200" w:line="276" w:lineRule="auto"/>
                              </w:pPr>
                            </w:p>
                            <w:p w14:paraId="0A47803D"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Text Box 11"/>
                        <wps:cNvSpPr txBox="1"/>
                        <wps:spPr>
                          <a:xfrm>
                            <a:off x="351131" y="2599988"/>
                            <a:ext cx="666136" cy="317477"/>
                          </a:xfrm>
                          <a:prstGeom prst="rect">
                            <a:avLst/>
                          </a:prstGeom>
                          <a:noFill/>
                          <a:ln w="6350">
                            <a:noFill/>
                          </a:ln>
                          <a:effectLst/>
                        </wps:spPr>
                        <wps:txbx>
                          <w:txbxContent>
                            <w:p w14:paraId="0D9043A5" w14:textId="77777777" w:rsidR="00F84458" w:rsidRPr="00C034B3" w:rsidRDefault="00F84458" w:rsidP="00D313E0">
                              <w:pPr>
                                <w:pStyle w:val="NormalWeb"/>
                                <w:spacing w:before="0" w:after="200" w:line="276" w:lineRule="auto"/>
                                <w:jc w:val="center"/>
                                <w:rPr>
                                  <w:rFonts w:asciiTheme="minorHAnsi" w:hAnsiTheme="minorHAnsi"/>
                                  <w:sz w:val="22"/>
                                  <w:szCs w:val="22"/>
                                  <w:vertAlign w:val="subscript"/>
                                </w:rPr>
                              </w:pPr>
                              <w:r w:rsidRPr="00801AF5">
                                <w:rPr>
                                  <w:rFonts w:asciiTheme="minorHAnsi" w:hAnsiTheme="minorHAnsi"/>
                                  <w:i/>
                                  <w:sz w:val="22"/>
                                  <w:szCs w:val="22"/>
                                  <w:vertAlign w:val="superscript"/>
                                </w:rPr>
                                <w:t>S</w:t>
                              </w:r>
                              <w:r w:rsidRPr="00801AF5">
                                <w:rPr>
                                  <w:rFonts w:asciiTheme="minorHAnsi" w:hAnsiTheme="minorHAnsi"/>
                                  <w:sz w:val="22"/>
                                  <w:szCs w:val="22"/>
                                  <w:vertAlign w:val="subscript"/>
                                </w:rPr>
                                <w:t>2009-10</w:t>
                              </w:r>
                            </w:p>
                            <w:p w14:paraId="727FD832"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Text Box 11"/>
                        <wps:cNvSpPr txBox="1"/>
                        <wps:spPr>
                          <a:xfrm>
                            <a:off x="1596756" y="2594231"/>
                            <a:ext cx="603885" cy="298450"/>
                          </a:xfrm>
                          <a:prstGeom prst="rect">
                            <a:avLst/>
                          </a:prstGeom>
                          <a:noFill/>
                          <a:ln w="6350">
                            <a:noFill/>
                          </a:ln>
                          <a:effectLst/>
                        </wps:spPr>
                        <wps:txbx>
                          <w:txbxContent>
                            <w:p w14:paraId="6B9AF72B" w14:textId="77777777" w:rsidR="00F84458" w:rsidRPr="00C034B3" w:rsidRDefault="00F84458" w:rsidP="00D313E0">
                              <w:pPr>
                                <w:pStyle w:val="NormalWeb"/>
                                <w:spacing w:before="0" w:after="200" w:line="276" w:lineRule="auto"/>
                                <w:jc w:val="center"/>
                                <w:rPr>
                                  <w:rFonts w:asciiTheme="minorHAnsi" w:hAnsiTheme="minorHAnsi"/>
                                  <w:sz w:val="22"/>
                                  <w:szCs w:val="18"/>
                                  <w:vertAlign w:val="subscript"/>
                                </w:rPr>
                              </w:pPr>
                              <w:r w:rsidRPr="00C034B3">
                                <w:rPr>
                                  <w:rFonts w:asciiTheme="minorHAnsi" w:hAnsiTheme="minorHAnsi"/>
                                  <w:i/>
                                  <w:sz w:val="22"/>
                                  <w:szCs w:val="18"/>
                                  <w:vertAlign w:val="superscript"/>
                                </w:rPr>
                                <w:t>S</w:t>
                              </w:r>
                              <w:r>
                                <w:rPr>
                                  <w:rFonts w:asciiTheme="minorHAnsi" w:hAnsiTheme="minorHAnsi"/>
                                  <w:sz w:val="22"/>
                                  <w:szCs w:val="18"/>
                                  <w:vertAlign w:val="subscript"/>
                                </w:rPr>
                                <w:t>2013-14</w:t>
                              </w:r>
                            </w:p>
                            <w:p w14:paraId="33091EF6" w14:textId="77777777" w:rsidR="00F84458" w:rsidRPr="00490D61" w:rsidRDefault="00F84458" w:rsidP="00D313E0">
                              <w:pPr>
                                <w:pStyle w:val="NormalWeb"/>
                                <w:spacing w:before="0" w:after="200" w:line="276" w:lineRule="auto"/>
                                <w:jc w:val="center"/>
                                <w:rPr>
                                  <w:rFonts w:asciiTheme="minorHAnsi" w:hAnsiTheme="minorHAnsi"/>
                                </w:rPr>
                              </w:pPr>
                            </w:p>
                            <w:p w14:paraId="7FF5A465"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Text Box 11"/>
                        <wps:cNvSpPr txBox="1"/>
                        <wps:spPr>
                          <a:xfrm>
                            <a:off x="2195879" y="2598994"/>
                            <a:ext cx="692288" cy="299445"/>
                          </a:xfrm>
                          <a:prstGeom prst="rect">
                            <a:avLst/>
                          </a:prstGeom>
                          <a:noFill/>
                          <a:ln w="6350">
                            <a:noFill/>
                          </a:ln>
                          <a:effectLst/>
                        </wps:spPr>
                        <wps:txbx>
                          <w:txbxContent>
                            <w:p w14:paraId="50AFD224" w14:textId="77777777" w:rsidR="00F84458" w:rsidRPr="00C034B3" w:rsidRDefault="00F84458" w:rsidP="00D313E0">
                              <w:pPr>
                                <w:pStyle w:val="NormalWeb"/>
                                <w:spacing w:before="0" w:after="200" w:line="276" w:lineRule="auto"/>
                                <w:jc w:val="center"/>
                                <w:rPr>
                                  <w:rFonts w:asciiTheme="minorHAnsi" w:hAnsiTheme="minorHAnsi"/>
                                  <w:sz w:val="22"/>
                                  <w:vertAlign w:val="subscript"/>
                                </w:rPr>
                              </w:pPr>
                              <w:r w:rsidRPr="00C034B3">
                                <w:rPr>
                                  <w:rFonts w:asciiTheme="minorHAnsi" w:hAnsiTheme="minorHAnsi"/>
                                  <w:i/>
                                  <w:sz w:val="22"/>
                                  <w:vertAlign w:val="superscript"/>
                                </w:rPr>
                                <w:t>S</w:t>
                              </w:r>
                              <w:r>
                                <w:rPr>
                                  <w:rFonts w:asciiTheme="minorHAnsi" w:hAnsiTheme="minorHAnsi"/>
                                  <w:sz w:val="22"/>
                                  <w:vertAlign w:val="subscript"/>
                                </w:rPr>
                                <w:t>2014-15</w:t>
                              </w:r>
                            </w:p>
                            <w:p w14:paraId="041D88D9" w14:textId="77777777" w:rsidR="00F84458" w:rsidRPr="00C034B3" w:rsidRDefault="00F84458" w:rsidP="00D313E0">
                              <w:pPr>
                                <w:pStyle w:val="NormalWeb"/>
                                <w:spacing w:before="0" w:after="200" w:line="276" w:lineRule="auto"/>
                                <w:jc w:val="center"/>
                                <w:rPr>
                                  <w:rFonts w:asciiTheme="minorHAnsi" w:hAnsiTheme="minorHAnsi"/>
                                </w:rPr>
                              </w:pPr>
                            </w:p>
                            <w:p w14:paraId="7C17912B"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11"/>
                        <wps:cNvSpPr txBox="1"/>
                        <wps:spPr>
                          <a:xfrm>
                            <a:off x="2824765" y="2613284"/>
                            <a:ext cx="735757" cy="260346"/>
                          </a:xfrm>
                          <a:prstGeom prst="rect">
                            <a:avLst/>
                          </a:prstGeom>
                          <a:noFill/>
                          <a:ln w="6350">
                            <a:noFill/>
                          </a:ln>
                          <a:effectLst/>
                        </wps:spPr>
                        <wps:txbx>
                          <w:txbxContent>
                            <w:p w14:paraId="581D2FFC" w14:textId="77777777" w:rsidR="00F84458" w:rsidRPr="00C034B3" w:rsidRDefault="00F84458" w:rsidP="00D313E0">
                              <w:pPr>
                                <w:pStyle w:val="NormalWeb"/>
                                <w:spacing w:before="0" w:after="200" w:line="276" w:lineRule="auto"/>
                                <w:jc w:val="center"/>
                                <w:rPr>
                                  <w:rFonts w:asciiTheme="minorHAnsi" w:hAnsiTheme="minorHAnsi"/>
                                  <w:i/>
                                  <w:sz w:val="28"/>
                                  <w:vertAlign w:val="subscript"/>
                                </w:rPr>
                              </w:pPr>
                              <w:r w:rsidRPr="00C034B3">
                                <w:rPr>
                                  <w:rFonts w:asciiTheme="minorHAnsi" w:hAnsiTheme="minorHAnsi"/>
                                  <w:i/>
                                  <w:sz w:val="22"/>
                                  <w:szCs w:val="18"/>
                                  <w:vertAlign w:val="subscript"/>
                                </w:rPr>
                                <w:t>S</w:t>
                              </w:r>
                            </w:p>
                            <w:p w14:paraId="72C6CC2E"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Straight Arrow Connector 81"/>
                        <wps:cNvCnPr/>
                        <wps:spPr>
                          <a:xfrm>
                            <a:off x="2115242" y="2743200"/>
                            <a:ext cx="228273" cy="0"/>
                          </a:xfrm>
                          <a:prstGeom prst="straightConnector1">
                            <a:avLst/>
                          </a:prstGeom>
                          <a:noFill/>
                          <a:ln w="9525" cap="flat" cmpd="sng" algn="ctr">
                            <a:solidFill>
                              <a:sysClr val="windowText" lastClr="000000"/>
                            </a:solidFill>
                            <a:prstDash val="solid"/>
                            <a:tailEnd type="arrow"/>
                          </a:ln>
                          <a:effectLst/>
                        </wps:spPr>
                        <wps:bodyPr/>
                      </wps:wsp>
                      <wps:wsp>
                        <wps:cNvPr id="92" name="Straight Arrow Connector 82"/>
                        <wps:cNvCnPr/>
                        <wps:spPr>
                          <a:xfrm>
                            <a:off x="2784454" y="2751750"/>
                            <a:ext cx="227965" cy="0"/>
                          </a:xfrm>
                          <a:prstGeom prst="straightConnector1">
                            <a:avLst/>
                          </a:prstGeom>
                          <a:noFill/>
                          <a:ln w="9525" cap="flat" cmpd="sng" algn="ctr">
                            <a:solidFill>
                              <a:sysClr val="windowText" lastClr="000000"/>
                            </a:solidFill>
                            <a:prstDash val="solid"/>
                            <a:tailEnd type="arrow"/>
                          </a:ln>
                          <a:effectLst/>
                        </wps:spPr>
                        <wps:bodyPr/>
                      </wps:wsp>
                      <wps:wsp>
                        <wps:cNvPr id="93" name="Straight Arrow Connector 83"/>
                        <wps:cNvCnPr/>
                        <wps:spPr>
                          <a:xfrm>
                            <a:off x="3395959" y="2743200"/>
                            <a:ext cx="227965" cy="0"/>
                          </a:xfrm>
                          <a:prstGeom prst="straightConnector1">
                            <a:avLst/>
                          </a:prstGeom>
                          <a:noFill/>
                          <a:ln w="9525" cap="flat" cmpd="sng" algn="ctr">
                            <a:solidFill>
                              <a:sysClr val="windowText" lastClr="000000"/>
                            </a:solidFill>
                            <a:prstDash val="solid"/>
                            <a:tailEnd type="arrow"/>
                          </a:ln>
                          <a:effectLst/>
                        </wps:spPr>
                        <wps:bodyPr/>
                      </wps:wsp>
                      <wps:wsp>
                        <wps:cNvPr id="94" name="Straight Arrow Connector 84"/>
                        <wps:cNvCnPr/>
                        <wps:spPr>
                          <a:xfrm>
                            <a:off x="4036992" y="2742225"/>
                            <a:ext cx="227965" cy="0"/>
                          </a:xfrm>
                          <a:prstGeom prst="straightConnector1">
                            <a:avLst/>
                          </a:prstGeom>
                          <a:noFill/>
                          <a:ln w="9525" cap="flat" cmpd="sng" algn="ctr">
                            <a:solidFill>
                              <a:sysClr val="windowText" lastClr="000000"/>
                            </a:solidFill>
                            <a:prstDash val="solid"/>
                            <a:tailEnd type="arrow"/>
                          </a:ln>
                          <a:effectLst/>
                        </wps:spPr>
                        <wps:bodyPr/>
                      </wps:wsp>
                      <wps:wsp>
                        <wps:cNvPr id="95" name="Straight Arrow Connector 85"/>
                        <wps:cNvCnPr/>
                        <wps:spPr>
                          <a:xfrm>
                            <a:off x="976316" y="2751750"/>
                            <a:ext cx="227965" cy="0"/>
                          </a:xfrm>
                          <a:prstGeom prst="straightConnector1">
                            <a:avLst/>
                          </a:prstGeom>
                          <a:noFill/>
                          <a:ln w="9525" cap="flat" cmpd="sng" algn="ctr">
                            <a:solidFill>
                              <a:sysClr val="windowText" lastClr="000000"/>
                            </a:solidFill>
                            <a:prstDash val="solid"/>
                            <a:tailEnd type="arrow"/>
                          </a:ln>
                          <a:effectLst/>
                        </wps:spPr>
                        <wps:bodyPr/>
                      </wps:wsp>
                      <wps:wsp>
                        <wps:cNvPr id="96" name="Straight Arrow Connector 86"/>
                        <wps:cNvCnPr/>
                        <wps:spPr>
                          <a:xfrm>
                            <a:off x="1435965" y="2751750"/>
                            <a:ext cx="227965" cy="0"/>
                          </a:xfrm>
                          <a:prstGeom prst="straightConnector1">
                            <a:avLst/>
                          </a:prstGeom>
                          <a:noFill/>
                          <a:ln w="9525" cap="flat" cmpd="sng" algn="ctr">
                            <a:solidFill>
                              <a:sysClr val="windowText" lastClr="000000"/>
                            </a:solidFill>
                            <a:prstDash val="solid"/>
                            <a:tailEnd type="arrow"/>
                          </a:ln>
                          <a:effectLst/>
                        </wps:spPr>
                        <wps:bodyPr/>
                      </wps:wsp>
                      <wps:wsp>
                        <wps:cNvPr id="97" name="Straight Connector 87"/>
                        <wps:cNvCnPr/>
                        <wps:spPr>
                          <a:xfrm>
                            <a:off x="1256829" y="2751750"/>
                            <a:ext cx="140970" cy="0"/>
                          </a:xfrm>
                          <a:prstGeom prst="line">
                            <a:avLst/>
                          </a:prstGeom>
                          <a:noFill/>
                          <a:ln w="9525" cap="flat" cmpd="sng" algn="ctr">
                            <a:solidFill>
                              <a:sysClr val="windowText" lastClr="000000"/>
                            </a:solidFill>
                            <a:prstDash val="sysDash"/>
                          </a:ln>
                          <a:effectLst/>
                        </wps:spPr>
                        <wps:bodyPr/>
                      </wps:wsp>
                      <wps:wsp>
                        <wps:cNvPr id="98" name="Text Box 11"/>
                        <wps:cNvSpPr txBox="1"/>
                        <wps:spPr>
                          <a:xfrm>
                            <a:off x="219269" y="554760"/>
                            <a:ext cx="2046853" cy="368629"/>
                          </a:xfrm>
                          <a:prstGeom prst="rect">
                            <a:avLst/>
                          </a:prstGeom>
                          <a:noFill/>
                          <a:ln w="6350">
                            <a:noFill/>
                          </a:ln>
                          <a:effectLst/>
                        </wps:spPr>
                        <wps:txbx>
                          <w:txbxContent>
                            <w:p w14:paraId="7CF6971D" w14:textId="77777777" w:rsidR="00F84458" w:rsidRPr="001A297C" w:rsidRDefault="00F84458" w:rsidP="00D313E0">
                              <w:pPr>
                                <w:pStyle w:val="NormalWeb"/>
                                <w:spacing w:before="0" w:after="200" w:line="276" w:lineRule="auto"/>
                                <w:rPr>
                                  <w:rFonts w:asciiTheme="minorHAnsi" w:hAnsiTheme="minorHAnsi"/>
                                  <w:sz w:val="16"/>
                                  <w:szCs w:val="16"/>
                                </w:rPr>
                              </w:pPr>
                              <w:r>
                                <w:rPr>
                                  <w:rFonts w:asciiTheme="minorHAnsi" w:hAnsiTheme="minorHAnsi"/>
                                  <w:sz w:val="16"/>
                                  <w:szCs w:val="16"/>
                                </w:rPr>
                                <w:t xml:space="preserve">Model costs derived by applying 2014-15 cost </w:t>
                              </w:r>
                              <w:proofErr w:type="gramStart"/>
                              <w:r>
                                <w:rPr>
                                  <w:rFonts w:asciiTheme="minorHAnsi" w:hAnsiTheme="minorHAnsi"/>
                                  <w:sz w:val="16"/>
                                  <w:szCs w:val="16"/>
                                </w:rPr>
                                <w:t>model</w:t>
                              </w:r>
                              <w:proofErr w:type="gramEnd"/>
                              <w:r>
                                <w:rPr>
                                  <w:rFonts w:asciiTheme="minorHAnsi" w:hAnsiTheme="minorHAnsi"/>
                                  <w:sz w:val="16"/>
                                  <w:szCs w:val="16"/>
                                </w:rPr>
                                <w:t xml:space="preserve"> to costed activity data scaling</w:t>
                              </w:r>
                            </w:p>
                            <w:p w14:paraId="1B1020A2"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Straight Connector 89"/>
                        <wps:cNvCnPr/>
                        <wps:spPr>
                          <a:xfrm flipV="1">
                            <a:off x="2873545" y="137082"/>
                            <a:ext cx="0" cy="3139959"/>
                          </a:xfrm>
                          <a:prstGeom prst="line">
                            <a:avLst/>
                          </a:prstGeom>
                          <a:noFill/>
                          <a:ln w="9525" cap="flat" cmpd="sng" algn="ctr">
                            <a:solidFill>
                              <a:sysClr val="windowText" lastClr="000000"/>
                            </a:solidFill>
                            <a:prstDash val="dash"/>
                          </a:ln>
                          <a:effectLst/>
                        </wps:spPr>
                        <wps:bodyPr/>
                      </wps:wsp>
                      <wps:wsp>
                        <wps:cNvPr id="100" name="Straight Arrow Connector 90"/>
                        <wps:cNvCnPr/>
                        <wps:spPr>
                          <a:xfrm>
                            <a:off x="3026294" y="378422"/>
                            <a:ext cx="768641" cy="0"/>
                          </a:xfrm>
                          <a:prstGeom prst="straightConnector1">
                            <a:avLst/>
                          </a:prstGeom>
                          <a:noFill/>
                          <a:ln w="9525" cap="flat" cmpd="sng" algn="ctr">
                            <a:solidFill>
                              <a:sysClr val="windowText" lastClr="000000"/>
                            </a:solidFill>
                            <a:prstDash val="solid"/>
                            <a:tailEnd type="arrow"/>
                          </a:ln>
                          <a:effectLst/>
                        </wps:spPr>
                        <wps:bodyPr/>
                      </wps:wsp>
                      <wps:wsp>
                        <wps:cNvPr id="101" name="Text Box 11"/>
                        <wps:cNvSpPr txBox="1"/>
                        <wps:spPr>
                          <a:xfrm>
                            <a:off x="3051108" y="166662"/>
                            <a:ext cx="775323" cy="241300"/>
                          </a:xfrm>
                          <a:prstGeom prst="rect">
                            <a:avLst/>
                          </a:prstGeom>
                          <a:noFill/>
                          <a:ln w="6350">
                            <a:noFill/>
                          </a:ln>
                          <a:effectLst/>
                        </wps:spPr>
                        <wps:txbx>
                          <w:txbxContent>
                            <w:p w14:paraId="7E9F3B25" w14:textId="77777777" w:rsidR="00F84458" w:rsidRPr="00D9271F" w:rsidRDefault="00F84458" w:rsidP="00D313E0">
                              <w:pPr>
                                <w:pStyle w:val="NormalWeb"/>
                                <w:spacing w:before="0" w:after="200" w:line="276" w:lineRule="auto"/>
                                <w:rPr>
                                  <w:rFonts w:asciiTheme="minorHAnsi" w:hAnsiTheme="minorHAnsi"/>
                                  <w:sz w:val="20"/>
                                </w:rPr>
                              </w:pPr>
                              <w:r>
                                <w:rPr>
                                  <w:rFonts w:asciiTheme="minorHAnsi" w:hAnsiTheme="minorHAnsi"/>
                                  <w:sz w:val="20"/>
                                </w:rPr>
                                <w:t>Projected</w:t>
                              </w:r>
                            </w:p>
                            <w:p w14:paraId="3DAD0296"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Straight Arrow Connector 92"/>
                        <wps:cNvCnPr/>
                        <wps:spPr>
                          <a:xfrm>
                            <a:off x="1970951" y="376504"/>
                            <a:ext cx="768350" cy="0"/>
                          </a:xfrm>
                          <a:prstGeom prst="straightConnector1">
                            <a:avLst/>
                          </a:prstGeom>
                          <a:noFill/>
                          <a:ln w="9525" cap="flat" cmpd="sng" algn="ctr">
                            <a:solidFill>
                              <a:sysClr val="windowText" lastClr="000000"/>
                            </a:solidFill>
                            <a:prstDash val="solid"/>
                            <a:headEnd type="arrow" w="med" len="med"/>
                            <a:tailEnd type="none" w="med" len="med"/>
                          </a:ln>
                          <a:effectLst/>
                        </wps:spPr>
                        <wps:bodyPr/>
                      </wps:wsp>
                      <wps:wsp>
                        <wps:cNvPr id="103" name="Text Box 11"/>
                        <wps:cNvSpPr txBox="1"/>
                        <wps:spPr>
                          <a:xfrm>
                            <a:off x="2076697" y="165049"/>
                            <a:ext cx="728361" cy="241300"/>
                          </a:xfrm>
                          <a:prstGeom prst="rect">
                            <a:avLst/>
                          </a:prstGeom>
                          <a:noFill/>
                          <a:ln w="6350">
                            <a:noFill/>
                          </a:ln>
                          <a:effectLst/>
                        </wps:spPr>
                        <wps:txbx>
                          <w:txbxContent>
                            <w:p w14:paraId="5AF6E1B4" w14:textId="77777777" w:rsidR="00F84458" w:rsidRPr="00D9271F" w:rsidRDefault="00F84458" w:rsidP="00D313E0">
                              <w:pPr>
                                <w:pStyle w:val="NormalWeb"/>
                                <w:spacing w:before="0" w:after="200" w:line="276" w:lineRule="auto"/>
                                <w:rPr>
                                  <w:rFonts w:asciiTheme="minorHAnsi" w:hAnsiTheme="minorHAnsi"/>
                                  <w:sz w:val="18"/>
                                </w:rPr>
                              </w:pPr>
                              <w:r w:rsidRPr="00D9271F">
                                <w:rPr>
                                  <w:rFonts w:asciiTheme="minorHAnsi" w:hAnsiTheme="minorHAnsi"/>
                                  <w:sz w:val="20"/>
                                </w:rPr>
                                <w:t>Historic</w:t>
                              </w:r>
                              <w:r>
                                <w:rPr>
                                  <w:rFonts w:asciiTheme="minorHAnsi" w:hAnsiTheme="minorHAnsi"/>
                                  <w:sz w:val="20"/>
                                </w:rPr>
                                <w:t>al</w:t>
                              </w:r>
                            </w:p>
                            <w:p w14:paraId="4C3DA835"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Text Box 11"/>
                        <wps:cNvSpPr txBox="1"/>
                        <wps:spPr>
                          <a:xfrm>
                            <a:off x="72065" y="1342695"/>
                            <a:ext cx="649260" cy="298450"/>
                          </a:xfrm>
                          <a:prstGeom prst="rect">
                            <a:avLst/>
                          </a:prstGeom>
                          <a:noFill/>
                          <a:ln w="6350">
                            <a:noFill/>
                          </a:ln>
                          <a:effectLst/>
                        </wps:spPr>
                        <wps:txbx>
                          <w:txbxContent>
                            <w:p w14:paraId="40AFB736" w14:textId="77777777" w:rsidR="00F84458" w:rsidRPr="00490D61" w:rsidRDefault="00F84458" w:rsidP="00D313E0">
                              <w:pPr>
                                <w:pStyle w:val="NormalWeb"/>
                                <w:spacing w:before="0" w:after="200" w:line="276" w:lineRule="auto"/>
                                <w:rPr>
                                  <w:rFonts w:asciiTheme="minorHAnsi" w:hAnsiTheme="minorHAnsi"/>
                                </w:rPr>
                              </w:pPr>
                              <w:r w:rsidRPr="00801AF5">
                                <w:rPr>
                                  <w:rFonts w:asciiTheme="minorHAnsi" w:hAnsiTheme="minorHAnsi"/>
                                  <w:i/>
                                  <w:vertAlign w:val="superscript"/>
                                </w:rPr>
                                <w:t>S</w:t>
                              </w:r>
                              <w:r w:rsidRPr="00801AF5">
                                <w:rPr>
                                  <w:rFonts w:asciiTheme="minorHAnsi" w:hAnsiTheme="minorHAnsi"/>
                                  <w:vertAlign w:val="subscript"/>
                                </w:rPr>
                                <w:t>200</w:t>
                              </w:r>
                              <w:r>
                                <w:rPr>
                                  <w:rFonts w:asciiTheme="minorHAnsi" w:hAnsiTheme="minorHAnsi"/>
                                  <w:vertAlign w:val="subscript"/>
                                </w:rPr>
                                <w:t>9-10</w:t>
                              </w:r>
                            </w:p>
                            <w:p w14:paraId="301465B7"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Text Box 11"/>
                        <wps:cNvSpPr txBox="1"/>
                        <wps:spPr>
                          <a:xfrm>
                            <a:off x="3409893" y="2603165"/>
                            <a:ext cx="837588" cy="324633"/>
                          </a:xfrm>
                          <a:prstGeom prst="rect">
                            <a:avLst/>
                          </a:prstGeom>
                          <a:noFill/>
                          <a:ln w="6350">
                            <a:noFill/>
                          </a:ln>
                          <a:effectLst/>
                        </wps:spPr>
                        <wps:txbx>
                          <w:txbxContent>
                            <w:p w14:paraId="1979DB95" w14:textId="77777777" w:rsidR="00F84458" w:rsidRPr="00C034B3" w:rsidRDefault="00F84458" w:rsidP="00D313E0">
                              <w:pPr>
                                <w:pStyle w:val="NormalWeb"/>
                                <w:spacing w:before="0" w:after="200" w:line="276" w:lineRule="auto"/>
                                <w:jc w:val="center"/>
                                <w:rPr>
                                  <w:rFonts w:asciiTheme="minorHAnsi" w:hAnsiTheme="minorHAnsi"/>
                                  <w:sz w:val="28"/>
                                  <w:vertAlign w:val="superscript"/>
                                </w:rPr>
                              </w:pPr>
                              <w:r w:rsidRPr="00C034B3">
                                <w:rPr>
                                  <w:rFonts w:asciiTheme="minorHAnsi" w:hAnsiTheme="minorHAnsi"/>
                                  <w:i/>
                                  <w:sz w:val="22"/>
                                  <w:szCs w:val="18"/>
                                  <w:vertAlign w:val="subscript"/>
                                </w:rPr>
                                <w:t>S</w:t>
                              </w:r>
                              <w:r w:rsidRPr="00C034B3">
                                <w:rPr>
                                  <w:rFonts w:asciiTheme="minorHAnsi" w:hAnsiTheme="minorHAnsi"/>
                                  <w:i/>
                                  <w:sz w:val="22"/>
                                  <w:szCs w:val="18"/>
                                  <w:vertAlign w:val="superscript"/>
                                </w:rPr>
                                <w:t>2</w:t>
                              </w:r>
                            </w:p>
                            <w:p w14:paraId="72E98FA2"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Text Box 11"/>
                        <wps:cNvSpPr txBox="1"/>
                        <wps:spPr>
                          <a:xfrm>
                            <a:off x="4286846" y="2592981"/>
                            <a:ext cx="334010" cy="324485"/>
                          </a:xfrm>
                          <a:prstGeom prst="rect">
                            <a:avLst/>
                          </a:prstGeom>
                          <a:noFill/>
                          <a:ln w="6350">
                            <a:noFill/>
                          </a:ln>
                          <a:effectLst/>
                        </wps:spPr>
                        <wps:txbx>
                          <w:txbxContent>
                            <w:p w14:paraId="587CC3D1" w14:textId="77777777" w:rsidR="00F84458" w:rsidRPr="00C034B3" w:rsidRDefault="00F84458" w:rsidP="00D313E0">
                              <w:pPr>
                                <w:pStyle w:val="NormalWeb"/>
                                <w:spacing w:before="0" w:after="200" w:line="276" w:lineRule="auto"/>
                                <w:jc w:val="center"/>
                                <w:rPr>
                                  <w:rFonts w:asciiTheme="minorHAnsi" w:hAnsiTheme="minorHAnsi"/>
                                  <w:sz w:val="28"/>
                                  <w:vertAlign w:val="superscript"/>
                                </w:rPr>
                              </w:pPr>
                              <w:r w:rsidRPr="00E33EAE">
                                <w:rPr>
                                  <w:rFonts w:asciiTheme="minorHAnsi" w:hAnsiTheme="minorHAnsi"/>
                                  <w:i/>
                                  <w:sz w:val="22"/>
                                  <w:szCs w:val="18"/>
                                  <w:vertAlign w:val="subscript"/>
                                </w:rPr>
                                <w:t>S</w:t>
                              </w:r>
                              <w:r w:rsidRPr="00C034B3">
                                <w:rPr>
                                  <w:rFonts w:asciiTheme="minorHAnsi" w:hAnsiTheme="minorHAnsi"/>
                                  <w:i/>
                                  <w:sz w:val="22"/>
                                  <w:szCs w:val="18"/>
                                  <w:vertAlign w:val="superscript"/>
                                </w:rPr>
                                <w:t>3</w:t>
                              </w:r>
                            </w:p>
                            <w:p w14:paraId="457101A4" w14:textId="77777777" w:rsidR="00F84458" w:rsidRPr="00490D61" w:rsidRDefault="00F84458" w:rsidP="00D313E0">
                              <w:pPr>
                                <w:pStyle w:val="NormalWeb"/>
                                <w:spacing w:before="0" w:after="200" w:line="276" w:lineRule="auto"/>
                                <w:rPr>
                                  <w:rFonts w:asciiTheme="minorHAnsi" w:hAnsiTheme="minorHAnsi"/>
                                  <w:i/>
                                  <w:vertAlign w:val="superscript"/>
                                </w:rPr>
                              </w:pPr>
                            </w:p>
                            <w:p w14:paraId="1B58CCD1"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Text Box 11"/>
                        <wps:cNvSpPr txBox="1"/>
                        <wps:spPr>
                          <a:xfrm>
                            <a:off x="21259" y="822829"/>
                            <a:ext cx="329871" cy="297815"/>
                          </a:xfrm>
                          <a:prstGeom prst="rect">
                            <a:avLst/>
                          </a:prstGeom>
                          <a:noFill/>
                          <a:ln w="6350">
                            <a:noFill/>
                          </a:ln>
                          <a:effectLst/>
                        </wps:spPr>
                        <wps:txbx>
                          <w:txbxContent>
                            <w:p w14:paraId="419EB663" w14:textId="77777777" w:rsidR="00F84458" w:rsidRPr="008916CD" w:rsidRDefault="00F84458" w:rsidP="00D313E0">
                              <w:pPr>
                                <w:pStyle w:val="NormalWeb"/>
                                <w:spacing w:before="0" w:after="200" w:line="276" w:lineRule="auto"/>
                                <w:rPr>
                                  <w:rFonts w:asciiTheme="minorHAnsi" w:hAnsiTheme="minorHAnsi"/>
                                  <w:i/>
                                  <w:sz w:val="28"/>
                                </w:rPr>
                              </w:pPr>
                              <w:r w:rsidRPr="008916CD">
                                <w:rPr>
                                  <w:rFonts w:ascii="Calibri" w:eastAsia="Calibri" w:hAnsi="Calibri"/>
                                  <w:i/>
                                  <w:sz w:val="28"/>
                                  <w:vertAlign w:val="superscript"/>
                                </w:rPr>
                                <w:t>S</w:t>
                              </w:r>
                              <w:r>
                                <w:rPr>
                                  <w:rFonts w:ascii="Calibri" w:eastAsia="Calibri" w:hAnsi="Calibri"/>
                                  <w:i/>
                                  <w:sz w:val="28"/>
                                  <w:vertAlign w:val="subscript"/>
                                </w:rPr>
                                <w:t>X</w:t>
                              </w:r>
                            </w:p>
                            <w:p w14:paraId="00C7CE2F"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8" name="Text Box 11"/>
                        <wps:cNvSpPr txBox="1"/>
                        <wps:spPr>
                          <a:xfrm>
                            <a:off x="201975" y="848838"/>
                            <a:ext cx="1943100" cy="338455"/>
                          </a:xfrm>
                          <a:prstGeom prst="rect">
                            <a:avLst/>
                          </a:prstGeom>
                          <a:noFill/>
                          <a:ln w="6350">
                            <a:noFill/>
                          </a:ln>
                          <a:effectLst/>
                        </wps:spPr>
                        <wps:txbx>
                          <w:txbxContent>
                            <w:p w14:paraId="2FB84B12" w14:textId="77777777" w:rsidR="00F84458" w:rsidRPr="00D9271F" w:rsidRDefault="00F84458" w:rsidP="00D313E0">
                              <w:pPr>
                                <w:pStyle w:val="NormalWeb"/>
                                <w:spacing w:before="0" w:after="200" w:line="276" w:lineRule="auto"/>
                                <w:rPr>
                                  <w:rFonts w:asciiTheme="minorHAnsi" w:hAnsiTheme="minorHAnsi" w:cstheme="minorHAnsi"/>
                                  <w:sz w:val="16"/>
                                </w:rPr>
                              </w:pPr>
                              <w:r w:rsidRPr="00D9271F">
                                <w:rPr>
                                  <w:rFonts w:asciiTheme="minorHAnsi" w:eastAsia="Calibri" w:hAnsiTheme="minorHAnsi" w:cstheme="minorHAnsi"/>
                                  <w:sz w:val="16"/>
                                </w:rPr>
                                <w:t>Scaling factor required to equalise model costs</w:t>
                              </w:r>
                              <w:r>
                                <w:rPr>
                                  <w:rFonts w:asciiTheme="minorHAnsi" w:eastAsia="Calibri" w:hAnsiTheme="minorHAnsi" w:cstheme="minorHAnsi"/>
                                  <w:sz w:val="16"/>
                                </w:rPr>
                                <w:t xml:space="preserve"> with actual costs</w:t>
                              </w:r>
                            </w:p>
                            <w:p w14:paraId="4C24CD23"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Left Brace 131"/>
                        <wps:cNvSpPr/>
                        <wps:spPr>
                          <a:xfrm rot="16200000">
                            <a:off x="1464727" y="1899884"/>
                            <a:ext cx="272566" cy="2216679"/>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Left Brace 132"/>
                        <wps:cNvSpPr/>
                        <wps:spPr>
                          <a:xfrm rot="16200000">
                            <a:off x="3652930" y="2323638"/>
                            <a:ext cx="272415" cy="1370843"/>
                          </a:xfrm>
                          <a:prstGeom prst="leftBrace">
                            <a:avLst/>
                          </a:prstGeom>
                          <a:noFill/>
                          <a:ln w="9525" cap="flat" cmpd="sng" algn="ctr">
                            <a:solidFill>
                              <a:sysClr val="windowText" lastClr="000000"/>
                            </a:solidFill>
                            <a:prstDash val="solid"/>
                          </a:ln>
                          <a:effectLst/>
                        </wps:spPr>
                        <wps:txbx>
                          <w:txbxContent>
                            <w:p w14:paraId="0AB4916E" w14:textId="77777777" w:rsidR="00F84458" w:rsidRDefault="00F84458" w:rsidP="00D313E0"/>
                            <w:p w14:paraId="4C3BE953" w14:textId="77777777" w:rsidR="00F84458" w:rsidRDefault="00F84458" w:rsidP="00D313E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Text Box 11"/>
                        <wps:cNvSpPr txBox="1"/>
                        <wps:spPr>
                          <a:xfrm>
                            <a:off x="887059" y="3096885"/>
                            <a:ext cx="1423054" cy="240665"/>
                          </a:xfrm>
                          <a:prstGeom prst="rect">
                            <a:avLst/>
                          </a:prstGeom>
                          <a:noFill/>
                          <a:ln w="6350">
                            <a:noFill/>
                          </a:ln>
                          <a:effectLst/>
                        </wps:spPr>
                        <wps:txbx>
                          <w:txbxContent>
                            <w:p w14:paraId="21727602" w14:textId="77777777" w:rsidR="00F84458" w:rsidRPr="008916CD" w:rsidRDefault="00F84458" w:rsidP="00D313E0">
                              <w:pPr>
                                <w:pStyle w:val="NormalWeb"/>
                                <w:spacing w:before="0" w:after="200" w:line="276" w:lineRule="auto"/>
                                <w:jc w:val="center"/>
                                <w:rPr>
                                  <w:rFonts w:asciiTheme="minorHAnsi" w:hAnsiTheme="minorHAnsi"/>
                                  <w:sz w:val="16"/>
                                </w:rPr>
                              </w:pPr>
                              <w:r w:rsidRPr="008916CD">
                                <w:rPr>
                                  <w:rFonts w:asciiTheme="minorHAnsi" w:hAnsiTheme="minorHAnsi"/>
                                  <w:sz w:val="18"/>
                                </w:rPr>
                                <w:t>Time series</w:t>
                              </w:r>
                            </w:p>
                            <w:p w14:paraId="3F25ECAA"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Text Box 11"/>
                        <wps:cNvSpPr txBox="1"/>
                        <wps:spPr>
                          <a:xfrm>
                            <a:off x="3081199" y="3107501"/>
                            <a:ext cx="1418734" cy="240030"/>
                          </a:xfrm>
                          <a:prstGeom prst="rect">
                            <a:avLst/>
                          </a:prstGeom>
                          <a:noFill/>
                          <a:ln w="6350">
                            <a:noFill/>
                          </a:ln>
                          <a:effectLst/>
                        </wps:spPr>
                        <wps:txbx>
                          <w:txbxContent>
                            <w:p w14:paraId="4F7E3C99" w14:textId="77777777" w:rsidR="00F84458" w:rsidRPr="008916CD" w:rsidRDefault="00F84458" w:rsidP="00D313E0">
                              <w:pPr>
                                <w:pStyle w:val="NormalWeb"/>
                                <w:spacing w:before="0" w:after="200" w:line="276" w:lineRule="auto"/>
                                <w:jc w:val="center"/>
                                <w:rPr>
                                  <w:rFonts w:asciiTheme="minorHAnsi" w:hAnsiTheme="minorHAnsi"/>
                                  <w:sz w:val="18"/>
                                </w:rPr>
                              </w:pPr>
                              <w:r w:rsidRPr="008916CD">
                                <w:rPr>
                                  <w:rFonts w:asciiTheme="minorHAnsi" w:hAnsiTheme="minorHAnsi"/>
                                  <w:sz w:val="18"/>
                                </w:rPr>
                                <w:t>Projection of time series</w:t>
                              </w:r>
                            </w:p>
                            <w:p w14:paraId="38E7A9C0" w14:textId="77777777" w:rsidR="00F84458" w:rsidRDefault="00F84458" w:rsidP="00D313E0"/>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14" o:spid="_x0000_s1026" editas="canvas" alt="A summary of Figure 3 is outlined in the text prior to this figure. " style="width:382.5pt;height:265.5pt;mso-position-horizontal-relative:char;mso-position-vertical-relative:line" coordsize="48577,3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">
                <v:shape id="_x0000_s1027" type="#_x0000_t75" alt="A summary of Figure 3 is outlined in the text prior to this figure. " style="position:absolute;width:48577;height:33718;visibility:visible;mso-wrap-style:square" stroked="t" strokecolor="black [3213]">
                  <v:fill o:detectmouseclick="t"/>
                  <v:path o:connecttype="none"/>
                </v:shape>
                <v:rect id="Rectangle 19" o:spid="_x0000_s1028" style="position:absolute;left:5550;top:17552;width:1663;height:50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4wWsUA&#10;AADbAAAADwAAAGRycy9kb3ducmV2LnhtbESPT2vCQBDF7wW/wzIFL0U3VSgxdRWxCCJq8c/F25Cd&#10;JqHZ2ZBdNX5751DobYb35r3fTOedq9WN2lB5NvA+TEAR595WXBg4n1aDFFSIyBZrz2TgQQHms97L&#10;FDPr73yg2zEWSkI4ZGigjLHJtA55SQ7D0DfEov341mGUtS20bfEu4a7WoyT50A4rloYSG1qWlP8e&#10;r85AIFzsxpf9ZptGnozT3dv3/utqTP+1W3yCitTFf/Pf9doKvsDKLzKAn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jBaxQAAANsAAAAPAAAAAAAAAAAAAAAAAJgCAABkcnMv&#10;ZG93bnJldi54bWxQSwUGAAAAAAQABAD1AAAAigMAAAAA&#10;" fillcolor="#77933c" strokecolor="#4f6228" strokeweight="1pt"/>
                <v:rect id="Rectangle 20" o:spid="_x0000_s1029" style="position:absolute;left:7213;top:14700;width:1657;height:78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mksUA&#10;AADbAAAADwAAAGRycy9kb3ducmV2LnhtbESP0WrCQBRE3wv+w3IFX0rdGGsrqauEYErAJ60fcJu9&#10;TUKzd0N2TeLfdwuFPg4zc4bZHSbTioF611hWsFpGIIhLqxuuFFw/8qctCOeRNbaWScGdHBz2s4cd&#10;JtqOfKbh4isRIOwSVFB73yVSurImg25pO+LgfdneoA+yr6TucQxw08o4il6kwYbDQo0dZTWV35eb&#10;UUCPRXFP81O2fn3evtPncbjmm0GpxXxK30B4mvx/+K9daAXxCn6/hB8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CaSxQAAANsAAAAPAAAAAAAAAAAAAAAAAJgCAABkcnMv&#10;ZG93bnJldi54bWxQSwUGAAAAAAQABAD1AAAAigMAAAAA&#10;" fillcolor="#c3d69b" strokecolor="#4f6228" strokeweight="1pt">
                  <v:textbox>
                    <w:txbxContent>
                      <w:p w14:paraId="02338B37" w14:textId="77777777" w:rsidR="00F84458" w:rsidRDefault="00F84458" w:rsidP="00D313E0"/>
                      <w:p w14:paraId="0E707E52" w14:textId="77777777" w:rsidR="00F84458" w:rsidRDefault="00F84458" w:rsidP="00D313E0"/>
                    </w:txbxContent>
                  </v:textbox>
                </v:rect>
                <v:shapetype id="_x0000_t32" coordsize="21600,21600" o:spt="32" o:oned="t" path="m,l21600,21600e" filled="f">
                  <v:path arrowok="t" fillok="f" o:connecttype="none"/>
                  <o:lock v:ext="edit" shapetype="t"/>
                </v:shapetype>
                <v:shape id="Straight Arrow Connector 21" o:spid="_x0000_s1030" type="#_x0000_t32" style="position:absolute;left:6345;top:14700;width:0;height:2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mSsMAAADbAAAADwAAAGRycy9kb3ducmV2LnhtbESPT4vCMBTE74LfIbyFvWm6PSzSNYoU&#10;BBEP67+Dt0fzti02LzWJtuunN4LgcZiZ3zDTeW8acSPna8sKvsYJCOLC6ppLBYf9cjQB4QOyxsYy&#10;KfgnD/PZcDDFTNuOt3TbhVJECPsMFVQhtJmUvqjIoB/bljh6f9YZDFG6UmqHXYSbRqZJ8i0N1hwX&#10;Kmwpr6g4765GwWVy6jZ2vVzdg8vpmJ8w+XVrpT4/+sUPiEB9eIdf7ZVWkKb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pkrDAAAA2wAAAA8AAAAAAAAAAAAA&#10;AAAAoQIAAGRycy9kb3ducmV2LnhtbFBLBQYAAAAABAAEAPkAAACRAwAAAAA=&#10;" strokecolor="windowText">
                  <v:stroke endarrow="open" endarrowwidth="narrow" endarrowlength="short"/>
                </v:shape>
                <v:oval id="Oval 22" o:spid="_x0000_s1031" style="position:absolute;left:11100;top:18816;width:45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J3sYA&#10;AADbAAAADwAAAGRycy9kb3ducmV2LnhtbESPQWvCQBSE7wX/w/KEXkqzUUFs6ioilhYvpYkXb8/s&#10;M0nNvg3ZTUz7692C0OMwM98wy/VgatFT6yrLCiZRDII4t7riQsEhe3tegHAeWWNtmRT8kIP1avSw&#10;xETbK39Rn/pCBAi7BBWU3jeJlC4vyaCLbEMcvLNtDfog20LqFq8Bbmo5jeO5NFhxWCixoW1J+SXt&#10;jILt7Ijp8Nl0vy8nu3//forr7LxT6nE8bF5BeBr8f/je/tAKpjP4+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tJ3sYAAADbAAAADwAAAAAAAAAAAAAAAACYAgAAZHJz&#10;L2Rvd25yZXYueG1sUEsFBgAAAAAEAAQA9QAAAIsDAAAAAA==&#10;" fillcolor="windowText" strokecolor="windowText" strokeweight="2pt"/>
                <v:oval id="Oval 23" o:spid="_x0000_s1032" style="position:absolute;left:13178;top:18823;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qsYA&#10;AADbAAAADwAAAGRycy9kb3ducmV2LnhtbESPQWvCQBSE74L/YXkFL6VutEU0ZiMiitJLaezF2zP7&#10;TFKzb0N21dRf3y0UPA4z8w2TLDpTiyu1rrKsYDSMQBDnVldcKPjab16mIJxH1lhbJgU/5GCR9nsJ&#10;xtre+JOumS9EgLCLUUHpfRNL6fKSDLqhbYiDd7KtQR9kW0jd4i3ATS3HUTSRBisOCyU2tCopP2cX&#10;o2D1esCs+2gu99nRvm+/n6N6f1orNXjqlnMQnjr/CP+3d1rB+A3+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RqsYAAADbAAAADwAAAAAAAAAAAAAAAACYAgAAZHJz&#10;L2Rvd25yZXYueG1sUEsFBgAAAAAEAAQA9QAAAIsDAAAAAA==&#10;" fillcolor="windowText" strokecolor="windowText" strokeweight="2pt">
                  <v:textbox>
                    <w:txbxContent>
                      <w:p w14:paraId="1050D684" w14:textId="77777777" w:rsidR="00F84458" w:rsidRDefault="00F84458" w:rsidP="00D313E0"/>
                      <w:p w14:paraId="084243B3" w14:textId="77777777" w:rsidR="00F84458" w:rsidRDefault="00F84458" w:rsidP="00D313E0"/>
                    </w:txbxContent>
                  </v:textbox>
                </v:oval>
                <v:oval id="Oval 24" o:spid="_x0000_s1033" style="position:absolute;left:15245;top:18816;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0McYA&#10;AADbAAAADwAAAGRycy9kb3ducmV2LnhtbESPQWvCQBSE74L/YXkFL6VutFQ0ZiMiitJLaezF2zP7&#10;TFKzb0N21dRf3y0UPA4z8w2TLDpTiyu1rrKsYDSMQBDnVldcKPjab16mIJxH1lhbJgU/5GCR9nsJ&#10;xtre+JOumS9EgLCLUUHpfRNL6fKSDLqhbYiDd7KtQR9kW0jd4i3ATS3HUTSRBisOCyU2tCopP2cX&#10;o2D1esCs+2gu99nRvm+/n6N6f1orNXjqlnMQnjr/CP+3d1rB+A3+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50McYAAADbAAAADwAAAAAAAAAAAAAAAACYAgAAZHJz&#10;L2Rvd25yZXYueG1sUEsFBgAAAAAEAAQA9QAAAIsDAAAAAA==&#10;" fillcolor="windowText" strokecolor="windowText" strokeweight="2pt">
                  <v:textbox>
                    <w:txbxContent>
                      <w:p w14:paraId="38FA8543" w14:textId="77777777" w:rsidR="00F84458" w:rsidRDefault="00F84458" w:rsidP="00D313E0"/>
                      <w:p w14:paraId="7DD736AD" w14:textId="77777777" w:rsidR="00F84458" w:rsidRDefault="00F84458" w:rsidP="00D313E0"/>
                    </w:txbxContent>
                  </v:textbox>
                </v:oval>
                <v:shapetype id="_x0000_t202" coordsize="21600,21600" o:spt="202" path="m,l,21600r21600,l21600,xe">
                  <v:stroke joinstyle="miter"/>
                  <v:path gradientshapeok="t" o:connecttype="rect"/>
                </v:shapetype>
                <v:shape id="Text Box 11" o:spid="_x0000_s1034" type="#_x0000_t202" style="position:absolute;left:12042;top:11517;width:6991;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36E289F4" w14:textId="77777777" w:rsidR="00F84458" w:rsidRPr="00490D61" w:rsidRDefault="00F84458" w:rsidP="00D313E0">
                        <w:pPr>
                          <w:pStyle w:val="NormalWeb"/>
                          <w:spacing w:before="0" w:after="200" w:line="276" w:lineRule="auto"/>
                          <w:rPr>
                            <w:rFonts w:asciiTheme="minorHAnsi" w:hAnsiTheme="minorHAnsi"/>
                          </w:rPr>
                        </w:pPr>
                        <w:r w:rsidRPr="008916CD">
                          <w:rPr>
                            <w:rFonts w:asciiTheme="minorHAnsi" w:hAnsiTheme="minorHAnsi"/>
                            <w:i/>
                            <w:vertAlign w:val="superscript"/>
                          </w:rPr>
                          <w:t>S</w:t>
                        </w:r>
                        <w:r>
                          <w:rPr>
                            <w:rFonts w:asciiTheme="minorHAnsi" w:hAnsiTheme="minorHAnsi"/>
                            <w:vertAlign w:val="subscript"/>
                          </w:rPr>
                          <w:t>2013-14</w:t>
                        </w:r>
                      </w:p>
                      <w:p w14:paraId="2BD3394C" w14:textId="77777777" w:rsidR="00F84458" w:rsidRDefault="00F84458" w:rsidP="00D313E0"/>
                    </w:txbxContent>
                  </v:textbox>
                </v:shape>
                <v:rect id="Rectangle 26" o:spid="_x0000_s1035" style="position:absolute;left:17563;top:14046;width:1657;height:8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1ulcUA&#10;AADbAAAADwAAAGRycy9kb3ducmV2LnhtbESPQWvCQBSE74X+h+UJvRTdNEIbo6uEFkGkWqpevD2y&#10;zyQ0+zZkNyb++25B6HGYmW+YxWowtbhS6yrLCl4mEQji3OqKCwWn43qcgHAeWWNtmRTcyMFq+fiw&#10;wFTbnr/pevCFCBB2KSoovW9SKV1ekkE3sQ1x8C62NeiDbAupW+wD3NQyjqJXabDisFBiQ+8l5T+H&#10;zihwhNluet5vPxPPs2mye/7af3RKPY2GbA7C0+D/w/f2RiuI3+D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XW6VxQAAANsAAAAPAAAAAAAAAAAAAAAAAJgCAABkcnMv&#10;ZG93bnJldi54bWxQSwUGAAAAAAQABAD1AAAAigMAAAAA&#10;" fillcolor="#77933c" strokecolor="#4f6228" strokeweight="1pt">
                  <v:textbox>
                    <w:txbxContent>
                      <w:p w14:paraId="6A7FD31F" w14:textId="77777777" w:rsidR="00F84458" w:rsidRDefault="00F84458" w:rsidP="00D313E0"/>
                      <w:p w14:paraId="44D34B91" w14:textId="77777777" w:rsidR="00F84458" w:rsidRDefault="00F84458" w:rsidP="00D313E0"/>
                    </w:txbxContent>
                  </v:textbox>
                </v:rect>
                <v:rect id="Rectangle 27" o:spid="_x0000_s1036" style="position:absolute;left:19227;top:12932;width:1657;height:9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V1MAA&#10;AADbAAAADwAAAGRycy9kb3ducmV2LnhtbERPy4rCMBTdC/MP4Q7MRjR1fNIxishUCq6sfsC1ubZl&#10;mpvSxFr/frIQXB7Oe73tTS06al1lWcFkHIEgzq2uuFBwOSejFQjnkTXWlknBkxxsNx+DNcbaPvhE&#10;XeYLEULYxaig9L6JpXR5SQbd2DbEgbvZ1qAPsC2kbvERwk0tv6NoIQ1WHBpKbGhfUv6X3Y0CGqbp&#10;c5cc99PlbHWg6293SeadUl+f/e4HhKfev8Uvd6oVTMP68C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kV1MAAAADbAAAADwAAAAAAAAAAAAAAAACYAgAAZHJzL2Rvd25y&#10;ZXYueG1sUEsFBgAAAAAEAAQA9QAAAIUDAAAAAA==&#10;" fillcolor="#c3d69b" strokecolor="#4f6228" strokeweight="1pt">
                  <v:textbox>
                    <w:txbxContent>
                      <w:p w14:paraId="13AB7A9F" w14:textId="77777777" w:rsidR="00F84458" w:rsidRDefault="00F84458" w:rsidP="00D313E0">
                        <w:pPr>
                          <w:pStyle w:val="NormalWeb"/>
                          <w:spacing w:before="0" w:after="200" w:line="276" w:lineRule="auto"/>
                        </w:pPr>
                      </w:p>
                      <w:p w14:paraId="348BEF91" w14:textId="77777777" w:rsidR="00F84458" w:rsidRDefault="00F84458" w:rsidP="00D313E0"/>
                    </w:txbxContent>
                  </v:textbox>
                </v:rect>
                <v:shape id="Straight Arrow Connector 28" o:spid="_x0000_s1037" type="#_x0000_t32" style="position:absolute;left:18357;top:12932;width:0;height:10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qVDMUAAADbAAAADwAAAGRycy9kb3ducmV2LnhtbESPQWvCQBSE74L/YXmCN93YQAmpq5SA&#10;IOLBpu3B2yP7moRm38bdbRL767uFQo/DzHzDbPeT6cRAzreWFWzWCQjiyuqWawVvr4dVBsIHZI2d&#10;ZVJwJw/73Xy2xVzbkV9oKEMtIoR9jgqaEPpcSl81ZNCvbU8cvQ/rDIYoXS21wzHCTScfkuRRGmw5&#10;LjTYU9FQ9Vl+GQW37Dqe7elw/A6uoPfiisnFnZRaLqbnJxCBpvAf/msftYI0hd8v8Qf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qVDMUAAADbAAAADwAAAAAAAAAA&#10;AAAAAAChAgAAZHJzL2Rvd25yZXYueG1sUEsFBgAAAAAEAAQA+QAAAJMDAAAAAA==&#10;" strokecolor="windowText">
                  <v:stroke endarrow="open" endarrowwidth="narrow" endarrowlength="short"/>
                </v:shape>
                <v:shape id="Text Box 11" o:spid="_x0000_s1038" type="#_x0000_t202" style="position:absolute;left:19227;top:8917;width:10970;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14:paraId="7A7E6A2F" w14:textId="77777777" w:rsidR="00F84458" w:rsidRPr="008916CD" w:rsidRDefault="00F84458" w:rsidP="00D313E0">
                        <w:pPr>
                          <w:pStyle w:val="NormalWeb"/>
                          <w:spacing w:before="0" w:after="200" w:line="276" w:lineRule="auto"/>
                          <w:jc w:val="center"/>
                          <w:rPr>
                            <w:rFonts w:asciiTheme="minorHAnsi" w:hAnsiTheme="minorHAnsi"/>
                            <w:vertAlign w:val="subscript"/>
                          </w:rPr>
                        </w:pPr>
                        <w:r w:rsidRPr="008916CD">
                          <w:rPr>
                            <w:rFonts w:asciiTheme="minorHAnsi" w:hAnsiTheme="minorHAnsi"/>
                            <w:i/>
                            <w:vertAlign w:val="superscript"/>
                          </w:rPr>
                          <w:t>S</w:t>
                        </w:r>
                        <w:r>
                          <w:rPr>
                            <w:rFonts w:asciiTheme="minorHAnsi" w:hAnsiTheme="minorHAnsi"/>
                            <w:vertAlign w:val="subscript"/>
                          </w:rPr>
                          <w:t>2014-15</w:t>
                        </w:r>
                        <w:r w:rsidRPr="008916CD">
                          <w:rPr>
                            <w:rFonts w:asciiTheme="minorHAnsi" w:hAnsiTheme="minorHAnsi"/>
                            <w:vertAlign w:val="subscript"/>
                          </w:rPr>
                          <w:t xml:space="preserve"> </w:t>
                        </w:r>
                        <w:r w:rsidRPr="008916CD">
                          <w:rPr>
                            <w:rFonts w:asciiTheme="minorHAnsi" w:hAnsiTheme="minorHAnsi"/>
                          </w:rPr>
                          <w:t>= 1</w:t>
                        </w:r>
                      </w:p>
                      <w:p w14:paraId="5EBC7E4A" w14:textId="77777777" w:rsidR="00F84458" w:rsidRPr="00490D61" w:rsidRDefault="00F84458" w:rsidP="00D313E0">
                        <w:pPr>
                          <w:pStyle w:val="NormalWeb"/>
                          <w:spacing w:before="0" w:after="200" w:line="276" w:lineRule="auto"/>
                          <w:rPr>
                            <w:rFonts w:asciiTheme="minorHAnsi" w:hAnsiTheme="minorHAnsi"/>
                          </w:rPr>
                        </w:pPr>
                      </w:p>
                      <w:p w14:paraId="0045C869" w14:textId="77777777" w:rsidR="00F84458" w:rsidRDefault="00F84458" w:rsidP="00D313E0"/>
                    </w:txbxContent>
                  </v:textbox>
                </v:shape>
                <v:rect id="Rectangle 30" o:spid="_x0000_s1039" style="position:absolute;left:23776;top:11557;width:1658;height:11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SMYA&#10;AADbAAAADwAAAGRycy9kb3ducmV2LnhtbESPT2vCQBTE70K/w/IKvYhu2oDG1FWkRZDiH4y99PbI&#10;viah2bchuybpt3eFQo/DzPyGWa4HU4uOWldZVvA8jUAQ51ZXXCj4vGwnCQjnkTXWlknBLzlYrx5G&#10;S0y17flMXeYLESDsUlRQet+kUrq8JINuahvi4H3b1qAPsi2kbrEPcFPLlyiaSYMVh4USG3orKf/J&#10;rkaBI9wc4q/jxz7xvIiTw/h0fL8q9fQ4bF5BeBr8f/ivvdMK4jncv4Qf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T4SMYAAADbAAAADwAAAAAAAAAAAAAAAACYAgAAZHJz&#10;L2Rvd25yZXYueG1sUEsFBgAAAAAEAAQA9QAAAIsDAAAAAA==&#10;" fillcolor="#77933c" strokecolor="#4f6228" strokeweight="1pt">
                  <v:textbox>
                    <w:txbxContent>
                      <w:p w14:paraId="1E683754" w14:textId="77777777" w:rsidR="00F84458" w:rsidRDefault="00F84458" w:rsidP="00D313E0">
                        <w:pPr>
                          <w:pStyle w:val="NormalWeb"/>
                          <w:spacing w:before="0" w:after="200" w:line="276" w:lineRule="auto"/>
                        </w:pPr>
                      </w:p>
                      <w:p w14:paraId="1F1F5370" w14:textId="77777777" w:rsidR="00F84458" w:rsidRDefault="00F84458" w:rsidP="00D313E0"/>
                    </w:txbxContent>
                  </v:textbox>
                </v:rect>
                <v:rect id="Rectangle 31" o:spid="_x0000_s1040" style="position:absolute;left:25440;top:11557;width:1657;height:11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Z0sAA&#10;AADbAAAADwAAAGRycy9kb3ducmV2LnhtbERPy4rCMBTdC/MP4Q7MRjR1fNIxishUCq6sfsC1ubZl&#10;mpvSxFr/frIQXB7Oe73tTS06al1lWcFkHIEgzq2uuFBwOSejFQjnkTXWlknBkxxsNx+DNcbaPvhE&#10;XeYLEULYxaig9L6JpXR5SQbd2DbEgbvZ1qAPsC2kbvERwk0tv6NoIQ1WHBpKbGhfUv6X3Y0CGqbp&#10;c5cc99PlbHWg6293SeadUl+f/e4HhKfev8Uvd6oVTMPY8CX8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8Z0sAAAADbAAAADwAAAAAAAAAAAAAAAACYAgAAZHJzL2Rvd25y&#10;ZXYueG1sUEsFBgAAAAAEAAQA9QAAAIUDAAAAAA==&#10;" fillcolor="#c3d69b" strokecolor="#4f6228" strokeweight="1pt">
                  <v:textbox>
                    <w:txbxContent>
                      <w:p w14:paraId="525830B2" w14:textId="77777777" w:rsidR="00F84458" w:rsidRDefault="00F84458" w:rsidP="00D313E0">
                        <w:pPr>
                          <w:pStyle w:val="NormalWeb"/>
                          <w:spacing w:before="0" w:after="200" w:line="276" w:lineRule="auto"/>
                        </w:pPr>
                      </w:p>
                      <w:p w14:paraId="1C51021F" w14:textId="77777777" w:rsidR="00F84458" w:rsidRDefault="00F84458" w:rsidP="00D313E0"/>
                    </w:txbxContent>
                  </v:textbox>
                </v:rect>
                <v:shape id="Text Box 11" o:spid="_x0000_s1041" type="#_x0000_t202" style="position:absolute;left:32576;top:8022;width:2577;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14:paraId="0B447237" w14:textId="77777777" w:rsidR="00F84458" w:rsidRPr="00BD4DD8" w:rsidRDefault="00F84458" w:rsidP="00D313E0">
                        <w:pPr>
                          <w:pStyle w:val="NormalWeb"/>
                          <w:spacing w:before="0" w:after="200" w:line="276" w:lineRule="auto"/>
                          <w:rPr>
                            <w:rFonts w:asciiTheme="minorHAnsi" w:hAnsiTheme="minorHAnsi"/>
                            <w:i/>
                            <w:vertAlign w:val="subscript"/>
                          </w:rPr>
                        </w:pPr>
                        <w:r w:rsidRPr="00BD4DD8">
                          <w:rPr>
                            <w:rFonts w:asciiTheme="minorHAnsi" w:hAnsiTheme="minorHAnsi"/>
                            <w:i/>
                            <w:vertAlign w:val="subscript"/>
                          </w:rPr>
                          <w:t>S</w:t>
                        </w:r>
                      </w:p>
                      <w:p w14:paraId="5BDE638C" w14:textId="77777777" w:rsidR="00F84458" w:rsidRDefault="00F84458" w:rsidP="00D313E0"/>
                    </w:txbxContent>
                  </v:textbox>
                </v:shape>
                <v:rect id="Rectangle 33" o:spid="_x0000_s1042" style="position:absolute;left:30197;top:9235;width:1657;height:1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orcUA&#10;AADbAAAADwAAAGRycy9kb3ducmV2LnhtbESPQWvCQBSE74X+h+UJvRTdNJYSo6uEFkGkWqpevD2y&#10;zyQ0+zZkNyb++25B6HGYmW+YxWowtbhS6yrLCl4mEQji3OqKCwWn43qcgHAeWWNtmRTcyMFq+fiw&#10;wFTbnr/pevCFCBB2KSoovW9SKV1ekkE3sQ1x8C62NeiDbAupW+wD3NQyjqI3abDisFBiQ+8l5T+H&#10;zihwhNluet5vPxPPs2mye/7af3RKPY2GbA7C0+D/w/f2Rit4jeH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9SitxQAAANsAAAAPAAAAAAAAAAAAAAAAAJgCAABkcnMv&#10;ZG93bnJldi54bWxQSwUGAAAAAAQABAD1AAAAigMAAAAA&#10;" fillcolor="#77933c" strokecolor="#4f6228" strokeweight="1pt">
                  <v:textbox>
                    <w:txbxContent>
                      <w:p w14:paraId="2BEF68EE" w14:textId="77777777" w:rsidR="00F84458" w:rsidRDefault="00F84458" w:rsidP="00D313E0">
                        <w:pPr>
                          <w:pStyle w:val="NormalWeb"/>
                          <w:spacing w:before="0" w:after="200" w:line="276" w:lineRule="auto"/>
                        </w:pPr>
                      </w:p>
                      <w:p w14:paraId="1A9942DD" w14:textId="77777777" w:rsidR="00F84458" w:rsidRDefault="00F84458" w:rsidP="00D313E0"/>
                    </w:txbxContent>
                  </v:textbox>
                </v:rect>
                <v:rect id="Rectangle 34" o:spid="_x0000_s1043" style="position:absolute;left:31801;top:10315;width:1657;height:12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343sMA&#10;AADbAAAADwAAAGRycy9kb3ducmV2LnhtbESP0YrCMBRE34X9h3AX9kU03dVVqUYRsVLwadUPuDbX&#10;ttjclCZb698bQfBxmJkzzGLVmUq01LjSsoLvYQSCOLO65FzB6ZgMZiCcR9ZYWSYFd3KwWn70Fhhr&#10;e+M/ag8+FwHCLkYFhfd1LKXLCjLohrYmDt7FNgZ9kE0udYO3ADeV/ImiiTRYclgosKZNQdn18G8U&#10;UD9N7+tkvxlNx7MdnbftKfltlfr67NZzEJ46/w6/2qlWMB7B80v4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343sMAAADbAAAADwAAAAAAAAAAAAAAAACYAgAAZHJzL2Rv&#10;d25yZXYueG1sUEsFBgAAAAAEAAQA9QAAAIgDAAAAAA==&#10;" fillcolor="#c3d69b" strokecolor="#4f6228" strokeweight="1pt">
                  <v:textbox>
                    <w:txbxContent>
                      <w:p w14:paraId="0D51301C" w14:textId="77777777" w:rsidR="00F84458" w:rsidRDefault="00F84458" w:rsidP="00D313E0">
                        <w:pPr>
                          <w:pStyle w:val="NormalWeb"/>
                          <w:spacing w:before="0" w:after="200" w:line="276" w:lineRule="auto"/>
                        </w:pPr>
                      </w:p>
                      <w:p w14:paraId="7EAF678D" w14:textId="77777777" w:rsidR="00F84458" w:rsidRDefault="00F84458" w:rsidP="00D313E0"/>
                    </w:txbxContent>
                  </v:textbox>
                </v:rect>
                <v:shape id="Straight Arrow Connector 35" o:spid="_x0000_s1044" type="#_x0000_t32" style="position:absolute;left:32661;top:9235;width:0;height:1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uyKcUAAADbAAAADwAAAGRycy9kb3ducmV2LnhtbESPT2vCQBTE70K/w/IK3nRT8U9JXUUK&#10;goKHqvWQ2yP7mk2bfRuzq4nfvisIHoeZ+Q0zX3a2EldqfOlYwdswAUGcO11yoeD7uB68g/ABWWPl&#10;mBTcyMNy8dKbY6pdy3u6HkIhIoR9igpMCHUqpc8NWfRDVxNH78c1FkOUTSF1g22E20qOkmQqLZYc&#10;FwzW9Gko/ztcrILVuf2a/QY7MVnGm9P2VB9vu0yp/mu3+gARqAvP8KO90QrGY7h/iT9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uyKcUAAADbAAAADwAAAAAAAAAA&#10;AAAAAAChAgAAZHJzL2Rvd25yZXYueG1sUEsFBgAAAAAEAAQA+QAAAJMDAAAAAA==&#10;" strokecolor="windowText">
                  <v:stroke startarrow="open" startarrowwidth="narrow" startarrowlength="short" endarrowwidth="narrow" endarrowlength="short"/>
                </v:shape>
                <v:shape id="Text Box 11" o:spid="_x0000_s1045" type="#_x0000_t202" style="position:absolute;left:38705;top:5934;width:4202;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14:paraId="58513627" w14:textId="77777777" w:rsidR="00F84458" w:rsidRPr="00C034B3" w:rsidRDefault="00F84458" w:rsidP="00D313E0">
                        <w:pPr>
                          <w:pStyle w:val="NormalWeb"/>
                          <w:spacing w:before="0" w:after="200" w:line="276" w:lineRule="auto"/>
                          <w:rPr>
                            <w:rFonts w:asciiTheme="minorHAnsi" w:hAnsiTheme="minorHAnsi"/>
                            <w:sz w:val="28"/>
                            <w:vertAlign w:val="superscript"/>
                          </w:rPr>
                        </w:pPr>
                        <w:r w:rsidRPr="00C034B3">
                          <w:rPr>
                            <w:rFonts w:asciiTheme="minorHAnsi" w:hAnsiTheme="minorHAnsi"/>
                            <w:i/>
                            <w:szCs w:val="18"/>
                            <w:vertAlign w:val="subscript"/>
                          </w:rPr>
                          <w:t>S</w:t>
                        </w:r>
                        <w:r w:rsidRPr="00C034B3">
                          <w:rPr>
                            <w:rFonts w:asciiTheme="minorHAnsi" w:hAnsiTheme="minorHAnsi"/>
                            <w:i/>
                            <w:szCs w:val="18"/>
                            <w:vertAlign w:val="superscript"/>
                          </w:rPr>
                          <w:t>2</w:t>
                        </w:r>
                      </w:p>
                      <w:p w14:paraId="3E97582D" w14:textId="77777777" w:rsidR="00F84458" w:rsidRDefault="00F84458" w:rsidP="00D313E0"/>
                    </w:txbxContent>
                  </v:textbox>
                </v:shape>
                <v:rect id="Rectangle 37" o:spid="_x0000_s1046" style="position:absolute;left:36600;top:5935;width:1657;height:1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4ursUA&#10;AADbAAAADwAAAGRycy9kb3ducmV2LnhtbESPS4vCQBCE7wv+h6EFL8s68YFko6OIsrCID9b14q3J&#10;tEkw0xMyo8Z/7wiCx6KqvqIms8aU4kq1Kywr6HUjEMSp1QVnCg7/P18xCOeRNZaWScGdHMymrY8J&#10;Jtre+I+ue5+JAGGXoILc+yqR0qU5GXRdWxEH72Rrgz7IOpO6xluAm1L2o2gkDRYcFnKsaJFTet5f&#10;jAJHON8MjtvVOvb8PYg3n7vt8qJUp93MxyA8Nf4dfrV/tYLhCJ5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i6uxQAAANsAAAAPAAAAAAAAAAAAAAAAAJgCAABkcnMv&#10;ZG93bnJldi54bWxQSwUGAAAAAAQABAD1AAAAigMAAAAA&#10;" fillcolor="#77933c" strokecolor="#4f6228" strokeweight="1pt">
                  <v:textbox>
                    <w:txbxContent>
                      <w:p w14:paraId="602CEE86" w14:textId="77777777" w:rsidR="00F84458" w:rsidRDefault="00F84458" w:rsidP="00D313E0">
                        <w:pPr>
                          <w:pStyle w:val="NormalWeb"/>
                          <w:spacing w:before="0" w:after="200" w:line="276" w:lineRule="auto"/>
                        </w:pPr>
                      </w:p>
                      <w:p w14:paraId="36C781BE" w14:textId="77777777" w:rsidR="00F84458" w:rsidRDefault="00F84458" w:rsidP="00D313E0"/>
                    </w:txbxContent>
                  </v:textbox>
                </v:rect>
                <v:rect id="Rectangle 38" o:spid="_x0000_s1047" style="position:absolute;left:38264;top:8318;width:1657;height:143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3cUA&#10;AADbAAAADwAAAGRycy9kb3ducmV2LnhtbESP0WrCQBRE34X+w3ILfRHdtLVVoquE0JSAT03zAdfs&#10;NQnN3g3ZbYx/3y0IPg4zc4bZHSbTiZEG11pW8LyMQBBXVrdcKyi/s8UGhPPIGjvLpOBKDg77h9kO&#10;Y20v/EVj4WsRIOxiVNB438dSuqohg25pe+Lgne1g0Ac51FIPeAlw08mXKHqXBlsOCw32lDZU/RS/&#10;RgHN8/yaZMf0db3afNLpYyyzt1Gpp8cp2YLwNPl7+NbOtYLVGv6/hB8g9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v7dxQAAANsAAAAPAAAAAAAAAAAAAAAAAJgCAABkcnMv&#10;ZG93bnJldi54bWxQSwUGAAAAAAQABAD1AAAAigMAAAAA&#10;" fillcolor="#c3d69b" strokecolor="#4f6228" strokeweight="1pt">
                  <v:textbox>
                    <w:txbxContent>
                      <w:p w14:paraId="2518FBA9" w14:textId="77777777" w:rsidR="00F84458" w:rsidRDefault="00F84458" w:rsidP="00D313E0">
                        <w:pPr>
                          <w:pStyle w:val="NormalWeb"/>
                          <w:spacing w:before="0" w:after="200" w:line="276" w:lineRule="auto"/>
                        </w:pPr>
                      </w:p>
                      <w:p w14:paraId="4A7B4947" w14:textId="77777777" w:rsidR="00F84458" w:rsidRDefault="00F84458" w:rsidP="00D313E0"/>
                    </w:txbxContent>
                  </v:textbox>
                </v:rect>
                <v:shape id="Straight Arrow Connector 39" o:spid="_x0000_s1048" type="#_x0000_t32" style="position:absolute;left:39185;top:6012;width:0;height:23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vP7b8AAADbAAAADwAAAGRycy9kb3ducmV2LnhtbERPTWvCQBC9F/wPywi91Y2liI2uItZC&#10;sSdtwOuQHZNodjbsrhr/vXMoeHy87/myd626UoiNZwPjUQaKuPS24cpA8ff9NgUVE7LF1jMZuFOE&#10;5WLwMsfc+hvv6LpPlZIQjjkaqFPqcq1jWZPDOPIdsXBHHxwmgaHSNuBNwl2r37Nsoh02LA01drSu&#10;qTzvL87AR9C/5eaLTpdNX023q89ifGgKY16H/WoGKlGfnuJ/948Vn4yVL/ID9O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5vP7b8AAADbAAAADwAAAAAAAAAAAAAAAACh&#10;AgAAZHJzL2Rvd25yZXYueG1sUEsFBgAAAAAEAAQA+QAAAI0DAAAAAA==&#10;" strokecolor="windowText">
                  <v:stroke startarrow="open" startarrowwidth="narrow" startarrowlength="short" endarrowwidth="narrow" endarrowlength="short"/>
                </v:shape>
                <v:shape id="Text Box 11" o:spid="_x0000_s1049" type="#_x0000_t202" style="position:absolute;left:44886;top:2918;width:3544;height: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14:paraId="64F59DA5" w14:textId="77777777" w:rsidR="00F84458" w:rsidRPr="005846EB" w:rsidRDefault="00F84458" w:rsidP="00D313E0">
                        <w:pPr>
                          <w:pStyle w:val="NormalWeb"/>
                          <w:spacing w:before="0" w:after="200" w:line="276" w:lineRule="auto"/>
                          <w:jc w:val="center"/>
                          <w:rPr>
                            <w:rFonts w:asciiTheme="minorHAnsi" w:hAnsiTheme="minorHAnsi"/>
                            <w:sz w:val="32"/>
                            <w:vertAlign w:val="superscript"/>
                          </w:rPr>
                        </w:pPr>
                        <w:r w:rsidRPr="00BD4DD8">
                          <w:rPr>
                            <w:rFonts w:asciiTheme="minorHAnsi" w:hAnsiTheme="minorHAnsi"/>
                            <w:i/>
                            <w:szCs w:val="18"/>
                            <w:vertAlign w:val="subscript"/>
                          </w:rPr>
                          <w:t>S</w:t>
                        </w:r>
                        <w:r w:rsidRPr="005846EB">
                          <w:rPr>
                            <w:rFonts w:asciiTheme="minorHAnsi" w:hAnsiTheme="minorHAnsi"/>
                            <w:i/>
                            <w:szCs w:val="18"/>
                            <w:vertAlign w:val="superscript"/>
                          </w:rPr>
                          <w:t>3</w:t>
                        </w:r>
                      </w:p>
                      <w:p w14:paraId="3DADA579" w14:textId="77777777" w:rsidR="00F84458" w:rsidRPr="00490D61" w:rsidRDefault="00F84458" w:rsidP="00D313E0">
                        <w:pPr>
                          <w:pStyle w:val="NormalWeb"/>
                          <w:spacing w:before="0" w:after="200" w:line="276" w:lineRule="auto"/>
                          <w:rPr>
                            <w:rFonts w:asciiTheme="minorHAnsi" w:hAnsiTheme="minorHAnsi"/>
                            <w:i/>
                            <w:vertAlign w:val="superscript"/>
                          </w:rPr>
                        </w:pPr>
                      </w:p>
                      <w:p w14:paraId="49B1E753" w14:textId="77777777" w:rsidR="00F84458" w:rsidRDefault="00F84458" w:rsidP="00D313E0"/>
                    </w:txbxContent>
                  </v:textbox>
                </v:shape>
                <v:rect id="Rectangle 41" o:spid="_x0000_s1050" style="position:absolute;left:42474;top:2516;width:1651;height:200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FnMEA&#10;AADbAAAADwAAAGRycy9kb3ducmV2LnhtbERPy4rCMBTdC/5DuIIb0VRFqdUoMsPAMPjAx8bdpbm2&#10;xeamNFE7f28WgsvDeS9WjSnFg2pXWFYwHEQgiFOrC84UnE8//RiE88gaS8uk4J8crJbt1gITbZ98&#10;oMfRZyKEsEtQQe59lUjp0pwMuoGtiAN3tbVBH2CdSV3jM4SbUo6iaCoNFhwacqzoK6f0drwbBY5w&#10;vR1fdn+b2PNsHG97+933Xalup1nPQXhq/Ef8dv9qBZOwPnw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yhZzBAAAA2wAAAA8AAAAAAAAAAAAAAAAAmAIAAGRycy9kb3du&#10;cmV2LnhtbFBLBQYAAAAABAAEAPUAAACGAwAAAAA=&#10;" fillcolor="#77933c" strokecolor="#4f6228" strokeweight="1pt">
                  <v:textbox>
                    <w:txbxContent>
                      <w:p w14:paraId="4479E307" w14:textId="77777777" w:rsidR="00F84458" w:rsidRDefault="00F84458" w:rsidP="00D313E0">
                        <w:pPr>
                          <w:pStyle w:val="NormalWeb"/>
                          <w:spacing w:before="0" w:after="200" w:line="276" w:lineRule="auto"/>
                        </w:pPr>
                      </w:p>
                      <w:p w14:paraId="13075CC9" w14:textId="77777777" w:rsidR="00F84458" w:rsidRDefault="00F84458" w:rsidP="00D313E0"/>
                    </w:txbxContent>
                  </v:textbox>
                </v:rect>
                <v:rect id="Rectangle 42" o:spid="_x0000_s1051" style="position:absolute;left:44138;top:6253;width:1651;height:16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pV78QA&#10;AADbAAAADwAAAGRycy9kb3ducmV2LnhtbESP3YrCMBSE74V9h3AWvJE19W+VahQRKwWv/HmAY3Ns&#10;yzYnpcnW+vZmYcHLYWa+YVabzlSipcaVlhWMhhEI4szqknMF10vytQDhPLLGyjIpeJKDzfqjt8JY&#10;2wefqD37XAQIuxgVFN7XsZQuK8igG9qaOHh32xj0QTa51A0+AtxUchxF39JgyWGhwJp2BWU/51+j&#10;gAZp+twmx91kPl0c6LZvr8msVar/2W2XIDx1/h3+b6dawWwEf1/C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aVe/EAAAA2wAAAA8AAAAAAAAAAAAAAAAAmAIAAGRycy9k&#10;b3ducmV2LnhtbFBLBQYAAAAABAAEAPUAAACJAwAAAAA=&#10;" fillcolor="#c3d69b" strokecolor="#4f6228" strokeweight="1pt">
                  <v:textbox>
                    <w:txbxContent>
                      <w:p w14:paraId="5A78E9B1" w14:textId="77777777" w:rsidR="00F84458" w:rsidRDefault="00F84458" w:rsidP="00D313E0">
                        <w:pPr>
                          <w:pStyle w:val="NormalWeb"/>
                          <w:spacing w:before="0" w:after="200" w:line="276" w:lineRule="auto"/>
                        </w:pPr>
                      </w:p>
                      <w:p w14:paraId="6BAA1CE4" w14:textId="77777777" w:rsidR="00F84458" w:rsidRDefault="00F84458" w:rsidP="00D313E0"/>
                    </w:txbxContent>
                  </v:textbox>
                </v:rect>
                <v:shape id="Straight Arrow Connector 43" o:spid="_x0000_s1052" type="#_x0000_t32" style="position:absolute;left:44962;top:2516;width:1;height:3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cZG8QAAADbAAAADwAAAGRycy9kb3ducmV2LnhtbESPQWvCQBSE74L/YXmCN91UsJXoKiII&#10;Ch6s1kNuj+wzG5t9G7Orif++Wyj0OMzMN8xi1dlKPKnxpWMFb+MEBHHudMmFgq/zdjQD4QOyxsox&#10;KXiRh9Wy31tgql3Ln/Q8hUJECPsUFZgQ6lRKnxuy6MeuJo7e1TUWQ5RNIXWDbYTbSk6S5F1aLDku&#10;GKxpYyj/Pj2sgvW9PX7cgp2aLOPdZX+pz69DptRw0K3nIAJ14T/8195pBdMJ/H6JP0A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xkbxAAAANsAAAAPAAAAAAAAAAAA&#10;AAAAAKECAABkcnMvZG93bnJldi54bWxQSwUGAAAAAAQABAD5AAAAkgMAAAAA&#10;" strokecolor="windowText">
                  <v:stroke startarrow="open" startarrowwidth="narrow" startarrowlength="short" endarrowwidth="narrow" endarrowlength="short"/>
                </v:shape>
                <v:shape id="Text Box 11" o:spid="_x0000_s1053" type="#_x0000_t202" style="position:absolute;left:4216;top:23554;width:609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14:paraId="7B2B498D" w14:textId="77777777" w:rsidR="00F84458" w:rsidRPr="001A297C" w:rsidRDefault="00F84458" w:rsidP="00D313E0">
                        <w:pPr>
                          <w:pStyle w:val="NormalWeb"/>
                          <w:spacing w:before="0" w:after="200" w:line="276" w:lineRule="auto"/>
                          <w:jc w:val="center"/>
                          <w:rPr>
                            <w:rFonts w:asciiTheme="minorHAnsi" w:hAnsiTheme="minorHAnsi"/>
                            <w:sz w:val="18"/>
                            <w:szCs w:val="18"/>
                          </w:rPr>
                        </w:pPr>
                        <w:r w:rsidRPr="00801AF5">
                          <w:rPr>
                            <w:rFonts w:asciiTheme="minorHAnsi" w:hAnsiTheme="minorHAnsi"/>
                            <w:sz w:val="18"/>
                            <w:szCs w:val="18"/>
                          </w:rPr>
                          <w:t>2009-10</w:t>
                        </w:r>
                      </w:p>
                      <w:p w14:paraId="46B1A587" w14:textId="77777777" w:rsidR="00F84458" w:rsidRDefault="00F84458" w:rsidP="00D313E0"/>
                    </w:txbxContent>
                  </v:textbox>
                </v:shape>
                <v:shape id="Text Box 11" o:spid="_x0000_s1054" type="#_x0000_t202" style="position:absolute;left:15502;top:23554;width:7599;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14:paraId="20379AA4" w14:textId="77777777" w:rsidR="00F84458" w:rsidRPr="00D9271F" w:rsidRDefault="00F84458" w:rsidP="00D313E0">
                        <w:pPr>
                          <w:pStyle w:val="NormalWeb"/>
                          <w:spacing w:before="0" w:after="200" w:line="276" w:lineRule="auto"/>
                          <w:rPr>
                            <w:rFonts w:asciiTheme="minorHAnsi" w:hAnsiTheme="minorHAnsi"/>
                            <w:sz w:val="18"/>
                          </w:rPr>
                        </w:pPr>
                        <w:r>
                          <w:rPr>
                            <w:rFonts w:asciiTheme="minorHAnsi" w:hAnsiTheme="minorHAnsi"/>
                            <w:sz w:val="18"/>
                          </w:rPr>
                          <w:t>2013-14</w:t>
                        </w:r>
                      </w:p>
                      <w:p w14:paraId="10344B31" w14:textId="77777777" w:rsidR="00F84458" w:rsidRDefault="00F84458" w:rsidP="00D313E0"/>
                    </w:txbxContent>
                  </v:textbox>
                </v:shape>
                <v:shape id="Text Box 11" o:spid="_x0000_s1055" type="#_x0000_t202" style="position:absolute;left:22413;top:23622;width:7114;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14:paraId="32F6C868" w14:textId="77777777" w:rsidR="00F84458" w:rsidRPr="00D9271F" w:rsidRDefault="00F84458" w:rsidP="00D313E0">
                        <w:pPr>
                          <w:pStyle w:val="NormalWeb"/>
                          <w:spacing w:before="0" w:after="200" w:line="276" w:lineRule="auto"/>
                          <w:jc w:val="center"/>
                          <w:rPr>
                            <w:rFonts w:asciiTheme="minorHAnsi" w:hAnsiTheme="minorHAnsi"/>
                            <w:sz w:val="18"/>
                            <w:szCs w:val="18"/>
                          </w:rPr>
                        </w:pPr>
                        <w:r>
                          <w:rPr>
                            <w:rFonts w:asciiTheme="minorHAnsi" w:hAnsiTheme="minorHAnsi"/>
                            <w:sz w:val="18"/>
                            <w:szCs w:val="18"/>
                          </w:rPr>
                          <w:t>2014-15</w:t>
                        </w:r>
                      </w:p>
                      <w:p w14:paraId="407319F1" w14:textId="77777777" w:rsidR="00F84458" w:rsidRDefault="00F84458" w:rsidP="00D313E0"/>
                    </w:txbxContent>
                  </v:textbox>
                </v:shape>
                <v:shape id="Text Box 11" o:spid="_x0000_s1056" type="#_x0000_t202" style="position:absolute;left:28881;top:23624;width:636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14:paraId="7DCA4E52" w14:textId="77777777" w:rsidR="00F84458" w:rsidRPr="00D9271F" w:rsidRDefault="00F84458" w:rsidP="00D313E0">
                        <w:pPr>
                          <w:pStyle w:val="NormalWeb"/>
                          <w:spacing w:before="0" w:after="200" w:line="276" w:lineRule="auto"/>
                          <w:jc w:val="center"/>
                          <w:rPr>
                            <w:rFonts w:asciiTheme="minorHAnsi" w:hAnsiTheme="minorHAnsi"/>
                            <w:sz w:val="18"/>
                            <w:szCs w:val="18"/>
                          </w:rPr>
                        </w:pPr>
                        <w:r w:rsidRPr="00D9271F">
                          <w:rPr>
                            <w:rFonts w:asciiTheme="minorHAnsi" w:hAnsiTheme="minorHAnsi"/>
                            <w:sz w:val="18"/>
                            <w:szCs w:val="18"/>
                          </w:rPr>
                          <w:t>2014-</w:t>
                        </w:r>
                        <w:r>
                          <w:rPr>
                            <w:rFonts w:asciiTheme="minorHAnsi" w:hAnsiTheme="minorHAnsi"/>
                            <w:sz w:val="18"/>
                            <w:szCs w:val="18"/>
                          </w:rPr>
                          <w:t>15</w:t>
                        </w:r>
                      </w:p>
                      <w:p w14:paraId="552B9FFE" w14:textId="77777777" w:rsidR="00F84458" w:rsidRDefault="00F84458" w:rsidP="00D313E0"/>
                    </w:txbxContent>
                  </v:textbox>
                </v:shape>
                <v:shape id="Text Box 11" o:spid="_x0000_s1057" type="#_x0000_t202" style="position:absolute;left:35248;top:23590;width:6496;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14:paraId="3EB8912D" w14:textId="77777777" w:rsidR="00F84458" w:rsidRPr="00D9271F" w:rsidRDefault="00F84458" w:rsidP="00D313E0">
                        <w:pPr>
                          <w:pStyle w:val="NormalWeb"/>
                          <w:spacing w:before="0" w:after="200" w:line="276" w:lineRule="auto"/>
                          <w:jc w:val="center"/>
                          <w:rPr>
                            <w:rFonts w:asciiTheme="minorHAnsi" w:hAnsiTheme="minorHAnsi"/>
                            <w:sz w:val="18"/>
                            <w:szCs w:val="18"/>
                          </w:rPr>
                        </w:pPr>
                        <w:r w:rsidRPr="00D9271F">
                          <w:rPr>
                            <w:rFonts w:asciiTheme="minorHAnsi" w:hAnsiTheme="minorHAnsi"/>
                            <w:sz w:val="18"/>
                            <w:szCs w:val="18"/>
                          </w:rPr>
                          <w:t>2015-</w:t>
                        </w:r>
                        <w:r>
                          <w:rPr>
                            <w:rFonts w:asciiTheme="minorHAnsi" w:hAnsiTheme="minorHAnsi"/>
                            <w:sz w:val="18"/>
                            <w:szCs w:val="18"/>
                          </w:rPr>
                          <w:t>16</w:t>
                        </w:r>
                      </w:p>
                      <w:p w14:paraId="49A63574" w14:textId="77777777" w:rsidR="00F84458" w:rsidRDefault="00F84458" w:rsidP="00D313E0"/>
                    </w:txbxContent>
                  </v:textbox>
                </v:shape>
                <v:shape id="Text Box 11" o:spid="_x0000_s1058" type="#_x0000_t202" style="position:absolute;left:41125;top:23496;width:6821;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14:paraId="03827287" w14:textId="77777777" w:rsidR="00F84458" w:rsidRPr="00D9271F" w:rsidRDefault="00F84458" w:rsidP="00D313E0">
                        <w:pPr>
                          <w:pStyle w:val="NormalWeb"/>
                          <w:spacing w:before="0" w:after="200" w:line="276" w:lineRule="auto"/>
                          <w:jc w:val="center"/>
                          <w:rPr>
                            <w:rFonts w:asciiTheme="minorHAnsi" w:hAnsiTheme="minorHAnsi"/>
                            <w:sz w:val="18"/>
                          </w:rPr>
                        </w:pPr>
                        <w:r>
                          <w:rPr>
                            <w:rFonts w:asciiTheme="minorHAnsi" w:hAnsiTheme="minorHAnsi"/>
                            <w:sz w:val="18"/>
                          </w:rPr>
                          <w:t>2017-18</w:t>
                        </w:r>
                      </w:p>
                      <w:p w14:paraId="3E704AF5" w14:textId="77777777" w:rsidR="00F84458" w:rsidRDefault="00F84458" w:rsidP="00D313E0"/>
                    </w:txbxContent>
                  </v:textbox>
                </v:shape>
                <v:shape id="Text Box 11" o:spid="_x0000_s1059" type="#_x0000_t202" style="position:absolute;left:2228;top:3875;width:9726;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14:paraId="79D66016" w14:textId="77777777" w:rsidR="00F84458" w:rsidRPr="001A297C" w:rsidRDefault="00F84458" w:rsidP="00D313E0">
                        <w:pPr>
                          <w:pStyle w:val="NormalWeb"/>
                          <w:spacing w:before="0" w:after="200" w:line="276" w:lineRule="auto"/>
                          <w:rPr>
                            <w:rFonts w:asciiTheme="minorHAnsi" w:hAnsiTheme="minorHAnsi"/>
                            <w:sz w:val="16"/>
                            <w:szCs w:val="16"/>
                          </w:rPr>
                        </w:pPr>
                        <w:r>
                          <w:rPr>
                            <w:rFonts w:asciiTheme="minorHAnsi" w:hAnsiTheme="minorHAnsi"/>
                            <w:sz w:val="16"/>
                            <w:szCs w:val="16"/>
                          </w:rPr>
                          <w:t>Actual costs</w:t>
                        </w:r>
                      </w:p>
                      <w:p w14:paraId="30312980" w14:textId="77777777" w:rsidR="00F84458" w:rsidRDefault="00F84458" w:rsidP="00D313E0"/>
                    </w:txbxContent>
                  </v:textbox>
                </v:shape>
                <v:rect id="Rectangle 51" o:spid="_x0000_s1060" style="position:absolute;left:771;top:4304;width:1657;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KQ8YA&#10;AADbAAAADwAAAGRycy9kb3ducmV2LnhtbESPT2vCQBTE74V+h+UVeim6saESo6tIS6GUJuKfi7dH&#10;9pkEs29DdjXpt3eFQo/DzPyGWawG04grda62rGAyjkAQF1bXXCo47D9HCQjnkTU2lknBLzlYLR8f&#10;Fphq2/OWrjtfigBhl6KCyvs2ldIVFRl0Y9sSB+9kO4M+yK6UusM+wE0jX6NoKg3WHBYqbOm9ouK8&#10;uxgFjnCdxcf8+yfxPIuT7GWTf1yUen4a1nMQngb/H/5rf2kFyRvcv4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UKQ8YAAADbAAAADwAAAAAAAAAAAAAAAACYAgAAZHJz&#10;L2Rvd25yZXYueG1sUEsFBgAAAAAEAAQA9QAAAIsDAAAAAA==&#10;" fillcolor="#77933c" strokecolor="#4f6228" strokeweight="1pt">
                  <v:textbox>
                    <w:txbxContent>
                      <w:p w14:paraId="6B7B25F0" w14:textId="77777777" w:rsidR="00F84458" w:rsidRDefault="00F84458" w:rsidP="00D313E0"/>
                      <w:p w14:paraId="6E6B4B2A" w14:textId="77777777" w:rsidR="00F84458" w:rsidRDefault="00F84458" w:rsidP="00D313E0"/>
                    </w:txbxContent>
                  </v:textbox>
                </v:rect>
                <v:rect id="Rectangle 52" o:spid="_x0000_s1061" style="position:absolute;left:720;top:6498;width:1657;height:1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h3MQA&#10;AADbAAAADwAAAGRycy9kb3ducmV2LnhtbESP0WrCQBRE3wv+w3IFX0qzUasNMauImBLoU9UPuM3e&#10;JsHs3ZBdY/z7bqHQx2FmzjDZbjStGKh3jWUF8ygGQVxa3XCl4HLOXxIQziNrbC2Tggc52G0nTxmm&#10;2t75k4aTr0SAsEtRQe19l0rpypoMush2xMH7tr1BH2RfSd3jPcBNKxdxvJYGGw4LNXZ0qKm8nm5G&#10;AT0XxWOffxyWb6/JO30dh0u+GpSaTcf9BoSn0f+H/9qFVpCs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T4dzEAAAA2wAAAA8AAAAAAAAAAAAAAAAAmAIAAGRycy9k&#10;b3ducmV2LnhtbFBLBQYAAAAABAAEAPUAAACJAwAAAAA=&#10;" fillcolor="#c3d69b" strokecolor="#4f6228" strokeweight="1pt">
                  <v:textbox>
                    <w:txbxContent>
                      <w:p w14:paraId="2B94E5FA" w14:textId="77777777" w:rsidR="00F84458" w:rsidRDefault="00F84458" w:rsidP="00D313E0">
                        <w:pPr>
                          <w:pStyle w:val="NormalWeb"/>
                          <w:spacing w:before="0" w:after="200" w:line="276" w:lineRule="auto"/>
                        </w:pPr>
                      </w:p>
                      <w:p w14:paraId="0A47803D" w14:textId="77777777" w:rsidR="00F84458" w:rsidRDefault="00F84458" w:rsidP="00D313E0"/>
                    </w:txbxContent>
                  </v:textbox>
                </v:rect>
                <v:shape id="Text Box 11" o:spid="_x0000_s1062" type="#_x0000_t202" style="position:absolute;left:3511;top:25999;width:666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XfMYA&#10;AADbAAAADwAAAGRycy9kb3ducmV2LnhtbESPQWvCQBSE7wX/w/KE3upGoTWkrhICwVLag9GLt9fs&#10;Mwlm38bs1qT99d2C4HGYmW+Y1WY0rbhS7xrLCuazCARxaXXDlYLDPn+KQTiPrLG1TAp+yMFmPXlY&#10;YaLtwDu6Fr4SAcIuQQW1910ipStrMuhmtiMO3sn2Bn2QfSV1j0OAm1YuouhFGmw4LNTYUVZTeS6+&#10;jYL3LP/E3dfCxL9ttv04pd3lcHxW6nE6pq8gPI3+Hr6137SCeAn/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XfMYAAADbAAAADwAAAAAAAAAAAAAAAACYAgAAZHJz&#10;L2Rvd25yZXYueG1sUEsFBgAAAAAEAAQA9QAAAIsDAAAAAA==&#10;" filled="f" stroked="f" strokeweight=".5pt">
                  <v:textbox>
                    <w:txbxContent>
                      <w:p w14:paraId="0D9043A5" w14:textId="77777777" w:rsidR="00F84458" w:rsidRPr="00C034B3" w:rsidRDefault="00F84458" w:rsidP="00D313E0">
                        <w:pPr>
                          <w:pStyle w:val="NormalWeb"/>
                          <w:spacing w:before="0" w:after="200" w:line="276" w:lineRule="auto"/>
                          <w:jc w:val="center"/>
                          <w:rPr>
                            <w:rFonts w:asciiTheme="minorHAnsi" w:hAnsiTheme="minorHAnsi"/>
                            <w:sz w:val="22"/>
                            <w:szCs w:val="22"/>
                            <w:vertAlign w:val="subscript"/>
                          </w:rPr>
                        </w:pPr>
                        <w:r w:rsidRPr="00801AF5">
                          <w:rPr>
                            <w:rFonts w:asciiTheme="minorHAnsi" w:hAnsiTheme="minorHAnsi"/>
                            <w:i/>
                            <w:sz w:val="22"/>
                            <w:szCs w:val="22"/>
                            <w:vertAlign w:val="superscript"/>
                          </w:rPr>
                          <w:t>S</w:t>
                        </w:r>
                        <w:r w:rsidRPr="00801AF5">
                          <w:rPr>
                            <w:rFonts w:asciiTheme="minorHAnsi" w:hAnsiTheme="minorHAnsi"/>
                            <w:sz w:val="22"/>
                            <w:szCs w:val="22"/>
                            <w:vertAlign w:val="subscript"/>
                          </w:rPr>
                          <w:t>2009-10</w:t>
                        </w:r>
                      </w:p>
                      <w:p w14:paraId="727FD832" w14:textId="77777777" w:rsidR="00F84458" w:rsidRDefault="00F84458" w:rsidP="00D313E0"/>
                    </w:txbxContent>
                  </v:textbox>
                </v:shape>
                <v:shape id="Text Box 11" o:spid="_x0000_s1063" type="#_x0000_t202" style="position:absolute;left:15967;top:25942;width:6039;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DDsMA&#10;AADbAAAADwAAAGRycy9kb3ducmV2LnhtbERPy2qDQBTdF/IPww1014wRWsRkFBGkpbSLPDbZ3Tg3&#10;KnHuGGdqbL++syh0eTjvbT6bXkw0us6ygvUqAkFcW91xo+B4qJ4SEM4ja+wtk4JvcpBni4ctptre&#10;eUfT3jcihLBLUUHr/ZBK6eqWDLqVHYgDd7GjQR/g2Eg94j2Em17GUfQiDXYcGlocqGypvu6/jIL3&#10;svrE3Tk2yU9fvn5ciuF2PD0r9biciw0IT7P/F/+537SCJIwN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uDDsMAAADbAAAADwAAAAAAAAAAAAAAAACYAgAAZHJzL2Rv&#10;d25yZXYueG1sUEsFBgAAAAAEAAQA9QAAAIgDAAAAAA==&#10;" filled="f" stroked="f" strokeweight=".5pt">
                  <v:textbox>
                    <w:txbxContent>
                      <w:p w14:paraId="6B9AF72B" w14:textId="77777777" w:rsidR="00F84458" w:rsidRPr="00C034B3" w:rsidRDefault="00F84458" w:rsidP="00D313E0">
                        <w:pPr>
                          <w:pStyle w:val="NormalWeb"/>
                          <w:spacing w:before="0" w:after="200" w:line="276" w:lineRule="auto"/>
                          <w:jc w:val="center"/>
                          <w:rPr>
                            <w:rFonts w:asciiTheme="minorHAnsi" w:hAnsiTheme="minorHAnsi"/>
                            <w:sz w:val="22"/>
                            <w:szCs w:val="18"/>
                            <w:vertAlign w:val="subscript"/>
                          </w:rPr>
                        </w:pPr>
                        <w:r w:rsidRPr="00C034B3">
                          <w:rPr>
                            <w:rFonts w:asciiTheme="minorHAnsi" w:hAnsiTheme="minorHAnsi"/>
                            <w:i/>
                            <w:sz w:val="22"/>
                            <w:szCs w:val="18"/>
                            <w:vertAlign w:val="superscript"/>
                          </w:rPr>
                          <w:t>S</w:t>
                        </w:r>
                        <w:r>
                          <w:rPr>
                            <w:rFonts w:asciiTheme="minorHAnsi" w:hAnsiTheme="minorHAnsi"/>
                            <w:sz w:val="22"/>
                            <w:szCs w:val="18"/>
                            <w:vertAlign w:val="subscript"/>
                          </w:rPr>
                          <w:t>2013-14</w:t>
                        </w:r>
                      </w:p>
                      <w:p w14:paraId="33091EF6" w14:textId="77777777" w:rsidR="00F84458" w:rsidRPr="00490D61" w:rsidRDefault="00F84458" w:rsidP="00D313E0">
                        <w:pPr>
                          <w:pStyle w:val="NormalWeb"/>
                          <w:spacing w:before="0" w:after="200" w:line="276" w:lineRule="auto"/>
                          <w:jc w:val="center"/>
                          <w:rPr>
                            <w:rFonts w:asciiTheme="minorHAnsi" w:hAnsiTheme="minorHAnsi"/>
                          </w:rPr>
                        </w:pPr>
                      </w:p>
                      <w:p w14:paraId="7FF5A465" w14:textId="77777777" w:rsidR="00F84458" w:rsidRDefault="00F84458" w:rsidP="00D313E0"/>
                    </w:txbxContent>
                  </v:textbox>
                </v:shape>
                <v:shape id="Text Box 11" o:spid="_x0000_s1064" type="#_x0000_t202" style="position:absolute;left:21958;top:25989;width:6923;height:2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mlcYA&#10;AADbAAAADwAAAGRycy9kb3ducmV2LnhtbESPQWvCQBSE74X+h+UVvNVNhZY0ukoIBIvYg6mX3l6z&#10;zySYfZtmVxP767uC4HGYmW+YxWo0rThT7xrLCl6mEQji0uqGKwX7r/w5BuE8ssbWMim4kIPV8vFh&#10;gYm2A+/oXPhKBAi7BBXU3neJlK6syaCb2o44eAfbG/RB9pXUPQ4Bblo5i6I3abDhsFBjR1lN5bE4&#10;GQWbLP/E3c/MxH9ttt4e0u53//2q1ORpTOcgPI3+Hr61P7SC+B2uX8IP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cmlcYAAADbAAAADwAAAAAAAAAAAAAAAACYAgAAZHJz&#10;L2Rvd25yZXYueG1sUEsFBgAAAAAEAAQA9QAAAIsDAAAAAA==&#10;" filled="f" stroked="f" strokeweight=".5pt">
                  <v:textbox>
                    <w:txbxContent>
                      <w:p w14:paraId="50AFD224" w14:textId="77777777" w:rsidR="00F84458" w:rsidRPr="00C034B3" w:rsidRDefault="00F84458" w:rsidP="00D313E0">
                        <w:pPr>
                          <w:pStyle w:val="NormalWeb"/>
                          <w:spacing w:before="0" w:after="200" w:line="276" w:lineRule="auto"/>
                          <w:jc w:val="center"/>
                          <w:rPr>
                            <w:rFonts w:asciiTheme="minorHAnsi" w:hAnsiTheme="minorHAnsi"/>
                            <w:sz w:val="22"/>
                            <w:vertAlign w:val="subscript"/>
                          </w:rPr>
                        </w:pPr>
                        <w:r w:rsidRPr="00C034B3">
                          <w:rPr>
                            <w:rFonts w:asciiTheme="minorHAnsi" w:hAnsiTheme="minorHAnsi"/>
                            <w:i/>
                            <w:sz w:val="22"/>
                            <w:vertAlign w:val="superscript"/>
                          </w:rPr>
                          <w:t>S</w:t>
                        </w:r>
                        <w:r>
                          <w:rPr>
                            <w:rFonts w:asciiTheme="minorHAnsi" w:hAnsiTheme="minorHAnsi"/>
                            <w:sz w:val="22"/>
                            <w:vertAlign w:val="subscript"/>
                          </w:rPr>
                          <w:t>2014-15</w:t>
                        </w:r>
                      </w:p>
                      <w:p w14:paraId="041D88D9" w14:textId="77777777" w:rsidR="00F84458" w:rsidRPr="00C034B3" w:rsidRDefault="00F84458" w:rsidP="00D313E0">
                        <w:pPr>
                          <w:pStyle w:val="NormalWeb"/>
                          <w:spacing w:before="0" w:after="200" w:line="276" w:lineRule="auto"/>
                          <w:jc w:val="center"/>
                          <w:rPr>
                            <w:rFonts w:asciiTheme="minorHAnsi" w:hAnsiTheme="minorHAnsi"/>
                          </w:rPr>
                        </w:pPr>
                      </w:p>
                      <w:p w14:paraId="7C17912B" w14:textId="77777777" w:rsidR="00F84458" w:rsidRDefault="00F84458" w:rsidP="00D313E0"/>
                    </w:txbxContent>
                  </v:textbox>
                </v:shape>
                <v:shape id="Text Box 11" o:spid="_x0000_s1065" type="#_x0000_t202" style="position:absolute;left:28247;top:26132;width:7358;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Z1cIA&#10;AADbAAAADwAAAGRycy9kb3ducmV2LnhtbERPy2rCQBTdC/7DcIXudKLQojGjSECU0i5M3bi7Zm4e&#10;mLkTM6NJ+/WdRaHLw3kn28E04kmdqy0rmM8iEMS51TWXCs5f++kShPPIGhvLpOCbHGw341GCsbY9&#10;n+iZ+VKEEHYxKqi8b2MpXV6RQTezLXHgCtsZ9AF2pdQd9iHcNHIRRW/SYM2hocKW0oryW/YwCt7T&#10;/Seerguz/GnSw0exa+/ny6tSL5NhtwbhafD/4j/3UStYhfX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BnVwgAAANsAAAAPAAAAAAAAAAAAAAAAAJgCAABkcnMvZG93&#10;bnJldi54bWxQSwUGAAAAAAQABAD1AAAAhwMAAAAA&#10;" filled="f" stroked="f" strokeweight=".5pt">
                  <v:textbox>
                    <w:txbxContent>
                      <w:p w14:paraId="581D2FFC" w14:textId="77777777" w:rsidR="00F84458" w:rsidRPr="00C034B3" w:rsidRDefault="00F84458" w:rsidP="00D313E0">
                        <w:pPr>
                          <w:pStyle w:val="NormalWeb"/>
                          <w:spacing w:before="0" w:after="200" w:line="276" w:lineRule="auto"/>
                          <w:jc w:val="center"/>
                          <w:rPr>
                            <w:rFonts w:asciiTheme="minorHAnsi" w:hAnsiTheme="minorHAnsi"/>
                            <w:i/>
                            <w:sz w:val="28"/>
                            <w:vertAlign w:val="subscript"/>
                          </w:rPr>
                        </w:pPr>
                        <w:r w:rsidRPr="00C034B3">
                          <w:rPr>
                            <w:rFonts w:asciiTheme="minorHAnsi" w:hAnsiTheme="minorHAnsi"/>
                            <w:i/>
                            <w:sz w:val="22"/>
                            <w:szCs w:val="18"/>
                            <w:vertAlign w:val="subscript"/>
                          </w:rPr>
                          <w:t>S</w:t>
                        </w:r>
                      </w:p>
                      <w:p w14:paraId="72C6CC2E" w14:textId="77777777" w:rsidR="00F84458" w:rsidRDefault="00F84458" w:rsidP="00D313E0"/>
                    </w:txbxContent>
                  </v:textbox>
                </v:shape>
                <v:shape id="Straight Arrow Connector 81" o:spid="_x0000_s1066" type="#_x0000_t32" style="position:absolute;left:21152;top:27432;width:22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HNhsQAAADbAAAADwAAAGRycy9kb3ducmV2LnhtbESP3WoCMRSE7wu+QzhC72pWoaKrWanS&#10;loII7dreHzZnf+zmZEmirj69EQq9HGbmG2a56k0rTuR8Y1nBeJSAIC6sbrhS8L1/e5qB8AFZY2uZ&#10;FFzIwyobPCwx1fbMX3TKQyUihH2KCuoQulRKX9Rk0I9sRxy90jqDIUpXSe3wHOGmlZMkmUqDDceF&#10;Gjva1FT85kejwK7Lo/55tuuZ2xX566c8XLbvV6Ueh/3LAkSgPvyH/9ofWsF8DPc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8c2GxAAAANsAAAAPAAAAAAAAAAAA&#10;AAAAAKECAABkcnMvZG93bnJldi54bWxQSwUGAAAAAAQABAD5AAAAkgMAAAAA&#10;" strokecolor="windowText">
                  <v:stroke endarrow="open"/>
                </v:shape>
                <v:shape id="Straight Arrow Connector 82" o:spid="_x0000_s1067" type="#_x0000_t32" style="position:absolute;left:27844;top:27517;width:2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NT8cQAAADbAAAADwAAAGRycy9kb3ducmV2LnhtbESP3WoCMRSE7wt9h3AK3tVsBYtdzYoW&#10;FaEI7VbvD5uzP7o5WZKoa5++EQq9HGbmG2Y2700rLuR8Y1nByzABQVxY3XClYP+9fp6A8AFZY2uZ&#10;FNzIwzx7fJhhqu2Vv+iSh0pECPsUFdQhdKmUvqjJoB/ajjh6pXUGQ5SuktrhNcJNK0dJ8ioNNhwX&#10;auzovabilJ+NArssz/owtsuJ2xX56lMebx+bH6UGT/1iCiJQH/7Df+2tVvA2gvuX+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1PxxAAAANsAAAAPAAAAAAAAAAAA&#10;AAAAAKECAABkcnMvZG93bnJldi54bWxQSwUGAAAAAAQABAD5AAAAkgMAAAAA&#10;" strokecolor="windowText">
                  <v:stroke endarrow="open"/>
                </v:shape>
                <v:shape id="Straight Arrow Connector 83" o:spid="_x0000_s1068" type="#_x0000_t32" style="position:absolute;left:33959;top:27432;width:2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2asQAAADbAAAADwAAAGRycy9kb3ducmV2LnhtbESPQWsCMRSE74X+h/AK3mq2FUW3Rqli&#10;iyCCrnp/bJ67225eliTq2l/fCILHYWa+YcbT1tTiTM5XlhW8dRMQxLnVFRcK9ruv1yEIH5A11pZJ&#10;wZU8TCfPT2NMtb3wls5ZKESEsE9RQRlCk0rp85IM+q5tiKN3tM5giNIVUju8RLip5XuSDKTBiuNC&#10;iQ3NS8p/s5NRYGfHkz707Wzo1nm22Mif6+r7T6nOS/v5ASJQGx7he3upFYx6cPsSf4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b/ZqxAAAANsAAAAPAAAAAAAAAAAA&#10;AAAAAKECAABkcnMvZG93bnJldi54bWxQSwUGAAAAAAQABAD5AAAAkgMAAAAA&#10;" strokecolor="windowText">
                  <v:stroke endarrow="open"/>
                </v:shape>
                <v:shape id="Straight Arrow Connector 84" o:spid="_x0000_s1069" type="#_x0000_t32" style="position:absolute;left:40369;top:27422;width:2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uHsQAAADbAAAADwAAAGRycy9kb3ducmV2LnhtbESPQWsCMRSE74X+h/AK3mq2RUW3Rqli&#10;iyCCrnp/bJ67225eliTq2l/fCILHYWa+YcbT1tTiTM5XlhW8dRMQxLnVFRcK9ruv1yEIH5A11pZJ&#10;wZU8TCfPT2NMtb3wls5ZKESEsE9RQRlCk0rp85IM+q5tiKN3tM5giNIVUju8RLip5XuSDKTBiuNC&#10;iQ3NS8p/s5NRYGfHkz707Wzo1nm22Mif6+r7T6nOS/v5ASJQGx7he3upFYx6cPsSf4C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m4exAAAANsAAAAPAAAAAAAAAAAA&#10;AAAAAKECAABkcnMvZG93bnJldi54bWxQSwUGAAAAAAQABAD5AAAAkgMAAAAA&#10;" strokecolor="windowText">
                  <v:stroke endarrow="open"/>
                </v:shape>
                <v:shape id="Straight Arrow Connector 85" o:spid="_x0000_s1070" type="#_x0000_t32" style="position:absolute;left:9763;top:27517;width:2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rLhcQAAADbAAAADwAAAGRycy9kb3ducmV2LnhtbESPQWsCMRSE74L/ITyht5q1oOhqlCqt&#10;CFLQtb0/Ns/dtZuXJYm6+utNoeBxmJlvmNmiNbW4kPOVZQWDfgKCOLe64kLB9+HzdQzCB2SNtWVS&#10;cCMPi3m3M8NU2yvv6ZKFQkQI+xQVlCE0qZQ+L8mg79uGOHpH6wyGKF0htcNrhJtaviXJSBqsOC6U&#10;2NCqpPw3OxsFdnk865+hXY7dV5597OTptl3flXrpte9TEIHa8Az/tzdawWQI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ysuFxAAAANsAAAAPAAAAAAAAAAAA&#10;AAAAAKECAABkcnMvZG93bnJldi54bWxQSwUGAAAAAAQABAD5AAAAkgMAAAAA&#10;" strokecolor="windowText">
                  <v:stroke endarrow="open"/>
                </v:shape>
                <v:shape id="Straight Arrow Connector 86" o:spid="_x0000_s1071" type="#_x0000_t32" style="position:absolute;left:14359;top:27517;width:2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hV8sQAAADbAAAADwAAAGRycy9kb3ducmV2LnhtbESPQWsCMRSE74L/ITzBW81aqOhqlCqt&#10;CFLQtb0/Ns/dtZuXJYm6+utNoeBxmJlvmNmiNbW4kPOVZQXDQQKCOLe64kLB9+HzZQzCB2SNtWVS&#10;cCMPi3m3M8NU2yvv6ZKFQkQI+xQVlCE0qZQ+L8mgH9iGOHpH6wyGKF0htcNrhJtavibJSBqsOC6U&#10;2NCqpPw3OxsFdnk86583uxy7rzz72MnTbbu+K9Xvte9TEIHa8Az/tzdawWQE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GFXyxAAAANsAAAAPAAAAAAAAAAAA&#10;AAAAAKECAABkcnMvZG93bnJldi54bWxQSwUGAAAAAAQABAD5AAAAkgMAAAAA&#10;" strokecolor="windowText">
                  <v:stroke endarrow="open"/>
                </v:shape>
                <v:line id="Straight Connector 87" o:spid="_x0000_s1072" style="position:absolute;visibility:visible;mso-wrap-style:square" from="12568,27517" to="13977,27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QN8UAAADbAAAADwAAAGRycy9kb3ducmV2LnhtbESPT2vCQBTE7wW/w/IEb3VjD9pEVxGh&#10;tEWw+AfF2yP7zIZk34bsVtNv3xUEj8PM/IaZLTpbiyu1vnSsYDRMQBDnTpdcKDjsP17fQfiArLF2&#10;TAr+yMNi3nuZYabdjbd03YVCRAj7DBWYEJpMSp8bsuiHriGO3sW1FkOUbSF1i7cIt7V8S5KxtFhy&#10;XDDY0MpQXu1+rYJ1aib7H/zejk5cVcd0czqv/adSg363nIII1IVn+NH+0grSCdy/xB8g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kQN8UAAADbAAAADwAAAAAAAAAA&#10;AAAAAAChAgAAZHJzL2Rvd25yZXYueG1sUEsFBgAAAAAEAAQA+QAAAJMDAAAAAA==&#10;" strokecolor="windowText">
                  <v:stroke dashstyle="3 1"/>
                </v:line>
                <v:shape id="Text Box 11" o:spid="_x0000_s1073" type="#_x0000_t202" style="position:absolute;left:2192;top:5547;width:20469;height:3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14:paraId="7CF6971D" w14:textId="77777777" w:rsidR="00F84458" w:rsidRPr="001A297C" w:rsidRDefault="00F84458" w:rsidP="00D313E0">
                        <w:pPr>
                          <w:pStyle w:val="NormalWeb"/>
                          <w:spacing w:before="0" w:after="200" w:line="276" w:lineRule="auto"/>
                          <w:rPr>
                            <w:rFonts w:asciiTheme="minorHAnsi" w:hAnsiTheme="minorHAnsi"/>
                            <w:sz w:val="16"/>
                            <w:szCs w:val="16"/>
                          </w:rPr>
                        </w:pPr>
                        <w:r>
                          <w:rPr>
                            <w:rFonts w:asciiTheme="minorHAnsi" w:hAnsiTheme="minorHAnsi"/>
                            <w:sz w:val="16"/>
                            <w:szCs w:val="16"/>
                          </w:rPr>
                          <w:t xml:space="preserve">Model costs derived by applying 2014-15 cost </w:t>
                        </w:r>
                        <w:proofErr w:type="gramStart"/>
                        <w:r>
                          <w:rPr>
                            <w:rFonts w:asciiTheme="minorHAnsi" w:hAnsiTheme="minorHAnsi"/>
                            <w:sz w:val="16"/>
                            <w:szCs w:val="16"/>
                          </w:rPr>
                          <w:t>model</w:t>
                        </w:r>
                        <w:proofErr w:type="gramEnd"/>
                        <w:r>
                          <w:rPr>
                            <w:rFonts w:asciiTheme="minorHAnsi" w:hAnsiTheme="minorHAnsi"/>
                            <w:sz w:val="16"/>
                            <w:szCs w:val="16"/>
                          </w:rPr>
                          <w:t xml:space="preserve"> to costed activity data scaling</w:t>
                        </w:r>
                      </w:p>
                      <w:p w14:paraId="1B1020A2" w14:textId="77777777" w:rsidR="00F84458" w:rsidRDefault="00F84458" w:rsidP="00D313E0"/>
                    </w:txbxContent>
                  </v:textbox>
                </v:shape>
                <v:line id="Straight Connector 89" o:spid="_x0000_s1074" style="position:absolute;flip:y;visibility:visible;mso-wrap-style:square" from="28735,1370" to="28735,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Q5ecQAAADbAAAADwAAAGRycy9kb3ducmV2LnhtbESPT2vCQBTE7wW/w/IEL0U3Cv5LXUWl&#10;gtfGUujtkX3NhmbfhuzGpH56Vyh4HGbmN8xm19tKXKnxpWMF00kCgjh3uuRCweflNF6B8AFZY+WY&#10;FPyRh9128LLBVLuOP+iahUJECPsUFZgQ6lRKnxuy6CeuJo7ej2sshiibQuoGuwi3lZwlyUJaLDku&#10;GKzpaCj/zVqr4PBqZu9dmx2O84Vefrnb9HuOJ6VGw37/BiJQH57h//ZZK1iv4fEl/gC5v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Dl5xAAAANsAAAAPAAAAAAAAAAAA&#10;AAAAAKECAABkcnMvZG93bnJldi54bWxQSwUGAAAAAAQABAD5AAAAkgMAAAAA&#10;" strokecolor="windowText">
                  <v:stroke dashstyle="dash"/>
                </v:line>
                <v:shape id="Straight Arrow Connector 90" o:spid="_x0000_s1075" type="#_x0000_t32" style="position:absolute;left:30262;top:3784;width:76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rRcUAAADcAAAADwAAAGRycy9kb3ducmV2LnhtbESPQWvCQBCF74L/YZlCb7qp0CKpq6jY&#10;UihCm9b7kB2TaHY27K4a++udQ8HbDO/Ne9/MFr1r1ZlCbDwbeBpnoIhLbxuuDPz+vI2moGJCtth6&#10;JgNXirCYDwczzK2/8Dedi1QpCeGYo4E6pS7XOpY1OYxj3xGLtvfBYZI1VNoGvEi4a/Uky160w4al&#10;ocaO1jWVx+LkDPjV/mR3z341Dduy2Hzpw/Xz/c+Yx4d++QoqUZ/u5v/rDyv4meDL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urRcUAAADcAAAADwAAAAAAAAAA&#10;AAAAAAChAgAAZHJzL2Rvd25yZXYueG1sUEsFBgAAAAAEAAQA+QAAAJMDAAAAAA==&#10;" strokecolor="windowText">
                  <v:stroke endarrow="open"/>
                </v:shape>
                <v:shape id="Text Box 11" o:spid="_x0000_s1076" type="#_x0000_t202" style="position:absolute;left:30511;top:1666;width:7753;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14:paraId="7E9F3B25" w14:textId="77777777" w:rsidR="00F84458" w:rsidRPr="00D9271F" w:rsidRDefault="00F84458" w:rsidP="00D313E0">
                        <w:pPr>
                          <w:pStyle w:val="NormalWeb"/>
                          <w:spacing w:before="0" w:after="200" w:line="276" w:lineRule="auto"/>
                          <w:rPr>
                            <w:rFonts w:asciiTheme="minorHAnsi" w:hAnsiTheme="minorHAnsi"/>
                            <w:sz w:val="20"/>
                          </w:rPr>
                        </w:pPr>
                        <w:r>
                          <w:rPr>
                            <w:rFonts w:asciiTheme="minorHAnsi" w:hAnsiTheme="minorHAnsi"/>
                            <w:sz w:val="20"/>
                          </w:rPr>
                          <w:t>Projected</w:t>
                        </w:r>
                      </w:p>
                      <w:p w14:paraId="3DAD0296" w14:textId="77777777" w:rsidR="00F84458" w:rsidRDefault="00F84458" w:rsidP="00D313E0"/>
                    </w:txbxContent>
                  </v:textbox>
                </v:shape>
                <v:shape id="Straight Arrow Connector 92" o:spid="_x0000_s1077" type="#_x0000_t32" style="position:absolute;left:19709;top:3765;width:76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4ig8IAAADcAAAADwAAAGRycy9kb3ducmV2LnhtbERPTWvCQBC9F/wPywi9Nbv1UG3MKkUo&#10;tMekIvQ2Zsckmp2N2W2S/vuuUPA2j/c52XayrRio941jDc+JAkFcOtNwpWH/9f60AuEDssHWMWn4&#10;JQ/bzewhw9S4kXMailCJGMI+RQ11CF0qpS9rsugT1xFH7uR6iyHCvpKmxzGG21YulHqRFhuODTV2&#10;tKupvBQ/VsPhajwt5fmYj03++X2eVkq9llo/zqe3NYhAU7iL/90fJs5XC7g9Ey+Qm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4ig8IAAADcAAAADwAAAAAAAAAAAAAA&#10;AAChAgAAZHJzL2Rvd25yZXYueG1sUEsFBgAAAAAEAAQA+QAAAJADAAAAAA==&#10;" strokecolor="windowText">
                  <v:stroke startarrow="open"/>
                </v:shape>
                <v:shape id="Text Box 11" o:spid="_x0000_s1078" type="#_x0000_t202" style="position:absolute;left:20766;top:1650;width:7284;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14:paraId="5AF6E1B4" w14:textId="77777777" w:rsidR="00F84458" w:rsidRPr="00D9271F" w:rsidRDefault="00F84458" w:rsidP="00D313E0">
                        <w:pPr>
                          <w:pStyle w:val="NormalWeb"/>
                          <w:spacing w:before="0" w:after="200" w:line="276" w:lineRule="auto"/>
                          <w:rPr>
                            <w:rFonts w:asciiTheme="minorHAnsi" w:hAnsiTheme="minorHAnsi"/>
                            <w:sz w:val="18"/>
                          </w:rPr>
                        </w:pPr>
                        <w:r w:rsidRPr="00D9271F">
                          <w:rPr>
                            <w:rFonts w:asciiTheme="minorHAnsi" w:hAnsiTheme="minorHAnsi"/>
                            <w:sz w:val="20"/>
                          </w:rPr>
                          <w:t>Historic</w:t>
                        </w:r>
                        <w:r>
                          <w:rPr>
                            <w:rFonts w:asciiTheme="minorHAnsi" w:hAnsiTheme="minorHAnsi"/>
                            <w:sz w:val="20"/>
                          </w:rPr>
                          <w:t>al</w:t>
                        </w:r>
                      </w:p>
                      <w:p w14:paraId="4C3DA835" w14:textId="77777777" w:rsidR="00F84458" w:rsidRDefault="00F84458" w:rsidP="00D313E0"/>
                    </w:txbxContent>
                  </v:textbox>
                </v:shape>
                <v:shape id="Text Box 11" o:spid="_x0000_s1079" type="#_x0000_t202" style="position:absolute;left:720;top:13426;width:6493;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14:paraId="40AFB736" w14:textId="77777777" w:rsidR="00F84458" w:rsidRPr="00490D61" w:rsidRDefault="00F84458" w:rsidP="00D313E0">
                        <w:pPr>
                          <w:pStyle w:val="NormalWeb"/>
                          <w:spacing w:before="0" w:after="200" w:line="276" w:lineRule="auto"/>
                          <w:rPr>
                            <w:rFonts w:asciiTheme="minorHAnsi" w:hAnsiTheme="minorHAnsi"/>
                          </w:rPr>
                        </w:pPr>
                        <w:r w:rsidRPr="00801AF5">
                          <w:rPr>
                            <w:rFonts w:asciiTheme="minorHAnsi" w:hAnsiTheme="minorHAnsi"/>
                            <w:i/>
                            <w:vertAlign w:val="superscript"/>
                          </w:rPr>
                          <w:t>S</w:t>
                        </w:r>
                        <w:r w:rsidRPr="00801AF5">
                          <w:rPr>
                            <w:rFonts w:asciiTheme="minorHAnsi" w:hAnsiTheme="minorHAnsi"/>
                            <w:vertAlign w:val="subscript"/>
                          </w:rPr>
                          <w:t>200</w:t>
                        </w:r>
                        <w:r>
                          <w:rPr>
                            <w:rFonts w:asciiTheme="minorHAnsi" w:hAnsiTheme="minorHAnsi"/>
                            <w:vertAlign w:val="subscript"/>
                          </w:rPr>
                          <w:t>9-10</w:t>
                        </w:r>
                      </w:p>
                      <w:p w14:paraId="301465B7" w14:textId="77777777" w:rsidR="00F84458" w:rsidRDefault="00F84458" w:rsidP="00D313E0"/>
                    </w:txbxContent>
                  </v:textbox>
                </v:shape>
                <v:shape id="Text Box 11" o:spid="_x0000_s1080" type="#_x0000_t202" style="position:absolute;left:34098;top:26031;width:8376;height:3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14:paraId="1979DB95" w14:textId="77777777" w:rsidR="00F84458" w:rsidRPr="00C034B3" w:rsidRDefault="00F84458" w:rsidP="00D313E0">
                        <w:pPr>
                          <w:pStyle w:val="NormalWeb"/>
                          <w:spacing w:before="0" w:after="200" w:line="276" w:lineRule="auto"/>
                          <w:jc w:val="center"/>
                          <w:rPr>
                            <w:rFonts w:asciiTheme="minorHAnsi" w:hAnsiTheme="minorHAnsi"/>
                            <w:sz w:val="28"/>
                            <w:vertAlign w:val="superscript"/>
                          </w:rPr>
                        </w:pPr>
                        <w:r w:rsidRPr="00C034B3">
                          <w:rPr>
                            <w:rFonts w:asciiTheme="minorHAnsi" w:hAnsiTheme="minorHAnsi"/>
                            <w:i/>
                            <w:sz w:val="22"/>
                            <w:szCs w:val="18"/>
                            <w:vertAlign w:val="subscript"/>
                          </w:rPr>
                          <w:t>S</w:t>
                        </w:r>
                        <w:r w:rsidRPr="00C034B3">
                          <w:rPr>
                            <w:rFonts w:asciiTheme="minorHAnsi" w:hAnsiTheme="minorHAnsi"/>
                            <w:i/>
                            <w:sz w:val="22"/>
                            <w:szCs w:val="18"/>
                            <w:vertAlign w:val="superscript"/>
                          </w:rPr>
                          <w:t>2</w:t>
                        </w:r>
                      </w:p>
                      <w:p w14:paraId="72E98FA2" w14:textId="77777777" w:rsidR="00F84458" w:rsidRDefault="00F84458" w:rsidP="00D313E0"/>
                    </w:txbxContent>
                  </v:textbox>
                </v:shape>
                <v:shape id="Text Box 11" o:spid="_x0000_s1081" type="#_x0000_t202" style="position:absolute;left:42868;top:25929;width:3340;height:3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14:paraId="587CC3D1" w14:textId="77777777" w:rsidR="00F84458" w:rsidRPr="00C034B3" w:rsidRDefault="00F84458" w:rsidP="00D313E0">
                        <w:pPr>
                          <w:pStyle w:val="NormalWeb"/>
                          <w:spacing w:before="0" w:after="200" w:line="276" w:lineRule="auto"/>
                          <w:jc w:val="center"/>
                          <w:rPr>
                            <w:rFonts w:asciiTheme="minorHAnsi" w:hAnsiTheme="minorHAnsi"/>
                            <w:sz w:val="28"/>
                            <w:vertAlign w:val="superscript"/>
                          </w:rPr>
                        </w:pPr>
                        <w:r w:rsidRPr="00E33EAE">
                          <w:rPr>
                            <w:rFonts w:asciiTheme="minorHAnsi" w:hAnsiTheme="minorHAnsi"/>
                            <w:i/>
                            <w:sz w:val="22"/>
                            <w:szCs w:val="18"/>
                            <w:vertAlign w:val="subscript"/>
                          </w:rPr>
                          <w:t>S</w:t>
                        </w:r>
                        <w:r w:rsidRPr="00C034B3">
                          <w:rPr>
                            <w:rFonts w:asciiTheme="minorHAnsi" w:hAnsiTheme="minorHAnsi"/>
                            <w:i/>
                            <w:sz w:val="22"/>
                            <w:szCs w:val="18"/>
                            <w:vertAlign w:val="superscript"/>
                          </w:rPr>
                          <w:t>3</w:t>
                        </w:r>
                      </w:p>
                      <w:p w14:paraId="457101A4" w14:textId="77777777" w:rsidR="00F84458" w:rsidRPr="00490D61" w:rsidRDefault="00F84458" w:rsidP="00D313E0">
                        <w:pPr>
                          <w:pStyle w:val="NormalWeb"/>
                          <w:spacing w:before="0" w:after="200" w:line="276" w:lineRule="auto"/>
                          <w:rPr>
                            <w:rFonts w:asciiTheme="minorHAnsi" w:hAnsiTheme="minorHAnsi"/>
                            <w:i/>
                            <w:vertAlign w:val="superscript"/>
                          </w:rPr>
                        </w:pPr>
                      </w:p>
                      <w:p w14:paraId="1B58CCD1" w14:textId="77777777" w:rsidR="00F84458" w:rsidRDefault="00F84458" w:rsidP="00D313E0"/>
                    </w:txbxContent>
                  </v:textbox>
                </v:shape>
                <v:shape id="Text Box 11" o:spid="_x0000_s1082" type="#_x0000_t202" style="position:absolute;left:212;top:8228;width:3299;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14:paraId="419EB663" w14:textId="77777777" w:rsidR="00F84458" w:rsidRPr="008916CD" w:rsidRDefault="00F84458" w:rsidP="00D313E0">
                        <w:pPr>
                          <w:pStyle w:val="NormalWeb"/>
                          <w:spacing w:before="0" w:after="200" w:line="276" w:lineRule="auto"/>
                          <w:rPr>
                            <w:rFonts w:asciiTheme="minorHAnsi" w:hAnsiTheme="minorHAnsi"/>
                            <w:i/>
                            <w:sz w:val="28"/>
                          </w:rPr>
                        </w:pPr>
                        <w:r w:rsidRPr="008916CD">
                          <w:rPr>
                            <w:rFonts w:ascii="Calibri" w:eastAsia="Calibri" w:hAnsi="Calibri"/>
                            <w:i/>
                            <w:sz w:val="28"/>
                            <w:vertAlign w:val="superscript"/>
                          </w:rPr>
                          <w:t>S</w:t>
                        </w:r>
                        <w:r>
                          <w:rPr>
                            <w:rFonts w:ascii="Calibri" w:eastAsia="Calibri" w:hAnsi="Calibri"/>
                            <w:i/>
                            <w:sz w:val="28"/>
                            <w:vertAlign w:val="subscript"/>
                          </w:rPr>
                          <w:t>X</w:t>
                        </w:r>
                      </w:p>
                      <w:p w14:paraId="00C7CE2F" w14:textId="77777777" w:rsidR="00F84458" w:rsidRDefault="00F84458" w:rsidP="00D313E0"/>
                    </w:txbxContent>
                  </v:textbox>
                </v:shape>
                <v:shape id="Text Box 11" o:spid="_x0000_s1083" type="#_x0000_t202" style="position:absolute;left:2019;top:8488;width:19431;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14:paraId="2FB84B12" w14:textId="77777777" w:rsidR="00F84458" w:rsidRPr="00D9271F" w:rsidRDefault="00F84458" w:rsidP="00D313E0">
                        <w:pPr>
                          <w:pStyle w:val="NormalWeb"/>
                          <w:spacing w:before="0" w:after="200" w:line="276" w:lineRule="auto"/>
                          <w:rPr>
                            <w:rFonts w:asciiTheme="minorHAnsi" w:hAnsiTheme="minorHAnsi" w:cstheme="minorHAnsi"/>
                            <w:sz w:val="16"/>
                          </w:rPr>
                        </w:pPr>
                        <w:r w:rsidRPr="00D9271F">
                          <w:rPr>
                            <w:rFonts w:asciiTheme="minorHAnsi" w:eastAsia="Calibri" w:hAnsiTheme="minorHAnsi" w:cstheme="minorHAnsi"/>
                            <w:sz w:val="16"/>
                          </w:rPr>
                          <w:t>Scaling factor required to equalise model costs</w:t>
                        </w:r>
                        <w:r>
                          <w:rPr>
                            <w:rFonts w:asciiTheme="minorHAnsi" w:eastAsia="Calibri" w:hAnsiTheme="minorHAnsi" w:cstheme="minorHAnsi"/>
                            <w:sz w:val="16"/>
                          </w:rPr>
                          <w:t xml:space="preserve"> with actual costs</w:t>
                        </w:r>
                      </w:p>
                      <w:p w14:paraId="4C24CD23" w14:textId="77777777" w:rsidR="00F84458" w:rsidRDefault="00F84458" w:rsidP="00D313E0"/>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1" o:spid="_x0000_s1084" type="#_x0000_t87" style="position:absolute;left:14647;top:18998;width:2726;height:2216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twL8IA&#10;AADcAAAADwAAAGRycy9kb3ducmV2LnhtbERPTWvCQBC9C/0PyxS86SaFik1dxaYUzK3a0vOYHZOY&#10;7GzY3cb4792C0Ns83uesNqPpxEDON5YVpPMEBHFpdcOVgu+vj9kShA/IGjvLpOBKHjbrh8kKM20v&#10;vKfhECoRQ9hnqKAOoc+k9GVNBv3c9sSRO1lnMEToKqkdXmK46eRTkiykwYZjQ4095TWV7eHXKPj8&#10;4aI9Lc/56NziWByL7v3tOVVq+jhuX0EEGsO/+O7e6Tg/eYG/Z+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3AvwgAAANwAAAAPAAAAAAAAAAAAAAAAAJgCAABkcnMvZG93&#10;bnJldi54bWxQSwUGAAAAAAQABAD1AAAAhwMAAAAA&#10;" adj="221" strokecolor="windowText"/>
                <v:shape id="Left Brace 132" o:spid="_x0000_s1085" type="#_x0000_t87" style="position:absolute;left:36529;top:23236;width:2724;height:1370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XjsQA&#10;AADcAAAADwAAAGRycy9kb3ducmV2LnhtbESPQWvDMAyF74X9B6PBbq3THkbJ6pYxGJQyNpIVehWx&#10;6mSL5WA7bfrvq8NgN4n39N6nzW7yvbpQTF1gA8tFAYq4CbZjZ+D4/T5fg0oZ2WIfmAzcKMFu+zDb&#10;YGnDlSu61NkpCeFUooE256HUOjUteUyLMBCLdg7RY5Y1Om0jXiXc93pVFM/aY8fS0OJAby01v/Xo&#10;DXx8nYfKfbrx53SoRxer9SFwY8zT4/T6AirTlP/Nf9d7K/hLwZdnZAK9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CV47EAAAA3AAAAA8AAAAAAAAAAAAAAAAAmAIAAGRycy9k&#10;b3ducmV2LnhtbFBLBQYAAAAABAAEAPUAAACJAwAAAAA=&#10;" adj="358" strokecolor="windowText">
                  <v:textbox>
                    <w:txbxContent>
                      <w:p w14:paraId="0AB4916E" w14:textId="77777777" w:rsidR="00F84458" w:rsidRDefault="00F84458" w:rsidP="00D313E0"/>
                      <w:p w14:paraId="4C3BE953" w14:textId="77777777" w:rsidR="00F84458" w:rsidRDefault="00F84458" w:rsidP="00D313E0"/>
                    </w:txbxContent>
                  </v:textbox>
                </v:shape>
                <v:shape id="Text Box 11" o:spid="_x0000_s1086" type="#_x0000_t202" style="position:absolute;left:8870;top:30968;width:1423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14:paraId="21727602" w14:textId="77777777" w:rsidR="00F84458" w:rsidRPr="008916CD" w:rsidRDefault="00F84458" w:rsidP="00D313E0">
                        <w:pPr>
                          <w:pStyle w:val="NormalWeb"/>
                          <w:spacing w:before="0" w:after="200" w:line="276" w:lineRule="auto"/>
                          <w:jc w:val="center"/>
                          <w:rPr>
                            <w:rFonts w:asciiTheme="minorHAnsi" w:hAnsiTheme="minorHAnsi"/>
                            <w:sz w:val="16"/>
                          </w:rPr>
                        </w:pPr>
                        <w:r w:rsidRPr="008916CD">
                          <w:rPr>
                            <w:rFonts w:asciiTheme="minorHAnsi" w:hAnsiTheme="minorHAnsi"/>
                            <w:sz w:val="18"/>
                          </w:rPr>
                          <w:t>Time series</w:t>
                        </w:r>
                      </w:p>
                      <w:p w14:paraId="3F25ECAA" w14:textId="77777777" w:rsidR="00F84458" w:rsidRDefault="00F84458" w:rsidP="00D313E0"/>
                    </w:txbxContent>
                  </v:textbox>
                </v:shape>
                <v:shape id="Text Box 11" o:spid="_x0000_s1087" type="#_x0000_t202" style="position:absolute;left:30811;top:31075;width:1418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14:paraId="4F7E3C99" w14:textId="77777777" w:rsidR="00F84458" w:rsidRPr="008916CD" w:rsidRDefault="00F84458" w:rsidP="00D313E0">
                        <w:pPr>
                          <w:pStyle w:val="NormalWeb"/>
                          <w:spacing w:before="0" w:after="200" w:line="276" w:lineRule="auto"/>
                          <w:jc w:val="center"/>
                          <w:rPr>
                            <w:rFonts w:asciiTheme="minorHAnsi" w:hAnsiTheme="minorHAnsi"/>
                            <w:sz w:val="18"/>
                          </w:rPr>
                        </w:pPr>
                        <w:r w:rsidRPr="008916CD">
                          <w:rPr>
                            <w:rFonts w:asciiTheme="minorHAnsi" w:hAnsiTheme="minorHAnsi"/>
                            <w:sz w:val="18"/>
                          </w:rPr>
                          <w:t>Projection of time series</w:t>
                        </w:r>
                      </w:p>
                      <w:p w14:paraId="38E7A9C0" w14:textId="77777777" w:rsidR="00F84458" w:rsidRDefault="00F84458" w:rsidP="00D313E0"/>
                    </w:txbxContent>
                  </v:textbox>
                </v:shape>
                <w10:anchorlock/>
              </v:group>
            </w:pict>
          </mc:Fallback>
        </mc:AlternateContent>
      </w:r>
    </w:p>
    <w:p w14:paraId="3E95D6C0" w14:textId="77777777" w:rsidR="00D313E0" w:rsidRPr="00704036" w:rsidRDefault="00D313E0" w:rsidP="00560AC0">
      <w:pPr>
        <w:spacing w:before="240" w:after="200" w:line="276" w:lineRule="auto"/>
        <w:rPr>
          <w:rFonts w:eastAsia="Calibri" w:cs="Arial"/>
        </w:rPr>
      </w:pPr>
      <w:r w:rsidRPr="00704036">
        <w:rPr>
          <w:rFonts w:eastAsia="Calibri" w:cs="Arial"/>
        </w:rPr>
        <w:t>Denoting the historical total actual costs of the activity by</w:t>
      </w:r>
      <w:r>
        <w:rPr>
          <w:rFonts w:eastAsia="Calibri" w:cs="Arial"/>
        </w:rPr>
        <w:t>:</w:t>
      </w:r>
    </w:p>
    <w:p w14:paraId="155C6370" w14:textId="77777777" w:rsidR="00D313E0" w:rsidRPr="00BD4DD8" w:rsidRDefault="00D313E0" w:rsidP="002D606E">
      <w:pPr>
        <w:spacing w:before="100" w:beforeAutospacing="1" w:after="100" w:afterAutospacing="1"/>
        <w:rPr>
          <w:rFonts w:eastAsia="Calibri" w:cs="Arial"/>
        </w:rPr>
      </w:pPr>
      <w:r w:rsidRPr="00801AF5">
        <w:rPr>
          <w:rFonts w:eastAsia="Calibri" w:cs="Arial"/>
          <w:i/>
        </w:rPr>
        <w:t>C</w:t>
      </w:r>
      <w:r w:rsidRPr="00801AF5">
        <w:rPr>
          <w:rFonts w:eastAsia="Calibri" w:cs="Arial"/>
          <w:vertAlign w:val="subscript"/>
        </w:rPr>
        <w:t>200</w:t>
      </w:r>
      <w:r w:rsidRPr="006957DA">
        <w:rPr>
          <w:rFonts w:eastAsia="Calibri" w:cs="Arial"/>
          <w:vertAlign w:val="subscript"/>
        </w:rPr>
        <w:t>9</w:t>
      </w:r>
      <w:r w:rsidRPr="00BD4DD8">
        <w:rPr>
          <w:rFonts w:eastAsia="Calibri" w:cs="Arial"/>
          <w:vertAlign w:val="subscript"/>
        </w:rPr>
        <w:t>-</w:t>
      </w:r>
      <w:r>
        <w:rPr>
          <w:rFonts w:eastAsia="Calibri" w:cs="Arial"/>
          <w:vertAlign w:val="subscript"/>
        </w:rPr>
        <w:t>10</w:t>
      </w:r>
      <w:proofErr w:type="gramStart"/>
      <w:r w:rsidRPr="00BD4DD8">
        <w:rPr>
          <w:rFonts w:eastAsia="Calibri" w:cs="Arial"/>
        </w:rPr>
        <w:t>,…,</w:t>
      </w:r>
      <w:proofErr w:type="gramEnd"/>
      <w:r w:rsidRPr="00BD4DD8">
        <w:rPr>
          <w:rFonts w:eastAsia="Calibri" w:cs="Arial"/>
        </w:rPr>
        <w:t xml:space="preserve"> </w:t>
      </w:r>
      <w:r w:rsidRPr="00BD4DD8">
        <w:rPr>
          <w:rFonts w:eastAsia="Calibri" w:cs="Arial"/>
          <w:i/>
        </w:rPr>
        <w:t>C</w:t>
      </w:r>
      <w:r w:rsidRPr="00BD4DD8">
        <w:rPr>
          <w:rFonts w:eastAsia="Calibri" w:cs="Arial"/>
          <w:vertAlign w:val="subscript"/>
        </w:rPr>
        <w:t>2014-15</w:t>
      </w:r>
      <w:r>
        <w:rPr>
          <w:rFonts w:eastAsia="Calibri" w:cs="Arial"/>
          <w:vertAlign w:val="subscript"/>
        </w:rPr>
        <w:t>,</w:t>
      </w:r>
    </w:p>
    <w:p w14:paraId="145F7171" w14:textId="77777777" w:rsidR="00D313E0" w:rsidRPr="00704036" w:rsidRDefault="00D313E0" w:rsidP="00560AC0">
      <w:pPr>
        <w:spacing w:before="100" w:beforeAutospacing="1" w:after="100" w:afterAutospacing="1"/>
        <w:rPr>
          <w:rFonts w:eastAsia="Calibri" w:cs="Arial"/>
        </w:rPr>
      </w:pPr>
      <w:proofErr w:type="gramStart"/>
      <w:r w:rsidRPr="00704036">
        <w:rPr>
          <w:rFonts w:eastAsia="Calibri" w:cs="Arial"/>
        </w:rPr>
        <w:t>and</w:t>
      </w:r>
      <w:proofErr w:type="gramEnd"/>
      <w:r w:rsidRPr="00704036">
        <w:rPr>
          <w:rFonts w:eastAsia="Calibri" w:cs="Arial"/>
        </w:rPr>
        <w:t xml:space="preserve"> denoting the total model costs associated with the </w:t>
      </w:r>
      <w:r>
        <w:rPr>
          <w:rFonts w:eastAsia="Calibri" w:cs="Arial"/>
        </w:rPr>
        <w:t>2014-15</w:t>
      </w:r>
      <w:r w:rsidRPr="00704036">
        <w:rPr>
          <w:rFonts w:eastAsia="Calibri" w:cs="Arial"/>
        </w:rPr>
        <w:t xml:space="preserve"> cost model applied to each year’s costed activity by</w:t>
      </w:r>
      <w:r>
        <w:rPr>
          <w:rFonts w:eastAsia="Calibri" w:cs="Arial"/>
        </w:rPr>
        <w:t>:</w:t>
      </w:r>
    </w:p>
    <w:p w14:paraId="2C8FC6E8" w14:textId="77777777" w:rsidR="00D313E0" w:rsidRPr="00BD4DD8" w:rsidRDefault="00D313E0" w:rsidP="002D606E">
      <w:pPr>
        <w:spacing w:before="100" w:beforeAutospacing="1" w:after="100" w:afterAutospacing="1"/>
        <w:rPr>
          <w:rFonts w:eastAsia="Calibri" w:cs="Arial"/>
        </w:rPr>
      </w:pPr>
      <w:r w:rsidRPr="00801AF5">
        <w:rPr>
          <w:rFonts w:eastAsia="Calibri" w:cs="Arial"/>
          <w:i/>
        </w:rPr>
        <w:t>M</w:t>
      </w:r>
      <w:r w:rsidRPr="00801AF5">
        <w:rPr>
          <w:rFonts w:eastAsia="Calibri" w:cs="Arial"/>
          <w:vertAlign w:val="subscript"/>
        </w:rPr>
        <w:t>200</w:t>
      </w:r>
      <w:r>
        <w:rPr>
          <w:rFonts w:eastAsia="Calibri" w:cs="Arial"/>
          <w:vertAlign w:val="subscript"/>
        </w:rPr>
        <w:t>9</w:t>
      </w:r>
      <w:r w:rsidRPr="00BD4DD8">
        <w:rPr>
          <w:rFonts w:eastAsia="Calibri" w:cs="Arial"/>
          <w:vertAlign w:val="subscript"/>
        </w:rPr>
        <w:t>-</w:t>
      </w:r>
      <w:r>
        <w:rPr>
          <w:rFonts w:eastAsia="Calibri" w:cs="Arial"/>
          <w:vertAlign w:val="subscript"/>
        </w:rPr>
        <w:t>10</w:t>
      </w:r>
      <w:proofErr w:type="gramStart"/>
      <w:r w:rsidRPr="00BD4DD8">
        <w:rPr>
          <w:rFonts w:eastAsia="Calibri" w:cs="Arial"/>
        </w:rPr>
        <w:t>,…,</w:t>
      </w:r>
      <w:proofErr w:type="gramEnd"/>
      <w:r w:rsidRPr="00BD4DD8">
        <w:rPr>
          <w:rFonts w:eastAsia="Calibri" w:cs="Arial"/>
        </w:rPr>
        <w:t xml:space="preserve"> </w:t>
      </w:r>
      <w:r w:rsidRPr="00BD4DD8">
        <w:rPr>
          <w:rFonts w:eastAsia="Calibri" w:cs="Arial"/>
          <w:i/>
        </w:rPr>
        <w:t>M</w:t>
      </w:r>
      <w:r w:rsidRPr="00BD4DD8">
        <w:rPr>
          <w:rFonts w:eastAsia="Calibri" w:cs="Arial"/>
          <w:vertAlign w:val="subscript"/>
        </w:rPr>
        <w:t>2014-15</w:t>
      </w:r>
      <w:r w:rsidRPr="00BD4DD8">
        <w:rPr>
          <w:rFonts w:eastAsia="Calibri" w:cs="Arial"/>
        </w:rPr>
        <w:t>,</w:t>
      </w:r>
    </w:p>
    <w:p w14:paraId="22CE775E" w14:textId="77777777" w:rsidR="00D313E0" w:rsidRPr="00704036" w:rsidRDefault="00D313E0" w:rsidP="00560AC0">
      <w:pPr>
        <w:spacing w:before="100" w:beforeAutospacing="1" w:after="100" w:afterAutospacing="1"/>
        <w:rPr>
          <w:rFonts w:eastAsia="Calibri" w:cs="Arial"/>
        </w:rPr>
      </w:pPr>
      <w:proofErr w:type="gramStart"/>
      <w:r w:rsidRPr="00704036">
        <w:rPr>
          <w:rFonts w:eastAsia="Calibri" w:cs="Arial"/>
        </w:rPr>
        <w:t>each</w:t>
      </w:r>
      <w:proofErr w:type="gramEnd"/>
      <w:r w:rsidRPr="00704036">
        <w:rPr>
          <w:rFonts w:eastAsia="Calibri" w:cs="Arial"/>
        </w:rPr>
        <w:t xml:space="preserve"> year’s scaling factor </w:t>
      </w:r>
      <w:proofErr w:type="spellStart"/>
      <w:r>
        <w:rPr>
          <w:rFonts w:eastAsia="Calibri" w:cs="Arial"/>
        </w:rPr>
        <w:t>s</w:t>
      </w:r>
      <w:r w:rsidRPr="00704036">
        <w:rPr>
          <w:rFonts w:eastAsia="Calibri" w:cs="Arial"/>
          <w:i/>
          <w:vertAlign w:val="subscript"/>
        </w:rPr>
        <w:t>x</w:t>
      </w:r>
      <w:proofErr w:type="spellEnd"/>
      <w:r w:rsidRPr="00704036">
        <w:rPr>
          <w:rFonts w:eastAsia="Calibri" w:cs="Arial"/>
        </w:rPr>
        <w:t xml:space="preserve"> is given by</w:t>
      </w:r>
      <w:r>
        <w:rPr>
          <w:rFonts w:eastAsia="Calibri" w:cs="Arial"/>
        </w:rPr>
        <w:t>:</w:t>
      </w:r>
    </w:p>
    <w:p w14:paraId="65C616C1" w14:textId="77777777" w:rsidR="00D313E0" w:rsidRPr="00BD4DD8" w:rsidRDefault="00D313E0" w:rsidP="002D606E">
      <w:pPr>
        <w:spacing w:before="100" w:beforeAutospacing="1" w:after="100" w:afterAutospacing="1"/>
        <w:rPr>
          <w:rFonts w:eastAsia="Calibri" w:cs="Arial"/>
        </w:rPr>
      </w:pPr>
      <w:proofErr w:type="spellStart"/>
      <w:proofErr w:type="gramStart"/>
      <w:r w:rsidRPr="00BD4DD8">
        <w:rPr>
          <w:rFonts w:eastAsia="Calibri" w:cs="Arial"/>
          <w:i/>
        </w:rPr>
        <w:t>s</w:t>
      </w:r>
      <w:r w:rsidRPr="00BD4DD8">
        <w:rPr>
          <w:rFonts w:eastAsia="Calibri" w:cs="Arial"/>
          <w:vertAlign w:val="subscript"/>
        </w:rPr>
        <w:t>x</w:t>
      </w:r>
      <w:proofErr w:type="spellEnd"/>
      <w:proofErr w:type="gramEnd"/>
      <w:r w:rsidRPr="00BD4DD8">
        <w:rPr>
          <w:rFonts w:eastAsia="Calibri" w:cs="Arial"/>
          <w:i/>
        </w:rPr>
        <w:t xml:space="preserve"> </w:t>
      </w:r>
      <w:r w:rsidRPr="00BD4DD8">
        <w:rPr>
          <w:rFonts w:eastAsia="Calibri" w:cs="Arial"/>
        </w:rPr>
        <w:t>=</w:t>
      </w:r>
      <w:r w:rsidRPr="00BD4DD8">
        <w:rPr>
          <w:rFonts w:eastAsia="Calibri" w:cs="Arial"/>
          <w:i/>
        </w:rPr>
        <w:t xml:space="preserve"> </w:t>
      </w:r>
      <w:proofErr w:type="spellStart"/>
      <w:r w:rsidRPr="00BD4DD8">
        <w:rPr>
          <w:rFonts w:eastAsia="Calibri" w:cs="Arial"/>
          <w:i/>
        </w:rPr>
        <w:t>C</w:t>
      </w:r>
      <w:r w:rsidRPr="00BD4DD8">
        <w:rPr>
          <w:rFonts w:eastAsia="Calibri" w:cs="Arial"/>
          <w:vertAlign w:val="subscript"/>
        </w:rPr>
        <w:t>x</w:t>
      </w:r>
      <w:proofErr w:type="spellEnd"/>
      <w:r w:rsidRPr="00BD4DD8">
        <w:rPr>
          <w:rFonts w:eastAsia="Calibri" w:cs="Arial"/>
          <w:i/>
          <w:vertAlign w:val="subscript"/>
        </w:rPr>
        <w:t xml:space="preserve"> </w:t>
      </w:r>
      <w:r w:rsidRPr="00BD4DD8">
        <w:rPr>
          <w:rFonts w:eastAsia="Calibri" w:cs="Arial"/>
          <w:i/>
        </w:rPr>
        <w:t xml:space="preserve">/ </w:t>
      </w:r>
      <w:proofErr w:type="spellStart"/>
      <w:r w:rsidRPr="00BD4DD8">
        <w:rPr>
          <w:rFonts w:eastAsia="Calibri" w:cs="Arial"/>
          <w:i/>
        </w:rPr>
        <w:t>M</w:t>
      </w:r>
      <w:r w:rsidRPr="00BD4DD8">
        <w:rPr>
          <w:rFonts w:eastAsia="Calibri" w:cs="Arial"/>
          <w:vertAlign w:val="subscript"/>
        </w:rPr>
        <w:t>x</w:t>
      </w:r>
      <w:proofErr w:type="spellEnd"/>
      <w:r w:rsidRPr="00BD4DD8">
        <w:rPr>
          <w:rFonts w:eastAsia="Calibri" w:cs="Arial"/>
          <w:i/>
        </w:rPr>
        <w:t xml:space="preserve"> </w:t>
      </w:r>
    </w:p>
    <w:p w14:paraId="7B63E07F" w14:textId="77777777" w:rsidR="00D313E0" w:rsidRPr="00704036" w:rsidRDefault="00D313E0" w:rsidP="002D606E">
      <w:pPr>
        <w:spacing w:before="100" w:beforeAutospacing="1" w:after="100" w:afterAutospacing="1"/>
        <w:rPr>
          <w:rFonts w:eastAsia="Calibri" w:cs="Arial"/>
        </w:rPr>
      </w:pPr>
      <w:r w:rsidRPr="00704036">
        <w:rPr>
          <w:rFonts w:eastAsia="Calibri" w:cs="Arial"/>
        </w:rPr>
        <w:t xml:space="preserve">This ratio is referred to as the </w:t>
      </w:r>
      <w:r w:rsidRPr="00BD4DD8">
        <w:rPr>
          <w:rFonts w:eastAsia="Calibri" w:cs="Arial"/>
          <w:b/>
          <w:i/>
        </w:rPr>
        <w:t>cost ratio</w:t>
      </w:r>
      <w:r w:rsidRPr="00704036">
        <w:rPr>
          <w:rFonts w:eastAsia="Calibri" w:cs="Arial"/>
        </w:rPr>
        <w:t>.</w:t>
      </w:r>
    </w:p>
    <w:p w14:paraId="41A8680A" w14:textId="77777777" w:rsidR="00D313E0" w:rsidRPr="00704036" w:rsidRDefault="00D313E0" w:rsidP="002D606E">
      <w:pPr>
        <w:spacing w:before="100" w:beforeAutospacing="1" w:after="100" w:afterAutospacing="1"/>
        <w:rPr>
          <w:rFonts w:eastAsia="Calibri" w:cs="Arial"/>
        </w:rPr>
      </w:pPr>
      <w:r w:rsidRPr="00704036">
        <w:rPr>
          <w:rFonts w:eastAsia="Calibri" w:cs="Arial"/>
        </w:rPr>
        <w:lastRenderedPageBreak/>
        <w:t xml:space="preserve">It is worth noting that multiplying each year’s cost ratio by the </w:t>
      </w:r>
      <w:r>
        <w:rPr>
          <w:rFonts w:eastAsia="Calibri" w:cs="Arial"/>
        </w:rPr>
        <w:t>2014-15</w:t>
      </w:r>
      <w:r w:rsidRPr="00704036">
        <w:rPr>
          <w:rFonts w:eastAsia="Calibri" w:cs="Arial"/>
        </w:rPr>
        <w:t xml:space="preserve"> reference cost of </w:t>
      </w:r>
      <w:r w:rsidRPr="00801AF5">
        <w:rPr>
          <w:rFonts w:eastAsia="Calibri" w:cs="Arial"/>
        </w:rPr>
        <w:t>$4,690</w:t>
      </w:r>
      <w:r w:rsidRPr="00704036">
        <w:rPr>
          <w:rFonts w:eastAsia="Calibri" w:cs="Arial"/>
        </w:rPr>
        <w:t xml:space="preserve"> converts the {</w:t>
      </w:r>
      <w:proofErr w:type="spellStart"/>
      <w:r w:rsidRPr="00704036">
        <w:rPr>
          <w:rFonts w:eastAsia="Calibri" w:cs="Arial"/>
          <w:i/>
        </w:rPr>
        <w:t>s</w:t>
      </w:r>
      <w:r w:rsidRPr="00704036">
        <w:rPr>
          <w:rFonts w:eastAsia="Calibri" w:cs="Arial"/>
          <w:i/>
          <w:vertAlign w:val="subscript"/>
        </w:rPr>
        <w:t>x</w:t>
      </w:r>
      <w:proofErr w:type="spellEnd"/>
      <w:r w:rsidRPr="00704036">
        <w:rPr>
          <w:rFonts w:eastAsia="Calibri" w:cs="Arial"/>
        </w:rPr>
        <w:t xml:space="preserve">} time series to the time series of costs per weighted separation, where the weighted separations are determined by </w:t>
      </w:r>
      <w:r>
        <w:rPr>
          <w:rFonts w:eastAsia="Calibri" w:cs="Arial"/>
        </w:rPr>
        <w:t>2014-15</w:t>
      </w:r>
      <w:r w:rsidRPr="00704036">
        <w:rPr>
          <w:rFonts w:eastAsia="Calibri" w:cs="Arial"/>
        </w:rPr>
        <w:t xml:space="preserve"> cost weight model.</w:t>
      </w:r>
    </w:p>
    <w:p w14:paraId="74AC23DE" w14:textId="77777777" w:rsidR="00D313E0" w:rsidRPr="00704036" w:rsidRDefault="00D313E0" w:rsidP="002D606E">
      <w:pPr>
        <w:spacing w:before="100" w:beforeAutospacing="1" w:after="100" w:afterAutospacing="1"/>
        <w:rPr>
          <w:rFonts w:eastAsia="Calibri" w:cs="Arial"/>
        </w:rPr>
      </w:pPr>
      <w:r w:rsidRPr="00704036">
        <w:rPr>
          <w:rFonts w:eastAsia="Calibri" w:cs="Arial"/>
        </w:rPr>
        <w:t>A crucial requirement of the cost ratio time series is comparability over time. One way to ensure this occurs is to restrict the data on which the ratios are calculated to the set of establishments for which data is present across all five years; that is, to ensure that all five ratios are calculated across a common set of establishments. While this approach ensures comparability over time, it places significant restrictions on the sample of data.</w:t>
      </w:r>
    </w:p>
    <w:p w14:paraId="0AE8EC7E" w14:textId="77777777" w:rsidR="00D313E0" w:rsidRPr="00704036" w:rsidRDefault="00D313E0" w:rsidP="002D606E">
      <w:pPr>
        <w:spacing w:before="100" w:beforeAutospacing="1" w:after="100" w:afterAutospacing="1"/>
        <w:rPr>
          <w:rFonts w:eastAsia="Calibri" w:cs="Arial"/>
        </w:rPr>
      </w:pPr>
      <w:r w:rsidRPr="00704036">
        <w:rPr>
          <w:rFonts w:eastAsia="Calibri" w:cs="Arial"/>
        </w:rPr>
        <w:t xml:space="preserve">Instead, an alternate method is used that greatly increases the data sample while maintaining comparability of the ratios over time. This method relies on the fact that any time series of ratios can be equivalently represented as the time series of year to year changes in ratios together with a single value of the time series (in this case, the </w:t>
      </w:r>
      <w:r>
        <w:rPr>
          <w:rFonts w:eastAsia="Calibri" w:cs="Arial"/>
        </w:rPr>
        <w:t xml:space="preserve">2013-14 to 2014-15 change in </w:t>
      </w:r>
      <w:r w:rsidRPr="00704036">
        <w:rPr>
          <w:rFonts w:eastAsia="Calibri" w:cs="Arial"/>
        </w:rPr>
        <w:t xml:space="preserve">cost ratio </w:t>
      </w:r>
      <w:r w:rsidRPr="00801AF5">
        <w:rPr>
          <w:rFonts w:eastAsia="Calibri" w:cs="Arial"/>
        </w:rPr>
        <w:t>of 102.0 per</w:t>
      </w:r>
      <w:r>
        <w:rPr>
          <w:rFonts w:eastAsia="Calibri" w:cs="Arial"/>
        </w:rPr>
        <w:t xml:space="preserve"> cent</w:t>
      </w:r>
      <w:r w:rsidRPr="00704036">
        <w:rPr>
          <w:rFonts w:eastAsia="Calibri" w:cs="Arial"/>
        </w:rPr>
        <w:t>). This method only requires that each year</w:t>
      </w:r>
      <w:r>
        <w:rPr>
          <w:rFonts w:eastAsia="Calibri" w:cs="Arial"/>
        </w:rPr>
        <w:t>-</w:t>
      </w:r>
      <w:r w:rsidRPr="00704036">
        <w:rPr>
          <w:rFonts w:eastAsia="Calibri" w:cs="Arial"/>
        </w:rPr>
        <w:t>to</w:t>
      </w:r>
      <w:r>
        <w:rPr>
          <w:rFonts w:eastAsia="Calibri" w:cs="Arial"/>
        </w:rPr>
        <w:t>-</w:t>
      </w:r>
      <w:r w:rsidRPr="00704036">
        <w:rPr>
          <w:rFonts w:eastAsia="Calibri" w:cs="Arial"/>
        </w:rPr>
        <w:t>year comparison uses a common set of establishments (rather than requiring the establishments to be common across all five years).</w:t>
      </w:r>
    </w:p>
    <w:p w14:paraId="24C56688" w14:textId="6DE49AEB" w:rsidR="00D313E0" w:rsidRPr="00704036" w:rsidRDefault="00542CD9" w:rsidP="002D606E">
      <w:pPr>
        <w:spacing w:before="100" w:beforeAutospacing="1" w:after="100" w:afterAutospacing="1"/>
        <w:rPr>
          <w:rFonts w:eastAsia="Calibri" w:cs="Arial"/>
        </w:rPr>
      </w:pPr>
      <w:r w:rsidRPr="00E61740">
        <w:rPr>
          <w:rFonts w:eastAsia="Calibri" w:cs="Arial"/>
        </w:rPr>
        <w:fldChar w:fldCharType="begin"/>
      </w:r>
      <w:r w:rsidRPr="00542CD9">
        <w:rPr>
          <w:rFonts w:eastAsia="Calibri" w:cs="Arial"/>
        </w:rPr>
        <w:instrText xml:space="preserve"> REF _Ref468265563 \h </w:instrText>
      </w:r>
      <w:r w:rsidRPr="002D606E">
        <w:rPr>
          <w:rFonts w:eastAsia="Calibri" w:cs="Arial"/>
        </w:rPr>
        <w:instrText xml:space="preserve"> \* MERGEFORMAT </w:instrText>
      </w:r>
      <w:r w:rsidRPr="00E61740">
        <w:rPr>
          <w:rFonts w:eastAsia="Calibri" w:cs="Arial"/>
        </w:rPr>
      </w:r>
      <w:r w:rsidRPr="00E61740">
        <w:rPr>
          <w:rFonts w:eastAsia="Calibri" w:cs="Arial"/>
        </w:rPr>
        <w:fldChar w:fldCharType="separate"/>
      </w:r>
      <w:r w:rsidR="00F84458" w:rsidRPr="00F84458">
        <w:t xml:space="preserve">Table </w:t>
      </w:r>
      <w:r w:rsidR="00F84458" w:rsidRPr="00F84458">
        <w:rPr>
          <w:noProof/>
        </w:rPr>
        <w:t>17</w:t>
      </w:r>
      <w:r w:rsidRPr="00E61740">
        <w:rPr>
          <w:rFonts w:eastAsia="Calibri" w:cs="Arial"/>
        </w:rPr>
        <w:fldChar w:fldCharType="end"/>
      </w:r>
      <w:r w:rsidRPr="00542CD9">
        <w:rPr>
          <w:rFonts w:eastAsia="Calibri" w:cs="Arial"/>
        </w:rPr>
        <w:t xml:space="preserve"> </w:t>
      </w:r>
      <w:r w:rsidR="00D313E0" w:rsidRPr="00542CD9">
        <w:rPr>
          <w:rFonts w:eastAsia="Calibri" w:cs="Arial"/>
        </w:rPr>
        <w:t>shows the year-to-year changes in cost ratio calculated by applying the 2014-15 cost</w:t>
      </w:r>
      <w:r w:rsidR="00D313E0" w:rsidRPr="00704036">
        <w:rPr>
          <w:rFonts w:eastAsia="Calibri" w:cs="Arial"/>
        </w:rPr>
        <w:t xml:space="preserve"> </w:t>
      </w:r>
      <w:proofErr w:type="gramStart"/>
      <w:r w:rsidR="00D313E0" w:rsidRPr="00704036">
        <w:rPr>
          <w:rFonts w:eastAsia="Calibri" w:cs="Arial"/>
        </w:rPr>
        <w:t>model</w:t>
      </w:r>
      <w:proofErr w:type="gramEnd"/>
      <w:r w:rsidR="00D313E0" w:rsidRPr="00704036">
        <w:rPr>
          <w:rFonts w:eastAsia="Calibri" w:cs="Arial"/>
        </w:rPr>
        <w:t xml:space="preserve"> to pairs of consecutive years’ cost data, ensuring a common set of establishments are present in each pairwise comparison.</w:t>
      </w:r>
    </w:p>
    <w:p w14:paraId="43FB3132" w14:textId="4743D18B" w:rsidR="00D313E0" w:rsidRPr="003331A3" w:rsidRDefault="00D313E0" w:rsidP="00560AC0">
      <w:pPr>
        <w:spacing w:before="120" w:after="0" w:line="240" w:lineRule="auto"/>
        <w:rPr>
          <w:b/>
        </w:rPr>
      </w:pPr>
      <w:bookmarkStart w:id="797" w:name="_Ref468265563"/>
      <w:bookmarkStart w:id="798" w:name="_Ref468265845"/>
      <w:r w:rsidRPr="003331A3">
        <w:rPr>
          <w:b/>
        </w:rPr>
        <w:t xml:space="preserve">Table </w:t>
      </w:r>
      <w:r w:rsidRPr="003331A3">
        <w:rPr>
          <w:b/>
        </w:rPr>
        <w:fldChar w:fldCharType="begin"/>
      </w:r>
      <w:r w:rsidRPr="003331A3">
        <w:rPr>
          <w:b/>
        </w:rPr>
        <w:instrText xml:space="preserve"> SEQ Table \* ARABIC </w:instrText>
      </w:r>
      <w:r w:rsidRPr="003331A3">
        <w:rPr>
          <w:b/>
        </w:rPr>
        <w:fldChar w:fldCharType="separate"/>
      </w:r>
      <w:r w:rsidR="00F84458">
        <w:rPr>
          <w:b/>
          <w:noProof/>
        </w:rPr>
        <w:t>17</w:t>
      </w:r>
      <w:r w:rsidRPr="003331A3">
        <w:rPr>
          <w:b/>
        </w:rPr>
        <w:fldChar w:fldCharType="end"/>
      </w:r>
      <w:bookmarkEnd w:id="797"/>
      <w:r w:rsidRPr="003331A3">
        <w:rPr>
          <w:b/>
        </w:rPr>
        <w:t>: Year-to-year changes in cost ratio</w:t>
      </w:r>
      <w:bookmarkEnd w:id="798"/>
    </w:p>
    <w:tbl>
      <w:tblPr>
        <w:tblStyle w:val="TableGrid10"/>
        <w:tblW w:w="8438" w:type="dxa"/>
        <w:jc w:val="center"/>
        <w:tblInd w:w="-5" w:type="dxa"/>
        <w:tblLook w:val="04A0" w:firstRow="1" w:lastRow="0" w:firstColumn="1" w:lastColumn="0" w:noHBand="0" w:noVBand="1"/>
        <w:tblDescription w:val="A summary of table 3 is outlined in the text prior to this table. "/>
      </w:tblPr>
      <w:tblGrid>
        <w:gridCol w:w="1687"/>
        <w:gridCol w:w="1688"/>
        <w:gridCol w:w="1687"/>
        <w:gridCol w:w="1688"/>
        <w:gridCol w:w="1688"/>
      </w:tblGrid>
      <w:tr w:rsidR="00D313E0" w:rsidRPr="00163EB6" w14:paraId="67966DD1" w14:textId="77777777" w:rsidTr="00D04B94">
        <w:trPr>
          <w:tblHeader/>
          <w:jc w:val="center"/>
        </w:trPr>
        <w:tc>
          <w:tcPr>
            <w:tcW w:w="1687" w:type="dxa"/>
            <w:shd w:val="clear" w:color="auto" w:fill="288A32"/>
            <w:vAlign w:val="center"/>
          </w:tcPr>
          <w:p w14:paraId="169B1113" w14:textId="77777777" w:rsidR="00D313E0" w:rsidRPr="00F30FA1" w:rsidRDefault="00D313E0" w:rsidP="00D04B94">
            <w:pPr>
              <w:spacing w:beforeLines="60" w:before="144" w:afterLines="60" w:after="144"/>
              <w:jc w:val="center"/>
              <w:rPr>
                <w:rFonts w:eastAsia="Times New Roman" w:cs="Arial"/>
                <w:b/>
                <w:color w:val="FFFFFF" w:themeColor="background1"/>
                <w:sz w:val="20"/>
                <w:lang w:eastAsia="en-AU"/>
              </w:rPr>
            </w:pPr>
            <w:r w:rsidRPr="00F30FA1">
              <w:rPr>
                <w:rFonts w:cs="Arial"/>
                <w:b/>
                <w:color w:val="FFFFFF" w:themeColor="background1"/>
                <w:sz w:val="20"/>
              </w:rPr>
              <w:t>2009-10 to 2010-11</w:t>
            </w:r>
          </w:p>
        </w:tc>
        <w:tc>
          <w:tcPr>
            <w:tcW w:w="1688" w:type="dxa"/>
            <w:shd w:val="clear" w:color="auto" w:fill="288A32"/>
            <w:vAlign w:val="center"/>
          </w:tcPr>
          <w:p w14:paraId="55EACB6F" w14:textId="77777777" w:rsidR="00D313E0" w:rsidRPr="00F30FA1" w:rsidRDefault="00D313E0" w:rsidP="00D04B94">
            <w:pPr>
              <w:spacing w:beforeLines="60" w:before="144" w:afterLines="60" w:after="144"/>
              <w:jc w:val="center"/>
              <w:rPr>
                <w:rFonts w:eastAsia="Times New Roman" w:cs="Arial"/>
                <w:b/>
                <w:color w:val="FFFFFF" w:themeColor="background1"/>
                <w:sz w:val="20"/>
                <w:lang w:eastAsia="en-AU"/>
              </w:rPr>
            </w:pPr>
            <w:r w:rsidRPr="00F30FA1">
              <w:rPr>
                <w:rFonts w:cs="Arial"/>
                <w:b/>
                <w:color w:val="FFFFFF" w:themeColor="background1"/>
                <w:sz w:val="20"/>
              </w:rPr>
              <w:t>2010-11 to 2011-12</w:t>
            </w:r>
          </w:p>
        </w:tc>
        <w:tc>
          <w:tcPr>
            <w:tcW w:w="1687" w:type="dxa"/>
            <w:shd w:val="clear" w:color="auto" w:fill="288A32"/>
            <w:vAlign w:val="center"/>
          </w:tcPr>
          <w:p w14:paraId="2B8B50BF" w14:textId="77777777" w:rsidR="00D313E0" w:rsidRPr="00F30FA1" w:rsidRDefault="00D313E0" w:rsidP="00D04B94">
            <w:pPr>
              <w:spacing w:beforeLines="60" w:before="144" w:afterLines="60" w:after="144"/>
              <w:jc w:val="center"/>
              <w:rPr>
                <w:rFonts w:eastAsia="Times New Roman" w:cs="Arial"/>
                <w:b/>
                <w:color w:val="FFFFFF" w:themeColor="background1"/>
                <w:sz w:val="20"/>
                <w:lang w:eastAsia="en-AU"/>
              </w:rPr>
            </w:pPr>
            <w:r w:rsidRPr="00F30FA1">
              <w:rPr>
                <w:rFonts w:cs="Arial"/>
                <w:b/>
                <w:color w:val="FFFFFF" w:themeColor="background1"/>
                <w:sz w:val="20"/>
              </w:rPr>
              <w:t>2011-12 to 2012-13</w:t>
            </w:r>
          </w:p>
        </w:tc>
        <w:tc>
          <w:tcPr>
            <w:tcW w:w="1688" w:type="dxa"/>
            <w:shd w:val="clear" w:color="auto" w:fill="288A32"/>
          </w:tcPr>
          <w:p w14:paraId="1AA566B0" w14:textId="77777777" w:rsidR="00D313E0" w:rsidRPr="00F30FA1" w:rsidRDefault="00D313E0" w:rsidP="00D04B94">
            <w:pPr>
              <w:spacing w:beforeLines="60" w:before="144" w:afterLines="60" w:after="144"/>
              <w:jc w:val="center"/>
              <w:rPr>
                <w:rFonts w:eastAsia="Times New Roman" w:cs="Arial"/>
                <w:b/>
                <w:color w:val="FFFFFF" w:themeColor="background1"/>
                <w:sz w:val="20"/>
                <w:lang w:eastAsia="en-AU"/>
              </w:rPr>
            </w:pPr>
            <w:r w:rsidRPr="00F30FA1">
              <w:rPr>
                <w:rFonts w:cs="Arial"/>
                <w:b/>
                <w:color w:val="FFFFFF" w:themeColor="background1"/>
                <w:sz w:val="20"/>
              </w:rPr>
              <w:t>2012-13 to 2013-14</w:t>
            </w:r>
          </w:p>
        </w:tc>
        <w:tc>
          <w:tcPr>
            <w:tcW w:w="1688" w:type="dxa"/>
            <w:shd w:val="clear" w:color="auto" w:fill="288A32"/>
          </w:tcPr>
          <w:p w14:paraId="5661235C" w14:textId="77777777" w:rsidR="00D313E0" w:rsidRPr="00F30FA1" w:rsidRDefault="00D313E0" w:rsidP="00D04B94">
            <w:pPr>
              <w:spacing w:beforeLines="60" w:before="144" w:afterLines="60" w:after="144"/>
              <w:jc w:val="center"/>
              <w:rPr>
                <w:rFonts w:eastAsia="Times New Roman" w:cs="Arial"/>
                <w:b/>
                <w:color w:val="FFFFFF" w:themeColor="background1"/>
                <w:sz w:val="20"/>
                <w:lang w:eastAsia="en-AU"/>
              </w:rPr>
            </w:pPr>
            <w:r w:rsidRPr="00F30FA1">
              <w:rPr>
                <w:rFonts w:cs="Arial"/>
                <w:b/>
                <w:color w:val="FFFFFF" w:themeColor="background1"/>
                <w:sz w:val="20"/>
              </w:rPr>
              <w:t>2013-14 to 2014-15</w:t>
            </w:r>
          </w:p>
        </w:tc>
      </w:tr>
      <w:tr w:rsidR="00D313E0" w:rsidRPr="00163EB6" w14:paraId="37CF311A" w14:textId="77777777" w:rsidTr="00D04B94">
        <w:trPr>
          <w:jc w:val="center"/>
        </w:trPr>
        <w:tc>
          <w:tcPr>
            <w:tcW w:w="1687" w:type="dxa"/>
          </w:tcPr>
          <w:p w14:paraId="10FFCC43" w14:textId="77777777" w:rsidR="00D313E0" w:rsidRPr="00801AF5" w:rsidRDefault="00D313E0" w:rsidP="00D04B94">
            <w:pPr>
              <w:spacing w:beforeLines="60" w:before="144" w:afterLines="60" w:after="144"/>
              <w:jc w:val="center"/>
              <w:rPr>
                <w:rFonts w:eastAsia="Times New Roman" w:cs="Arial"/>
                <w:sz w:val="20"/>
                <w:highlight w:val="yellow"/>
                <w:lang w:eastAsia="en-AU"/>
              </w:rPr>
            </w:pPr>
            <w:r w:rsidRPr="00801AF5">
              <w:rPr>
                <w:sz w:val="20"/>
              </w:rPr>
              <w:t>102.0%</w:t>
            </w:r>
          </w:p>
        </w:tc>
        <w:tc>
          <w:tcPr>
            <w:tcW w:w="1688" w:type="dxa"/>
          </w:tcPr>
          <w:p w14:paraId="404BD7F1" w14:textId="596ED06A" w:rsidR="00D313E0" w:rsidRPr="00801AF5" w:rsidRDefault="00D313E0" w:rsidP="00D04B94">
            <w:pPr>
              <w:spacing w:beforeLines="60" w:before="144" w:afterLines="60" w:after="144"/>
              <w:jc w:val="center"/>
              <w:rPr>
                <w:rFonts w:eastAsiaTheme="minorHAnsi" w:cs="Arial"/>
                <w:b/>
                <w:noProof/>
                <w:sz w:val="20"/>
                <w:highlight w:val="yellow"/>
                <w:lang w:eastAsia="en-AU"/>
              </w:rPr>
            </w:pPr>
            <w:r w:rsidRPr="00801AF5">
              <w:rPr>
                <w:sz w:val="20"/>
              </w:rPr>
              <w:t>103.</w:t>
            </w:r>
            <w:r w:rsidR="00ED41CD">
              <w:rPr>
                <w:sz w:val="20"/>
              </w:rPr>
              <w:t>4</w:t>
            </w:r>
            <w:r w:rsidRPr="00801AF5">
              <w:rPr>
                <w:sz w:val="20"/>
              </w:rPr>
              <w:t>%</w:t>
            </w:r>
          </w:p>
        </w:tc>
        <w:tc>
          <w:tcPr>
            <w:tcW w:w="1687" w:type="dxa"/>
          </w:tcPr>
          <w:p w14:paraId="38A81BD5" w14:textId="0B3E61A1" w:rsidR="00D313E0" w:rsidRPr="00801AF5" w:rsidRDefault="00D313E0" w:rsidP="00D04B94">
            <w:pPr>
              <w:spacing w:beforeLines="60" w:before="144" w:afterLines="60" w:after="144"/>
              <w:jc w:val="center"/>
              <w:rPr>
                <w:rFonts w:eastAsiaTheme="minorHAnsi" w:cs="Arial"/>
                <w:b/>
                <w:noProof/>
                <w:sz w:val="20"/>
                <w:highlight w:val="yellow"/>
                <w:lang w:eastAsia="en-AU"/>
              </w:rPr>
            </w:pPr>
            <w:r w:rsidRPr="00801AF5">
              <w:rPr>
                <w:sz w:val="20"/>
              </w:rPr>
              <w:t>100.</w:t>
            </w:r>
            <w:r w:rsidR="00ED41CD">
              <w:rPr>
                <w:sz w:val="20"/>
              </w:rPr>
              <w:t>1</w:t>
            </w:r>
            <w:r w:rsidRPr="00801AF5">
              <w:rPr>
                <w:sz w:val="20"/>
              </w:rPr>
              <w:t>%</w:t>
            </w:r>
          </w:p>
        </w:tc>
        <w:tc>
          <w:tcPr>
            <w:tcW w:w="1688" w:type="dxa"/>
          </w:tcPr>
          <w:p w14:paraId="244087B5" w14:textId="77777777" w:rsidR="00D313E0" w:rsidRPr="00801AF5" w:rsidRDefault="00D313E0" w:rsidP="00D04B94">
            <w:pPr>
              <w:spacing w:beforeLines="60" w:before="144" w:afterLines="60" w:after="144"/>
              <w:jc w:val="center"/>
              <w:rPr>
                <w:rFonts w:eastAsiaTheme="minorHAnsi" w:cs="Arial"/>
                <w:b/>
                <w:noProof/>
                <w:sz w:val="20"/>
                <w:highlight w:val="yellow"/>
                <w:lang w:eastAsia="en-AU"/>
              </w:rPr>
            </w:pPr>
            <w:r w:rsidRPr="00801AF5">
              <w:rPr>
                <w:sz w:val="20"/>
              </w:rPr>
              <w:t>101.3%</w:t>
            </w:r>
          </w:p>
        </w:tc>
        <w:tc>
          <w:tcPr>
            <w:tcW w:w="1688" w:type="dxa"/>
          </w:tcPr>
          <w:p w14:paraId="5AA2EF9D" w14:textId="77777777" w:rsidR="00D313E0" w:rsidRPr="00801AF5" w:rsidRDefault="00D313E0" w:rsidP="00D04B94">
            <w:pPr>
              <w:spacing w:beforeLines="60" w:before="144" w:afterLines="60" w:after="144"/>
              <w:jc w:val="center"/>
              <w:rPr>
                <w:rFonts w:eastAsiaTheme="minorHAnsi" w:cs="Arial"/>
                <w:b/>
                <w:noProof/>
                <w:sz w:val="20"/>
                <w:highlight w:val="yellow"/>
                <w:lang w:eastAsia="en-AU"/>
              </w:rPr>
            </w:pPr>
            <w:r w:rsidRPr="00801AF5">
              <w:rPr>
                <w:sz w:val="20"/>
              </w:rPr>
              <w:t>102.0%</w:t>
            </w:r>
          </w:p>
        </w:tc>
      </w:tr>
    </w:tbl>
    <w:p w14:paraId="229B8ED6" w14:textId="76B51982" w:rsidR="00D313E0" w:rsidRPr="000C2251" w:rsidRDefault="000C2251" w:rsidP="002D606E">
      <w:pPr>
        <w:spacing w:before="100" w:beforeAutospacing="1" w:after="100" w:afterAutospacing="1"/>
        <w:rPr>
          <w:rFonts w:eastAsia="Calibri" w:cs="Arial"/>
        </w:rPr>
      </w:pPr>
      <w:r w:rsidRPr="00686E99">
        <w:rPr>
          <w:rFonts w:eastAsia="Calibri" w:cs="Arial"/>
        </w:rPr>
        <w:fldChar w:fldCharType="begin"/>
      </w:r>
      <w:r w:rsidRPr="000C2251">
        <w:rPr>
          <w:rFonts w:eastAsia="Calibri" w:cs="Arial"/>
        </w:rPr>
        <w:instrText xml:space="preserve"> REF _Ref468265962 \h </w:instrText>
      </w:r>
      <w:r w:rsidRPr="000351BD">
        <w:rPr>
          <w:rFonts w:eastAsia="Calibri" w:cs="Arial"/>
        </w:rPr>
        <w:instrText xml:space="preserve"> \* MERGEFORMAT </w:instrText>
      </w:r>
      <w:r w:rsidRPr="00686E99">
        <w:rPr>
          <w:rFonts w:eastAsia="Calibri" w:cs="Arial"/>
        </w:rPr>
      </w:r>
      <w:r w:rsidRPr="00686E99">
        <w:rPr>
          <w:rFonts w:eastAsia="Calibri" w:cs="Arial"/>
        </w:rPr>
        <w:fldChar w:fldCharType="separate"/>
      </w:r>
      <w:r w:rsidR="00F84458" w:rsidRPr="00F84458">
        <w:t xml:space="preserve">Table </w:t>
      </w:r>
      <w:r w:rsidR="00F84458" w:rsidRPr="00F84458">
        <w:rPr>
          <w:noProof/>
        </w:rPr>
        <w:t>18</w:t>
      </w:r>
      <w:r w:rsidRPr="00686E99">
        <w:rPr>
          <w:rFonts w:eastAsia="Calibri" w:cs="Arial"/>
        </w:rPr>
        <w:fldChar w:fldCharType="end"/>
      </w:r>
      <w:r w:rsidRPr="000C2251">
        <w:rPr>
          <w:rFonts w:eastAsia="Calibri" w:cs="Arial"/>
        </w:rPr>
        <w:t xml:space="preserve"> </w:t>
      </w:r>
      <w:r w:rsidR="00D313E0" w:rsidRPr="000C2251">
        <w:rPr>
          <w:rFonts w:eastAsia="Calibri" w:cs="Arial"/>
        </w:rPr>
        <w:t>shows the resulting</w:t>
      </w:r>
      <w:r w:rsidR="00D313E0" w:rsidRPr="00704036">
        <w:rPr>
          <w:rFonts w:eastAsia="Calibri" w:cs="Arial"/>
        </w:rPr>
        <w:t xml:space="preserve"> cost ratio time series derived by </w:t>
      </w:r>
      <w:proofErr w:type="spellStart"/>
      <w:r w:rsidR="00D313E0" w:rsidRPr="00704036">
        <w:rPr>
          <w:rFonts w:eastAsia="Calibri" w:cs="Arial"/>
        </w:rPr>
        <w:t>backcasting</w:t>
      </w:r>
      <w:proofErr w:type="spellEnd"/>
      <w:r w:rsidR="00D313E0" w:rsidRPr="00704036">
        <w:rPr>
          <w:rFonts w:eastAsia="Calibri" w:cs="Arial"/>
        </w:rPr>
        <w:t xml:space="preserve"> the </w:t>
      </w:r>
      <w:r w:rsidR="00D313E0">
        <w:rPr>
          <w:rFonts w:eastAsia="Calibri" w:cs="Arial"/>
        </w:rPr>
        <w:t>2014-15</w:t>
      </w:r>
      <w:r w:rsidR="00D313E0" w:rsidRPr="00704036">
        <w:rPr>
          <w:rFonts w:eastAsia="Calibri" w:cs="Arial"/>
        </w:rPr>
        <w:t xml:space="preserve"> cost ratio of </w:t>
      </w:r>
      <w:r w:rsidR="00D313E0" w:rsidRPr="00E33EAE">
        <w:rPr>
          <w:rFonts w:eastAsia="Calibri" w:cs="Arial"/>
        </w:rPr>
        <w:t>1.000</w:t>
      </w:r>
      <w:r w:rsidR="00D313E0" w:rsidRPr="00C12A66">
        <w:rPr>
          <w:rFonts w:eastAsia="Calibri" w:cs="Arial"/>
        </w:rPr>
        <w:t xml:space="preserve"> using</w:t>
      </w:r>
      <w:r w:rsidR="00D313E0" w:rsidRPr="00704036">
        <w:rPr>
          <w:rFonts w:eastAsia="Calibri" w:cs="Arial"/>
        </w:rPr>
        <w:t xml:space="preserve"> the inverse of the year to </w:t>
      </w:r>
      <w:r w:rsidR="00D313E0" w:rsidRPr="000C2251">
        <w:rPr>
          <w:rFonts w:eastAsia="Calibri" w:cs="Arial"/>
        </w:rPr>
        <w:t xml:space="preserve">year changes given in </w:t>
      </w:r>
      <w:r w:rsidRPr="00686E99">
        <w:rPr>
          <w:rFonts w:eastAsia="Calibri" w:cs="Arial"/>
        </w:rPr>
        <w:fldChar w:fldCharType="begin"/>
      </w:r>
      <w:r w:rsidRPr="000C2251">
        <w:rPr>
          <w:rFonts w:eastAsia="Calibri" w:cs="Arial"/>
        </w:rPr>
        <w:instrText xml:space="preserve"> REF _Ref468265563 \h </w:instrText>
      </w:r>
      <w:r w:rsidRPr="000351BD">
        <w:rPr>
          <w:rFonts w:eastAsia="Calibri" w:cs="Arial"/>
        </w:rPr>
        <w:instrText xml:space="preserve"> \* MERGEFORMAT </w:instrText>
      </w:r>
      <w:r w:rsidRPr="00686E99">
        <w:rPr>
          <w:rFonts w:eastAsia="Calibri" w:cs="Arial"/>
        </w:rPr>
      </w:r>
      <w:r w:rsidRPr="00686E99">
        <w:rPr>
          <w:rFonts w:eastAsia="Calibri" w:cs="Arial"/>
        </w:rPr>
        <w:fldChar w:fldCharType="separate"/>
      </w:r>
      <w:r w:rsidR="00F84458" w:rsidRPr="00F84458">
        <w:t xml:space="preserve">Table </w:t>
      </w:r>
      <w:r w:rsidR="00F84458" w:rsidRPr="00F84458">
        <w:rPr>
          <w:noProof/>
        </w:rPr>
        <w:t>17</w:t>
      </w:r>
      <w:r w:rsidRPr="00686E99">
        <w:rPr>
          <w:rFonts w:eastAsia="Calibri" w:cs="Arial"/>
        </w:rPr>
        <w:fldChar w:fldCharType="end"/>
      </w:r>
      <w:r w:rsidRPr="000C2251">
        <w:rPr>
          <w:rFonts w:eastAsia="Calibri" w:cs="Arial"/>
        </w:rPr>
        <w:t xml:space="preserve">. </w:t>
      </w:r>
      <w:r w:rsidRPr="00686E99">
        <w:rPr>
          <w:rFonts w:eastAsia="Calibri" w:cs="Arial"/>
        </w:rPr>
        <w:fldChar w:fldCharType="begin"/>
      </w:r>
      <w:r w:rsidRPr="000C2251">
        <w:rPr>
          <w:rFonts w:eastAsia="Calibri" w:cs="Arial"/>
        </w:rPr>
        <w:instrText xml:space="preserve"> REF _Ref468265962 \h </w:instrText>
      </w:r>
      <w:r w:rsidRPr="000351BD">
        <w:rPr>
          <w:rFonts w:eastAsia="Calibri" w:cs="Arial"/>
        </w:rPr>
        <w:instrText xml:space="preserve"> \* MERGEFORMAT </w:instrText>
      </w:r>
      <w:r w:rsidRPr="00686E99">
        <w:rPr>
          <w:rFonts w:eastAsia="Calibri" w:cs="Arial"/>
        </w:rPr>
      </w:r>
      <w:r w:rsidRPr="00686E99">
        <w:rPr>
          <w:rFonts w:eastAsia="Calibri" w:cs="Arial"/>
        </w:rPr>
        <w:fldChar w:fldCharType="separate"/>
      </w:r>
      <w:r w:rsidR="00F84458" w:rsidRPr="00F84458">
        <w:t xml:space="preserve">Table </w:t>
      </w:r>
      <w:r w:rsidR="00F84458" w:rsidRPr="00F84458">
        <w:rPr>
          <w:noProof/>
        </w:rPr>
        <w:t>18</w:t>
      </w:r>
      <w:r w:rsidRPr="00686E99">
        <w:rPr>
          <w:rFonts w:eastAsia="Calibri" w:cs="Arial"/>
        </w:rPr>
        <w:fldChar w:fldCharType="end"/>
      </w:r>
      <w:r w:rsidRPr="000C2251">
        <w:rPr>
          <w:rFonts w:eastAsia="Calibri" w:cs="Arial"/>
        </w:rPr>
        <w:t xml:space="preserve"> </w:t>
      </w:r>
      <w:r w:rsidR="00D313E0" w:rsidRPr="000C2251">
        <w:rPr>
          <w:rFonts w:eastAsia="Calibri" w:cs="Arial"/>
        </w:rPr>
        <w:t xml:space="preserve">also shows the equivalent cost per weighted separation time series, and </w:t>
      </w:r>
      <w:r w:rsidRPr="00686E99">
        <w:rPr>
          <w:rFonts w:eastAsia="Calibri" w:cs="Arial"/>
        </w:rPr>
        <w:fldChar w:fldCharType="begin"/>
      </w:r>
      <w:r w:rsidRPr="000C2251">
        <w:rPr>
          <w:rFonts w:eastAsia="Calibri" w:cs="Arial"/>
        </w:rPr>
        <w:instrText xml:space="preserve"> REF _Ref468266039 \h </w:instrText>
      </w:r>
      <w:r w:rsidRPr="000351BD">
        <w:rPr>
          <w:rFonts w:eastAsia="Calibri" w:cs="Arial"/>
        </w:rPr>
        <w:instrText xml:space="preserve"> \* MERGEFORMAT </w:instrText>
      </w:r>
      <w:r w:rsidRPr="00686E99">
        <w:rPr>
          <w:rFonts w:eastAsia="Calibri" w:cs="Arial"/>
        </w:rPr>
      </w:r>
      <w:r w:rsidRPr="00686E99">
        <w:rPr>
          <w:rFonts w:eastAsia="Calibri" w:cs="Arial"/>
        </w:rPr>
        <w:fldChar w:fldCharType="separate"/>
      </w:r>
      <w:r w:rsidR="00F84458" w:rsidRPr="00F84458">
        <w:t xml:space="preserve">Figure </w:t>
      </w:r>
      <w:r w:rsidR="00F84458" w:rsidRPr="00F84458">
        <w:rPr>
          <w:noProof/>
        </w:rPr>
        <w:t>8</w:t>
      </w:r>
      <w:r w:rsidRPr="00686E99">
        <w:rPr>
          <w:rFonts w:eastAsia="Calibri" w:cs="Arial"/>
        </w:rPr>
        <w:fldChar w:fldCharType="end"/>
      </w:r>
      <w:r w:rsidRPr="000C2251">
        <w:rPr>
          <w:rFonts w:eastAsia="Calibri" w:cs="Arial"/>
        </w:rPr>
        <w:t xml:space="preserve"> </w:t>
      </w:r>
      <w:r w:rsidR="00D313E0" w:rsidRPr="000C2251">
        <w:rPr>
          <w:rFonts w:eastAsia="Calibri" w:cs="Arial"/>
        </w:rPr>
        <w:t>illustrates the two time series graphically.</w:t>
      </w:r>
    </w:p>
    <w:p w14:paraId="44C359CB" w14:textId="4F14980A" w:rsidR="00D313E0" w:rsidRPr="003331A3" w:rsidRDefault="00D313E0" w:rsidP="00560AC0">
      <w:pPr>
        <w:spacing w:before="120" w:after="0" w:line="240" w:lineRule="auto"/>
        <w:rPr>
          <w:b/>
        </w:rPr>
      </w:pPr>
      <w:bookmarkStart w:id="799" w:name="_Ref468265962"/>
      <w:r w:rsidRPr="003331A3">
        <w:rPr>
          <w:b/>
        </w:rPr>
        <w:t xml:space="preserve">Table </w:t>
      </w:r>
      <w:r w:rsidRPr="003331A3">
        <w:rPr>
          <w:b/>
        </w:rPr>
        <w:fldChar w:fldCharType="begin"/>
      </w:r>
      <w:r w:rsidRPr="003331A3">
        <w:rPr>
          <w:b/>
        </w:rPr>
        <w:instrText xml:space="preserve"> SEQ Table \* ARABIC </w:instrText>
      </w:r>
      <w:r w:rsidRPr="003331A3">
        <w:rPr>
          <w:b/>
        </w:rPr>
        <w:fldChar w:fldCharType="separate"/>
      </w:r>
      <w:r w:rsidR="00F84458">
        <w:rPr>
          <w:b/>
          <w:noProof/>
        </w:rPr>
        <w:t>18</w:t>
      </w:r>
      <w:r w:rsidRPr="003331A3">
        <w:rPr>
          <w:b/>
        </w:rPr>
        <w:fldChar w:fldCharType="end"/>
      </w:r>
      <w:bookmarkEnd w:id="799"/>
      <w:r w:rsidRPr="003331A3">
        <w:rPr>
          <w:b/>
        </w:rPr>
        <w:t>: Cost ratios and costs per weighted separation time series derived by applying the 2014-15 cost model and cost weight model to historical patient costed activity data.</w:t>
      </w:r>
    </w:p>
    <w:tbl>
      <w:tblPr>
        <w:tblStyle w:val="TableGrid10"/>
        <w:tblW w:w="0" w:type="auto"/>
        <w:jc w:val="center"/>
        <w:tblInd w:w="-5" w:type="dxa"/>
        <w:tblLayout w:type="fixed"/>
        <w:tblLook w:val="04A0" w:firstRow="1" w:lastRow="0" w:firstColumn="1" w:lastColumn="0" w:noHBand="0" w:noVBand="1"/>
        <w:tblDescription w:val="A summary of table 4 is outlined in the text prior to this table. "/>
      </w:tblPr>
      <w:tblGrid>
        <w:gridCol w:w="2041"/>
        <w:gridCol w:w="1191"/>
        <w:gridCol w:w="1191"/>
        <w:gridCol w:w="1191"/>
        <w:gridCol w:w="1191"/>
        <w:gridCol w:w="1191"/>
        <w:gridCol w:w="1191"/>
      </w:tblGrid>
      <w:tr w:rsidR="00D313E0" w:rsidRPr="006957DA" w14:paraId="3171548F" w14:textId="77777777" w:rsidTr="009337E7">
        <w:trPr>
          <w:trHeight w:val="454"/>
          <w:tblHeader/>
          <w:jc w:val="center"/>
        </w:trPr>
        <w:tc>
          <w:tcPr>
            <w:tcW w:w="2041" w:type="dxa"/>
            <w:shd w:val="clear" w:color="auto" w:fill="288A32"/>
            <w:vAlign w:val="center"/>
          </w:tcPr>
          <w:p w14:paraId="1558A77A" w14:textId="77777777" w:rsidR="00D313E0" w:rsidRPr="00F30FA1" w:rsidRDefault="00D313E0" w:rsidP="002D606E">
            <w:pPr>
              <w:spacing w:beforeLines="60" w:before="144" w:afterLines="60" w:after="144"/>
              <w:rPr>
                <w:rFonts w:eastAsia="Times New Roman" w:cs="Arial"/>
                <w:color w:val="FFFFFF" w:themeColor="background1"/>
                <w:sz w:val="20"/>
                <w:szCs w:val="20"/>
                <w:lang w:eastAsia="en-AU"/>
              </w:rPr>
            </w:pPr>
          </w:p>
        </w:tc>
        <w:tc>
          <w:tcPr>
            <w:tcW w:w="1191" w:type="dxa"/>
            <w:shd w:val="clear" w:color="auto" w:fill="288A32"/>
            <w:vAlign w:val="center"/>
          </w:tcPr>
          <w:p w14:paraId="051DA7ED" w14:textId="77777777" w:rsidR="00D313E0" w:rsidRPr="00F30FA1" w:rsidRDefault="00D313E0" w:rsidP="00D04B94">
            <w:pPr>
              <w:spacing w:beforeLines="60" w:before="144" w:afterLines="60" w:after="144"/>
              <w:jc w:val="center"/>
              <w:rPr>
                <w:rFonts w:eastAsia="Times New Roman" w:cs="Arial"/>
                <w:b/>
                <w:color w:val="FFFFFF" w:themeColor="background1"/>
                <w:sz w:val="20"/>
                <w:szCs w:val="20"/>
                <w:lang w:eastAsia="en-AU"/>
              </w:rPr>
            </w:pPr>
            <w:r w:rsidRPr="00F30FA1">
              <w:rPr>
                <w:rFonts w:cs="Arial"/>
                <w:b/>
                <w:color w:val="FFFFFF" w:themeColor="background1"/>
                <w:sz w:val="20"/>
                <w:szCs w:val="20"/>
              </w:rPr>
              <w:t>2009-10</w:t>
            </w:r>
          </w:p>
        </w:tc>
        <w:tc>
          <w:tcPr>
            <w:tcW w:w="1191" w:type="dxa"/>
            <w:shd w:val="clear" w:color="auto" w:fill="288A32"/>
            <w:vAlign w:val="center"/>
          </w:tcPr>
          <w:p w14:paraId="5DBFCFD7" w14:textId="77777777" w:rsidR="00D313E0" w:rsidRPr="00F30FA1" w:rsidRDefault="00D313E0" w:rsidP="00D04B94">
            <w:pPr>
              <w:spacing w:beforeLines="60" w:before="144" w:afterLines="60" w:after="144"/>
              <w:jc w:val="center"/>
              <w:rPr>
                <w:rFonts w:eastAsia="Times New Roman" w:cs="Arial"/>
                <w:b/>
                <w:color w:val="FFFFFF" w:themeColor="background1"/>
                <w:sz w:val="20"/>
                <w:szCs w:val="20"/>
                <w:lang w:eastAsia="en-AU"/>
              </w:rPr>
            </w:pPr>
            <w:r w:rsidRPr="00F30FA1">
              <w:rPr>
                <w:rFonts w:cs="Arial"/>
                <w:b/>
                <w:color w:val="FFFFFF" w:themeColor="background1"/>
                <w:sz w:val="20"/>
                <w:szCs w:val="20"/>
              </w:rPr>
              <w:t>2010-11</w:t>
            </w:r>
          </w:p>
        </w:tc>
        <w:tc>
          <w:tcPr>
            <w:tcW w:w="1191" w:type="dxa"/>
            <w:shd w:val="clear" w:color="auto" w:fill="288A32"/>
            <w:vAlign w:val="center"/>
          </w:tcPr>
          <w:p w14:paraId="22955368" w14:textId="77777777" w:rsidR="00D313E0" w:rsidRPr="00F30FA1" w:rsidRDefault="00D313E0" w:rsidP="00D04B94">
            <w:pPr>
              <w:spacing w:beforeLines="60" w:before="144" w:afterLines="60" w:after="144"/>
              <w:jc w:val="center"/>
              <w:rPr>
                <w:rFonts w:eastAsia="Times New Roman" w:cs="Arial"/>
                <w:b/>
                <w:color w:val="FFFFFF" w:themeColor="background1"/>
                <w:sz w:val="20"/>
                <w:szCs w:val="20"/>
                <w:lang w:eastAsia="en-AU"/>
              </w:rPr>
            </w:pPr>
            <w:r w:rsidRPr="00F30FA1">
              <w:rPr>
                <w:rFonts w:cs="Arial"/>
                <w:b/>
                <w:color w:val="FFFFFF" w:themeColor="background1"/>
                <w:sz w:val="20"/>
                <w:szCs w:val="20"/>
              </w:rPr>
              <w:t>2011-12</w:t>
            </w:r>
          </w:p>
        </w:tc>
        <w:tc>
          <w:tcPr>
            <w:tcW w:w="1191" w:type="dxa"/>
            <w:shd w:val="clear" w:color="auto" w:fill="288A32"/>
            <w:vAlign w:val="center"/>
          </w:tcPr>
          <w:p w14:paraId="55AD90A0" w14:textId="77777777" w:rsidR="00D313E0" w:rsidRPr="00F30FA1" w:rsidRDefault="00D313E0" w:rsidP="00D04B94">
            <w:pPr>
              <w:spacing w:beforeLines="60" w:before="144" w:afterLines="60" w:after="144"/>
              <w:jc w:val="center"/>
              <w:rPr>
                <w:rFonts w:eastAsia="Times New Roman" w:cs="Arial"/>
                <w:b/>
                <w:color w:val="FFFFFF" w:themeColor="background1"/>
                <w:sz w:val="20"/>
                <w:szCs w:val="20"/>
                <w:lang w:eastAsia="en-AU"/>
              </w:rPr>
            </w:pPr>
            <w:r w:rsidRPr="00F30FA1">
              <w:rPr>
                <w:rFonts w:cs="Arial"/>
                <w:b/>
                <w:color w:val="FFFFFF" w:themeColor="background1"/>
                <w:sz w:val="20"/>
                <w:szCs w:val="20"/>
              </w:rPr>
              <w:t>2012-13</w:t>
            </w:r>
          </w:p>
        </w:tc>
        <w:tc>
          <w:tcPr>
            <w:tcW w:w="1191" w:type="dxa"/>
            <w:shd w:val="clear" w:color="auto" w:fill="288A32"/>
            <w:vAlign w:val="center"/>
          </w:tcPr>
          <w:p w14:paraId="7E922DC7" w14:textId="77777777" w:rsidR="00D313E0" w:rsidRPr="00F30FA1" w:rsidRDefault="00D313E0" w:rsidP="00D04B94">
            <w:pPr>
              <w:spacing w:beforeLines="60" w:before="144" w:afterLines="60" w:after="144"/>
              <w:jc w:val="center"/>
              <w:rPr>
                <w:rFonts w:eastAsia="Times New Roman" w:cs="Arial"/>
                <w:b/>
                <w:color w:val="FFFFFF" w:themeColor="background1"/>
                <w:sz w:val="20"/>
                <w:szCs w:val="20"/>
                <w:lang w:eastAsia="en-AU"/>
              </w:rPr>
            </w:pPr>
            <w:r w:rsidRPr="00F30FA1">
              <w:rPr>
                <w:rFonts w:cs="Arial"/>
                <w:b/>
                <w:color w:val="FFFFFF" w:themeColor="background1"/>
                <w:sz w:val="20"/>
                <w:szCs w:val="20"/>
              </w:rPr>
              <w:t>2013-14</w:t>
            </w:r>
          </w:p>
        </w:tc>
        <w:tc>
          <w:tcPr>
            <w:tcW w:w="1191" w:type="dxa"/>
            <w:shd w:val="clear" w:color="auto" w:fill="288A32"/>
            <w:vAlign w:val="center"/>
          </w:tcPr>
          <w:p w14:paraId="48F31B76" w14:textId="77777777" w:rsidR="00D313E0" w:rsidRPr="00F30FA1" w:rsidRDefault="00D313E0" w:rsidP="00D04B94">
            <w:pPr>
              <w:spacing w:beforeLines="60" w:before="144" w:afterLines="60" w:after="144"/>
              <w:jc w:val="center"/>
              <w:rPr>
                <w:rFonts w:eastAsia="Times New Roman" w:cs="Arial"/>
                <w:b/>
                <w:color w:val="FFFFFF" w:themeColor="background1"/>
                <w:sz w:val="20"/>
                <w:szCs w:val="20"/>
                <w:lang w:eastAsia="en-AU"/>
              </w:rPr>
            </w:pPr>
            <w:r w:rsidRPr="00F30FA1">
              <w:rPr>
                <w:rFonts w:cs="Arial"/>
                <w:b/>
                <w:color w:val="FFFFFF" w:themeColor="background1"/>
                <w:sz w:val="20"/>
                <w:szCs w:val="20"/>
              </w:rPr>
              <w:t>2014-15</w:t>
            </w:r>
          </w:p>
        </w:tc>
      </w:tr>
      <w:tr w:rsidR="00D313E0" w:rsidRPr="006957DA" w14:paraId="1202F1C0" w14:textId="77777777" w:rsidTr="00D04B94">
        <w:trPr>
          <w:cantSplit/>
          <w:trHeight w:val="454"/>
          <w:jc w:val="center"/>
        </w:trPr>
        <w:tc>
          <w:tcPr>
            <w:tcW w:w="2041" w:type="dxa"/>
            <w:vAlign w:val="center"/>
          </w:tcPr>
          <w:p w14:paraId="63C5D1DB" w14:textId="77777777" w:rsidR="00D313E0" w:rsidRPr="00801AF5" w:rsidRDefault="00D313E0" w:rsidP="00560AC0">
            <w:pPr>
              <w:rPr>
                <w:rFonts w:cs="Arial"/>
                <w:b/>
                <w:sz w:val="20"/>
                <w:szCs w:val="20"/>
              </w:rPr>
            </w:pPr>
            <w:r w:rsidRPr="00825D0D">
              <w:rPr>
                <w:rFonts w:cs="Arial"/>
                <w:b/>
                <w:sz w:val="20"/>
                <w:szCs w:val="20"/>
              </w:rPr>
              <w:t>Cost ratio</w:t>
            </w:r>
          </w:p>
        </w:tc>
        <w:tc>
          <w:tcPr>
            <w:tcW w:w="1191" w:type="dxa"/>
            <w:vAlign w:val="center"/>
          </w:tcPr>
          <w:p w14:paraId="3710AB95" w14:textId="73341F46" w:rsidR="00D313E0" w:rsidRPr="00801AF5" w:rsidRDefault="00D313E0" w:rsidP="00D04B94">
            <w:pPr>
              <w:spacing w:after="0"/>
              <w:jc w:val="center"/>
              <w:rPr>
                <w:rFonts w:eastAsiaTheme="minorHAnsi" w:cs="Arial"/>
                <w:b/>
                <w:noProof/>
                <w:sz w:val="20"/>
                <w:szCs w:val="20"/>
                <w:highlight w:val="yellow"/>
                <w:lang w:eastAsia="en-AU"/>
              </w:rPr>
            </w:pPr>
            <w:r w:rsidRPr="005260D1">
              <w:t>0.</w:t>
            </w:r>
            <w:r w:rsidR="00ED41CD" w:rsidRPr="005260D1">
              <w:t>91</w:t>
            </w:r>
            <w:r w:rsidR="00ED41CD">
              <w:t>7</w:t>
            </w:r>
          </w:p>
        </w:tc>
        <w:tc>
          <w:tcPr>
            <w:tcW w:w="1191" w:type="dxa"/>
            <w:vAlign w:val="center"/>
          </w:tcPr>
          <w:p w14:paraId="1593319F" w14:textId="31A0ACB4" w:rsidR="00D313E0" w:rsidRPr="00801AF5" w:rsidRDefault="00D313E0" w:rsidP="00D04B94">
            <w:pPr>
              <w:spacing w:after="0"/>
              <w:jc w:val="center"/>
              <w:rPr>
                <w:rFonts w:eastAsiaTheme="minorHAnsi" w:cs="Arial"/>
                <w:b/>
                <w:noProof/>
                <w:sz w:val="20"/>
                <w:szCs w:val="20"/>
                <w:highlight w:val="yellow"/>
                <w:lang w:eastAsia="en-AU"/>
              </w:rPr>
            </w:pPr>
            <w:r w:rsidRPr="005260D1">
              <w:t>0.</w:t>
            </w:r>
            <w:r w:rsidR="00ED41CD" w:rsidRPr="005260D1">
              <w:t>93</w:t>
            </w:r>
            <w:r w:rsidR="00ED41CD">
              <w:t>5</w:t>
            </w:r>
          </w:p>
        </w:tc>
        <w:tc>
          <w:tcPr>
            <w:tcW w:w="1191" w:type="dxa"/>
            <w:vAlign w:val="center"/>
          </w:tcPr>
          <w:p w14:paraId="4AE366F8" w14:textId="7C0E3AFF" w:rsidR="00D313E0" w:rsidRPr="00801AF5" w:rsidRDefault="00D313E0" w:rsidP="00D04B94">
            <w:pPr>
              <w:spacing w:after="0"/>
              <w:jc w:val="center"/>
              <w:rPr>
                <w:rFonts w:eastAsiaTheme="minorHAnsi" w:cs="Arial"/>
                <w:b/>
                <w:noProof/>
                <w:sz w:val="20"/>
                <w:szCs w:val="20"/>
                <w:highlight w:val="yellow"/>
                <w:lang w:eastAsia="en-AU"/>
              </w:rPr>
            </w:pPr>
            <w:r w:rsidRPr="005260D1">
              <w:t>0.</w:t>
            </w:r>
            <w:r w:rsidR="00ED41CD" w:rsidRPr="005260D1">
              <w:t>96</w:t>
            </w:r>
            <w:r w:rsidR="00ED41CD">
              <w:t>7</w:t>
            </w:r>
          </w:p>
        </w:tc>
        <w:tc>
          <w:tcPr>
            <w:tcW w:w="1191" w:type="dxa"/>
            <w:vAlign w:val="center"/>
          </w:tcPr>
          <w:p w14:paraId="10F21981" w14:textId="48FA3F06" w:rsidR="00D313E0" w:rsidRPr="006957DA" w:rsidRDefault="00D313E0" w:rsidP="00D04B94">
            <w:pPr>
              <w:spacing w:after="0"/>
              <w:jc w:val="center"/>
              <w:rPr>
                <w:rFonts w:eastAsiaTheme="minorHAnsi" w:cstheme="minorBidi"/>
                <w:b/>
                <w:noProof/>
                <w:sz w:val="20"/>
                <w:szCs w:val="20"/>
                <w:lang w:eastAsia="en-AU"/>
              </w:rPr>
            </w:pPr>
            <w:r w:rsidRPr="005260D1">
              <w:t>0.</w:t>
            </w:r>
            <w:r w:rsidR="00ED41CD" w:rsidRPr="005260D1">
              <w:t>96</w:t>
            </w:r>
            <w:r w:rsidR="00ED41CD">
              <w:t>7</w:t>
            </w:r>
          </w:p>
        </w:tc>
        <w:tc>
          <w:tcPr>
            <w:tcW w:w="1191" w:type="dxa"/>
            <w:vAlign w:val="center"/>
          </w:tcPr>
          <w:p w14:paraId="32C9226F" w14:textId="4350A2B8" w:rsidR="00D313E0" w:rsidRPr="00801AF5" w:rsidRDefault="00D313E0" w:rsidP="00D04B94">
            <w:pPr>
              <w:spacing w:after="0"/>
              <w:jc w:val="center"/>
              <w:rPr>
                <w:rFonts w:eastAsiaTheme="minorHAnsi" w:cs="Arial"/>
                <w:b/>
                <w:noProof/>
                <w:sz w:val="20"/>
                <w:szCs w:val="20"/>
                <w:highlight w:val="yellow"/>
                <w:lang w:eastAsia="en-AU"/>
              </w:rPr>
            </w:pPr>
            <w:r w:rsidRPr="005260D1">
              <w:t>0.</w:t>
            </w:r>
            <w:r w:rsidR="00ED41CD" w:rsidRPr="005260D1">
              <w:t>98</w:t>
            </w:r>
            <w:r w:rsidR="00ED41CD">
              <w:t>0</w:t>
            </w:r>
          </w:p>
        </w:tc>
        <w:tc>
          <w:tcPr>
            <w:tcW w:w="1191" w:type="dxa"/>
            <w:vAlign w:val="center"/>
          </w:tcPr>
          <w:p w14:paraId="693ADB7B" w14:textId="4CA1CC5A" w:rsidR="00D313E0" w:rsidRPr="00801AF5" w:rsidRDefault="00D313E0" w:rsidP="00D04B94">
            <w:pPr>
              <w:spacing w:after="0"/>
              <w:jc w:val="center"/>
              <w:rPr>
                <w:rFonts w:eastAsiaTheme="minorHAnsi" w:cs="Arial"/>
                <w:b/>
                <w:noProof/>
                <w:sz w:val="20"/>
                <w:szCs w:val="20"/>
                <w:highlight w:val="yellow"/>
                <w:lang w:eastAsia="en-AU"/>
              </w:rPr>
            </w:pPr>
            <w:r w:rsidRPr="005260D1">
              <w:t>1</w:t>
            </w:r>
            <w:r w:rsidR="00ED41CD">
              <w:t>.000</w:t>
            </w:r>
          </w:p>
        </w:tc>
      </w:tr>
      <w:tr w:rsidR="00D313E0" w:rsidRPr="006957DA" w14:paraId="1E458CF1" w14:textId="77777777" w:rsidTr="00D04B94">
        <w:trPr>
          <w:cantSplit/>
          <w:trHeight w:val="454"/>
          <w:jc w:val="center"/>
        </w:trPr>
        <w:tc>
          <w:tcPr>
            <w:tcW w:w="2041" w:type="dxa"/>
            <w:vAlign w:val="center"/>
          </w:tcPr>
          <w:p w14:paraId="16011417" w14:textId="77777777" w:rsidR="00D313E0" w:rsidRPr="00801AF5" w:rsidRDefault="00D313E0" w:rsidP="00560AC0">
            <w:pPr>
              <w:rPr>
                <w:rFonts w:cs="Arial"/>
                <w:b/>
                <w:sz w:val="20"/>
                <w:szCs w:val="20"/>
              </w:rPr>
            </w:pPr>
            <w:r w:rsidRPr="00825D0D">
              <w:rPr>
                <w:rFonts w:cs="Arial"/>
                <w:b/>
                <w:sz w:val="20"/>
                <w:szCs w:val="20"/>
              </w:rPr>
              <w:t>Cost per</w:t>
            </w:r>
            <w:r>
              <w:rPr>
                <w:rFonts w:cs="Arial"/>
                <w:b/>
                <w:sz w:val="20"/>
                <w:szCs w:val="20"/>
              </w:rPr>
              <w:t xml:space="preserve"> </w:t>
            </w:r>
            <w:r w:rsidRPr="00801AF5">
              <w:rPr>
                <w:rFonts w:cs="Arial"/>
                <w:b/>
                <w:sz w:val="20"/>
                <w:szCs w:val="20"/>
              </w:rPr>
              <w:t>weighted separation</w:t>
            </w:r>
          </w:p>
        </w:tc>
        <w:tc>
          <w:tcPr>
            <w:tcW w:w="1191" w:type="dxa"/>
            <w:vAlign w:val="center"/>
          </w:tcPr>
          <w:p w14:paraId="426C78D1" w14:textId="077F4902" w:rsidR="00D313E0" w:rsidRPr="00801AF5" w:rsidRDefault="00D313E0" w:rsidP="00D04B94">
            <w:pPr>
              <w:spacing w:after="0"/>
              <w:jc w:val="center"/>
              <w:rPr>
                <w:rFonts w:eastAsiaTheme="minorHAnsi" w:cs="Arial"/>
                <w:b/>
                <w:noProof/>
                <w:sz w:val="20"/>
                <w:szCs w:val="20"/>
                <w:highlight w:val="yellow"/>
                <w:lang w:eastAsia="en-AU"/>
              </w:rPr>
            </w:pPr>
            <w:r w:rsidRPr="008065F3">
              <w:t>$4,</w:t>
            </w:r>
            <w:r w:rsidR="00ED41CD">
              <w:t>291</w:t>
            </w:r>
          </w:p>
        </w:tc>
        <w:tc>
          <w:tcPr>
            <w:tcW w:w="1191" w:type="dxa"/>
            <w:vAlign w:val="center"/>
          </w:tcPr>
          <w:p w14:paraId="5663C82F" w14:textId="3920953D" w:rsidR="00D313E0" w:rsidRPr="00801AF5" w:rsidRDefault="00D313E0" w:rsidP="00D04B94">
            <w:pPr>
              <w:spacing w:after="0"/>
              <w:jc w:val="center"/>
              <w:rPr>
                <w:rFonts w:eastAsiaTheme="minorHAnsi" w:cs="Arial"/>
                <w:b/>
                <w:noProof/>
                <w:sz w:val="20"/>
                <w:szCs w:val="20"/>
                <w:highlight w:val="yellow"/>
                <w:lang w:eastAsia="en-AU"/>
              </w:rPr>
            </w:pPr>
            <w:r w:rsidRPr="008065F3">
              <w:t>$4,</w:t>
            </w:r>
            <w:r w:rsidR="00ED41CD">
              <w:t>379</w:t>
            </w:r>
          </w:p>
        </w:tc>
        <w:tc>
          <w:tcPr>
            <w:tcW w:w="1191" w:type="dxa"/>
            <w:vAlign w:val="center"/>
          </w:tcPr>
          <w:p w14:paraId="4D03A03F" w14:textId="320A11E3" w:rsidR="00D313E0" w:rsidRPr="00801AF5" w:rsidRDefault="00D313E0" w:rsidP="00D04B94">
            <w:pPr>
              <w:spacing w:after="0"/>
              <w:jc w:val="center"/>
              <w:rPr>
                <w:rFonts w:eastAsiaTheme="minorHAnsi" w:cs="Arial"/>
                <w:b/>
                <w:noProof/>
                <w:sz w:val="20"/>
                <w:szCs w:val="20"/>
                <w:highlight w:val="yellow"/>
                <w:lang w:eastAsia="en-AU"/>
              </w:rPr>
            </w:pPr>
            <w:r w:rsidRPr="008065F3">
              <w:t>$4,</w:t>
            </w:r>
            <w:r w:rsidR="00ED41CD">
              <w:t>527</w:t>
            </w:r>
          </w:p>
        </w:tc>
        <w:tc>
          <w:tcPr>
            <w:tcW w:w="1191" w:type="dxa"/>
            <w:vAlign w:val="center"/>
          </w:tcPr>
          <w:p w14:paraId="1F275D51" w14:textId="475D0B4E" w:rsidR="00D313E0" w:rsidRPr="006957DA" w:rsidRDefault="00D313E0" w:rsidP="00D04B94">
            <w:pPr>
              <w:spacing w:after="0"/>
              <w:jc w:val="center"/>
              <w:rPr>
                <w:rFonts w:eastAsiaTheme="minorHAnsi" w:cs="Arial"/>
                <w:b/>
                <w:noProof/>
                <w:sz w:val="20"/>
                <w:szCs w:val="20"/>
                <w:highlight w:val="yellow"/>
                <w:lang w:eastAsia="en-AU"/>
              </w:rPr>
            </w:pPr>
            <w:r w:rsidRPr="008065F3">
              <w:t>$4,</w:t>
            </w:r>
            <w:r w:rsidR="00ED41CD">
              <w:t>530</w:t>
            </w:r>
          </w:p>
        </w:tc>
        <w:tc>
          <w:tcPr>
            <w:tcW w:w="1191" w:type="dxa"/>
            <w:vAlign w:val="center"/>
          </w:tcPr>
          <w:p w14:paraId="4433AA64" w14:textId="57878102" w:rsidR="00D313E0" w:rsidRPr="00801AF5" w:rsidRDefault="00D313E0" w:rsidP="00D04B94">
            <w:pPr>
              <w:spacing w:after="0"/>
              <w:jc w:val="center"/>
              <w:rPr>
                <w:rFonts w:eastAsiaTheme="minorHAnsi" w:cs="Arial"/>
                <w:b/>
                <w:noProof/>
                <w:sz w:val="20"/>
                <w:szCs w:val="20"/>
                <w:highlight w:val="yellow"/>
                <w:lang w:eastAsia="en-AU"/>
              </w:rPr>
            </w:pPr>
            <w:r w:rsidRPr="008065F3">
              <w:t>$4,</w:t>
            </w:r>
            <w:r w:rsidR="00ED41CD">
              <w:t>588</w:t>
            </w:r>
          </w:p>
        </w:tc>
        <w:tc>
          <w:tcPr>
            <w:tcW w:w="1191" w:type="dxa"/>
            <w:vAlign w:val="center"/>
          </w:tcPr>
          <w:p w14:paraId="0D1CA07D" w14:textId="046D031F" w:rsidR="00D313E0" w:rsidRPr="00801AF5" w:rsidRDefault="00D313E0" w:rsidP="00D04B94">
            <w:pPr>
              <w:spacing w:after="0"/>
              <w:jc w:val="center"/>
              <w:rPr>
                <w:rFonts w:eastAsiaTheme="minorHAnsi" w:cs="Arial"/>
                <w:b/>
                <w:noProof/>
                <w:sz w:val="20"/>
                <w:szCs w:val="20"/>
                <w:highlight w:val="yellow"/>
                <w:lang w:eastAsia="en-AU"/>
              </w:rPr>
            </w:pPr>
            <w:r w:rsidRPr="008065F3">
              <w:t>$4,</w:t>
            </w:r>
            <w:r w:rsidR="00ED41CD">
              <w:t>682</w:t>
            </w:r>
          </w:p>
        </w:tc>
      </w:tr>
    </w:tbl>
    <w:p w14:paraId="6D3CAF7F" w14:textId="77777777" w:rsidR="00D313E0" w:rsidRPr="00704036" w:rsidRDefault="00D313E0" w:rsidP="002D606E">
      <w:pPr>
        <w:keepNext/>
        <w:spacing w:before="100" w:beforeAutospacing="1" w:after="100" w:afterAutospacing="1"/>
        <w:contextualSpacing/>
        <w:rPr>
          <w:rFonts w:eastAsia="Calibri" w:cs="Arial"/>
          <w:b/>
          <w:bCs/>
          <w:sz w:val="16"/>
          <w:szCs w:val="18"/>
        </w:rPr>
      </w:pPr>
    </w:p>
    <w:p w14:paraId="4C2592F2" w14:textId="3C8725BB" w:rsidR="00D313E0" w:rsidRPr="000351BD" w:rsidRDefault="00D313E0" w:rsidP="002D606E">
      <w:pPr>
        <w:spacing w:before="100" w:beforeAutospacing="1" w:after="100" w:afterAutospacing="1"/>
        <w:rPr>
          <w:rFonts w:eastAsia="Calibri" w:cs="Arial"/>
          <w:b/>
        </w:rPr>
      </w:pPr>
      <w:r w:rsidRPr="00704036">
        <w:rPr>
          <w:rFonts w:eastAsia="Calibri" w:cs="Arial"/>
        </w:rPr>
        <w:t xml:space="preserve">The next step in the process of deriving an annual indexation rate is to model a line of best fit against the time series of cost ratios (or equivalently, against the time series of costs per weighted </w:t>
      </w:r>
      <w:r w:rsidRPr="000C2251">
        <w:rPr>
          <w:rFonts w:eastAsia="Calibri" w:cs="Arial"/>
        </w:rPr>
        <w:t xml:space="preserve">separation). This line of best fit is used to estimate the projected annual inflation factor, </w:t>
      </w:r>
      <w:r w:rsidRPr="000C2251">
        <w:rPr>
          <w:rFonts w:eastAsia="Calibri" w:cs="Arial"/>
          <w:i/>
        </w:rPr>
        <w:t>s,</w:t>
      </w:r>
      <w:r w:rsidRPr="000C2251">
        <w:rPr>
          <w:rFonts w:eastAsia="Calibri" w:cs="Arial"/>
        </w:rPr>
        <w:t xml:space="preserve"> shown in </w:t>
      </w:r>
      <w:r w:rsidR="000C2251" w:rsidRPr="00686E99">
        <w:rPr>
          <w:rFonts w:eastAsia="Calibri" w:cs="Arial"/>
        </w:rPr>
        <w:fldChar w:fldCharType="begin"/>
      </w:r>
      <w:r w:rsidR="000C2251" w:rsidRPr="000C2251">
        <w:rPr>
          <w:rFonts w:eastAsia="Calibri" w:cs="Arial"/>
        </w:rPr>
        <w:instrText xml:space="preserve"> REF _Ref468265806 \h </w:instrText>
      </w:r>
      <w:r w:rsidR="000C2251" w:rsidRPr="000351BD">
        <w:rPr>
          <w:rFonts w:eastAsia="Calibri" w:cs="Arial"/>
        </w:rPr>
        <w:instrText xml:space="preserve"> \* MERGEFORMAT </w:instrText>
      </w:r>
      <w:r w:rsidR="000C2251" w:rsidRPr="00686E99">
        <w:rPr>
          <w:rFonts w:eastAsia="Calibri" w:cs="Arial"/>
        </w:rPr>
      </w:r>
      <w:r w:rsidR="000C2251" w:rsidRPr="00686E99">
        <w:rPr>
          <w:rFonts w:eastAsia="Calibri" w:cs="Arial"/>
        </w:rPr>
        <w:fldChar w:fldCharType="separate"/>
      </w:r>
      <w:r w:rsidR="00F84458" w:rsidRPr="00F84458">
        <w:t xml:space="preserve">Figure </w:t>
      </w:r>
      <w:r w:rsidR="00F84458" w:rsidRPr="00F84458">
        <w:rPr>
          <w:noProof/>
        </w:rPr>
        <w:t>7</w:t>
      </w:r>
      <w:r w:rsidR="000C2251" w:rsidRPr="00686E99">
        <w:rPr>
          <w:rFonts w:eastAsia="Calibri" w:cs="Arial"/>
        </w:rPr>
        <w:fldChar w:fldCharType="end"/>
      </w:r>
      <w:r w:rsidR="000C2251">
        <w:rPr>
          <w:rFonts w:eastAsia="Calibri" w:cs="Arial"/>
        </w:rPr>
        <w:t>.</w:t>
      </w:r>
    </w:p>
    <w:p w14:paraId="588338D6" w14:textId="77777777" w:rsidR="00D313E0" w:rsidRPr="00704036" w:rsidRDefault="00D313E0" w:rsidP="002D606E">
      <w:pPr>
        <w:spacing w:before="100" w:beforeAutospacing="1" w:after="100" w:afterAutospacing="1"/>
        <w:rPr>
          <w:rFonts w:eastAsia="Calibri" w:cs="Arial"/>
        </w:rPr>
      </w:pPr>
      <w:r w:rsidRPr="00704036">
        <w:rPr>
          <w:rFonts w:eastAsia="Calibri" w:cs="Arial"/>
        </w:rPr>
        <w:t>Given that the inflation factor</w:t>
      </w:r>
      <w:r>
        <w:rPr>
          <w:rFonts w:eastAsia="Calibri" w:cs="Arial"/>
        </w:rPr>
        <w:t>,</w:t>
      </w:r>
      <w:r w:rsidRPr="00704036">
        <w:rPr>
          <w:rFonts w:eastAsia="Calibri" w:cs="Arial"/>
        </w:rPr>
        <w:t xml:space="preserve"> </w:t>
      </w:r>
      <w:r w:rsidRPr="00704036">
        <w:rPr>
          <w:rFonts w:eastAsia="Calibri" w:cs="Arial"/>
          <w:i/>
        </w:rPr>
        <w:t>s</w:t>
      </w:r>
      <w:r>
        <w:rPr>
          <w:rFonts w:eastAsia="Calibri" w:cs="Arial"/>
          <w:i/>
        </w:rPr>
        <w:t>,</w:t>
      </w:r>
      <w:r w:rsidRPr="00704036">
        <w:rPr>
          <w:rFonts w:eastAsia="Calibri" w:cs="Arial"/>
        </w:rPr>
        <w:t xml:space="preserve"> being modelled is an annual growth rate (i.e. </w:t>
      </w:r>
      <w:r w:rsidRPr="00704036">
        <w:rPr>
          <w:rFonts w:eastAsia="Calibri" w:cs="Arial"/>
          <w:i/>
        </w:rPr>
        <w:t xml:space="preserve">s </w:t>
      </w:r>
      <w:r w:rsidRPr="00704036">
        <w:rPr>
          <w:rFonts w:eastAsia="Calibri" w:cs="Arial"/>
        </w:rPr>
        <w:t xml:space="preserve">≈ </w:t>
      </w:r>
      <w:r w:rsidRPr="00704036">
        <w:rPr>
          <w:rFonts w:eastAsia="Calibri" w:cs="Arial"/>
          <w:i/>
        </w:rPr>
        <w:t>s</w:t>
      </w:r>
      <w:r w:rsidRPr="00704036">
        <w:rPr>
          <w:rFonts w:eastAsia="Calibri" w:cs="Arial"/>
          <w:vertAlign w:val="subscript"/>
        </w:rPr>
        <w:t>x+1</w:t>
      </w:r>
      <w:r w:rsidRPr="00704036">
        <w:rPr>
          <w:rFonts w:eastAsia="Calibri" w:cs="Arial"/>
        </w:rPr>
        <w:t xml:space="preserve"> / </w:t>
      </w:r>
      <w:proofErr w:type="spellStart"/>
      <w:r w:rsidRPr="00704036">
        <w:rPr>
          <w:rFonts w:eastAsia="Calibri" w:cs="Arial"/>
          <w:i/>
        </w:rPr>
        <w:t>s</w:t>
      </w:r>
      <w:r w:rsidRPr="00704036">
        <w:rPr>
          <w:rFonts w:eastAsia="Calibri" w:cs="Arial"/>
          <w:vertAlign w:val="subscript"/>
        </w:rPr>
        <w:t>x</w:t>
      </w:r>
      <w:proofErr w:type="spellEnd"/>
      <w:r w:rsidRPr="00704036">
        <w:rPr>
          <w:rFonts w:eastAsia="Calibri" w:cs="Arial"/>
        </w:rPr>
        <w:t xml:space="preserve">) as opposed to an arithmetic change each year (i.e. </w:t>
      </w:r>
      <w:r w:rsidRPr="00704036">
        <w:rPr>
          <w:rFonts w:eastAsia="Calibri" w:cs="Arial"/>
          <w:i/>
        </w:rPr>
        <w:t>s</w:t>
      </w:r>
      <w:r w:rsidRPr="00704036">
        <w:rPr>
          <w:rFonts w:eastAsia="Calibri" w:cs="Arial"/>
          <w:vertAlign w:val="subscript"/>
        </w:rPr>
        <w:t>x+1</w:t>
      </w:r>
      <w:r w:rsidRPr="00704036">
        <w:rPr>
          <w:rFonts w:eastAsia="Calibri" w:cs="Arial"/>
        </w:rPr>
        <w:t xml:space="preserve"> </w:t>
      </w:r>
      <w:r w:rsidRPr="00704036">
        <w:rPr>
          <w:rFonts w:eastAsia="Calibri" w:cs="Arial"/>
        </w:rPr>
        <w:sym w:font="Symbol" w:char="F02D"/>
      </w:r>
      <w:r w:rsidRPr="00704036">
        <w:rPr>
          <w:rFonts w:eastAsia="Calibri" w:cs="Arial"/>
        </w:rPr>
        <w:t xml:space="preserve"> </w:t>
      </w:r>
      <w:proofErr w:type="spellStart"/>
      <w:r w:rsidRPr="00704036">
        <w:rPr>
          <w:rFonts w:eastAsia="Calibri" w:cs="Arial"/>
          <w:i/>
        </w:rPr>
        <w:t>s</w:t>
      </w:r>
      <w:r w:rsidRPr="00704036">
        <w:rPr>
          <w:rFonts w:eastAsia="Calibri" w:cs="Arial"/>
          <w:vertAlign w:val="subscript"/>
        </w:rPr>
        <w:t>x</w:t>
      </w:r>
      <w:proofErr w:type="spellEnd"/>
      <w:r w:rsidRPr="00704036">
        <w:rPr>
          <w:rFonts w:eastAsia="Calibri" w:cs="Arial"/>
        </w:rPr>
        <w:t xml:space="preserve">), the line of best fit is taken to have an exponential form. In other words, an exponential form is chosen because exponential functions </w:t>
      </w:r>
      <w:proofErr w:type="spellStart"/>
      <w:r w:rsidRPr="00704036">
        <w:rPr>
          <w:rFonts w:eastAsia="Calibri" w:cs="Arial"/>
          <w:i/>
        </w:rPr>
        <w:t>A</w:t>
      </w:r>
      <w:r w:rsidRPr="00704036">
        <w:rPr>
          <w:rFonts w:eastAsia="Calibri" w:cs="Arial"/>
        </w:rPr>
        <w:t>e</w:t>
      </w:r>
      <w:r w:rsidRPr="00704036">
        <w:rPr>
          <w:rFonts w:eastAsia="Calibri" w:cs="Arial"/>
          <w:i/>
          <w:vertAlign w:val="superscript"/>
        </w:rPr>
        <w:t>Bx</w:t>
      </w:r>
      <w:proofErr w:type="spellEnd"/>
      <w:r w:rsidRPr="00704036">
        <w:rPr>
          <w:rFonts w:eastAsia="Calibri" w:cs="Arial"/>
        </w:rPr>
        <w:t xml:space="preserve"> have the characteristic that their annual growth rate is constant:</w:t>
      </w:r>
    </w:p>
    <w:p w14:paraId="3D284B4D" w14:textId="77777777" w:rsidR="00D313E0" w:rsidRPr="00704036" w:rsidRDefault="00D313E0" w:rsidP="002D606E">
      <w:pPr>
        <w:spacing w:before="100" w:beforeAutospacing="1" w:after="100" w:afterAutospacing="1"/>
        <w:rPr>
          <w:rFonts w:eastAsia="Calibri" w:cs="Arial"/>
        </w:rPr>
      </w:pPr>
      <w:proofErr w:type="spellStart"/>
      <w:r w:rsidRPr="00704036">
        <w:rPr>
          <w:rFonts w:eastAsia="Calibri" w:cs="Arial"/>
          <w:i/>
        </w:rPr>
        <w:t>A</w:t>
      </w:r>
      <w:r w:rsidRPr="00704036">
        <w:rPr>
          <w:rFonts w:eastAsia="Calibri" w:cs="Arial"/>
        </w:rPr>
        <w:t>e</w:t>
      </w:r>
      <w:r w:rsidRPr="00704036">
        <w:rPr>
          <w:rFonts w:eastAsia="Calibri" w:cs="Arial"/>
          <w:i/>
          <w:vertAlign w:val="superscript"/>
        </w:rPr>
        <w:t>B</w:t>
      </w:r>
      <w:proofErr w:type="spellEnd"/>
      <w:r w:rsidRPr="00704036">
        <w:rPr>
          <w:rFonts w:eastAsia="Calibri" w:cs="Arial"/>
          <w:vertAlign w:val="superscript"/>
        </w:rPr>
        <w:t>(</w:t>
      </w:r>
      <w:r w:rsidRPr="00704036">
        <w:rPr>
          <w:rFonts w:eastAsia="Calibri" w:cs="Arial"/>
          <w:i/>
          <w:vertAlign w:val="superscript"/>
        </w:rPr>
        <w:t>x</w:t>
      </w:r>
      <w:r w:rsidRPr="00704036">
        <w:rPr>
          <w:rFonts w:eastAsia="Calibri" w:cs="Arial"/>
          <w:vertAlign w:val="superscript"/>
        </w:rPr>
        <w:t>+1)</w:t>
      </w:r>
      <w:r w:rsidRPr="00704036">
        <w:rPr>
          <w:rFonts w:eastAsia="Calibri" w:cs="Arial"/>
        </w:rPr>
        <w:t xml:space="preserve"> / </w:t>
      </w:r>
      <w:proofErr w:type="spellStart"/>
      <w:r w:rsidRPr="00704036">
        <w:rPr>
          <w:rFonts w:eastAsia="Calibri" w:cs="Arial"/>
          <w:i/>
        </w:rPr>
        <w:t>A</w:t>
      </w:r>
      <w:r w:rsidRPr="00704036">
        <w:rPr>
          <w:rFonts w:eastAsia="Calibri" w:cs="Arial"/>
        </w:rPr>
        <w:t>e</w:t>
      </w:r>
      <w:r w:rsidRPr="00704036">
        <w:rPr>
          <w:rFonts w:eastAsia="Calibri" w:cs="Arial"/>
          <w:i/>
          <w:vertAlign w:val="superscript"/>
        </w:rPr>
        <w:t>Bx</w:t>
      </w:r>
      <w:proofErr w:type="spellEnd"/>
      <w:r w:rsidRPr="00704036">
        <w:rPr>
          <w:rFonts w:eastAsia="Calibri" w:cs="Arial"/>
        </w:rPr>
        <w:t xml:space="preserve"> = </w:t>
      </w:r>
      <w:proofErr w:type="spellStart"/>
      <w:r w:rsidRPr="00704036">
        <w:rPr>
          <w:rFonts w:eastAsia="Calibri" w:cs="Arial"/>
        </w:rPr>
        <w:t>e</w:t>
      </w:r>
      <w:r w:rsidRPr="00704036">
        <w:rPr>
          <w:rFonts w:eastAsia="Calibri" w:cs="Arial"/>
          <w:i/>
          <w:vertAlign w:val="superscript"/>
        </w:rPr>
        <w:t>B</w:t>
      </w:r>
      <w:proofErr w:type="spellEnd"/>
      <w:r w:rsidRPr="00704036">
        <w:rPr>
          <w:rFonts w:eastAsia="Calibri" w:cs="Arial"/>
        </w:rPr>
        <w:t xml:space="preserve"> = constant.</w:t>
      </w:r>
    </w:p>
    <w:p w14:paraId="4DDD8F7B" w14:textId="651D641F" w:rsidR="00D313E0" w:rsidRPr="00704036" w:rsidRDefault="00D313E0" w:rsidP="002D606E">
      <w:pPr>
        <w:spacing w:before="100" w:beforeAutospacing="1" w:after="100" w:afterAutospacing="1"/>
        <w:rPr>
          <w:rFonts w:eastAsia="Calibri" w:cs="Arial"/>
        </w:rPr>
      </w:pPr>
      <w:r w:rsidRPr="00704036">
        <w:rPr>
          <w:rFonts w:eastAsia="Calibri" w:cs="Arial"/>
        </w:rPr>
        <w:lastRenderedPageBreak/>
        <w:t xml:space="preserve">The exponential line of best fit is also modelled so that it passes through the </w:t>
      </w:r>
      <w:r>
        <w:rPr>
          <w:rFonts w:eastAsia="Calibri" w:cs="Arial"/>
        </w:rPr>
        <w:t>2014-15</w:t>
      </w:r>
      <w:r w:rsidRPr="00704036">
        <w:rPr>
          <w:rFonts w:eastAsia="Calibri" w:cs="Arial"/>
        </w:rPr>
        <w:t xml:space="preserve"> observation to ensure that the resulting annual scaling factor applies to the </w:t>
      </w:r>
      <w:r>
        <w:rPr>
          <w:rFonts w:eastAsia="Calibri" w:cs="Arial"/>
        </w:rPr>
        <w:t>2014-15</w:t>
      </w:r>
      <w:r w:rsidRPr="00704036">
        <w:rPr>
          <w:rFonts w:eastAsia="Calibri" w:cs="Arial"/>
        </w:rPr>
        <w:t xml:space="preserve"> cost ratio of </w:t>
      </w:r>
      <w:r w:rsidRPr="00E33EAE">
        <w:rPr>
          <w:rFonts w:eastAsia="Calibri" w:cs="Arial"/>
        </w:rPr>
        <w:t>1</w:t>
      </w:r>
      <w:r w:rsidRPr="00704036">
        <w:rPr>
          <w:rFonts w:eastAsia="Calibri" w:cs="Arial"/>
        </w:rPr>
        <w:t xml:space="preserve"> (or equivalently, to the </w:t>
      </w:r>
      <w:r>
        <w:rPr>
          <w:rFonts w:eastAsia="Calibri" w:cs="Arial"/>
        </w:rPr>
        <w:t>2014-15</w:t>
      </w:r>
      <w:r w:rsidRPr="00704036">
        <w:rPr>
          <w:rFonts w:eastAsia="Calibri" w:cs="Arial"/>
        </w:rPr>
        <w:t xml:space="preserve"> reference cost </w:t>
      </w:r>
      <w:r w:rsidRPr="00801AF5">
        <w:rPr>
          <w:rFonts w:eastAsia="Calibri" w:cs="Arial"/>
        </w:rPr>
        <w:t>of $4,</w:t>
      </w:r>
      <w:r w:rsidR="00ED41CD" w:rsidRPr="00801AF5">
        <w:rPr>
          <w:rFonts w:eastAsia="Calibri" w:cs="Arial"/>
        </w:rPr>
        <w:t>6</w:t>
      </w:r>
      <w:r w:rsidR="00ED41CD">
        <w:rPr>
          <w:rFonts w:eastAsia="Calibri" w:cs="Arial"/>
        </w:rPr>
        <w:t>82</w:t>
      </w:r>
      <w:r w:rsidRPr="00801AF5">
        <w:rPr>
          <w:rFonts w:eastAsia="Calibri" w:cs="Arial"/>
        </w:rPr>
        <w:t>).</w:t>
      </w:r>
    </w:p>
    <w:p w14:paraId="47D6389A" w14:textId="77777777" w:rsidR="00D313E0" w:rsidRPr="00704036" w:rsidRDefault="00D313E0" w:rsidP="002D606E">
      <w:pPr>
        <w:spacing w:before="100" w:beforeAutospacing="1" w:after="100" w:afterAutospacing="1"/>
        <w:rPr>
          <w:rFonts w:eastAsia="Calibri" w:cs="Arial"/>
        </w:rPr>
      </w:pPr>
      <w:r w:rsidRPr="00704036">
        <w:rPr>
          <w:rFonts w:eastAsia="Calibri" w:cs="Arial"/>
        </w:rPr>
        <w:t>The time series and associated exponential line of best fit are shown in Figure 4. The two equations displayed in Figure 4 represent the exponential line expressed in terms of the cost ratio time series and the cost per weighted separation time series.</w:t>
      </w:r>
    </w:p>
    <w:p w14:paraId="00463A66" w14:textId="02C52C49" w:rsidR="00D313E0" w:rsidRPr="003331A3" w:rsidRDefault="00D313E0" w:rsidP="002D606E">
      <w:pPr>
        <w:spacing w:after="0" w:line="240" w:lineRule="auto"/>
        <w:rPr>
          <w:b/>
        </w:rPr>
      </w:pPr>
      <w:bookmarkStart w:id="800" w:name="_Ref468266039"/>
      <w:r w:rsidRPr="003331A3">
        <w:rPr>
          <w:b/>
        </w:rPr>
        <w:t xml:space="preserve">Figure </w:t>
      </w:r>
      <w:r w:rsidRPr="003331A3">
        <w:rPr>
          <w:b/>
        </w:rPr>
        <w:fldChar w:fldCharType="begin"/>
      </w:r>
      <w:r w:rsidRPr="003331A3">
        <w:rPr>
          <w:b/>
        </w:rPr>
        <w:instrText xml:space="preserve"> SEQ Figure \* ARABIC </w:instrText>
      </w:r>
      <w:r w:rsidRPr="003331A3">
        <w:rPr>
          <w:b/>
        </w:rPr>
        <w:fldChar w:fldCharType="separate"/>
      </w:r>
      <w:r w:rsidR="00F84458">
        <w:rPr>
          <w:b/>
          <w:noProof/>
        </w:rPr>
        <w:t>8</w:t>
      </w:r>
      <w:r w:rsidRPr="003331A3">
        <w:rPr>
          <w:b/>
        </w:rPr>
        <w:fldChar w:fldCharType="end"/>
      </w:r>
      <w:bookmarkEnd w:id="800"/>
      <w:r w:rsidRPr="003331A3">
        <w:rPr>
          <w:b/>
        </w:rPr>
        <w:t>: Time series of cost ratio and cost per weighted separation with exponential line of best fit.</w:t>
      </w:r>
    </w:p>
    <w:p w14:paraId="213B155A" w14:textId="3396EB61" w:rsidR="00D313E0" w:rsidRPr="00704036" w:rsidRDefault="00ED41CD" w:rsidP="00C21501">
      <w:pPr>
        <w:spacing w:after="0" w:line="240" w:lineRule="auto"/>
        <w:jc w:val="center"/>
        <w:rPr>
          <w:rFonts w:eastAsia="Calibri" w:cs="Arial"/>
        </w:rPr>
      </w:pPr>
      <w:r>
        <w:rPr>
          <w:noProof/>
        </w:rPr>
        <w:drawing>
          <wp:inline distT="0" distB="0" distL="0" distR="0" wp14:anchorId="53BBCC6E" wp14:editId="594BE389">
            <wp:extent cx="5035447" cy="4536465"/>
            <wp:effectExtent l="0" t="0" r="13335" b="16510"/>
            <wp:docPr id="1" name="Chart 1" title="Figure 8: Time series of cost ratio and cost per weighted separation with exponential line of best fit"/>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2AEDD4F" w14:textId="449E82DD" w:rsidR="00D313E0" w:rsidRPr="00704036" w:rsidRDefault="00D313E0" w:rsidP="002D606E">
      <w:pPr>
        <w:spacing w:before="100" w:beforeAutospacing="1" w:after="100" w:afterAutospacing="1"/>
        <w:rPr>
          <w:rFonts w:eastAsia="Calibri" w:cs="Arial"/>
        </w:rPr>
      </w:pPr>
      <w:r w:rsidRPr="00704036">
        <w:rPr>
          <w:rFonts w:eastAsia="Calibri" w:cs="Arial"/>
        </w:rPr>
        <w:t>Note that although the two equations in Figure 4 have different coefficients multiplying the exponential function (i</w:t>
      </w:r>
      <w:r w:rsidRPr="00801AF5">
        <w:rPr>
          <w:rFonts w:eastAsia="Calibri" w:cs="Arial"/>
        </w:rPr>
        <w:t>.e. 1 and $</w:t>
      </w:r>
      <w:r>
        <w:rPr>
          <w:rFonts w:eastAsia="Calibri" w:cs="Arial"/>
        </w:rPr>
        <w:t>4,</w:t>
      </w:r>
      <w:r w:rsidR="00ED41CD">
        <w:rPr>
          <w:rFonts w:eastAsia="Calibri" w:cs="Arial"/>
        </w:rPr>
        <w:t>682</w:t>
      </w:r>
      <w:r w:rsidRPr="00C12A66">
        <w:rPr>
          <w:rFonts w:eastAsia="Calibri" w:cs="Arial"/>
        </w:rPr>
        <w:t>), both have precisely the same coefficient inside the exponential function (i.e</w:t>
      </w:r>
      <w:r w:rsidRPr="00801AF5">
        <w:rPr>
          <w:rFonts w:eastAsia="Calibri" w:cs="Arial"/>
        </w:rPr>
        <w:t>. 0.016</w:t>
      </w:r>
      <w:r w:rsidR="00ED41CD">
        <w:rPr>
          <w:rFonts w:eastAsia="Calibri" w:cs="Arial"/>
        </w:rPr>
        <w:t>2</w:t>
      </w:r>
      <w:r w:rsidRPr="00704036">
        <w:rPr>
          <w:rFonts w:eastAsia="Calibri" w:cs="Arial"/>
        </w:rPr>
        <w:t>). The two different coefficients multiplying the exponential function represent the estimated cost ratio and cost per weighted separation in ‘year zero’ (i.e. x</w:t>
      </w:r>
      <w:r>
        <w:rPr>
          <w:rFonts w:eastAsia="Calibri" w:cs="Arial"/>
        </w:rPr>
        <w:t xml:space="preserve"> </w:t>
      </w:r>
      <w:r w:rsidRPr="00704036">
        <w:rPr>
          <w:rFonts w:eastAsia="Calibri" w:cs="Arial"/>
        </w:rPr>
        <w:t>=</w:t>
      </w:r>
      <w:r>
        <w:rPr>
          <w:rFonts w:eastAsia="Calibri" w:cs="Arial"/>
        </w:rPr>
        <w:t xml:space="preserve"> </w:t>
      </w:r>
      <w:r w:rsidRPr="00704036">
        <w:rPr>
          <w:rFonts w:eastAsia="Calibri" w:cs="Arial"/>
        </w:rPr>
        <w:t xml:space="preserve">0), which is </w:t>
      </w:r>
      <w:r>
        <w:rPr>
          <w:rFonts w:eastAsia="Calibri" w:cs="Arial"/>
        </w:rPr>
        <w:t>2014-15</w:t>
      </w:r>
      <w:r w:rsidRPr="00704036">
        <w:rPr>
          <w:rFonts w:eastAsia="Calibri" w:cs="Arial"/>
        </w:rPr>
        <w:t xml:space="preserve">. That is, the regression modelled cost ratio for </w:t>
      </w:r>
      <w:r>
        <w:rPr>
          <w:rFonts w:eastAsia="Calibri" w:cs="Arial"/>
        </w:rPr>
        <w:t>2014-15</w:t>
      </w:r>
      <w:r w:rsidRPr="007B0C5C">
        <w:rPr>
          <w:rFonts w:eastAsia="Calibri" w:cs="Arial"/>
        </w:rPr>
        <w:t xml:space="preserve"> is </w:t>
      </w:r>
      <w:r w:rsidRPr="00E33EAE">
        <w:rPr>
          <w:rFonts w:eastAsia="Calibri" w:cs="Arial"/>
        </w:rPr>
        <w:t>1.000</w:t>
      </w:r>
      <w:r w:rsidRPr="007B0C5C">
        <w:rPr>
          <w:rFonts w:eastAsia="Calibri" w:cs="Arial"/>
        </w:rPr>
        <w:t xml:space="preserve"> and the modelled cost per weighted separation for </w:t>
      </w:r>
      <w:r w:rsidRPr="00801AF5">
        <w:rPr>
          <w:rFonts w:eastAsia="Calibri" w:cs="Arial"/>
        </w:rPr>
        <w:t>2014-15 is $</w:t>
      </w:r>
      <w:r>
        <w:rPr>
          <w:rFonts w:eastAsia="Calibri" w:cs="Arial"/>
        </w:rPr>
        <w:t>4,</w:t>
      </w:r>
      <w:r w:rsidR="00D813DC">
        <w:rPr>
          <w:rFonts w:eastAsia="Calibri" w:cs="Arial"/>
        </w:rPr>
        <w:t>682</w:t>
      </w:r>
      <w:r w:rsidRPr="00801AF5">
        <w:rPr>
          <w:rFonts w:eastAsia="Calibri" w:cs="Arial"/>
        </w:rPr>
        <w:t>.</w:t>
      </w:r>
    </w:p>
    <w:p w14:paraId="396D1018" w14:textId="099C8529" w:rsidR="00D313E0" w:rsidRPr="00E33EAE" w:rsidRDefault="00D313E0" w:rsidP="002D606E">
      <w:pPr>
        <w:spacing w:before="100" w:beforeAutospacing="1" w:after="240"/>
        <w:rPr>
          <w:rFonts w:eastAsia="Calibri" w:cs="Arial"/>
        </w:rPr>
      </w:pPr>
      <w:r w:rsidRPr="00704036">
        <w:rPr>
          <w:rFonts w:eastAsia="Calibri" w:cs="Arial"/>
        </w:rPr>
        <w:t xml:space="preserve">The regression modelled estimates of cost ratio and cost per weighted separation for each of the years from </w:t>
      </w:r>
      <w:r w:rsidRPr="00801AF5">
        <w:rPr>
          <w:rFonts w:eastAsia="Calibri" w:cs="Arial"/>
        </w:rPr>
        <w:t>2009-10 to 2014-15 are given by substituting x = -5</w:t>
      </w:r>
      <w:r w:rsidR="00AD4DD3" w:rsidRPr="00801AF5">
        <w:rPr>
          <w:rFonts w:eastAsia="Calibri" w:cs="Arial"/>
        </w:rPr>
        <w:t>,</w:t>
      </w:r>
      <w:r>
        <w:rPr>
          <w:rFonts w:eastAsia="Calibri" w:cs="Arial"/>
        </w:rPr>
        <w:t xml:space="preserve"> </w:t>
      </w:r>
      <w:r w:rsidRPr="00801AF5">
        <w:rPr>
          <w:rFonts w:eastAsia="Calibri" w:cs="Arial"/>
        </w:rPr>
        <w:t>0</w:t>
      </w:r>
      <w:r w:rsidRPr="00704036">
        <w:rPr>
          <w:rFonts w:eastAsia="Calibri" w:cs="Arial"/>
        </w:rPr>
        <w:t xml:space="preserve"> into the equations. For example, substituting x = 0 into the equations results in the </w:t>
      </w:r>
      <w:r>
        <w:rPr>
          <w:rFonts w:eastAsia="Calibri" w:cs="Arial"/>
        </w:rPr>
        <w:t>2014-15</w:t>
      </w:r>
      <w:r w:rsidRPr="00704036">
        <w:rPr>
          <w:rFonts w:eastAsia="Calibri" w:cs="Arial"/>
        </w:rPr>
        <w:t xml:space="preserve"> cost ratio and cost per weighted separation:</w:t>
      </w:r>
      <w:r w:rsidRPr="00AA5D06">
        <w:rPr>
          <w:rFonts w:ascii="Calibri" w:eastAsia="Calibri" w:hAnsi="Calibri"/>
        </w:rPr>
        <w:t xml:space="preserve"> </w:t>
      </w:r>
    </w:p>
    <w:p w14:paraId="280F2DE1" w14:textId="0BCBB9F4" w:rsidR="00D313E0" w:rsidRPr="007B0C5C" w:rsidRDefault="00D313E0" w:rsidP="00560AC0">
      <w:pPr>
        <w:rPr>
          <w:rFonts w:cs="Arial"/>
        </w:rPr>
      </w:pPr>
      <m:oMathPara>
        <m:oMath>
          <m:r>
            <m:rPr>
              <m:sty m:val="p"/>
            </m:rPr>
            <w:rPr>
              <w:rFonts w:ascii="Cambria Math" w:hAnsi="Cambria Math" w:cs="Arial"/>
            </w:rPr>
            <m:t>2014-15 Cost Ratio</m:t>
          </m:r>
          <m:r>
            <m:rPr>
              <m:sty m:val="p"/>
              <m:aln/>
            </m:rPr>
            <w:rPr>
              <w:rFonts w:ascii="Cambria Math" w:hAnsi="Cambria Math" w:cs="Arial"/>
            </w:rPr>
            <m:t>=1.000</m:t>
          </m:r>
          <m:r>
            <m:rPr>
              <m:sty m:val="p"/>
            </m:rPr>
            <w:rPr>
              <w:rFonts w:ascii="Cambria Math" w:hAnsi="Cambria Math" w:cs="Arial" w:hint="eastAsia"/>
            </w:rPr>
            <m:t>×</m:t>
          </m:r>
          <m:sSup>
            <m:sSupPr>
              <m:ctrlPr>
                <w:rPr>
                  <w:rFonts w:ascii="Cambria Math" w:hAnsi="Cambria Math" w:cs="Arial"/>
                </w:rPr>
              </m:ctrlPr>
            </m:sSupPr>
            <m:e>
              <m:r>
                <m:rPr>
                  <m:sty m:val="p"/>
                </m:rPr>
                <w:rPr>
                  <w:rFonts w:ascii="Cambria Math" w:hAnsi="Cambria Math" w:cs="Arial"/>
                </w:rPr>
                <m:t>e</m:t>
              </m:r>
            </m:e>
            <m:sup>
              <m:d>
                <m:dPr>
                  <m:ctrlPr>
                    <w:rPr>
                      <w:rFonts w:ascii="Cambria Math" w:hAnsi="Cambria Math" w:cs="Arial"/>
                      <w:i/>
                    </w:rPr>
                  </m:ctrlPr>
                </m:dPr>
                <m:e>
                  <m:r>
                    <w:rPr>
                      <w:rFonts w:ascii="Cambria Math" w:hAnsi="Cambria Math" w:cs="Arial"/>
                    </w:rPr>
                    <m:t>0.0162</m:t>
                  </m:r>
                  <m:r>
                    <w:rPr>
                      <w:rFonts w:ascii="Cambria Math" w:hAnsi="Cambria Math" w:cs="Arial" w:hint="eastAsia"/>
                    </w:rPr>
                    <m:t>×</m:t>
                  </m:r>
                  <m:r>
                    <w:rPr>
                      <w:rFonts w:ascii="Cambria Math" w:hAnsi="Cambria Math" w:cs="Arial"/>
                    </w:rPr>
                    <m:t>0</m:t>
                  </m:r>
                </m:e>
              </m:d>
            </m:sup>
          </m:sSup>
          <m:r>
            <m:rPr>
              <m:sty m:val="p"/>
            </m:rPr>
            <w:rPr>
              <w:rFonts w:ascii="Cambria Math" w:hAnsi="Cambria Math" w:cs="Arial"/>
            </w:rPr>
            <w:br/>
          </m:r>
        </m:oMath>
        <m:oMath>
          <m:r>
            <m:rPr>
              <m:aln/>
            </m:rPr>
            <w:rPr>
              <w:rFonts w:ascii="Cambria Math" w:hAnsi="Cambria Math" w:cs="Arial"/>
            </w:rPr>
            <m:t>=1.000</m:t>
          </m:r>
          <m:sSup>
            <m:sSupPr>
              <m:ctrlPr>
                <w:rPr>
                  <w:rFonts w:ascii="Cambria Math" w:hAnsi="Cambria Math" w:cs="Arial"/>
                  <w:i/>
                </w:rPr>
              </m:ctrlPr>
            </m:sSupPr>
            <m:e>
              <m:r>
                <w:rPr>
                  <w:rFonts w:ascii="Cambria Math" w:hAnsi="Cambria Math" w:cs="Arial"/>
                </w:rPr>
                <m:t>e</m:t>
              </m:r>
            </m:e>
            <m:sup>
              <m:r>
                <w:rPr>
                  <w:rFonts w:ascii="Cambria Math" w:hAnsi="Cambria Math" w:cs="Arial"/>
                </w:rPr>
                <m:t>0</m:t>
              </m:r>
            </m:sup>
          </m:sSup>
          <m:r>
            <m:rPr>
              <m:sty m:val="p"/>
            </m:rPr>
            <w:rPr>
              <w:rFonts w:ascii="Cambria Math" w:hAnsi="Cambria Math" w:cs="Arial"/>
            </w:rPr>
            <w:br/>
          </m:r>
        </m:oMath>
        <m:oMath>
          <m:r>
            <m:rPr>
              <m:aln/>
            </m:rPr>
            <w:rPr>
              <w:rFonts w:ascii="Cambria Math" w:hAnsi="Cambria Math" w:cs="Arial"/>
            </w:rPr>
            <m:t>=1.000</m:t>
          </m:r>
        </m:oMath>
      </m:oMathPara>
    </w:p>
    <w:p w14:paraId="695FDD50" w14:textId="77777777" w:rsidR="00D313E0" w:rsidRPr="00767441" w:rsidRDefault="00D313E0">
      <w:pPr>
        <w:spacing w:before="100" w:beforeAutospacing="1" w:after="100" w:afterAutospacing="1"/>
        <w:rPr>
          <w:rFonts w:ascii="Calibri" w:eastAsia="Calibri" w:hAnsi="Calibri"/>
        </w:rPr>
      </w:pPr>
      <w:r w:rsidRPr="00767441">
        <w:rPr>
          <w:rFonts w:ascii="Calibri" w:eastAsia="Calibri" w:hAnsi="Calibri"/>
        </w:rPr>
        <w:lastRenderedPageBreak/>
        <w:t>And</w:t>
      </w:r>
      <w:r>
        <w:rPr>
          <w:rFonts w:ascii="Calibri" w:eastAsia="Calibri" w:hAnsi="Calibri"/>
        </w:rPr>
        <w:t>,</w:t>
      </w:r>
    </w:p>
    <w:p w14:paraId="1DBA3855" w14:textId="1A1D29C4" w:rsidR="00D313E0" w:rsidRPr="005174BC" w:rsidRDefault="00D313E0">
      <w:pPr>
        <w:rPr>
          <w:rFonts w:cs="Arial"/>
        </w:rPr>
      </w:pPr>
      <m:oMathPara>
        <m:oMath>
          <m:r>
            <m:rPr>
              <m:sty m:val="p"/>
            </m:rPr>
            <w:rPr>
              <w:rFonts w:ascii="Cambria Math" w:hAnsi="Cambria Math"/>
            </w:rPr>
            <m:t>2014-15 Cost per weighted separation</m:t>
          </m:r>
          <m:r>
            <m:rPr>
              <m:sty m:val="p"/>
              <m:aln/>
            </m:rPr>
            <w:rPr>
              <w:rFonts w:ascii="Cambria Math" w:hAnsi="Cambria Math"/>
            </w:rPr>
            <m:t>=$4,682</m:t>
          </m:r>
          <m:r>
            <m:rPr>
              <m:sty m:val="p"/>
            </m:rPr>
            <w:rPr>
              <w:rFonts w:ascii="Cambria Math" w:hAnsi="Cambria Math" w:hint="eastAsia"/>
            </w:rPr>
            <m:t>×</m:t>
          </m:r>
          <m:sSup>
            <m:sSupPr>
              <m:ctrlPr>
                <w:rPr>
                  <w:rFonts w:ascii="Cambria Math" w:hAnsi="Cambria Math"/>
                </w:rPr>
              </m:ctrlPr>
            </m:sSupPr>
            <m:e>
              <m:r>
                <m:rPr>
                  <m:sty m:val="p"/>
                </m:rPr>
                <w:rPr>
                  <w:rFonts w:ascii="Cambria Math" w:hAnsi="Cambria Math"/>
                </w:rPr>
                <m:t>e</m:t>
              </m:r>
            </m:e>
            <m:sup>
              <m:d>
                <m:dPr>
                  <m:ctrlPr>
                    <w:rPr>
                      <w:rFonts w:ascii="Cambria Math" w:hAnsi="Cambria Math"/>
                      <w:i/>
                    </w:rPr>
                  </m:ctrlPr>
                </m:dPr>
                <m:e>
                  <m:r>
                    <w:rPr>
                      <w:rFonts w:ascii="Cambria Math" w:hAnsi="Cambria Math"/>
                    </w:rPr>
                    <m:t>0.0162</m:t>
                  </m:r>
                  <m:r>
                    <w:rPr>
                      <w:rFonts w:ascii="Cambria Math" w:hAnsi="Cambria Math" w:hint="eastAsia"/>
                    </w:rPr>
                    <m:t>×</m:t>
                  </m:r>
                  <m:r>
                    <w:rPr>
                      <w:rFonts w:ascii="Cambria Math" w:hAnsi="Cambria Math"/>
                    </w:rPr>
                    <m:t>0</m:t>
                  </m:r>
                </m:e>
              </m:d>
            </m:sup>
          </m:sSup>
          <m:r>
            <m:rPr>
              <m:sty m:val="p"/>
            </m:rPr>
            <w:br/>
          </m:r>
        </m:oMath>
        <m:oMath>
          <m:r>
            <m:rPr>
              <m:aln/>
            </m:rPr>
            <w:rPr>
              <w:rFonts w:ascii="Cambria Math" w:hAnsi="Cambria Math"/>
            </w:rPr>
            <m:t>=$4,682</m:t>
          </m:r>
          <m:sSup>
            <m:sSupPr>
              <m:ctrlPr>
                <w:rPr>
                  <w:rFonts w:ascii="Cambria Math" w:hAnsi="Cambria Math"/>
                  <w:i/>
                </w:rPr>
              </m:ctrlPr>
            </m:sSupPr>
            <m:e>
              <m:r>
                <w:rPr>
                  <w:rFonts w:ascii="Cambria Math" w:hAnsi="Cambria Math"/>
                </w:rPr>
                <m:t>e</m:t>
              </m:r>
            </m:e>
            <m:sup>
              <m:r>
                <w:rPr>
                  <w:rFonts w:ascii="Cambria Math" w:hAnsi="Cambria Math"/>
                </w:rPr>
                <m:t>0</m:t>
              </m:r>
            </m:sup>
          </m:sSup>
          <m:r>
            <m:rPr>
              <m:sty m:val="p"/>
            </m:rPr>
            <w:rPr>
              <w:rFonts w:cs="Arial"/>
            </w:rPr>
            <w:br/>
          </m:r>
        </m:oMath>
        <m:oMath>
          <m:r>
            <m:rPr>
              <m:aln/>
            </m:rPr>
            <w:rPr>
              <w:rFonts w:ascii="Cambria Math" w:hAnsi="Cambria Math" w:cs="Arial"/>
            </w:rPr>
            <m:t>=$4,682</m:t>
          </m:r>
        </m:oMath>
      </m:oMathPara>
    </w:p>
    <w:p w14:paraId="0C0FC86F" w14:textId="353439A3" w:rsidR="00D313E0" w:rsidRPr="00704036" w:rsidRDefault="00D313E0">
      <w:pPr>
        <w:spacing w:before="100" w:beforeAutospacing="1" w:after="100" w:afterAutospacing="1"/>
        <w:rPr>
          <w:rFonts w:eastAsia="Calibri" w:cs="Arial"/>
        </w:rPr>
      </w:pPr>
      <w:r w:rsidRPr="00DF77B4">
        <w:rPr>
          <w:rFonts w:eastAsia="Calibri" w:cs="Arial"/>
        </w:rPr>
        <w:t xml:space="preserve">Finally, the annual scaling factor (i.e. </w:t>
      </w:r>
      <w:r w:rsidRPr="007B0C5C">
        <w:rPr>
          <w:rFonts w:eastAsia="Calibri" w:cs="Arial"/>
          <w:i/>
        </w:rPr>
        <w:t>s</w:t>
      </w:r>
      <w:r w:rsidRPr="007B0C5C">
        <w:rPr>
          <w:rFonts w:eastAsia="Calibri" w:cs="Arial"/>
        </w:rPr>
        <w:t xml:space="preserve"> in Figure 3) is then defined as the annual rate</w:t>
      </w:r>
      <w:r w:rsidRPr="00704036">
        <w:rPr>
          <w:rFonts w:eastAsia="Calibri" w:cs="Arial"/>
        </w:rPr>
        <w:t xml:space="preserve"> of change associated with the exponential line of best fit, and the indexation </w:t>
      </w:r>
      <w:r w:rsidRPr="00DF77B4">
        <w:rPr>
          <w:rFonts w:eastAsia="Calibri" w:cs="Arial"/>
        </w:rPr>
        <w:t>rate is the growth rate of this</w:t>
      </w:r>
      <w:r w:rsidRPr="007B0C5C">
        <w:rPr>
          <w:rFonts w:eastAsia="Calibri" w:cs="Arial"/>
        </w:rPr>
        <w:t xml:space="preserve"> annual scaling factor. The annual rate of change of the exponential line is </w:t>
      </w:r>
      <w:r w:rsidRPr="007B0C5C">
        <w:rPr>
          <w:rFonts w:eastAsia="Calibri" w:cs="Arial"/>
          <w:i/>
        </w:rPr>
        <w:t>s</w:t>
      </w:r>
      <w:r>
        <w:rPr>
          <w:rFonts w:eastAsia="Calibri" w:cs="Arial"/>
          <w:sz w:val="20"/>
        </w:rPr>
        <w:t xml:space="preserve"> </w:t>
      </w:r>
      <w:r w:rsidRPr="007B0C5C">
        <w:rPr>
          <w:rFonts w:eastAsia="Calibri" w:cs="Arial"/>
          <w:i/>
        </w:rPr>
        <w:t>=</w:t>
      </w:r>
      <w:r>
        <w:rPr>
          <w:rFonts w:eastAsia="Calibri" w:cs="Arial"/>
          <w:i/>
        </w:rPr>
        <w:t xml:space="preserve"> </w:t>
      </w:r>
      <w:r w:rsidRPr="00E33EAE">
        <w:rPr>
          <w:rFonts w:eastAsia="Calibri" w:cs="Arial"/>
        </w:rPr>
        <w:t>e</w:t>
      </w:r>
      <w:r w:rsidRPr="00E33EAE">
        <w:rPr>
          <w:rFonts w:eastAsia="Calibri" w:cs="Arial"/>
          <w:vertAlign w:val="superscript"/>
        </w:rPr>
        <w:t>0.0</w:t>
      </w:r>
      <w:r>
        <w:rPr>
          <w:rFonts w:eastAsia="Calibri" w:cs="Arial"/>
          <w:vertAlign w:val="superscript"/>
        </w:rPr>
        <w:t>16</w:t>
      </w:r>
      <w:r w:rsidR="00D813DC">
        <w:rPr>
          <w:rFonts w:eastAsia="Calibri" w:cs="Arial"/>
          <w:vertAlign w:val="superscript"/>
        </w:rPr>
        <w:t>2</w:t>
      </w:r>
      <w:r w:rsidRPr="00E33EAE">
        <w:rPr>
          <w:rFonts w:eastAsia="Calibri" w:cs="Arial"/>
        </w:rPr>
        <w:t>,</w:t>
      </w:r>
      <w:r w:rsidRPr="00DF77B4">
        <w:rPr>
          <w:rFonts w:eastAsia="Calibri" w:cs="Arial"/>
        </w:rPr>
        <w:t xml:space="preserve"> which is equal to </w:t>
      </w:r>
      <w:r w:rsidRPr="00801AF5">
        <w:rPr>
          <w:rFonts w:eastAsia="Calibri" w:cs="Arial"/>
        </w:rPr>
        <w:t>1.016, or 101.6 per cent</w:t>
      </w:r>
      <w:r w:rsidRPr="007B0C5C">
        <w:rPr>
          <w:rFonts w:eastAsia="Calibri" w:cs="Arial"/>
        </w:rPr>
        <w:t xml:space="preserve">. Therefore the indexation </w:t>
      </w:r>
      <w:r w:rsidRPr="00801AF5">
        <w:rPr>
          <w:rFonts w:eastAsia="Calibri" w:cs="Arial"/>
        </w:rPr>
        <w:t>rate is 1.6 per cent.</w:t>
      </w:r>
    </w:p>
    <w:p w14:paraId="5488FC9A" w14:textId="77777777" w:rsidR="00D313E0" w:rsidRPr="00C83E69" w:rsidRDefault="00D313E0">
      <w:pPr>
        <w:pStyle w:val="Heading2"/>
        <w:numPr>
          <w:ilvl w:val="1"/>
          <w:numId w:val="17"/>
        </w:numPr>
        <w:ind w:left="567" w:right="-28" w:hanging="567"/>
      </w:pPr>
      <w:bookmarkStart w:id="801" w:name="_Toc467745625"/>
      <w:bookmarkStart w:id="802" w:name="_Toc467759593"/>
      <w:bookmarkStart w:id="803" w:name="_Toc468204088"/>
      <w:bookmarkStart w:id="804" w:name="_Toc476305248"/>
      <w:r w:rsidRPr="00C83E69">
        <w:t>Transformation of cost model to pricing model</w:t>
      </w:r>
      <w:bookmarkEnd w:id="801"/>
      <w:bookmarkEnd w:id="802"/>
      <w:bookmarkEnd w:id="803"/>
      <w:bookmarkEnd w:id="804"/>
    </w:p>
    <w:p w14:paraId="264F7537" w14:textId="0FCAA6F4" w:rsidR="00D313E0" w:rsidRPr="00704036" w:rsidRDefault="00D313E0">
      <w:pPr>
        <w:spacing w:after="100" w:afterAutospacing="1"/>
        <w:rPr>
          <w:rFonts w:eastAsia="Calibri" w:cs="Arial"/>
        </w:rPr>
      </w:pPr>
      <w:r w:rsidRPr="00704036">
        <w:rPr>
          <w:rFonts w:eastAsia="Calibri" w:cs="Arial"/>
        </w:rPr>
        <w:t xml:space="preserve">The final step in the process of developing the pricing models uses the three steps detailed in </w:t>
      </w:r>
      <w:r w:rsidR="00EC32C8">
        <w:rPr>
          <w:rFonts w:eastAsia="Calibri" w:cs="Arial"/>
        </w:rPr>
        <w:t>the previous sections</w:t>
      </w:r>
      <w:r w:rsidRPr="00704036">
        <w:rPr>
          <w:rFonts w:eastAsia="Calibri" w:cs="Arial"/>
        </w:rPr>
        <w:t xml:space="preserve"> to transform each cost model to the corresponding pricing model.</w:t>
      </w:r>
    </w:p>
    <w:p w14:paraId="51508D94" w14:textId="28631E74" w:rsidR="00D313E0" w:rsidRPr="00704036" w:rsidRDefault="00D313E0">
      <w:pPr>
        <w:spacing w:before="100" w:beforeAutospacing="1" w:after="100" w:afterAutospacing="1"/>
        <w:rPr>
          <w:rFonts w:eastAsia="Calibri" w:cs="Arial"/>
        </w:rPr>
      </w:pPr>
      <w:r w:rsidRPr="00704036">
        <w:rPr>
          <w:rFonts w:eastAsia="Calibri" w:cs="Arial"/>
        </w:rPr>
        <w:t xml:space="preserve">Each year’s pricing model is designed to reflect estimated total in-scope costs associated ABF activity in the year of the pricing model. The pricing model is therefore given by the inflated cost model defined in Section </w:t>
      </w:r>
      <w:r w:rsidR="00EC32C8">
        <w:rPr>
          <w:rFonts w:eastAsia="Calibri" w:cs="Arial"/>
        </w:rPr>
        <w:fldChar w:fldCharType="begin"/>
      </w:r>
      <w:r w:rsidR="00EC32C8">
        <w:rPr>
          <w:rFonts w:eastAsia="Calibri" w:cs="Arial"/>
        </w:rPr>
        <w:instrText xml:space="preserve"> REF _Ref468437878 \r \h </w:instrText>
      </w:r>
      <w:r w:rsidR="00EC32C8">
        <w:rPr>
          <w:rFonts w:eastAsia="Calibri" w:cs="Arial"/>
        </w:rPr>
      </w:r>
      <w:r w:rsidR="00EC32C8">
        <w:rPr>
          <w:rFonts w:eastAsia="Calibri" w:cs="Arial"/>
        </w:rPr>
        <w:fldChar w:fldCharType="separate"/>
      </w:r>
      <w:r w:rsidR="00F84458">
        <w:rPr>
          <w:rFonts w:eastAsia="Calibri" w:cs="Arial"/>
        </w:rPr>
        <w:t>7.4</w:t>
      </w:r>
      <w:r w:rsidR="00EC32C8">
        <w:rPr>
          <w:rFonts w:eastAsia="Calibri" w:cs="Arial"/>
        </w:rPr>
        <w:fldChar w:fldCharType="end"/>
      </w:r>
      <w:r w:rsidR="00EC32C8">
        <w:rPr>
          <w:rFonts w:eastAsia="Calibri" w:cs="Arial"/>
        </w:rPr>
        <w:t xml:space="preserve"> </w:t>
      </w:r>
      <w:r>
        <w:rPr>
          <w:rFonts w:eastAsia="Calibri" w:cs="Arial"/>
        </w:rPr>
        <w:t>of this attachment</w:t>
      </w:r>
      <w:r w:rsidRPr="00704036">
        <w:rPr>
          <w:rFonts w:eastAsia="Calibri" w:cs="Arial"/>
        </w:rPr>
        <w:t xml:space="preserve"> with those out of scope costs defined in Section 3 removed. However, the pricing model is represented by the NEP together with </w:t>
      </w:r>
      <w:r>
        <w:rPr>
          <w:rFonts w:eastAsia="Calibri" w:cs="Arial"/>
        </w:rPr>
        <w:t>p</w:t>
      </w:r>
      <w:r w:rsidRPr="00704036">
        <w:rPr>
          <w:rFonts w:eastAsia="Calibri" w:cs="Arial"/>
        </w:rPr>
        <w:t xml:space="preserve">rice </w:t>
      </w:r>
      <w:r>
        <w:rPr>
          <w:rFonts w:eastAsia="Calibri" w:cs="Arial"/>
        </w:rPr>
        <w:t>we</w:t>
      </w:r>
      <w:r w:rsidRPr="00704036">
        <w:rPr>
          <w:rFonts w:eastAsia="Calibri" w:cs="Arial"/>
        </w:rPr>
        <w:t xml:space="preserve">ights and </w:t>
      </w:r>
      <w:r>
        <w:rPr>
          <w:rFonts w:eastAsia="Calibri" w:cs="Arial"/>
        </w:rPr>
        <w:t>a</w:t>
      </w:r>
      <w:r w:rsidRPr="00704036">
        <w:rPr>
          <w:rFonts w:eastAsia="Calibri" w:cs="Arial"/>
        </w:rPr>
        <w:t xml:space="preserve">djustments. This splitting of prices into an NEP component and a </w:t>
      </w:r>
      <w:r>
        <w:rPr>
          <w:rFonts w:eastAsia="Calibri" w:cs="Arial"/>
        </w:rPr>
        <w:t>p</w:t>
      </w:r>
      <w:r w:rsidRPr="00704036">
        <w:rPr>
          <w:rFonts w:eastAsia="Calibri" w:cs="Arial"/>
        </w:rPr>
        <w:t xml:space="preserve">rice </w:t>
      </w:r>
      <w:r>
        <w:rPr>
          <w:rFonts w:eastAsia="Calibri" w:cs="Arial"/>
        </w:rPr>
        <w:t>w</w:t>
      </w:r>
      <w:r w:rsidRPr="00704036">
        <w:rPr>
          <w:rFonts w:eastAsia="Calibri" w:cs="Arial"/>
        </w:rPr>
        <w:t>eight component is where the reference cost defined in Section 4 plays its role.</w:t>
      </w:r>
    </w:p>
    <w:p w14:paraId="1A54555D" w14:textId="77777777" w:rsidR="00D313E0" w:rsidRPr="00704036" w:rsidRDefault="00D313E0">
      <w:pPr>
        <w:spacing w:before="100" w:beforeAutospacing="1" w:after="100" w:afterAutospacing="1"/>
        <w:rPr>
          <w:rFonts w:eastAsia="Calibri" w:cs="Arial"/>
        </w:rPr>
      </w:pPr>
      <w:r w:rsidRPr="00704036">
        <w:rPr>
          <w:rFonts w:eastAsia="Calibri" w:cs="Arial"/>
        </w:rPr>
        <w:t xml:space="preserve">To describe the process in the context of the </w:t>
      </w:r>
      <w:r>
        <w:rPr>
          <w:rFonts w:eastAsia="Calibri" w:cs="Arial"/>
        </w:rPr>
        <w:t>2017-18</w:t>
      </w:r>
      <w:r w:rsidRPr="00704036">
        <w:rPr>
          <w:rFonts w:eastAsia="Calibri" w:cs="Arial"/>
        </w:rPr>
        <w:t xml:space="preserve"> National Pricing Model first the </w:t>
      </w:r>
      <w:r>
        <w:rPr>
          <w:rFonts w:eastAsia="Calibri" w:cs="Arial"/>
        </w:rPr>
        <w:t>2014-15</w:t>
      </w:r>
      <w:r w:rsidRPr="00704036">
        <w:rPr>
          <w:rFonts w:eastAsia="Calibri" w:cs="Arial"/>
        </w:rPr>
        <w:t xml:space="preserve"> cost model is transformed into a cost weight model by dividing it through by the </w:t>
      </w:r>
      <w:r>
        <w:rPr>
          <w:rFonts w:eastAsia="Calibri" w:cs="Arial"/>
        </w:rPr>
        <w:t>2014-15</w:t>
      </w:r>
      <w:r w:rsidRPr="00704036">
        <w:rPr>
          <w:rFonts w:eastAsia="Calibri" w:cs="Arial"/>
        </w:rPr>
        <w:t xml:space="preserve"> reference cost of $</w:t>
      </w:r>
      <w:r>
        <w:rPr>
          <w:rFonts w:eastAsia="Calibri" w:cs="Arial"/>
        </w:rPr>
        <w:t>4,690</w:t>
      </w:r>
      <w:r w:rsidRPr="00801AF5">
        <w:rPr>
          <w:rFonts w:eastAsia="Calibri" w:cs="Arial"/>
        </w:rPr>
        <w:t xml:space="preserve"> (</w:t>
      </w:r>
      <w:r w:rsidRPr="00704036">
        <w:rPr>
          <w:rFonts w:eastAsia="Calibri" w:cs="Arial"/>
        </w:rPr>
        <w:t>see Section 4</w:t>
      </w:r>
      <w:r>
        <w:rPr>
          <w:rFonts w:eastAsia="Calibri" w:cs="Arial"/>
        </w:rPr>
        <w:t xml:space="preserve"> of this attachment</w:t>
      </w:r>
      <w:r w:rsidRPr="00704036">
        <w:rPr>
          <w:rFonts w:eastAsia="Calibri" w:cs="Arial"/>
        </w:rPr>
        <w:t xml:space="preserve">). The </w:t>
      </w:r>
      <w:r>
        <w:rPr>
          <w:rFonts w:eastAsia="Calibri" w:cs="Arial"/>
        </w:rPr>
        <w:t>2014-15</w:t>
      </w:r>
      <w:r w:rsidRPr="00704036">
        <w:rPr>
          <w:rFonts w:eastAsia="Calibri" w:cs="Arial"/>
        </w:rPr>
        <w:t xml:space="preserve"> cost </w:t>
      </w:r>
      <w:proofErr w:type="gramStart"/>
      <w:r w:rsidRPr="00704036">
        <w:rPr>
          <w:rFonts w:eastAsia="Calibri" w:cs="Arial"/>
        </w:rPr>
        <w:t>model</w:t>
      </w:r>
      <w:proofErr w:type="gramEnd"/>
      <w:r w:rsidRPr="00704036">
        <w:rPr>
          <w:rFonts w:eastAsia="Calibri" w:cs="Arial"/>
        </w:rPr>
        <w:t xml:space="preserve"> is then represented by a reference cost, cost weights and adjustments.</w:t>
      </w:r>
    </w:p>
    <w:p w14:paraId="305B8829" w14:textId="6BD7F7D4" w:rsidR="00D313E0" w:rsidRPr="00704036" w:rsidRDefault="00D313E0">
      <w:pPr>
        <w:spacing w:before="100" w:beforeAutospacing="1" w:after="100" w:afterAutospacing="1"/>
        <w:rPr>
          <w:rFonts w:eastAsia="Calibri" w:cs="Arial"/>
        </w:rPr>
      </w:pPr>
      <w:r w:rsidRPr="00704036">
        <w:rPr>
          <w:rFonts w:eastAsia="Calibri" w:cs="Arial"/>
        </w:rPr>
        <w:t xml:space="preserve">The inflation of the </w:t>
      </w:r>
      <w:r>
        <w:rPr>
          <w:rFonts w:eastAsia="Calibri" w:cs="Arial"/>
        </w:rPr>
        <w:t>2014-15</w:t>
      </w:r>
      <w:r w:rsidRPr="00704036">
        <w:rPr>
          <w:rFonts w:eastAsia="Calibri" w:cs="Arial"/>
        </w:rPr>
        <w:t xml:space="preserve"> cost </w:t>
      </w:r>
      <w:proofErr w:type="gramStart"/>
      <w:r w:rsidRPr="00704036">
        <w:rPr>
          <w:rFonts w:eastAsia="Calibri" w:cs="Arial"/>
        </w:rPr>
        <w:t>model</w:t>
      </w:r>
      <w:proofErr w:type="gramEnd"/>
      <w:r w:rsidRPr="00704036">
        <w:rPr>
          <w:rFonts w:eastAsia="Calibri" w:cs="Arial"/>
        </w:rPr>
        <w:t xml:space="preserve"> to estimated </w:t>
      </w:r>
      <w:r>
        <w:rPr>
          <w:rFonts w:eastAsia="Calibri" w:cs="Arial"/>
        </w:rPr>
        <w:t>2017-18</w:t>
      </w:r>
      <w:r w:rsidRPr="00704036">
        <w:rPr>
          <w:rFonts w:eastAsia="Calibri" w:cs="Arial"/>
        </w:rPr>
        <w:t xml:space="preserve"> costs is then undertaken by inflating the </w:t>
      </w:r>
      <w:r>
        <w:rPr>
          <w:rFonts w:eastAsia="Calibri" w:cs="Arial"/>
        </w:rPr>
        <w:t>2014-15</w:t>
      </w:r>
      <w:r w:rsidRPr="00704036">
        <w:rPr>
          <w:rFonts w:eastAsia="Calibri" w:cs="Arial"/>
        </w:rPr>
        <w:t xml:space="preserve"> reference cost by the annual indexation rate defined in Section </w:t>
      </w:r>
      <w:r w:rsidR="00EC32C8">
        <w:rPr>
          <w:rFonts w:eastAsia="Calibri" w:cs="Arial"/>
        </w:rPr>
        <w:fldChar w:fldCharType="begin"/>
      </w:r>
      <w:r w:rsidR="00EC32C8">
        <w:rPr>
          <w:rFonts w:eastAsia="Calibri" w:cs="Arial"/>
        </w:rPr>
        <w:instrText xml:space="preserve"> REF _Ref468437972 \r \h </w:instrText>
      </w:r>
      <w:r w:rsidR="00EC32C8">
        <w:rPr>
          <w:rFonts w:eastAsia="Calibri" w:cs="Arial"/>
        </w:rPr>
      </w:r>
      <w:r w:rsidR="00EC32C8">
        <w:rPr>
          <w:rFonts w:eastAsia="Calibri" w:cs="Arial"/>
        </w:rPr>
        <w:fldChar w:fldCharType="separate"/>
      </w:r>
      <w:r w:rsidR="00F84458">
        <w:rPr>
          <w:rFonts w:eastAsia="Calibri" w:cs="Arial"/>
        </w:rPr>
        <w:t>7.4</w:t>
      </w:r>
      <w:r w:rsidR="00EC32C8">
        <w:rPr>
          <w:rFonts w:eastAsia="Calibri" w:cs="Arial"/>
        </w:rPr>
        <w:fldChar w:fldCharType="end"/>
      </w:r>
      <w:r w:rsidR="00EC32C8">
        <w:rPr>
          <w:rFonts w:eastAsia="Calibri" w:cs="Arial"/>
        </w:rPr>
        <w:t xml:space="preserve"> </w:t>
      </w:r>
      <w:r w:rsidRPr="00704036">
        <w:rPr>
          <w:rFonts w:eastAsia="Calibri" w:cs="Arial"/>
        </w:rPr>
        <w:t xml:space="preserve">and keeping the cost weights and adjustments fixed. The indexed </w:t>
      </w:r>
      <w:r>
        <w:rPr>
          <w:rFonts w:eastAsia="Calibri" w:cs="Arial"/>
        </w:rPr>
        <w:t>2014-15</w:t>
      </w:r>
      <w:r w:rsidRPr="00704036">
        <w:rPr>
          <w:rFonts w:eastAsia="Calibri" w:cs="Arial"/>
        </w:rPr>
        <w:t xml:space="preserve"> reference cost is </w:t>
      </w:r>
      <w:r w:rsidRPr="00801AF5">
        <w:rPr>
          <w:rFonts w:eastAsia="Calibri" w:cs="Arial"/>
        </w:rPr>
        <w:t>$4,</w:t>
      </w:r>
      <w:r w:rsidR="00262DF1">
        <w:rPr>
          <w:rFonts w:eastAsia="Calibri" w:cs="Arial"/>
        </w:rPr>
        <w:t>910</w:t>
      </w:r>
      <w:r w:rsidRPr="00801AF5">
        <w:rPr>
          <w:rFonts w:eastAsia="Calibri" w:cs="Arial"/>
        </w:rPr>
        <w:t>.</w:t>
      </w:r>
    </w:p>
    <w:p w14:paraId="42834949" w14:textId="77777777" w:rsidR="00D313E0" w:rsidRPr="00704036" w:rsidRDefault="00D313E0">
      <w:pPr>
        <w:spacing w:before="100" w:beforeAutospacing="1" w:after="100" w:afterAutospacing="1"/>
        <w:rPr>
          <w:rFonts w:eastAsia="Calibri" w:cs="Arial"/>
        </w:rPr>
      </w:pPr>
      <w:r w:rsidRPr="00704036">
        <w:rPr>
          <w:rFonts w:eastAsia="Calibri" w:cs="Arial"/>
        </w:rPr>
        <w:t xml:space="preserve">The indexed </w:t>
      </w:r>
      <w:r>
        <w:rPr>
          <w:rFonts w:eastAsia="Calibri" w:cs="Arial"/>
        </w:rPr>
        <w:t>2014-15</w:t>
      </w:r>
      <w:r w:rsidRPr="00704036">
        <w:rPr>
          <w:rFonts w:eastAsia="Calibri" w:cs="Arial"/>
        </w:rPr>
        <w:t xml:space="preserve"> reference cost together with the </w:t>
      </w:r>
      <w:r>
        <w:rPr>
          <w:rFonts w:eastAsia="Calibri" w:cs="Arial"/>
        </w:rPr>
        <w:t>2014-15</w:t>
      </w:r>
      <w:r w:rsidRPr="00704036">
        <w:rPr>
          <w:rFonts w:eastAsia="Calibri" w:cs="Arial"/>
        </w:rPr>
        <w:t xml:space="preserve"> cost weights and adjustments then represent the estimated </w:t>
      </w:r>
      <w:r>
        <w:rPr>
          <w:rFonts w:eastAsia="Calibri" w:cs="Arial"/>
        </w:rPr>
        <w:t>2017-18</w:t>
      </w:r>
      <w:r w:rsidRPr="00704036">
        <w:rPr>
          <w:rFonts w:eastAsia="Calibri" w:cs="Arial"/>
        </w:rPr>
        <w:t xml:space="preserve"> cost model. Example 1 demonstrates how this process of indexing the reference cost and keeping the cost weights fixed has the same effect as indexing the entire cost model, as is done in </w:t>
      </w:r>
      <w:r w:rsidRPr="00801AF5">
        <w:rPr>
          <w:rFonts w:eastAsia="Calibri" w:cs="Arial"/>
        </w:rPr>
        <w:t>Section 5.</w:t>
      </w:r>
    </w:p>
    <w:p w14:paraId="419F5ECB" w14:textId="77777777" w:rsidR="00D313E0" w:rsidRPr="00B74867" w:rsidRDefault="00D313E0">
      <w:pPr>
        <w:keepNext/>
        <w:rPr>
          <w:rFonts w:asciiTheme="minorHAnsi" w:eastAsia="Calibri" w:hAnsiTheme="minorHAnsi" w:cstheme="minorHAnsi"/>
          <w:bCs/>
          <w:i/>
          <w:szCs w:val="22"/>
          <w:u w:val="single"/>
        </w:rPr>
      </w:pPr>
      <w:r w:rsidRPr="00B74867">
        <w:rPr>
          <w:rFonts w:asciiTheme="minorHAnsi" w:eastAsia="Calibri" w:hAnsiTheme="minorHAnsi" w:cstheme="minorHAnsi"/>
          <w:bCs/>
          <w:i/>
          <w:szCs w:val="22"/>
          <w:u w:val="single"/>
        </w:rPr>
        <w:t>Example 1: Two equivalent methods to derive estimated 2017-18 costs for same day episode in - DRG E42B - Bronchoscopy, Minor Complexity.</w:t>
      </w:r>
    </w:p>
    <w:p w14:paraId="1A047375" w14:textId="574B5F9F" w:rsidR="00D313E0" w:rsidRPr="00E33EAE" w:rsidRDefault="00D313E0">
      <w:pPr>
        <w:spacing w:before="100" w:beforeAutospacing="1" w:after="100" w:afterAutospacing="1"/>
        <w:rPr>
          <w:rFonts w:eastAsia="Calibri" w:cs="Arial"/>
        </w:rPr>
      </w:pPr>
      <w:r w:rsidRPr="00E33EAE">
        <w:rPr>
          <w:rFonts w:eastAsia="Calibri" w:cs="Arial"/>
        </w:rPr>
        <w:t xml:space="preserve">The </w:t>
      </w:r>
      <w:r>
        <w:rPr>
          <w:rFonts w:eastAsia="Calibri" w:cs="Arial"/>
        </w:rPr>
        <w:t>2014-15 same day</w:t>
      </w:r>
      <w:r w:rsidRPr="00E33EAE">
        <w:rPr>
          <w:rFonts w:eastAsia="Calibri" w:cs="Arial"/>
        </w:rPr>
        <w:t xml:space="preserve"> cost parameter associated with E42</w:t>
      </w:r>
      <w:r>
        <w:rPr>
          <w:rFonts w:eastAsia="Calibri" w:cs="Arial"/>
        </w:rPr>
        <w:t>B</w:t>
      </w:r>
      <w:r w:rsidRPr="00E33EAE">
        <w:rPr>
          <w:rFonts w:eastAsia="Calibri" w:cs="Arial"/>
        </w:rPr>
        <w:t xml:space="preserve"> </w:t>
      </w:r>
      <w:r w:rsidRPr="00801AF5">
        <w:rPr>
          <w:rFonts w:eastAsia="Calibri" w:cs="Arial"/>
        </w:rPr>
        <w:t>is $</w:t>
      </w:r>
      <w:r>
        <w:rPr>
          <w:rFonts w:eastAsia="Calibri" w:cs="Arial"/>
        </w:rPr>
        <w:t>1,</w:t>
      </w:r>
      <w:r w:rsidR="00262DF1">
        <w:rPr>
          <w:rFonts w:eastAsia="Calibri" w:cs="Arial"/>
        </w:rPr>
        <w:t>844</w:t>
      </w:r>
      <w:r w:rsidRPr="00801AF5">
        <w:rPr>
          <w:rFonts w:eastAsia="Calibri" w:cs="Arial"/>
        </w:rPr>
        <w:t>.</w:t>
      </w:r>
      <w:r w:rsidRPr="00E33EAE">
        <w:rPr>
          <w:rFonts w:eastAsia="Calibri" w:cs="Arial"/>
        </w:rPr>
        <w:t xml:space="preserve"> Applying the annual indexation rate of </w:t>
      </w:r>
      <w:r w:rsidRPr="00801AF5">
        <w:rPr>
          <w:rFonts w:eastAsia="Calibri" w:cs="Arial"/>
        </w:rPr>
        <w:t>1.6%</w:t>
      </w:r>
      <w:r w:rsidRPr="00E33EAE">
        <w:rPr>
          <w:rFonts w:eastAsia="Calibri" w:cs="Arial"/>
        </w:rPr>
        <w:t xml:space="preserve"> to the </w:t>
      </w:r>
      <w:r>
        <w:rPr>
          <w:rFonts w:eastAsia="Calibri" w:cs="Arial"/>
        </w:rPr>
        <w:t>2014-15</w:t>
      </w:r>
      <w:r w:rsidRPr="00E33EAE">
        <w:rPr>
          <w:rFonts w:eastAsia="Calibri" w:cs="Arial"/>
        </w:rPr>
        <w:t xml:space="preserve"> cost, the estimated </w:t>
      </w:r>
      <w:r>
        <w:rPr>
          <w:rFonts w:eastAsia="Calibri" w:cs="Arial"/>
        </w:rPr>
        <w:t xml:space="preserve">same day </w:t>
      </w:r>
      <w:r w:rsidRPr="00E33EAE">
        <w:rPr>
          <w:rFonts w:eastAsia="Calibri" w:cs="Arial"/>
        </w:rPr>
        <w:t>cost of E42</w:t>
      </w:r>
      <w:r>
        <w:rPr>
          <w:rFonts w:eastAsia="Calibri" w:cs="Arial"/>
        </w:rPr>
        <w:t>B</w:t>
      </w:r>
      <w:r w:rsidRPr="00E33EAE">
        <w:rPr>
          <w:rFonts w:eastAsia="Calibri" w:cs="Arial"/>
        </w:rPr>
        <w:t xml:space="preserve"> in </w:t>
      </w:r>
      <w:r>
        <w:rPr>
          <w:rFonts w:eastAsia="Calibri" w:cs="Arial"/>
        </w:rPr>
        <w:t>2017-18</w:t>
      </w:r>
      <w:r w:rsidRPr="00E33EAE">
        <w:rPr>
          <w:rFonts w:eastAsia="Calibri" w:cs="Arial"/>
        </w:rPr>
        <w:t xml:space="preserve"> is given by</w:t>
      </w:r>
      <w:r>
        <w:rPr>
          <w:rFonts w:eastAsia="Calibri" w:cs="Arial"/>
        </w:rPr>
        <w:t>,</w:t>
      </w:r>
      <w:r w:rsidRPr="00DF77B4">
        <w:rPr>
          <w:rFonts w:eastAsia="Calibri" w:cs="Arial"/>
        </w:rPr>
        <w:t xml:space="preserve"> </w:t>
      </w:r>
    </w:p>
    <w:p w14:paraId="37CDFD96" w14:textId="77777777" w:rsidR="00D313E0" w:rsidRPr="00E33EAE" w:rsidRDefault="00D313E0">
      <w:pPr>
        <w:tabs>
          <w:tab w:val="left" w:pos="284"/>
          <w:tab w:val="left" w:pos="3544"/>
        </w:tabs>
        <w:spacing w:before="120" w:after="0"/>
        <w:rPr>
          <w:rFonts w:cs="Arial"/>
        </w:rPr>
      </w:pPr>
      <w:r>
        <w:rPr>
          <w:rFonts w:cs="Arial"/>
        </w:rPr>
        <w:t>2017-18</w:t>
      </w:r>
      <w:r w:rsidRPr="00E33EAE">
        <w:rPr>
          <w:rFonts w:cs="Arial"/>
        </w:rPr>
        <w:t xml:space="preserve"> estimated </w:t>
      </w:r>
      <w:r>
        <w:rPr>
          <w:rFonts w:cs="Arial"/>
        </w:rPr>
        <w:t xml:space="preserve">same day </w:t>
      </w:r>
      <w:r w:rsidRPr="00E33EAE">
        <w:rPr>
          <w:rFonts w:cs="Arial"/>
        </w:rPr>
        <w:t>cost of E42B</w:t>
      </w:r>
      <w:r w:rsidRPr="00E33EAE">
        <w:rPr>
          <w:rFonts w:cs="Arial"/>
        </w:rPr>
        <w:tab/>
        <w:t>= (</w:t>
      </w:r>
      <w:r>
        <w:rPr>
          <w:rFonts w:eastAsia="Calibri" w:cs="Arial"/>
        </w:rPr>
        <w:t>2014-15</w:t>
      </w:r>
      <w:r w:rsidRPr="00E33EAE">
        <w:rPr>
          <w:rFonts w:cs="Arial"/>
        </w:rPr>
        <w:t xml:space="preserve"> estimated cost) × (indexation)</w:t>
      </w:r>
    </w:p>
    <w:p w14:paraId="7486322A" w14:textId="7DE7A267" w:rsidR="00D313E0" w:rsidRPr="00BD4DD8" w:rsidRDefault="00D313E0">
      <w:pPr>
        <w:spacing w:before="120" w:after="0"/>
        <w:ind w:left="4253"/>
        <w:rPr>
          <w:rFonts w:cs="Arial"/>
          <w:highlight w:val="yellow"/>
        </w:rPr>
      </w:pPr>
      <w:r w:rsidRPr="00E33EAE">
        <w:rPr>
          <w:rFonts w:cs="Arial"/>
        </w:rPr>
        <w:t xml:space="preserve">= </w:t>
      </w:r>
      <w:r w:rsidRPr="00801AF5">
        <w:rPr>
          <w:rFonts w:cs="Arial"/>
        </w:rPr>
        <w:t>$</w:t>
      </w:r>
      <w:r w:rsidR="00262DF1">
        <w:rPr>
          <w:rFonts w:cs="Arial"/>
        </w:rPr>
        <w:t>1,844</w:t>
      </w:r>
      <w:r w:rsidR="00262DF1" w:rsidRPr="00801AF5">
        <w:rPr>
          <w:rFonts w:cs="Arial"/>
        </w:rPr>
        <w:t xml:space="preserve"> </w:t>
      </w:r>
      <w:r w:rsidRPr="00801AF5">
        <w:rPr>
          <w:rFonts w:cs="Arial"/>
        </w:rPr>
        <w:t>× (10</w:t>
      </w:r>
      <w:r>
        <w:rPr>
          <w:rFonts w:cs="Arial"/>
        </w:rPr>
        <w:t>1</w:t>
      </w:r>
      <w:r w:rsidRPr="00801AF5">
        <w:rPr>
          <w:rFonts w:cs="Arial"/>
        </w:rPr>
        <w:t>.</w:t>
      </w:r>
      <w:r>
        <w:rPr>
          <w:rFonts w:cs="Arial"/>
        </w:rPr>
        <w:t>6</w:t>
      </w:r>
      <w:r w:rsidRPr="00801AF5">
        <w:rPr>
          <w:rFonts w:cs="Arial"/>
        </w:rPr>
        <w:t>%</w:t>
      </w:r>
      <w:proofErr w:type="gramStart"/>
      <w:r w:rsidRPr="00801AF5">
        <w:rPr>
          <w:rFonts w:cs="Arial"/>
        </w:rPr>
        <w:t>)</w:t>
      </w:r>
      <w:r w:rsidRPr="00801AF5">
        <w:rPr>
          <w:rFonts w:cs="Arial"/>
          <w:vertAlign w:val="superscript"/>
        </w:rPr>
        <w:t>3</w:t>
      </w:r>
      <w:proofErr w:type="gramEnd"/>
    </w:p>
    <w:p w14:paraId="5B3F6AD2" w14:textId="65409A5E" w:rsidR="00D313E0" w:rsidRPr="00E33EAE" w:rsidRDefault="00D313E0">
      <w:pPr>
        <w:spacing w:before="120" w:after="0"/>
        <w:ind w:left="4253"/>
        <w:rPr>
          <w:rFonts w:cs="Arial"/>
        </w:rPr>
      </w:pPr>
      <w:r w:rsidRPr="00801AF5">
        <w:rPr>
          <w:rFonts w:cs="Arial"/>
        </w:rPr>
        <w:t>= $</w:t>
      </w:r>
      <w:r w:rsidR="00262DF1">
        <w:rPr>
          <w:rFonts w:cs="Arial"/>
        </w:rPr>
        <w:t>1,934</w:t>
      </w:r>
      <w:r w:rsidRPr="00801AF5">
        <w:rPr>
          <w:rFonts w:cs="Arial"/>
        </w:rPr>
        <w:t>.</w:t>
      </w:r>
    </w:p>
    <w:p w14:paraId="2AF1D3FB" w14:textId="7476C4E9" w:rsidR="00D313E0" w:rsidRPr="00E33EAE" w:rsidRDefault="00D313E0">
      <w:pPr>
        <w:spacing w:before="100" w:beforeAutospacing="1" w:after="100" w:afterAutospacing="1"/>
        <w:rPr>
          <w:rFonts w:cs="Arial"/>
        </w:rPr>
      </w:pPr>
      <w:r w:rsidRPr="00E33EAE">
        <w:rPr>
          <w:rFonts w:cs="Arial"/>
        </w:rPr>
        <w:t xml:space="preserve">On the other hand, the </w:t>
      </w:r>
      <w:r>
        <w:rPr>
          <w:rFonts w:cs="Arial"/>
        </w:rPr>
        <w:t xml:space="preserve">same day </w:t>
      </w:r>
      <w:r w:rsidRPr="00E33EAE">
        <w:rPr>
          <w:rFonts w:cs="Arial"/>
        </w:rPr>
        <w:t xml:space="preserve">cost weight associated with </w:t>
      </w:r>
      <w:r w:rsidRPr="00801AF5">
        <w:rPr>
          <w:rFonts w:cs="Arial"/>
        </w:rPr>
        <w:t>E42B is 0.</w:t>
      </w:r>
      <w:r w:rsidR="00262DF1" w:rsidRPr="00801AF5">
        <w:rPr>
          <w:rFonts w:cs="Arial"/>
        </w:rPr>
        <w:t>393</w:t>
      </w:r>
      <w:r w:rsidR="00262DF1">
        <w:rPr>
          <w:rFonts w:cs="Arial"/>
        </w:rPr>
        <w:t>9</w:t>
      </w:r>
      <w:r w:rsidR="00262DF1" w:rsidRPr="00801AF5">
        <w:rPr>
          <w:rFonts w:cs="Arial"/>
        </w:rPr>
        <w:t xml:space="preserve"> </w:t>
      </w:r>
      <w:r w:rsidRPr="00801AF5">
        <w:rPr>
          <w:rFonts w:cs="Arial"/>
        </w:rPr>
        <w:t>(= $</w:t>
      </w:r>
      <w:r w:rsidR="00262DF1">
        <w:rPr>
          <w:rFonts w:cs="Arial"/>
        </w:rPr>
        <w:t xml:space="preserve">1,844 </w:t>
      </w:r>
      <w:r w:rsidRPr="00801AF5">
        <w:rPr>
          <w:rFonts w:cs="Arial"/>
        </w:rPr>
        <w:t>/</w:t>
      </w:r>
      <w:r>
        <w:rPr>
          <w:rFonts w:cs="Arial"/>
        </w:rPr>
        <w:t xml:space="preserve"> </w:t>
      </w:r>
      <w:r w:rsidRPr="00801AF5">
        <w:rPr>
          <w:rFonts w:cs="Arial"/>
        </w:rPr>
        <w:t>$</w:t>
      </w:r>
      <w:r w:rsidR="00262DF1">
        <w:rPr>
          <w:rFonts w:cs="Arial"/>
        </w:rPr>
        <w:t>4,682</w:t>
      </w:r>
      <w:r w:rsidRPr="00E33EAE">
        <w:rPr>
          <w:rFonts w:cs="Arial"/>
        </w:rPr>
        <w:t xml:space="preserve">). Applying the annual indexation rate to the </w:t>
      </w:r>
      <w:r>
        <w:rPr>
          <w:rFonts w:eastAsia="Calibri" w:cs="Arial"/>
        </w:rPr>
        <w:t>2014-15</w:t>
      </w:r>
      <w:r w:rsidRPr="00E33EAE">
        <w:rPr>
          <w:rFonts w:cs="Arial"/>
        </w:rPr>
        <w:t xml:space="preserve"> reference cost, the resulting estimated cost of </w:t>
      </w:r>
      <w:r>
        <w:rPr>
          <w:rFonts w:cs="Arial"/>
        </w:rPr>
        <w:t xml:space="preserve">a same day episode in </w:t>
      </w:r>
      <w:r w:rsidRPr="00E33EAE">
        <w:rPr>
          <w:rFonts w:cs="Arial"/>
        </w:rPr>
        <w:t>E42</w:t>
      </w:r>
      <w:r>
        <w:rPr>
          <w:rFonts w:cs="Arial"/>
        </w:rPr>
        <w:t>B</w:t>
      </w:r>
      <w:r w:rsidRPr="00E33EAE">
        <w:rPr>
          <w:rFonts w:cs="Arial"/>
        </w:rPr>
        <w:t xml:space="preserve"> in </w:t>
      </w:r>
      <w:r>
        <w:rPr>
          <w:rFonts w:cs="Arial"/>
        </w:rPr>
        <w:t>2017-18</w:t>
      </w:r>
      <w:r w:rsidRPr="00E33EAE">
        <w:rPr>
          <w:rFonts w:cs="Arial"/>
        </w:rPr>
        <w:t xml:space="preserve"> is given by</w:t>
      </w:r>
      <w:r>
        <w:rPr>
          <w:rFonts w:cs="Arial"/>
        </w:rPr>
        <w:t>,</w:t>
      </w:r>
    </w:p>
    <w:p w14:paraId="1A5E07EC" w14:textId="77777777" w:rsidR="00D313E0" w:rsidRPr="00801AF5" w:rsidRDefault="00D313E0">
      <w:pPr>
        <w:tabs>
          <w:tab w:val="left" w:pos="3544"/>
        </w:tabs>
        <w:spacing w:before="120" w:after="0"/>
        <w:rPr>
          <w:rFonts w:cs="Arial"/>
        </w:rPr>
      </w:pPr>
      <w:r>
        <w:rPr>
          <w:rFonts w:cs="Arial"/>
        </w:rPr>
        <w:t>2017-18</w:t>
      </w:r>
      <w:r w:rsidRPr="00E33EAE">
        <w:rPr>
          <w:rFonts w:cs="Arial"/>
        </w:rPr>
        <w:t xml:space="preserve"> estimated</w:t>
      </w:r>
      <w:r>
        <w:rPr>
          <w:rFonts w:cs="Arial"/>
        </w:rPr>
        <w:t xml:space="preserve"> same day</w:t>
      </w:r>
      <w:r w:rsidRPr="00E33EAE">
        <w:rPr>
          <w:rFonts w:cs="Arial"/>
        </w:rPr>
        <w:t xml:space="preserve"> cost of E42</w:t>
      </w:r>
      <w:r>
        <w:rPr>
          <w:rFonts w:cs="Arial"/>
        </w:rPr>
        <w:t>B</w:t>
      </w:r>
      <w:r w:rsidRPr="00E33EAE">
        <w:rPr>
          <w:rFonts w:cs="Arial"/>
        </w:rPr>
        <w:tab/>
        <w:t>= (</w:t>
      </w:r>
      <w:r w:rsidRPr="00801AF5">
        <w:rPr>
          <w:rFonts w:eastAsia="Calibri" w:cs="Arial"/>
        </w:rPr>
        <w:t>2014-15</w:t>
      </w:r>
      <w:r w:rsidRPr="00801AF5">
        <w:rPr>
          <w:rFonts w:cs="Arial"/>
        </w:rPr>
        <w:t xml:space="preserve"> cost weight) × (indexed reference cost)</w:t>
      </w:r>
    </w:p>
    <w:p w14:paraId="2462A401" w14:textId="0D5926E9" w:rsidR="00D313E0" w:rsidRPr="00801AF5" w:rsidRDefault="00D313E0">
      <w:pPr>
        <w:spacing w:before="120" w:after="0"/>
        <w:ind w:left="4253"/>
        <w:rPr>
          <w:rFonts w:cs="Arial"/>
        </w:rPr>
      </w:pPr>
      <w:r w:rsidRPr="00801AF5">
        <w:rPr>
          <w:rFonts w:cs="Arial"/>
        </w:rPr>
        <w:lastRenderedPageBreak/>
        <w:t xml:space="preserve">= </w:t>
      </w:r>
      <w:r>
        <w:rPr>
          <w:rFonts w:cs="Arial"/>
        </w:rPr>
        <w:t>0.</w:t>
      </w:r>
      <w:r w:rsidR="00262DF1">
        <w:rPr>
          <w:rFonts w:cs="Arial"/>
        </w:rPr>
        <w:t>3939</w:t>
      </w:r>
      <w:r w:rsidR="00262DF1" w:rsidRPr="00801AF5">
        <w:rPr>
          <w:rFonts w:cs="Arial"/>
        </w:rPr>
        <w:t xml:space="preserve"> </w:t>
      </w:r>
      <w:r w:rsidRPr="00801AF5">
        <w:rPr>
          <w:rFonts w:cs="Arial"/>
        </w:rPr>
        <w:t>× ($</w:t>
      </w:r>
      <w:r w:rsidR="00262DF1">
        <w:rPr>
          <w:rFonts w:cs="Arial"/>
        </w:rPr>
        <w:t>4,682</w:t>
      </w:r>
      <w:r w:rsidRPr="00801AF5">
        <w:rPr>
          <w:rFonts w:cs="Arial"/>
        </w:rPr>
        <w:t xml:space="preserve"> × (</w:t>
      </w:r>
      <w:r>
        <w:rPr>
          <w:rFonts w:cs="Arial"/>
        </w:rPr>
        <w:t>101.6</w:t>
      </w:r>
      <w:r w:rsidRPr="00801AF5">
        <w:rPr>
          <w:rFonts w:cs="Arial"/>
        </w:rPr>
        <w:t>%</w:t>
      </w:r>
      <w:proofErr w:type="gramStart"/>
      <w:r w:rsidRPr="00801AF5">
        <w:rPr>
          <w:rFonts w:cs="Arial"/>
        </w:rPr>
        <w:t>)</w:t>
      </w:r>
      <w:r w:rsidRPr="00801AF5">
        <w:rPr>
          <w:rFonts w:cs="Arial"/>
          <w:vertAlign w:val="superscript"/>
        </w:rPr>
        <w:t>3</w:t>
      </w:r>
      <w:proofErr w:type="gramEnd"/>
      <w:r w:rsidRPr="00801AF5">
        <w:rPr>
          <w:rFonts w:cs="Arial"/>
        </w:rPr>
        <w:t>)</w:t>
      </w:r>
    </w:p>
    <w:p w14:paraId="773A87D6" w14:textId="69082889" w:rsidR="00D313E0" w:rsidRPr="00801AF5" w:rsidRDefault="00D313E0">
      <w:pPr>
        <w:spacing w:before="120" w:after="0"/>
        <w:ind w:left="4253"/>
        <w:rPr>
          <w:rFonts w:cs="Arial"/>
        </w:rPr>
      </w:pPr>
      <w:r w:rsidRPr="00801AF5">
        <w:rPr>
          <w:rFonts w:cs="Arial"/>
        </w:rPr>
        <w:t xml:space="preserve">= </w:t>
      </w:r>
      <w:r>
        <w:rPr>
          <w:rFonts w:cs="Arial"/>
        </w:rPr>
        <w:t>0.</w:t>
      </w:r>
      <w:r w:rsidR="00262DF1">
        <w:rPr>
          <w:rFonts w:cs="Arial"/>
        </w:rPr>
        <w:t>3939</w:t>
      </w:r>
      <w:r w:rsidR="00262DF1" w:rsidRPr="00801AF5">
        <w:rPr>
          <w:rFonts w:cs="Arial"/>
        </w:rPr>
        <w:t xml:space="preserve"> </w:t>
      </w:r>
      <w:r w:rsidRPr="00801AF5">
        <w:rPr>
          <w:rFonts w:cs="Arial"/>
        </w:rPr>
        <w:t>× $</w:t>
      </w:r>
      <w:r w:rsidR="00262DF1">
        <w:rPr>
          <w:rFonts w:cs="Arial"/>
        </w:rPr>
        <w:t>4,910</w:t>
      </w:r>
    </w:p>
    <w:p w14:paraId="1B7A15E7" w14:textId="79080148" w:rsidR="00D313E0" w:rsidRPr="00E33EAE" w:rsidRDefault="00D313E0">
      <w:pPr>
        <w:spacing w:before="120" w:after="0"/>
        <w:ind w:left="4253"/>
        <w:rPr>
          <w:rFonts w:cs="Arial"/>
        </w:rPr>
      </w:pPr>
      <w:r w:rsidRPr="00801AF5">
        <w:rPr>
          <w:rFonts w:cs="Arial"/>
        </w:rPr>
        <w:t>= $</w:t>
      </w:r>
      <w:r w:rsidR="00262DF1">
        <w:rPr>
          <w:rFonts w:cs="Arial"/>
        </w:rPr>
        <w:t>1,934</w:t>
      </w:r>
      <w:r w:rsidRPr="00801AF5">
        <w:rPr>
          <w:rFonts w:cs="Arial"/>
        </w:rPr>
        <w:t>.</w:t>
      </w:r>
    </w:p>
    <w:p w14:paraId="292B8EA0" w14:textId="77777777" w:rsidR="00D313E0" w:rsidRPr="00D313E0" w:rsidRDefault="00D313E0"/>
    <w:p w14:paraId="2096CE01" w14:textId="5003A0E6" w:rsidR="003F4F5C" w:rsidRPr="00C83E69" w:rsidRDefault="003F4F5C">
      <w:pPr>
        <w:pStyle w:val="Heading2"/>
        <w:numPr>
          <w:ilvl w:val="1"/>
          <w:numId w:val="17"/>
        </w:numPr>
        <w:ind w:left="567" w:right="-28" w:hanging="567"/>
      </w:pPr>
      <w:bookmarkStart w:id="805" w:name="_Toc467745626"/>
      <w:bookmarkStart w:id="806" w:name="_Toc467759594"/>
      <w:bookmarkStart w:id="807" w:name="_Toc468204089"/>
      <w:bookmarkStart w:id="808" w:name="_Toc476305249"/>
      <w:r>
        <w:t>Backcasting for ABF</w:t>
      </w:r>
      <w:bookmarkEnd w:id="805"/>
      <w:bookmarkEnd w:id="806"/>
      <w:bookmarkEnd w:id="807"/>
      <w:bookmarkEnd w:id="808"/>
    </w:p>
    <w:p w14:paraId="7D2F331E" w14:textId="288F6808" w:rsidR="003F4F5C" w:rsidRPr="00801AF5" w:rsidRDefault="003F4F5C">
      <w:pPr>
        <w:spacing w:after="100" w:afterAutospacing="1"/>
        <w:rPr>
          <w:rFonts w:eastAsia="Calibri" w:cs="Arial"/>
        </w:rPr>
      </w:pPr>
      <w:proofErr w:type="spellStart"/>
      <w:r w:rsidRPr="00801AF5">
        <w:rPr>
          <w:rFonts w:eastAsia="Calibri" w:cs="Arial"/>
        </w:rPr>
        <w:t>Backcasting</w:t>
      </w:r>
      <w:proofErr w:type="spellEnd"/>
      <w:r w:rsidRPr="00801AF5">
        <w:rPr>
          <w:rFonts w:eastAsia="Calibri" w:cs="Arial"/>
        </w:rPr>
        <w:t xml:space="preserve"> is the process by which the effect of significant changes to the ABF classification systems or costing methodologies are reflected in the pricing model the year prior to implementation, for the purpose of the calculation of the Commonwealth’s funding for each ABF service category.</w:t>
      </w:r>
    </w:p>
    <w:p w14:paraId="16C8FF23" w14:textId="77777777" w:rsidR="003F4F5C" w:rsidRPr="00801AF5" w:rsidRDefault="003F4F5C">
      <w:pPr>
        <w:spacing w:before="100" w:beforeAutospacing="1" w:after="100" w:afterAutospacing="1"/>
        <w:rPr>
          <w:rFonts w:eastAsia="Calibri" w:cs="Arial"/>
        </w:rPr>
      </w:pPr>
      <w:r w:rsidRPr="00801AF5">
        <w:rPr>
          <w:rFonts w:eastAsia="Calibri" w:cs="Arial"/>
        </w:rPr>
        <w:t xml:space="preserve">In accordance with Clauses A34(b) and A40 of the NHRA, the Pricing Authority has applied the methodological changes made in NEP17 to NEP16 to determine the </w:t>
      </w:r>
      <w:proofErr w:type="spellStart"/>
      <w:r w:rsidRPr="00801AF5">
        <w:rPr>
          <w:rFonts w:eastAsia="Calibri" w:cs="Arial"/>
        </w:rPr>
        <w:t>backcast</w:t>
      </w:r>
      <w:proofErr w:type="spellEnd"/>
      <w:r w:rsidRPr="00801AF5">
        <w:rPr>
          <w:rFonts w:eastAsia="Calibri" w:cs="Arial"/>
        </w:rPr>
        <w:t xml:space="preserve"> NEP16 for the purposes of determining Commonwealth growth funding between 2016-17 and 2017-18. The </w:t>
      </w:r>
      <w:proofErr w:type="spellStart"/>
      <w:r w:rsidRPr="00801AF5">
        <w:rPr>
          <w:rFonts w:eastAsia="Calibri" w:cs="Arial"/>
        </w:rPr>
        <w:t>backcast</w:t>
      </w:r>
      <w:proofErr w:type="spellEnd"/>
      <w:r w:rsidRPr="00801AF5">
        <w:rPr>
          <w:rFonts w:eastAsia="Calibri" w:cs="Arial"/>
        </w:rPr>
        <w:t xml:space="preserve"> amount for NEP16 is provided in Chapter 8 of the NEP17 Determination. </w:t>
      </w:r>
    </w:p>
    <w:p w14:paraId="37F0914C" w14:textId="77777777" w:rsidR="003F4F5C" w:rsidRPr="00E95D33" w:rsidRDefault="003F4F5C" w:rsidP="002D606E">
      <w:pPr>
        <w:pStyle w:val="Headingnonumber"/>
        <w:jc w:val="left"/>
      </w:pPr>
      <w:proofErr w:type="spellStart"/>
      <w:r w:rsidRPr="00E95D33">
        <w:t>Backcasting</w:t>
      </w:r>
      <w:proofErr w:type="spellEnd"/>
      <w:r w:rsidRPr="00E95D33">
        <w:t xml:space="preserve"> </w:t>
      </w:r>
      <w:r>
        <w:t xml:space="preserve">ABF </w:t>
      </w:r>
      <w:r w:rsidRPr="00E95D33">
        <w:t>Volume</w:t>
      </w:r>
    </w:p>
    <w:p w14:paraId="2302D133" w14:textId="77777777" w:rsidR="003F4F5C" w:rsidRPr="00801AF5" w:rsidRDefault="003F4F5C" w:rsidP="00560AC0">
      <w:pPr>
        <w:spacing w:before="100" w:beforeAutospacing="1" w:after="100" w:afterAutospacing="1"/>
        <w:rPr>
          <w:rFonts w:eastAsia="Calibri" w:cs="Arial"/>
        </w:rPr>
      </w:pPr>
      <w:r w:rsidRPr="00801AF5">
        <w:rPr>
          <w:rFonts w:eastAsia="Calibri" w:cs="Arial"/>
        </w:rPr>
        <w:t>IHPA has also estimated the volume impact of methodological changes between NEP16 and NEP17, which can be used for the purpose of estimating movements in volume between NEP16 and NEP17. This is useful for relating NWAU16 activity to NWAU17 targets, and for estimating Commonwealth growth funding prior to actual 2017-18 activity data being available.</w:t>
      </w:r>
    </w:p>
    <w:p w14:paraId="3E205B08" w14:textId="77777777" w:rsidR="003F4F5C" w:rsidRPr="00801AF5" w:rsidRDefault="003F4F5C">
      <w:pPr>
        <w:spacing w:before="100" w:beforeAutospacing="1" w:after="100" w:afterAutospacing="1"/>
        <w:rPr>
          <w:rFonts w:eastAsia="Calibri" w:cs="Arial"/>
        </w:rPr>
      </w:pPr>
      <w:r w:rsidRPr="00801AF5">
        <w:rPr>
          <w:rFonts w:eastAsia="Calibri" w:cs="Arial"/>
        </w:rPr>
        <w:t xml:space="preserve">The volume multipliers (VM) are calculated for each jurisdiction for each particular ABF service category stream and are provided in Chapter 8 of the NEP17 Determination. The </w:t>
      </w:r>
      <w:proofErr w:type="spellStart"/>
      <w:r w:rsidRPr="00801AF5">
        <w:rPr>
          <w:rFonts w:eastAsia="Calibri" w:cs="Arial"/>
        </w:rPr>
        <w:t>backcast</w:t>
      </w:r>
      <w:proofErr w:type="spellEnd"/>
      <w:r w:rsidRPr="00801AF5">
        <w:rPr>
          <w:rFonts w:eastAsia="Calibri" w:cs="Arial"/>
        </w:rPr>
        <w:t xml:space="preserve"> volume multipliers for each jurisdiction (for each ABF product category) are calculated from the most recently reported activity data, namely 2015-16, as:</w:t>
      </w:r>
    </w:p>
    <w:p w14:paraId="7A512303" w14:textId="77777777" w:rsidR="003F4F5C" w:rsidRPr="00D908D4" w:rsidRDefault="003F4F5C" w:rsidP="002D606E">
      <w:pPr>
        <w:spacing w:before="360" w:after="360"/>
        <w:rPr>
          <w:rFonts w:cs="Arial"/>
          <w:u w:val="single"/>
        </w:rPr>
      </w:pPr>
      <m:oMathPara>
        <m:oMath>
          <m:r>
            <m:rPr>
              <m:sty m:val="p"/>
            </m:rPr>
            <w:rPr>
              <w:rFonts w:ascii="Cambria Math" w:hAnsi="Cambria Math" w:cs="Arial"/>
            </w:rPr>
            <m:t>VM</m:t>
          </m:r>
          <m:r>
            <w:rPr>
              <w:rFonts w:ascii="Cambria Math" w:hAnsi="Cambria Math" w:cs="Arial"/>
            </w:rPr>
            <m:t>=</m:t>
          </m:r>
          <m:f>
            <m:fPr>
              <m:ctrlPr>
                <w:rPr>
                  <w:rFonts w:ascii="Cambria Math" w:hAnsi="Cambria Math" w:cs="Arial"/>
                  <w:u w:val="single"/>
                </w:rPr>
              </m:ctrlPr>
            </m:fPr>
            <m:num>
              <m:r>
                <m:rPr>
                  <m:sty m:val="p"/>
                </m:rPr>
                <w:rPr>
                  <w:rFonts w:ascii="Cambria Math" w:hAnsi="Cambria Math" w:cs="Arial"/>
                  <w:u w:val="single"/>
                </w:rPr>
                <m:t>NWAUs delivered by backcast model (NWAU17 calculator)</m:t>
              </m:r>
            </m:num>
            <m:den>
              <m:r>
                <m:rPr>
                  <m:sty m:val="p"/>
                </m:rPr>
                <w:rPr>
                  <w:rFonts w:ascii="Cambria Math" w:hAnsi="Cambria Math" w:cs="Arial"/>
                  <w:u w:val="single"/>
                </w:rPr>
                <m:t>NWAUs delivered by original cost model (NWAU16 calculator)</m:t>
              </m:r>
            </m:den>
          </m:f>
        </m:oMath>
      </m:oMathPara>
    </w:p>
    <w:p w14:paraId="15B91384" w14:textId="77777777" w:rsidR="003F4F5C" w:rsidRPr="00801AF5" w:rsidRDefault="003F4F5C" w:rsidP="00560AC0">
      <w:pPr>
        <w:spacing w:before="100" w:beforeAutospacing="1" w:after="100" w:afterAutospacing="1"/>
        <w:rPr>
          <w:rFonts w:eastAsia="Calibri" w:cs="Arial"/>
        </w:rPr>
      </w:pPr>
      <w:r w:rsidRPr="00801AF5">
        <w:rPr>
          <w:rFonts w:eastAsia="Calibri" w:cs="Arial"/>
        </w:rPr>
        <w:t>The volume multipliers can be applied to estimates of an NWAU count for 2016-17 if actual data is not available.</w:t>
      </w:r>
    </w:p>
    <w:p w14:paraId="4BA8FD64" w14:textId="58F2CA39" w:rsidR="003642EA" w:rsidRPr="003642EA" w:rsidRDefault="003551AD" w:rsidP="00560AC0">
      <w:pPr>
        <w:pStyle w:val="Heading1"/>
        <w:pageBreakBefore/>
        <w:numPr>
          <w:ilvl w:val="0"/>
          <w:numId w:val="17"/>
        </w:numPr>
        <w:spacing w:before="100" w:beforeAutospacing="1" w:after="100" w:afterAutospacing="1" w:line="276" w:lineRule="auto"/>
        <w:ind w:left="426"/>
        <w:contextualSpacing w:val="0"/>
        <w:rPr>
          <w:sz w:val="44"/>
        </w:rPr>
      </w:pPr>
      <w:bookmarkStart w:id="809" w:name="_Toc468203990"/>
      <w:bookmarkStart w:id="810" w:name="_Toc468204090"/>
      <w:bookmarkStart w:id="811" w:name="_Toc467745628"/>
      <w:bookmarkStart w:id="812" w:name="_Toc467759595"/>
      <w:bookmarkStart w:id="813" w:name="_Toc468204091"/>
      <w:bookmarkStart w:id="814" w:name="_Toc476305250"/>
      <w:bookmarkEnd w:id="809"/>
      <w:bookmarkEnd w:id="810"/>
      <w:r>
        <w:rPr>
          <w:sz w:val="44"/>
        </w:rPr>
        <w:lastRenderedPageBreak/>
        <w:t>B</w:t>
      </w:r>
      <w:r w:rsidR="003642EA" w:rsidRPr="003642EA">
        <w:rPr>
          <w:sz w:val="44"/>
        </w:rPr>
        <w:t>lock funded hospitals</w:t>
      </w:r>
      <w:bookmarkEnd w:id="769"/>
      <w:bookmarkEnd w:id="770"/>
      <w:bookmarkEnd w:id="771"/>
      <w:bookmarkEnd w:id="772"/>
      <w:bookmarkEnd w:id="811"/>
      <w:bookmarkEnd w:id="812"/>
      <w:bookmarkEnd w:id="813"/>
      <w:bookmarkEnd w:id="814"/>
    </w:p>
    <w:p w14:paraId="7B366329" w14:textId="77777777" w:rsidR="008B0A88" w:rsidRDefault="008B0A88">
      <w:pPr>
        <w:pStyle w:val="Heading2"/>
        <w:numPr>
          <w:ilvl w:val="1"/>
          <w:numId w:val="17"/>
        </w:numPr>
        <w:ind w:left="567" w:right="-28" w:hanging="567"/>
      </w:pPr>
      <w:bookmarkStart w:id="815" w:name="_Toc380754763"/>
      <w:bookmarkStart w:id="816" w:name="_Toc466884235"/>
      <w:bookmarkStart w:id="817" w:name="_Toc467505248"/>
      <w:bookmarkStart w:id="818" w:name="_Toc467745629"/>
      <w:bookmarkStart w:id="819" w:name="_Toc467759596"/>
      <w:bookmarkStart w:id="820" w:name="_Toc468204092"/>
      <w:bookmarkStart w:id="821" w:name="_Toc476305251"/>
      <w:bookmarkStart w:id="822" w:name="_Toc380754775"/>
      <w:r>
        <w:t>General issues</w:t>
      </w:r>
      <w:bookmarkEnd w:id="815"/>
      <w:bookmarkEnd w:id="816"/>
      <w:bookmarkEnd w:id="817"/>
      <w:bookmarkEnd w:id="818"/>
      <w:bookmarkEnd w:id="819"/>
      <w:bookmarkEnd w:id="820"/>
      <w:bookmarkEnd w:id="821"/>
    </w:p>
    <w:p w14:paraId="708719FF" w14:textId="77777777" w:rsidR="008B0A88" w:rsidRDefault="008B0A88">
      <w:pPr>
        <w:pStyle w:val="Heading3"/>
        <w:numPr>
          <w:ilvl w:val="2"/>
          <w:numId w:val="17"/>
        </w:numPr>
        <w:spacing w:before="200" w:after="120" w:line="276" w:lineRule="auto"/>
        <w:ind w:left="851" w:hanging="851"/>
        <w:contextualSpacing w:val="0"/>
      </w:pPr>
      <w:bookmarkStart w:id="823" w:name="_Toc380754764"/>
      <w:bookmarkStart w:id="824" w:name="_Toc466884236"/>
      <w:bookmarkStart w:id="825" w:name="_Toc467505249"/>
      <w:bookmarkStart w:id="826" w:name="_Toc467745630"/>
      <w:bookmarkStart w:id="827" w:name="_Toc468204093"/>
      <w:r>
        <w:t>Cost unit</w:t>
      </w:r>
      <w:bookmarkEnd w:id="823"/>
      <w:bookmarkEnd w:id="824"/>
      <w:bookmarkEnd w:id="825"/>
      <w:bookmarkEnd w:id="826"/>
      <w:bookmarkEnd w:id="827"/>
    </w:p>
    <w:p w14:paraId="09FD4074" w14:textId="77777777" w:rsidR="008B0A88" w:rsidRDefault="008B0A88">
      <w:pPr>
        <w:tabs>
          <w:tab w:val="left" w:pos="1162"/>
        </w:tabs>
        <w:rPr>
          <w:rFonts w:cs="Arial"/>
          <w:szCs w:val="20"/>
        </w:rPr>
      </w:pPr>
      <w:r w:rsidRPr="00D130B9">
        <w:rPr>
          <w:rFonts w:cs="Arial"/>
          <w:szCs w:val="20"/>
        </w:rPr>
        <w:t xml:space="preserve">The </w:t>
      </w:r>
      <w:r>
        <w:rPr>
          <w:rFonts w:cs="Arial"/>
          <w:szCs w:val="20"/>
        </w:rPr>
        <w:t>cost</w:t>
      </w:r>
      <w:r w:rsidRPr="00D130B9">
        <w:rPr>
          <w:rFonts w:cs="Arial"/>
          <w:szCs w:val="20"/>
        </w:rPr>
        <w:t xml:space="preserve"> unit is a hospital.</w:t>
      </w:r>
    </w:p>
    <w:p w14:paraId="539E5C82" w14:textId="77777777" w:rsidR="008B0A88" w:rsidRDefault="008B0A88">
      <w:pPr>
        <w:pStyle w:val="Heading3"/>
        <w:numPr>
          <w:ilvl w:val="2"/>
          <w:numId w:val="17"/>
        </w:numPr>
        <w:spacing w:before="200" w:after="120" w:line="276" w:lineRule="auto"/>
        <w:ind w:left="851" w:hanging="851"/>
        <w:contextualSpacing w:val="0"/>
      </w:pPr>
      <w:bookmarkStart w:id="828" w:name="_Toc380754765"/>
      <w:bookmarkStart w:id="829" w:name="_Toc466884237"/>
      <w:bookmarkStart w:id="830" w:name="_Toc467505250"/>
      <w:bookmarkStart w:id="831" w:name="_Toc467745631"/>
      <w:bookmarkStart w:id="832" w:name="_Toc468204094"/>
      <w:r>
        <w:t>Scope</w:t>
      </w:r>
      <w:bookmarkEnd w:id="828"/>
      <w:bookmarkEnd w:id="829"/>
      <w:bookmarkEnd w:id="830"/>
      <w:bookmarkEnd w:id="831"/>
      <w:bookmarkEnd w:id="832"/>
    </w:p>
    <w:p w14:paraId="7D4FD42B" w14:textId="77777777" w:rsidR="008B0A88" w:rsidRDefault="008B0A88">
      <w:pPr>
        <w:tabs>
          <w:tab w:val="left" w:pos="1162"/>
        </w:tabs>
      </w:pPr>
      <w:r w:rsidRPr="00D130B9">
        <w:rPr>
          <w:rFonts w:cs="Arial"/>
          <w:szCs w:val="20"/>
        </w:rPr>
        <w:t>Hospitals are in-scope if they have been nominated by a jurisdiction</w:t>
      </w:r>
      <w:r>
        <w:rPr>
          <w:rFonts w:cs="Arial"/>
          <w:szCs w:val="20"/>
        </w:rPr>
        <w:t xml:space="preserve"> and</w:t>
      </w:r>
      <w:r w:rsidRPr="00D130B9">
        <w:rPr>
          <w:rFonts w:cs="Arial"/>
          <w:szCs w:val="20"/>
        </w:rPr>
        <w:t xml:space="preserve"> meet the criteria for </w:t>
      </w:r>
      <w:r>
        <w:rPr>
          <w:rFonts w:cs="Arial"/>
          <w:szCs w:val="20"/>
        </w:rPr>
        <w:t>block fund</w:t>
      </w:r>
      <w:r w:rsidRPr="00D130B9">
        <w:rPr>
          <w:rFonts w:cs="Arial"/>
          <w:szCs w:val="20"/>
        </w:rPr>
        <w:t>ed hospitals.</w:t>
      </w:r>
      <w:r>
        <w:t xml:space="preserve"> The criteria that defines a block funded hospital is less than </w:t>
      </w:r>
      <w:r w:rsidRPr="00801AF5">
        <w:t>3,500</w:t>
      </w:r>
      <w:r>
        <w:t xml:space="preserve"> total NWAU per annum for rural hospitals and less than </w:t>
      </w:r>
      <w:r w:rsidRPr="00801AF5">
        <w:t>1,800</w:t>
      </w:r>
      <w:r>
        <w:t xml:space="preserve"> admitted acute NWAU per annum for city hospitals.  </w:t>
      </w:r>
    </w:p>
    <w:p w14:paraId="7A8B79DE" w14:textId="77777777" w:rsidR="008B0A88" w:rsidRDefault="008B0A88">
      <w:pPr>
        <w:pStyle w:val="Heading3"/>
        <w:numPr>
          <w:ilvl w:val="2"/>
          <w:numId w:val="17"/>
        </w:numPr>
        <w:spacing w:before="200" w:after="120" w:line="276" w:lineRule="auto"/>
        <w:ind w:left="851" w:hanging="851"/>
        <w:contextualSpacing w:val="0"/>
      </w:pPr>
      <w:bookmarkStart w:id="833" w:name="_Toc436228477"/>
      <w:bookmarkStart w:id="834" w:name="_Toc380754766"/>
      <w:bookmarkStart w:id="835" w:name="_Toc466884238"/>
      <w:bookmarkStart w:id="836" w:name="_Toc467505251"/>
      <w:bookmarkStart w:id="837" w:name="_Toc467745632"/>
      <w:bookmarkStart w:id="838" w:name="_Toc468204095"/>
      <w:bookmarkEnd w:id="833"/>
      <w:r>
        <w:t>Classification</w:t>
      </w:r>
      <w:bookmarkEnd w:id="834"/>
      <w:bookmarkEnd w:id="835"/>
      <w:bookmarkEnd w:id="836"/>
      <w:bookmarkEnd w:id="837"/>
      <w:bookmarkEnd w:id="838"/>
    </w:p>
    <w:p w14:paraId="53CF2A6A" w14:textId="77777777" w:rsidR="008B0A88" w:rsidRDefault="008B0A88">
      <w:pPr>
        <w:tabs>
          <w:tab w:val="left" w:pos="1162"/>
        </w:tabs>
        <w:rPr>
          <w:rFonts w:cs="Arial"/>
          <w:szCs w:val="20"/>
        </w:rPr>
      </w:pPr>
      <w:r>
        <w:rPr>
          <w:rFonts w:cs="Arial"/>
          <w:szCs w:val="20"/>
        </w:rPr>
        <w:t xml:space="preserve">The cost model for NEC17 comprises of 379 small rural hospitals, four less than the 384 hospitals in NEC16. The </w:t>
      </w:r>
      <w:r w:rsidRPr="00801AF5">
        <w:rPr>
          <w:rFonts w:cs="Arial"/>
          <w:szCs w:val="20"/>
        </w:rPr>
        <w:t>12</w:t>
      </w:r>
      <w:r>
        <w:rPr>
          <w:rFonts w:cs="Arial"/>
          <w:szCs w:val="20"/>
        </w:rPr>
        <w:t xml:space="preserve"> major </w:t>
      </w:r>
      <w:proofErr w:type="gramStart"/>
      <w:r>
        <w:rPr>
          <w:rFonts w:cs="Arial"/>
          <w:szCs w:val="20"/>
        </w:rPr>
        <w:t>city</w:t>
      </w:r>
      <w:proofErr w:type="gramEnd"/>
      <w:r>
        <w:rPr>
          <w:rFonts w:cs="Arial"/>
          <w:szCs w:val="20"/>
        </w:rPr>
        <w:t xml:space="preserve">, </w:t>
      </w:r>
      <w:r w:rsidRPr="00801AF5">
        <w:rPr>
          <w:rFonts w:cs="Arial"/>
          <w:szCs w:val="20"/>
        </w:rPr>
        <w:t>16</w:t>
      </w:r>
      <w:r>
        <w:rPr>
          <w:rFonts w:cs="Arial"/>
          <w:szCs w:val="20"/>
        </w:rPr>
        <w:t xml:space="preserve"> specialist psychiatric and 1 other hospital that are block funded on a separate basis. The NEC17 model remains largely unchanged from NEC16, comprising of the following key features: </w:t>
      </w:r>
    </w:p>
    <w:p w14:paraId="4D9B0C95" w14:textId="77777777" w:rsidR="008B0A88" w:rsidRDefault="008B0A88">
      <w:pPr>
        <w:pStyle w:val="ListParagraph"/>
        <w:numPr>
          <w:ilvl w:val="0"/>
          <w:numId w:val="43"/>
        </w:numPr>
        <w:tabs>
          <w:tab w:val="left" w:pos="1162"/>
        </w:tabs>
        <w:spacing w:after="200" w:line="276" w:lineRule="auto"/>
        <w:rPr>
          <w:rFonts w:cs="Arial"/>
          <w:szCs w:val="20"/>
        </w:rPr>
      </w:pPr>
      <w:r>
        <w:rPr>
          <w:rFonts w:cs="Arial"/>
          <w:szCs w:val="20"/>
        </w:rPr>
        <w:t>Eight size groups:</w:t>
      </w:r>
    </w:p>
    <w:p w14:paraId="503E956E" w14:textId="77777777" w:rsidR="008B0A88" w:rsidRPr="00801AF5" w:rsidRDefault="008B0A88">
      <w:pPr>
        <w:pStyle w:val="ListParagraph"/>
        <w:numPr>
          <w:ilvl w:val="1"/>
          <w:numId w:val="43"/>
        </w:numPr>
        <w:tabs>
          <w:tab w:val="left" w:pos="1162"/>
        </w:tabs>
        <w:spacing w:after="200" w:line="276" w:lineRule="auto"/>
        <w:ind w:left="1434" w:hanging="357"/>
        <w:rPr>
          <w:rFonts w:cs="Arial"/>
          <w:szCs w:val="20"/>
        </w:rPr>
      </w:pPr>
      <w:r w:rsidRPr="00801AF5">
        <w:rPr>
          <w:rFonts w:cs="Arial"/>
          <w:szCs w:val="20"/>
        </w:rPr>
        <w:t>Group 0: Less than $0.5 million</w:t>
      </w:r>
    </w:p>
    <w:p w14:paraId="0BF78CFB" w14:textId="77777777" w:rsidR="008B0A88" w:rsidRPr="00801AF5" w:rsidRDefault="008B0A88">
      <w:pPr>
        <w:pStyle w:val="ListParagraph"/>
        <w:numPr>
          <w:ilvl w:val="1"/>
          <w:numId w:val="43"/>
        </w:numPr>
        <w:tabs>
          <w:tab w:val="left" w:pos="1162"/>
        </w:tabs>
        <w:spacing w:after="200" w:line="276" w:lineRule="auto"/>
        <w:ind w:left="1434" w:hanging="357"/>
        <w:rPr>
          <w:rFonts w:cs="Arial"/>
          <w:szCs w:val="20"/>
        </w:rPr>
      </w:pPr>
      <w:r w:rsidRPr="00801AF5">
        <w:rPr>
          <w:rFonts w:cs="Arial"/>
          <w:szCs w:val="20"/>
        </w:rPr>
        <w:t>Group A: 0 - 259.9 NWAU</w:t>
      </w:r>
    </w:p>
    <w:p w14:paraId="32E841DD" w14:textId="77777777" w:rsidR="008B0A88" w:rsidRPr="00801AF5" w:rsidRDefault="008B0A88">
      <w:pPr>
        <w:pStyle w:val="ListParagraph"/>
        <w:numPr>
          <w:ilvl w:val="1"/>
          <w:numId w:val="43"/>
        </w:numPr>
        <w:tabs>
          <w:tab w:val="left" w:pos="1162"/>
        </w:tabs>
        <w:spacing w:after="200" w:line="276" w:lineRule="auto"/>
        <w:ind w:left="1434" w:hanging="357"/>
        <w:rPr>
          <w:rFonts w:cs="Arial"/>
          <w:szCs w:val="20"/>
        </w:rPr>
      </w:pPr>
      <w:r w:rsidRPr="00801AF5">
        <w:rPr>
          <w:rFonts w:cs="Arial"/>
          <w:szCs w:val="20"/>
        </w:rPr>
        <w:t>Group B: 260 – 459.9 NWAU</w:t>
      </w:r>
    </w:p>
    <w:p w14:paraId="13339C78" w14:textId="77777777" w:rsidR="008B0A88" w:rsidRPr="00801AF5" w:rsidRDefault="008B0A88">
      <w:pPr>
        <w:pStyle w:val="ListParagraph"/>
        <w:numPr>
          <w:ilvl w:val="1"/>
          <w:numId w:val="43"/>
        </w:numPr>
        <w:tabs>
          <w:tab w:val="left" w:pos="1162"/>
        </w:tabs>
        <w:spacing w:after="200" w:line="276" w:lineRule="auto"/>
        <w:ind w:left="1434" w:hanging="357"/>
        <w:rPr>
          <w:rFonts w:cs="Arial"/>
          <w:szCs w:val="20"/>
        </w:rPr>
      </w:pPr>
      <w:r w:rsidRPr="00801AF5">
        <w:rPr>
          <w:rFonts w:cs="Arial"/>
          <w:szCs w:val="20"/>
        </w:rPr>
        <w:t>Group C: 460 – 659.9 NWAU</w:t>
      </w:r>
    </w:p>
    <w:p w14:paraId="3E0671A0" w14:textId="77777777" w:rsidR="008B0A88" w:rsidRPr="00801AF5" w:rsidRDefault="008B0A88">
      <w:pPr>
        <w:pStyle w:val="ListParagraph"/>
        <w:numPr>
          <w:ilvl w:val="1"/>
          <w:numId w:val="43"/>
        </w:numPr>
        <w:tabs>
          <w:tab w:val="left" w:pos="1162"/>
        </w:tabs>
        <w:spacing w:after="200" w:line="276" w:lineRule="auto"/>
        <w:ind w:left="1434" w:hanging="357"/>
        <w:rPr>
          <w:rFonts w:cs="Arial"/>
          <w:szCs w:val="20"/>
        </w:rPr>
      </w:pPr>
      <w:r w:rsidRPr="00801AF5">
        <w:rPr>
          <w:rFonts w:cs="Arial"/>
          <w:szCs w:val="20"/>
        </w:rPr>
        <w:t>Group D: 660 – 1049.9 NWAU</w:t>
      </w:r>
    </w:p>
    <w:p w14:paraId="1841CC49" w14:textId="77777777" w:rsidR="008B0A88" w:rsidRPr="00801AF5" w:rsidRDefault="008B0A88">
      <w:pPr>
        <w:pStyle w:val="ListParagraph"/>
        <w:numPr>
          <w:ilvl w:val="1"/>
          <w:numId w:val="43"/>
        </w:numPr>
        <w:tabs>
          <w:tab w:val="left" w:pos="1162"/>
        </w:tabs>
        <w:spacing w:after="200" w:line="276" w:lineRule="auto"/>
        <w:ind w:left="1434" w:hanging="357"/>
        <w:rPr>
          <w:rFonts w:cs="Arial"/>
          <w:szCs w:val="20"/>
        </w:rPr>
      </w:pPr>
      <w:r w:rsidRPr="00801AF5">
        <w:rPr>
          <w:rFonts w:cs="Arial"/>
          <w:szCs w:val="20"/>
        </w:rPr>
        <w:t>Group E: 1050 – 1699.9 NWAU</w:t>
      </w:r>
    </w:p>
    <w:p w14:paraId="2F46D919" w14:textId="77777777" w:rsidR="008B0A88" w:rsidRPr="00801AF5" w:rsidRDefault="008B0A88">
      <w:pPr>
        <w:pStyle w:val="ListParagraph"/>
        <w:numPr>
          <w:ilvl w:val="1"/>
          <w:numId w:val="43"/>
        </w:numPr>
        <w:tabs>
          <w:tab w:val="left" w:pos="1162"/>
        </w:tabs>
        <w:spacing w:after="200" w:line="276" w:lineRule="auto"/>
        <w:ind w:left="1434" w:hanging="357"/>
        <w:rPr>
          <w:rFonts w:cs="Arial"/>
          <w:szCs w:val="20"/>
        </w:rPr>
      </w:pPr>
      <w:r w:rsidRPr="00801AF5">
        <w:rPr>
          <w:rFonts w:cs="Arial"/>
          <w:szCs w:val="20"/>
        </w:rPr>
        <w:t>Group F: 1070 – 2499.9 NWAU</w:t>
      </w:r>
    </w:p>
    <w:p w14:paraId="4C035FFC" w14:textId="77777777" w:rsidR="008B0A88" w:rsidRPr="00801AF5" w:rsidRDefault="008B0A88">
      <w:pPr>
        <w:pStyle w:val="ListParagraph"/>
        <w:numPr>
          <w:ilvl w:val="1"/>
          <w:numId w:val="43"/>
        </w:numPr>
        <w:tabs>
          <w:tab w:val="left" w:pos="1162"/>
        </w:tabs>
        <w:spacing w:after="200" w:line="276" w:lineRule="auto"/>
        <w:ind w:left="1434" w:hanging="357"/>
        <w:rPr>
          <w:rFonts w:cs="Arial"/>
          <w:szCs w:val="20"/>
        </w:rPr>
      </w:pPr>
      <w:r w:rsidRPr="00801AF5">
        <w:rPr>
          <w:rFonts w:cs="Arial"/>
          <w:szCs w:val="20"/>
        </w:rPr>
        <w:t>Group G: 2500 – 3500.0  NWAU</w:t>
      </w:r>
    </w:p>
    <w:p w14:paraId="38862076" w14:textId="77777777" w:rsidR="008B0A88" w:rsidRDefault="008B0A88">
      <w:pPr>
        <w:pStyle w:val="ListParagraph"/>
        <w:numPr>
          <w:ilvl w:val="0"/>
          <w:numId w:val="43"/>
        </w:numPr>
        <w:tabs>
          <w:tab w:val="left" w:pos="1162"/>
        </w:tabs>
        <w:spacing w:before="120" w:after="200" w:line="276" w:lineRule="auto"/>
        <w:ind w:left="714" w:hanging="357"/>
        <w:rPr>
          <w:rFonts w:cs="Arial"/>
          <w:szCs w:val="20"/>
        </w:rPr>
      </w:pPr>
      <w:r>
        <w:rPr>
          <w:rFonts w:cs="Arial"/>
          <w:szCs w:val="20"/>
        </w:rPr>
        <w:t>Two locality groups:</w:t>
      </w:r>
    </w:p>
    <w:p w14:paraId="0C982783" w14:textId="77777777" w:rsidR="008B0A88" w:rsidRDefault="008B0A88">
      <w:pPr>
        <w:pStyle w:val="ListParagraph"/>
        <w:numPr>
          <w:ilvl w:val="1"/>
          <w:numId w:val="43"/>
        </w:numPr>
        <w:tabs>
          <w:tab w:val="left" w:pos="1162"/>
        </w:tabs>
        <w:spacing w:after="200" w:line="276" w:lineRule="auto"/>
        <w:ind w:left="1434" w:hanging="357"/>
        <w:rPr>
          <w:rFonts w:cs="Arial"/>
          <w:szCs w:val="20"/>
        </w:rPr>
      </w:pPr>
      <w:r>
        <w:rPr>
          <w:rFonts w:cs="Arial"/>
          <w:szCs w:val="20"/>
        </w:rPr>
        <w:t>Region</w:t>
      </w:r>
      <w:r w:rsidRPr="007C7689">
        <w:rPr>
          <w:rFonts w:cs="Arial"/>
          <w:szCs w:val="20"/>
        </w:rPr>
        <w:t xml:space="preserve"> 1: </w:t>
      </w:r>
      <w:r>
        <w:rPr>
          <w:rFonts w:cs="Arial"/>
          <w:szCs w:val="20"/>
        </w:rPr>
        <w:t>I</w:t>
      </w:r>
      <w:r w:rsidRPr="007C7689">
        <w:rPr>
          <w:rFonts w:cs="Arial"/>
          <w:szCs w:val="20"/>
        </w:rPr>
        <w:t>nner regiona</w:t>
      </w:r>
      <w:r>
        <w:rPr>
          <w:rFonts w:cs="Arial"/>
          <w:szCs w:val="20"/>
        </w:rPr>
        <w:t>l, outer regional, remote.</w:t>
      </w:r>
    </w:p>
    <w:p w14:paraId="44307B7F" w14:textId="77777777" w:rsidR="008B0A88" w:rsidRPr="007C7689" w:rsidRDefault="008B0A88">
      <w:pPr>
        <w:pStyle w:val="ListParagraph"/>
        <w:numPr>
          <w:ilvl w:val="1"/>
          <w:numId w:val="43"/>
        </w:numPr>
        <w:tabs>
          <w:tab w:val="left" w:pos="1162"/>
        </w:tabs>
        <w:spacing w:after="200" w:line="276" w:lineRule="auto"/>
        <w:ind w:left="1434" w:hanging="357"/>
        <w:rPr>
          <w:rFonts w:cs="Arial"/>
          <w:szCs w:val="20"/>
        </w:rPr>
      </w:pPr>
      <w:r>
        <w:rPr>
          <w:rFonts w:cs="Arial"/>
          <w:szCs w:val="20"/>
        </w:rPr>
        <w:t xml:space="preserve">Region 2: Very remote. </w:t>
      </w:r>
    </w:p>
    <w:p w14:paraId="12FE85BD" w14:textId="77777777" w:rsidR="008B0A88" w:rsidRDefault="008B0A88">
      <w:pPr>
        <w:pStyle w:val="ListParagraph"/>
        <w:numPr>
          <w:ilvl w:val="0"/>
          <w:numId w:val="43"/>
        </w:numPr>
        <w:tabs>
          <w:tab w:val="left" w:pos="1162"/>
        </w:tabs>
        <w:spacing w:before="240" w:after="200" w:line="276" w:lineRule="auto"/>
        <w:rPr>
          <w:rFonts w:cs="Arial"/>
          <w:szCs w:val="20"/>
        </w:rPr>
      </w:pPr>
      <w:r>
        <w:rPr>
          <w:rFonts w:cs="Arial"/>
          <w:szCs w:val="20"/>
        </w:rPr>
        <w:t>Three hospital type groups:</w:t>
      </w:r>
    </w:p>
    <w:p w14:paraId="495D6BE4" w14:textId="77777777" w:rsidR="008B0A88" w:rsidRDefault="008B0A88">
      <w:pPr>
        <w:pStyle w:val="ListParagraph"/>
        <w:numPr>
          <w:ilvl w:val="1"/>
          <w:numId w:val="43"/>
        </w:numPr>
        <w:tabs>
          <w:tab w:val="left" w:pos="1162"/>
        </w:tabs>
        <w:spacing w:after="200" w:line="276" w:lineRule="auto"/>
        <w:ind w:left="1434" w:hanging="357"/>
        <w:rPr>
          <w:rFonts w:cs="Arial"/>
          <w:szCs w:val="20"/>
        </w:rPr>
      </w:pPr>
      <w:r w:rsidRPr="007C7689">
        <w:rPr>
          <w:rFonts w:cs="Arial"/>
          <w:szCs w:val="20"/>
        </w:rPr>
        <w:t xml:space="preserve">Type </w:t>
      </w:r>
      <w:r>
        <w:rPr>
          <w:rFonts w:cs="Arial"/>
          <w:szCs w:val="20"/>
        </w:rPr>
        <w:t xml:space="preserve">A: Hospitals with more than </w:t>
      </w:r>
      <w:r w:rsidRPr="00801AF5">
        <w:rPr>
          <w:rFonts w:cs="Arial"/>
          <w:szCs w:val="20"/>
        </w:rPr>
        <w:t>30 N</w:t>
      </w:r>
      <w:r>
        <w:rPr>
          <w:rFonts w:cs="Arial"/>
          <w:szCs w:val="20"/>
        </w:rPr>
        <w:t>WAUs of either surgical or obstetric episodes.</w:t>
      </w:r>
    </w:p>
    <w:p w14:paraId="2000E791" w14:textId="77777777" w:rsidR="008B0A88" w:rsidRDefault="008B0A88">
      <w:pPr>
        <w:pStyle w:val="ListParagraph"/>
        <w:numPr>
          <w:ilvl w:val="1"/>
          <w:numId w:val="43"/>
        </w:numPr>
        <w:tabs>
          <w:tab w:val="left" w:pos="1162"/>
        </w:tabs>
        <w:spacing w:before="120" w:after="200" w:line="276" w:lineRule="auto"/>
        <w:ind w:left="1434" w:hanging="357"/>
        <w:rPr>
          <w:rFonts w:cs="Arial"/>
          <w:szCs w:val="20"/>
        </w:rPr>
      </w:pPr>
      <w:r w:rsidRPr="00C46AF8">
        <w:rPr>
          <w:rFonts w:cs="Arial"/>
          <w:szCs w:val="20"/>
        </w:rPr>
        <w:t>Type B</w:t>
      </w:r>
      <w:r w:rsidRPr="00A24E5A">
        <w:rPr>
          <w:rFonts w:cs="Arial"/>
          <w:szCs w:val="20"/>
        </w:rPr>
        <w:t xml:space="preserve">: </w:t>
      </w:r>
      <w:r>
        <w:rPr>
          <w:rFonts w:cs="Arial"/>
          <w:szCs w:val="20"/>
        </w:rPr>
        <w:t xml:space="preserve">Hospitals not in Type A that have more than </w:t>
      </w:r>
      <w:r w:rsidRPr="00801AF5">
        <w:rPr>
          <w:rFonts w:cs="Arial"/>
          <w:szCs w:val="20"/>
        </w:rPr>
        <w:t>40 per cent</w:t>
      </w:r>
      <w:r>
        <w:rPr>
          <w:rFonts w:cs="Arial"/>
          <w:szCs w:val="20"/>
        </w:rPr>
        <w:t xml:space="preserve"> of their total NWAU as admitted activity. </w:t>
      </w:r>
    </w:p>
    <w:p w14:paraId="5DC06211" w14:textId="77777777" w:rsidR="008B0A88" w:rsidRPr="00267717" w:rsidRDefault="008B0A88">
      <w:pPr>
        <w:pStyle w:val="ListParagraph"/>
        <w:numPr>
          <w:ilvl w:val="1"/>
          <w:numId w:val="43"/>
        </w:numPr>
        <w:tabs>
          <w:tab w:val="left" w:pos="1162"/>
        </w:tabs>
        <w:spacing w:before="120" w:after="200" w:line="276" w:lineRule="auto"/>
        <w:ind w:left="1434" w:hanging="357"/>
        <w:rPr>
          <w:rFonts w:cs="Arial"/>
          <w:szCs w:val="20"/>
        </w:rPr>
      </w:pPr>
      <w:r w:rsidRPr="00267717">
        <w:rPr>
          <w:rFonts w:cs="Arial"/>
          <w:szCs w:val="20"/>
        </w:rPr>
        <w:t>Type C</w:t>
      </w:r>
      <w:r w:rsidRPr="00600132">
        <w:rPr>
          <w:rFonts w:cs="Arial"/>
          <w:szCs w:val="20"/>
        </w:rPr>
        <w:t xml:space="preserve">: </w:t>
      </w:r>
      <w:r>
        <w:rPr>
          <w:rFonts w:cs="Arial"/>
          <w:szCs w:val="20"/>
        </w:rPr>
        <w:t>Other hospitals in Region 1, but not in Types A or B</w:t>
      </w:r>
      <w:r w:rsidRPr="00A24E5A">
        <w:rPr>
          <w:rFonts w:cs="Arial"/>
          <w:szCs w:val="20"/>
        </w:rPr>
        <w:t xml:space="preserve">. </w:t>
      </w:r>
    </w:p>
    <w:p w14:paraId="387F0F73" w14:textId="77777777" w:rsidR="008B0A88" w:rsidRPr="007C7689" w:rsidRDefault="008B0A88">
      <w:pPr>
        <w:pStyle w:val="ListParagraph"/>
        <w:numPr>
          <w:ilvl w:val="0"/>
          <w:numId w:val="43"/>
        </w:numPr>
        <w:tabs>
          <w:tab w:val="left" w:pos="1162"/>
        </w:tabs>
        <w:spacing w:before="120" w:after="200" w:line="276" w:lineRule="auto"/>
        <w:ind w:left="714" w:hanging="357"/>
        <w:rPr>
          <w:rFonts w:cs="Arial"/>
          <w:szCs w:val="20"/>
        </w:rPr>
      </w:pPr>
      <w:r w:rsidRPr="007C7689">
        <w:rPr>
          <w:rFonts w:cs="Arial"/>
          <w:szCs w:val="20"/>
        </w:rPr>
        <w:t xml:space="preserve">Using regression analysis to determine the cost weights. </w:t>
      </w:r>
    </w:p>
    <w:p w14:paraId="7D80907B" w14:textId="77777777" w:rsidR="008B0A88" w:rsidRDefault="008B0A88">
      <w:pPr>
        <w:pStyle w:val="Heading2"/>
        <w:numPr>
          <w:ilvl w:val="1"/>
          <w:numId w:val="17"/>
        </w:numPr>
        <w:ind w:left="567" w:right="-28" w:hanging="567"/>
      </w:pPr>
      <w:bookmarkStart w:id="839" w:name="_Toc380754767"/>
      <w:bookmarkStart w:id="840" w:name="_Toc466884239"/>
      <w:bookmarkStart w:id="841" w:name="_Toc467505252"/>
      <w:bookmarkStart w:id="842" w:name="_Toc467745633"/>
      <w:bookmarkStart w:id="843" w:name="_Toc467759597"/>
      <w:bookmarkStart w:id="844" w:name="_Toc468204096"/>
      <w:bookmarkStart w:id="845" w:name="_Toc476305252"/>
      <w:r>
        <w:t>Analysis of costs</w:t>
      </w:r>
      <w:bookmarkEnd w:id="839"/>
      <w:bookmarkEnd w:id="840"/>
      <w:bookmarkEnd w:id="841"/>
      <w:bookmarkEnd w:id="842"/>
      <w:bookmarkEnd w:id="843"/>
      <w:bookmarkEnd w:id="844"/>
      <w:bookmarkEnd w:id="845"/>
      <w:r>
        <w:t xml:space="preserve"> </w:t>
      </w:r>
    </w:p>
    <w:p w14:paraId="4833B97E" w14:textId="77777777" w:rsidR="008B0A88" w:rsidRDefault="008B0A88">
      <w:pPr>
        <w:pStyle w:val="Heading3"/>
        <w:numPr>
          <w:ilvl w:val="2"/>
          <w:numId w:val="17"/>
        </w:numPr>
        <w:spacing w:before="200" w:after="120" w:line="276" w:lineRule="auto"/>
        <w:ind w:left="851" w:hanging="851"/>
        <w:contextualSpacing w:val="0"/>
      </w:pPr>
      <w:bookmarkStart w:id="846" w:name="_Ref373492455"/>
      <w:bookmarkStart w:id="847" w:name="_Ref373492460"/>
      <w:bookmarkStart w:id="848" w:name="_Toc380754768"/>
      <w:bookmarkStart w:id="849" w:name="_Toc466884240"/>
      <w:bookmarkStart w:id="850" w:name="_Toc467505253"/>
      <w:bookmarkStart w:id="851" w:name="_Toc467745634"/>
      <w:bookmarkStart w:id="852" w:name="_Toc468204097"/>
      <w:r>
        <w:t>Data preparation</w:t>
      </w:r>
      <w:bookmarkEnd w:id="846"/>
      <w:bookmarkEnd w:id="847"/>
      <w:bookmarkEnd w:id="848"/>
      <w:bookmarkEnd w:id="849"/>
      <w:bookmarkEnd w:id="850"/>
      <w:bookmarkEnd w:id="851"/>
      <w:bookmarkEnd w:id="852"/>
    </w:p>
    <w:p w14:paraId="035FE587" w14:textId="77777777" w:rsidR="008B0A88" w:rsidRPr="001F6FD3" w:rsidRDefault="008B0A88">
      <w:pPr>
        <w:tabs>
          <w:tab w:val="left" w:pos="1162"/>
        </w:tabs>
        <w:rPr>
          <w:rFonts w:cs="Arial"/>
          <w:szCs w:val="20"/>
        </w:rPr>
      </w:pPr>
      <w:r>
        <w:rPr>
          <w:rFonts w:cs="Arial"/>
          <w:szCs w:val="20"/>
        </w:rPr>
        <w:t xml:space="preserve">The </w:t>
      </w:r>
      <w:r w:rsidRPr="001F6FD3">
        <w:rPr>
          <w:rFonts w:cs="Arial"/>
          <w:szCs w:val="20"/>
        </w:rPr>
        <w:t xml:space="preserve">approach underpinning IHPA’s data preparation process for </w:t>
      </w:r>
      <w:r>
        <w:rPr>
          <w:rFonts w:cs="Arial"/>
          <w:szCs w:val="20"/>
        </w:rPr>
        <w:t>NEC17 has been updated in line with the 2014-15 National Public Hospital Establishment Dataset (NPHED) update. It involves:</w:t>
      </w:r>
    </w:p>
    <w:p w14:paraId="10F51BDA" w14:textId="77777777" w:rsidR="008B0A88" w:rsidRPr="001F6FD3" w:rsidRDefault="008B0A88">
      <w:pPr>
        <w:pStyle w:val="ListParagraph"/>
        <w:numPr>
          <w:ilvl w:val="0"/>
          <w:numId w:val="42"/>
        </w:numPr>
        <w:tabs>
          <w:tab w:val="left" w:pos="1162"/>
        </w:tabs>
        <w:spacing w:after="200" w:line="276" w:lineRule="auto"/>
        <w:rPr>
          <w:rFonts w:cs="Arial"/>
          <w:szCs w:val="20"/>
        </w:rPr>
      </w:pPr>
      <w:r>
        <w:rPr>
          <w:rFonts w:cs="Arial"/>
          <w:szCs w:val="20"/>
        </w:rPr>
        <w:t>E</w:t>
      </w:r>
      <w:r w:rsidRPr="001F6FD3">
        <w:rPr>
          <w:rFonts w:cs="Arial"/>
          <w:szCs w:val="20"/>
        </w:rPr>
        <w:t>xtrac</w:t>
      </w:r>
      <w:r>
        <w:rPr>
          <w:rFonts w:cs="Arial"/>
          <w:szCs w:val="20"/>
        </w:rPr>
        <w:t xml:space="preserve">tion of activity data from the </w:t>
      </w:r>
      <w:r w:rsidRPr="001F6FD3">
        <w:rPr>
          <w:rFonts w:cs="Arial"/>
          <w:szCs w:val="20"/>
        </w:rPr>
        <w:t xml:space="preserve">IHPA ABF DSS for each </w:t>
      </w:r>
      <w:r>
        <w:rPr>
          <w:rFonts w:cs="Arial"/>
          <w:szCs w:val="20"/>
        </w:rPr>
        <w:t>b</w:t>
      </w:r>
      <w:r w:rsidRPr="001F6FD3">
        <w:rPr>
          <w:rFonts w:cs="Arial"/>
          <w:szCs w:val="20"/>
        </w:rPr>
        <w:t xml:space="preserve">lock funded hospital and conversion of that data into </w:t>
      </w:r>
      <w:r>
        <w:rPr>
          <w:rFonts w:cs="Arial"/>
          <w:szCs w:val="20"/>
        </w:rPr>
        <w:t xml:space="preserve">in-scope NWAUs. </w:t>
      </w:r>
    </w:p>
    <w:p w14:paraId="263A2954" w14:textId="77777777" w:rsidR="008B0A88" w:rsidRPr="001F6FD3" w:rsidRDefault="008B0A88">
      <w:pPr>
        <w:pStyle w:val="ListParagraph"/>
        <w:numPr>
          <w:ilvl w:val="0"/>
          <w:numId w:val="42"/>
        </w:numPr>
        <w:tabs>
          <w:tab w:val="left" w:pos="1162"/>
        </w:tabs>
        <w:spacing w:after="200" w:line="276" w:lineRule="auto"/>
        <w:ind w:left="714" w:hanging="357"/>
        <w:rPr>
          <w:rFonts w:cs="Arial"/>
          <w:szCs w:val="20"/>
        </w:rPr>
      </w:pPr>
      <w:r>
        <w:rPr>
          <w:rFonts w:cs="Arial"/>
          <w:szCs w:val="20"/>
        </w:rPr>
        <w:t>E</w:t>
      </w:r>
      <w:r w:rsidRPr="001F6FD3">
        <w:rPr>
          <w:rFonts w:cs="Arial"/>
          <w:szCs w:val="20"/>
        </w:rPr>
        <w:t xml:space="preserve">xtraction of </w:t>
      </w:r>
      <w:r>
        <w:rPr>
          <w:rFonts w:cs="Arial"/>
          <w:szCs w:val="20"/>
        </w:rPr>
        <w:t>in-scope</w:t>
      </w:r>
      <w:r w:rsidRPr="001F6FD3">
        <w:rPr>
          <w:rFonts w:cs="Arial"/>
          <w:szCs w:val="20"/>
        </w:rPr>
        <w:t xml:space="preserve"> establishment expenditure data from</w:t>
      </w:r>
      <w:r>
        <w:rPr>
          <w:rFonts w:cs="Arial"/>
          <w:szCs w:val="20"/>
        </w:rPr>
        <w:t xml:space="preserve"> the</w:t>
      </w:r>
      <w:r w:rsidRPr="001F6FD3">
        <w:rPr>
          <w:rFonts w:cs="Arial"/>
          <w:szCs w:val="20"/>
        </w:rPr>
        <w:t xml:space="preserve"> </w:t>
      </w:r>
      <w:r>
        <w:rPr>
          <w:rFonts w:cs="Arial"/>
          <w:szCs w:val="20"/>
        </w:rPr>
        <w:t xml:space="preserve">NPHED. </w:t>
      </w:r>
    </w:p>
    <w:p w14:paraId="205038A9" w14:textId="77777777" w:rsidR="008B0A88" w:rsidRPr="001F6FD3" w:rsidRDefault="008B0A88">
      <w:pPr>
        <w:tabs>
          <w:tab w:val="left" w:pos="1162"/>
        </w:tabs>
        <w:rPr>
          <w:rFonts w:cs="Arial"/>
          <w:szCs w:val="20"/>
        </w:rPr>
      </w:pPr>
      <w:r w:rsidRPr="001F6FD3">
        <w:rPr>
          <w:rFonts w:cs="Arial"/>
          <w:szCs w:val="20"/>
        </w:rPr>
        <w:lastRenderedPageBreak/>
        <w:t xml:space="preserve">The establishment data required to populate the </w:t>
      </w:r>
      <w:r>
        <w:rPr>
          <w:rFonts w:cs="Arial"/>
          <w:szCs w:val="20"/>
        </w:rPr>
        <w:t>2014-15</w:t>
      </w:r>
      <w:r w:rsidRPr="001F6FD3">
        <w:rPr>
          <w:rFonts w:cs="Arial"/>
          <w:szCs w:val="20"/>
        </w:rPr>
        <w:t xml:space="preserve"> cost model table are:</w:t>
      </w:r>
    </w:p>
    <w:p w14:paraId="409A6743" w14:textId="77777777" w:rsidR="008B0A88" w:rsidRPr="001F6FD3" w:rsidRDefault="008B0A88">
      <w:pPr>
        <w:pStyle w:val="ListParagraph"/>
        <w:numPr>
          <w:ilvl w:val="0"/>
          <w:numId w:val="39"/>
        </w:numPr>
        <w:tabs>
          <w:tab w:val="left" w:pos="1162"/>
        </w:tabs>
        <w:spacing w:after="200" w:line="276" w:lineRule="auto"/>
        <w:ind w:left="714" w:hanging="357"/>
        <w:rPr>
          <w:rFonts w:cs="Arial"/>
          <w:szCs w:val="20"/>
        </w:rPr>
      </w:pPr>
      <w:r w:rsidRPr="001F6FD3">
        <w:rPr>
          <w:rFonts w:cs="Arial"/>
          <w:szCs w:val="20"/>
        </w:rPr>
        <w:t xml:space="preserve">Latest </w:t>
      </w:r>
      <w:r w:rsidRPr="00801AF5">
        <w:rPr>
          <w:rFonts w:cs="Arial"/>
          <w:szCs w:val="20"/>
        </w:rPr>
        <w:t>3-year average</w:t>
      </w:r>
      <w:r w:rsidRPr="001F6FD3">
        <w:rPr>
          <w:rFonts w:cs="Arial"/>
          <w:szCs w:val="20"/>
        </w:rPr>
        <w:t xml:space="preserve"> of </w:t>
      </w:r>
      <w:r>
        <w:rPr>
          <w:rFonts w:cs="Arial"/>
          <w:szCs w:val="20"/>
        </w:rPr>
        <w:t xml:space="preserve">admitted acute and </w:t>
      </w:r>
      <w:r w:rsidRPr="001F6FD3">
        <w:rPr>
          <w:rFonts w:cs="Arial"/>
          <w:szCs w:val="20"/>
        </w:rPr>
        <w:t xml:space="preserve">total </w:t>
      </w:r>
      <w:r>
        <w:rPr>
          <w:rFonts w:cs="Arial"/>
          <w:szCs w:val="20"/>
        </w:rPr>
        <w:t>in-scope NWAU per annum (</w:t>
      </w:r>
      <w:r w:rsidRPr="00801AF5">
        <w:rPr>
          <w:rFonts w:cs="Arial"/>
          <w:szCs w:val="20"/>
        </w:rPr>
        <w:t>2012-13 to 2014-15</w:t>
      </w:r>
      <w:r>
        <w:rPr>
          <w:rFonts w:cs="Arial"/>
          <w:szCs w:val="20"/>
        </w:rPr>
        <w:t>).</w:t>
      </w:r>
      <w:r w:rsidRPr="001F6FD3">
        <w:rPr>
          <w:rFonts w:cs="Arial"/>
          <w:szCs w:val="20"/>
        </w:rPr>
        <w:t xml:space="preserve"> </w:t>
      </w:r>
    </w:p>
    <w:p w14:paraId="7E785432" w14:textId="77777777" w:rsidR="008B0A88" w:rsidRDefault="008B0A88">
      <w:pPr>
        <w:pStyle w:val="ListParagraph"/>
        <w:numPr>
          <w:ilvl w:val="0"/>
          <w:numId w:val="39"/>
        </w:numPr>
        <w:tabs>
          <w:tab w:val="left" w:pos="1162"/>
        </w:tabs>
        <w:spacing w:after="200" w:line="276" w:lineRule="auto"/>
        <w:ind w:left="714" w:hanging="357"/>
        <w:rPr>
          <w:rFonts w:cs="Arial"/>
          <w:szCs w:val="20"/>
        </w:rPr>
      </w:pPr>
      <w:r w:rsidRPr="001F6FD3">
        <w:rPr>
          <w:rFonts w:cs="Arial"/>
          <w:szCs w:val="20"/>
        </w:rPr>
        <w:t xml:space="preserve">Total </w:t>
      </w:r>
      <w:r>
        <w:rPr>
          <w:rFonts w:cs="Arial"/>
          <w:szCs w:val="20"/>
        </w:rPr>
        <w:t>in-scope</w:t>
      </w:r>
      <w:r w:rsidRPr="001F6FD3">
        <w:rPr>
          <w:rFonts w:cs="Arial"/>
          <w:szCs w:val="20"/>
        </w:rPr>
        <w:t xml:space="preserve"> establishment expenditure in </w:t>
      </w:r>
      <w:r w:rsidRPr="00801AF5">
        <w:rPr>
          <w:rFonts w:cs="Arial"/>
          <w:szCs w:val="20"/>
        </w:rPr>
        <w:t>2014-15</w:t>
      </w:r>
      <w:r>
        <w:rPr>
          <w:rFonts w:cs="Arial"/>
          <w:szCs w:val="20"/>
        </w:rPr>
        <w:t>.</w:t>
      </w:r>
    </w:p>
    <w:p w14:paraId="694300B7" w14:textId="77777777" w:rsidR="008B0A88" w:rsidRPr="001F6FD3" w:rsidRDefault="008B0A88">
      <w:pPr>
        <w:pStyle w:val="ListParagraph"/>
        <w:numPr>
          <w:ilvl w:val="0"/>
          <w:numId w:val="39"/>
        </w:numPr>
        <w:tabs>
          <w:tab w:val="left" w:pos="1162"/>
        </w:tabs>
        <w:spacing w:after="200" w:line="276" w:lineRule="auto"/>
        <w:ind w:left="714" w:hanging="357"/>
        <w:rPr>
          <w:rFonts w:cs="Arial"/>
          <w:szCs w:val="20"/>
        </w:rPr>
      </w:pPr>
      <w:r w:rsidRPr="00024012">
        <w:rPr>
          <w:rFonts w:cs="Arial"/>
          <w:szCs w:val="20"/>
        </w:rPr>
        <w:t xml:space="preserve">Latest </w:t>
      </w:r>
      <w:r w:rsidRPr="00801AF5">
        <w:rPr>
          <w:rFonts w:cs="Arial"/>
          <w:szCs w:val="20"/>
        </w:rPr>
        <w:t>3-year</w:t>
      </w:r>
      <w:r w:rsidRPr="00024012">
        <w:rPr>
          <w:rFonts w:cs="Arial"/>
          <w:szCs w:val="20"/>
        </w:rPr>
        <w:t xml:space="preserve"> average NWAU assigned to surgical </w:t>
      </w:r>
      <w:r>
        <w:rPr>
          <w:rFonts w:cs="Arial"/>
          <w:szCs w:val="20"/>
        </w:rPr>
        <w:t xml:space="preserve">and </w:t>
      </w:r>
      <w:r w:rsidRPr="00024012">
        <w:rPr>
          <w:rFonts w:cs="Arial"/>
          <w:szCs w:val="20"/>
        </w:rPr>
        <w:t>obstetric delivery DRGs</w:t>
      </w:r>
      <w:r>
        <w:rPr>
          <w:rFonts w:cs="Arial"/>
          <w:szCs w:val="20"/>
        </w:rPr>
        <w:t xml:space="preserve">. </w:t>
      </w:r>
    </w:p>
    <w:p w14:paraId="4A7F64BD" w14:textId="77777777" w:rsidR="008B0A88" w:rsidRPr="001F6FD3" w:rsidRDefault="008B0A88">
      <w:pPr>
        <w:tabs>
          <w:tab w:val="left" w:pos="1162"/>
        </w:tabs>
        <w:rPr>
          <w:rFonts w:cs="Arial"/>
          <w:szCs w:val="20"/>
        </w:rPr>
      </w:pPr>
      <w:r w:rsidRPr="001F6FD3">
        <w:rPr>
          <w:rFonts w:cs="Arial"/>
          <w:szCs w:val="20"/>
        </w:rPr>
        <w:t xml:space="preserve">The first step is to check the eligibility of hospitals for block funding by ensuring that the latest </w:t>
      </w:r>
      <w:r w:rsidRPr="00801AF5">
        <w:rPr>
          <w:rFonts w:cs="Arial"/>
          <w:szCs w:val="20"/>
        </w:rPr>
        <w:t>three-year average</w:t>
      </w:r>
      <w:r w:rsidRPr="001F6FD3">
        <w:rPr>
          <w:rFonts w:cs="Arial"/>
          <w:szCs w:val="20"/>
        </w:rPr>
        <w:t xml:space="preserve"> of </w:t>
      </w:r>
      <w:r>
        <w:rPr>
          <w:rFonts w:cs="Arial"/>
          <w:szCs w:val="20"/>
        </w:rPr>
        <w:t xml:space="preserve">total </w:t>
      </w:r>
      <w:r w:rsidRPr="001F6FD3">
        <w:rPr>
          <w:rFonts w:cs="Arial"/>
          <w:szCs w:val="20"/>
        </w:rPr>
        <w:t xml:space="preserve">NWAU is less than </w:t>
      </w:r>
      <w:r w:rsidRPr="00801AF5">
        <w:rPr>
          <w:rFonts w:cs="Arial"/>
          <w:szCs w:val="20"/>
        </w:rPr>
        <w:t>3,500 NWAU</w:t>
      </w:r>
      <w:r w:rsidRPr="001F6FD3">
        <w:rPr>
          <w:rFonts w:cs="Arial"/>
          <w:szCs w:val="20"/>
        </w:rPr>
        <w:t xml:space="preserve"> per annum for rural hospitals and </w:t>
      </w:r>
      <w:r>
        <w:rPr>
          <w:rFonts w:cs="Arial"/>
          <w:szCs w:val="20"/>
        </w:rPr>
        <w:t>the admitted acute activity for city hospitals is less than</w:t>
      </w:r>
      <w:r w:rsidRPr="001F6FD3">
        <w:rPr>
          <w:rFonts w:cs="Arial"/>
          <w:szCs w:val="20"/>
        </w:rPr>
        <w:t xml:space="preserve"> </w:t>
      </w:r>
      <w:r w:rsidRPr="00801AF5">
        <w:rPr>
          <w:rFonts w:cs="Arial"/>
          <w:szCs w:val="20"/>
        </w:rPr>
        <w:t>1</w:t>
      </w:r>
      <w:r>
        <w:rPr>
          <w:rFonts w:cs="Arial"/>
          <w:szCs w:val="20"/>
        </w:rPr>
        <w:t>,</w:t>
      </w:r>
      <w:r w:rsidRPr="00801AF5">
        <w:rPr>
          <w:rFonts w:cs="Arial"/>
          <w:szCs w:val="20"/>
        </w:rPr>
        <w:t>800 NWAU</w:t>
      </w:r>
      <w:r w:rsidRPr="001F6FD3">
        <w:rPr>
          <w:rFonts w:cs="Arial"/>
          <w:szCs w:val="20"/>
        </w:rPr>
        <w:t xml:space="preserve"> per annum.</w:t>
      </w:r>
    </w:p>
    <w:p w14:paraId="144894F5" w14:textId="7B41286B" w:rsidR="008B0A88" w:rsidRDefault="008B0A88">
      <w:pPr>
        <w:tabs>
          <w:tab w:val="left" w:pos="1162"/>
        </w:tabs>
        <w:spacing w:after="240"/>
        <w:rPr>
          <w:rFonts w:cs="Arial"/>
          <w:szCs w:val="20"/>
        </w:rPr>
      </w:pPr>
      <w:r w:rsidRPr="001F6FD3">
        <w:rPr>
          <w:rFonts w:cs="Arial"/>
          <w:szCs w:val="20"/>
        </w:rPr>
        <w:t xml:space="preserve">The NWAU activity measure is calculated first and then the best estimate of </w:t>
      </w:r>
      <w:r>
        <w:rPr>
          <w:rFonts w:cs="Arial"/>
          <w:szCs w:val="20"/>
        </w:rPr>
        <w:t>2014-15</w:t>
      </w:r>
      <w:r w:rsidRPr="001F6FD3">
        <w:rPr>
          <w:rFonts w:cs="Arial"/>
          <w:szCs w:val="20"/>
        </w:rPr>
        <w:t xml:space="preserve"> </w:t>
      </w:r>
      <w:r>
        <w:rPr>
          <w:rFonts w:cs="Arial"/>
          <w:szCs w:val="20"/>
        </w:rPr>
        <w:br/>
        <w:t>in-scope</w:t>
      </w:r>
      <w:r w:rsidRPr="001F6FD3">
        <w:rPr>
          <w:rFonts w:cs="Arial"/>
          <w:szCs w:val="20"/>
        </w:rPr>
        <w:t xml:space="preserve"> expenditure is derived</w:t>
      </w:r>
      <w:r>
        <w:rPr>
          <w:rFonts w:cs="Arial"/>
          <w:szCs w:val="20"/>
        </w:rPr>
        <w:t>,</w:t>
      </w:r>
      <w:r w:rsidRPr="001F6FD3">
        <w:rPr>
          <w:rFonts w:cs="Arial"/>
          <w:szCs w:val="20"/>
        </w:rPr>
        <w:t xml:space="preserve"> as set out below.</w:t>
      </w:r>
      <w:r>
        <w:rPr>
          <w:rFonts w:cs="Arial"/>
          <w:szCs w:val="20"/>
        </w:rPr>
        <w:t xml:space="preserve"> A guide to the process used to prepare data for NEC17 is set out </w:t>
      </w:r>
      <w:r w:rsidRPr="00AB73FA">
        <w:rPr>
          <w:rFonts w:cs="Arial"/>
          <w:szCs w:val="22"/>
        </w:rPr>
        <w:t>in</w:t>
      </w:r>
      <w:r w:rsidR="00247F1D">
        <w:rPr>
          <w:rFonts w:cs="Arial"/>
          <w:szCs w:val="22"/>
        </w:rPr>
        <w:t xml:space="preserve"> </w:t>
      </w:r>
      <w:r w:rsidR="00A83F3A">
        <w:rPr>
          <w:rFonts w:cs="Arial"/>
          <w:szCs w:val="22"/>
        </w:rPr>
        <w:fldChar w:fldCharType="begin"/>
      </w:r>
      <w:r w:rsidR="00A83F3A">
        <w:rPr>
          <w:rFonts w:cs="Arial"/>
          <w:szCs w:val="22"/>
        </w:rPr>
        <w:instrText xml:space="preserve"> REF _Ref468442279 \w \h </w:instrText>
      </w:r>
      <w:r w:rsidR="00A83F3A">
        <w:rPr>
          <w:rFonts w:cs="Arial"/>
          <w:szCs w:val="22"/>
        </w:rPr>
      </w:r>
      <w:r w:rsidR="00A83F3A">
        <w:rPr>
          <w:rFonts w:cs="Arial"/>
          <w:szCs w:val="22"/>
        </w:rPr>
        <w:fldChar w:fldCharType="separate"/>
      </w:r>
      <w:r w:rsidR="00F84458">
        <w:rPr>
          <w:rFonts w:cs="Arial"/>
          <w:szCs w:val="22"/>
        </w:rPr>
        <w:t>Appendix E</w:t>
      </w:r>
      <w:r w:rsidR="00A83F3A">
        <w:rPr>
          <w:rFonts w:cs="Arial"/>
          <w:szCs w:val="22"/>
        </w:rPr>
        <w:fldChar w:fldCharType="end"/>
      </w:r>
      <w:r w:rsidR="00A83F3A">
        <w:rPr>
          <w:rFonts w:cs="Arial"/>
          <w:szCs w:val="22"/>
        </w:rPr>
        <w:t>.</w:t>
      </w:r>
    </w:p>
    <w:p w14:paraId="3F873CDE" w14:textId="77777777" w:rsidR="008B0A88" w:rsidRPr="00D50577" w:rsidRDefault="008B0A88">
      <w:pPr>
        <w:pStyle w:val="Heading4"/>
        <w:ind w:left="426" w:hanging="142"/>
      </w:pPr>
      <w:r w:rsidRPr="00D50577">
        <w:t xml:space="preserve">In-scope </w:t>
      </w:r>
      <w:r>
        <w:t>a</w:t>
      </w:r>
      <w:r w:rsidRPr="00D50577">
        <w:t>ctivity</w:t>
      </w:r>
    </w:p>
    <w:p w14:paraId="4236DD86" w14:textId="77777777" w:rsidR="008B0A88" w:rsidRPr="001F6FD3" w:rsidRDefault="008B0A88" w:rsidP="002D606E">
      <w:pPr>
        <w:pStyle w:val="Headingnonumber"/>
        <w:jc w:val="left"/>
      </w:pPr>
      <w:r>
        <w:t>A</w:t>
      </w:r>
      <w:r w:rsidRPr="001F6FD3">
        <w:t xml:space="preserve">dmitted </w:t>
      </w:r>
      <w:r>
        <w:t>a</w:t>
      </w:r>
      <w:r w:rsidRPr="001F6FD3">
        <w:t>cute and subacute NWAU</w:t>
      </w:r>
    </w:p>
    <w:p w14:paraId="4DDD4574" w14:textId="77777777" w:rsidR="008B0A88" w:rsidRPr="001F6FD3" w:rsidRDefault="008B0A88" w:rsidP="00560AC0">
      <w:pPr>
        <w:tabs>
          <w:tab w:val="left" w:pos="1162"/>
        </w:tabs>
        <w:rPr>
          <w:rFonts w:cs="Arial"/>
          <w:szCs w:val="20"/>
        </w:rPr>
      </w:pPr>
      <w:r w:rsidRPr="001F6FD3">
        <w:rPr>
          <w:rFonts w:cs="Arial"/>
          <w:szCs w:val="20"/>
        </w:rPr>
        <w:t xml:space="preserve">Patient-level admitted data is available for all but a few hospitals in the </w:t>
      </w:r>
      <w:r>
        <w:rPr>
          <w:rFonts w:cs="Arial"/>
          <w:szCs w:val="20"/>
        </w:rPr>
        <w:t>APC NMDS</w:t>
      </w:r>
      <w:r w:rsidRPr="001F6FD3">
        <w:rPr>
          <w:rFonts w:cs="Arial"/>
          <w:szCs w:val="20"/>
        </w:rPr>
        <w:t>.</w:t>
      </w:r>
      <w:r>
        <w:rPr>
          <w:rFonts w:cs="Arial"/>
          <w:szCs w:val="20"/>
        </w:rPr>
        <w:t xml:space="preserve"> </w:t>
      </w:r>
    </w:p>
    <w:p w14:paraId="3CBE62EF" w14:textId="77777777" w:rsidR="008B0A88" w:rsidRPr="001F6FD3" w:rsidRDefault="008B0A88">
      <w:pPr>
        <w:tabs>
          <w:tab w:val="left" w:pos="1162"/>
        </w:tabs>
        <w:rPr>
          <w:rFonts w:cs="Arial"/>
          <w:szCs w:val="20"/>
        </w:rPr>
      </w:pPr>
      <w:r w:rsidRPr="001F6FD3">
        <w:rPr>
          <w:rFonts w:cs="Arial"/>
          <w:szCs w:val="20"/>
        </w:rPr>
        <w:t>The patient-level admitted data has been fed through the NEP</w:t>
      </w:r>
      <w:r>
        <w:rPr>
          <w:rFonts w:cs="Arial"/>
          <w:szCs w:val="20"/>
        </w:rPr>
        <w:t>16</w:t>
      </w:r>
      <w:r w:rsidRPr="001F6FD3">
        <w:rPr>
          <w:rFonts w:cs="Arial"/>
          <w:szCs w:val="20"/>
        </w:rPr>
        <w:t xml:space="preserve"> NWAU calculator to calculate the </w:t>
      </w:r>
      <w:r>
        <w:rPr>
          <w:rFonts w:cs="Arial"/>
          <w:szCs w:val="20"/>
        </w:rPr>
        <w:t>in-scope</w:t>
      </w:r>
      <w:r w:rsidRPr="001F6FD3">
        <w:rPr>
          <w:rFonts w:cs="Arial"/>
          <w:szCs w:val="20"/>
        </w:rPr>
        <w:t xml:space="preserve"> NWAU and public patient equivalent NWAU of all </w:t>
      </w:r>
      <w:r>
        <w:rPr>
          <w:rFonts w:cs="Arial"/>
          <w:szCs w:val="20"/>
        </w:rPr>
        <w:t>in-scope</w:t>
      </w:r>
      <w:r w:rsidRPr="001F6FD3">
        <w:rPr>
          <w:rFonts w:cs="Arial"/>
          <w:szCs w:val="20"/>
        </w:rPr>
        <w:t xml:space="preserve"> hospital activity</w:t>
      </w:r>
      <w:r>
        <w:rPr>
          <w:rFonts w:cs="Arial"/>
          <w:szCs w:val="20"/>
        </w:rPr>
        <w:t xml:space="preserve">. </w:t>
      </w:r>
      <w:r w:rsidRPr="00024012">
        <w:rPr>
          <w:rFonts w:cs="Arial"/>
          <w:szCs w:val="20"/>
        </w:rPr>
        <w:t>A slightly modified version of the calculator is used for episodes with an admission date prior to 1 July 20</w:t>
      </w:r>
      <w:r>
        <w:rPr>
          <w:rFonts w:cs="Arial"/>
          <w:szCs w:val="20"/>
        </w:rPr>
        <w:t>14</w:t>
      </w:r>
      <w:r w:rsidRPr="00024012">
        <w:rPr>
          <w:rFonts w:cs="Arial"/>
          <w:szCs w:val="20"/>
        </w:rPr>
        <w:t xml:space="preserve"> in order to determine the NWAU associated to the portion of the episode</w:t>
      </w:r>
      <w:r>
        <w:rPr>
          <w:rFonts w:cs="Arial"/>
          <w:szCs w:val="20"/>
        </w:rPr>
        <w:t>s</w:t>
      </w:r>
      <w:r w:rsidRPr="00024012">
        <w:rPr>
          <w:rFonts w:cs="Arial"/>
          <w:szCs w:val="20"/>
        </w:rPr>
        <w:t xml:space="preserve"> occurring in </w:t>
      </w:r>
      <w:r>
        <w:rPr>
          <w:rFonts w:cs="Arial"/>
          <w:szCs w:val="20"/>
        </w:rPr>
        <w:t>2014-15</w:t>
      </w:r>
      <w:r w:rsidRPr="00024012">
        <w:rPr>
          <w:rFonts w:cs="Arial"/>
          <w:szCs w:val="20"/>
        </w:rPr>
        <w:t>.</w:t>
      </w:r>
    </w:p>
    <w:p w14:paraId="6EE644F6" w14:textId="2AD1D9CF" w:rsidR="008B0A88" w:rsidRPr="003B3984" w:rsidRDefault="008B0A88">
      <w:pPr>
        <w:tabs>
          <w:tab w:val="left" w:pos="1162"/>
        </w:tabs>
        <w:rPr>
          <w:rFonts w:cs="Arial"/>
          <w:szCs w:val="20"/>
        </w:rPr>
      </w:pPr>
      <w:r w:rsidRPr="001F6FD3">
        <w:rPr>
          <w:rFonts w:cs="Arial"/>
          <w:szCs w:val="20"/>
        </w:rPr>
        <w:t xml:space="preserve">For the few hospitals that do not supply patient level admitted data, </w:t>
      </w:r>
      <w:r>
        <w:rPr>
          <w:rFonts w:cs="Arial"/>
          <w:szCs w:val="20"/>
        </w:rPr>
        <w:t>admitted</w:t>
      </w:r>
      <w:r w:rsidRPr="001F6FD3">
        <w:rPr>
          <w:rFonts w:cs="Arial"/>
          <w:szCs w:val="20"/>
        </w:rPr>
        <w:t xml:space="preserve"> NWAU </w:t>
      </w:r>
      <w:r>
        <w:rPr>
          <w:rFonts w:cs="Arial"/>
          <w:szCs w:val="20"/>
        </w:rPr>
        <w:t>is estimated based on sum of the reported in-scope admitted acute and subacute expenditure from the NPHED</w:t>
      </w:r>
      <w:r w:rsidRPr="001F6FD3">
        <w:rPr>
          <w:rFonts w:cs="Arial"/>
          <w:szCs w:val="20"/>
        </w:rPr>
        <w:t>.</w:t>
      </w:r>
      <w:r>
        <w:rPr>
          <w:rFonts w:cs="Arial"/>
          <w:szCs w:val="20"/>
        </w:rPr>
        <w:t xml:space="preserve"> </w:t>
      </w:r>
      <w:r w:rsidRPr="003B3984">
        <w:rPr>
          <w:rFonts w:cs="Arial"/>
          <w:szCs w:val="20"/>
        </w:rPr>
        <w:t xml:space="preserve">The number of admitted NWAU is calculated by multiplying </w:t>
      </w:r>
      <w:r>
        <w:rPr>
          <w:rFonts w:cs="Arial"/>
          <w:szCs w:val="20"/>
        </w:rPr>
        <w:t xml:space="preserve">the total reported admitted expenditure by </w:t>
      </w:r>
      <w:r w:rsidRPr="003B3984">
        <w:rPr>
          <w:rFonts w:cs="Arial"/>
          <w:szCs w:val="20"/>
        </w:rPr>
        <w:t>0.</w:t>
      </w:r>
      <w:r w:rsidR="00AE49F0" w:rsidRPr="00801AF5">
        <w:rPr>
          <w:rFonts w:cs="Arial"/>
          <w:szCs w:val="20"/>
        </w:rPr>
        <w:t>000</w:t>
      </w:r>
      <w:r w:rsidR="00AE49F0">
        <w:rPr>
          <w:rFonts w:cs="Arial"/>
          <w:szCs w:val="20"/>
        </w:rPr>
        <w:t>150</w:t>
      </w:r>
    </w:p>
    <w:p w14:paraId="12F07EEA" w14:textId="77777777" w:rsidR="008B0A88" w:rsidRPr="003B3984" w:rsidRDefault="008B0A88">
      <w:pPr>
        <w:tabs>
          <w:tab w:val="left" w:pos="1162"/>
        </w:tabs>
        <w:spacing w:before="120" w:after="200" w:line="276" w:lineRule="auto"/>
      </w:pPr>
      <w:r w:rsidRPr="003B3984">
        <w:rPr>
          <w:rFonts w:cs="Arial"/>
          <w:szCs w:val="20"/>
        </w:rPr>
        <w:t xml:space="preserve">The </w:t>
      </w:r>
      <w:r>
        <w:rPr>
          <w:rFonts w:cs="Arial"/>
          <w:szCs w:val="20"/>
        </w:rPr>
        <w:t>admitted</w:t>
      </w:r>
      <w:r w:rsidRPr="003B3984">
        <w:rPr>
          <w:rFonts w:cs="Arial"/>
          <w:szCs w:val="20"/>
        </w:rPr>
        <w:t xml:space="preserve"> multiplier is </w:t>
      </w:r>
      <w:r w:rsidRPr="00825D0D">
        <w:rPr>
          <w:rFonts w:cs="Arial"/>
          <w:szCs w:val="20"/>
        </w:rPr>
        <w:t xml:space="preserve">the </w:t>
      </w:r>
      <w:r>
        <w:rPr>
          <w:rFonts w:cs="Arial"/>
          <w:szCs w:val="20"/>
        </w:rPr>
        <w:t>parameter estimate from</w:t>
      </w:r>
      <w:r w:rsidRPr="00825D0D">
        <w:rPr>
          <w:rFonts w:cs="Arial"/>
          <w:szCs w:val="20"/>
        </w:rPr>
        <w:t xml:space="preserve"> a linear </w:t>
      </w:r>
      <w:r w:rsidRPr="003B3984">
        <w:rPr>
          <w:rFonts w:cs="Arial"/>
          <w:szCs w:val="20"/>
        </w:rPr>
        <w:t>regression of NWAU (using the NEP1</w:t>
      </w:r>
      <w:r w:rsidRPr="00825D0D">
        <w:rPr>
          <w:rFonts w:cs="Arial"/>
          <w:szCs w:val="20"/>
        </w:rPr>
        <w:t>6</w:t>
      </w:r>
      <w:r w:rsidRPr="003B3984">
        <w:rPr>
          <w:rFonts w:cs="Arial"/>
          <w:szCs w:val="20"/>
        </w:rPr>
        <w:t xml:space="preserve"> NWAU calculator) versus </w:t>
      </w:r>
      <w:r>
        <w:rPr>
          <w:rFonts w:cs="Arial"/>
          <w:szCs w:val="20"/>
        </w:rPr>
        <w:t>total admitted</w:t>
      </w:r>
      <w:r w:rsidRPr="003B3984">
        <w:rPr>
          <w:rFonts w:cs="Arial"/>
          <w:szCs w:val="20"/>
        </w:rPr>
        <w:t xml:space="preserve"> </w:t>
      </w:r>
      <w:r>
        <w:rPr>
          <w:rFonts w:cs="Arial"/>
          <w:szCs w:val="20"/>
        </w:rPr>
        <w:t xml:space="preserve">expenditure </w:t>
      </w:r>
      <w:r w:rsidRPr="003B3984">
        <w:rPr>
          <w:rFonts w:cs="Arial"/>
          <w:szCs w:val="20"/>
        </w:rPr>
        <w:t xml:space="preserve">for </w:t>
      </w:r>
      <w:r>
        <w:rPr>
          <w:rFonts w:cs="Arial"/>
          <w:szCs w:val="20"/>
        </w:rPr>
        <w:t>small</w:t>
      </w:r>
      <w:r w:rsidRPr="003B3984">
        <w:rPr>
          <w:rFonts w:cs="Arial"/>
          <w:szCs w:val="20"/>
        </w:rPr>
        <w:t xml:space="preserve"> hospitals</w:t>
      </w:r>
      <w:r>
        <w:rPr>
          <w:rFonts w:cs="Arial"/>
          <w:szCs w:val="20"/>
        </w:rPr>
        <w:t xml:space="preserve"> (total public patient equivalent NWAU less than 5,000)</w:t>
      </w:r>
      <w:r w:rsidRPr="003B3984">
        <w:rPr>
          <w:rFonts w:cs="Arial"/>
          <w:szCs w:val="20"/>
        </w:rPr>
        <w:t xml:space="preserve"> that have </w:t>
      </w:r>
      <w:r>
        <w:rPr>
          <w:rFonts w:cs="Arial"/>
          <w:szCs w:val="20"/>
        </w:rPr>
        <w:t xml:space="preserve">admitted activity </w:t>
      </w:r>
      <w:r w:rsidRPr="003B3984">
        <w:rPr>
          <w:rFonts w:cs="Arial"/>
          <w:szCs w:val="20"/>
        </w:rPr>
        <w:t xml:space="preserve">data. </w:t>
      </w:r>
    </w:p>
    <w:p w14:paraId="2F41A010" w14:textId="77777777" w:rsidR="008B0A88" w:rsidRPr="001F6FD3" w:rsidRDefault="008B0A88" w:rsidP="002D606E">
      <w:pPr>
        <w:pStyle w:val="Headingnonumber"/>
        <w:jc w:val="left"/>
      </w:pPr>
      <w:r w:rsidRPr="001F6FD3">
        <w:t>ED NWAU</w:t>
      </w:r>
    </w:p>
    <w:p w14:paraId="03A6637A" w14:textId="6ED1A3A8" w:rsidR="008B0A88" w:rsidRDefault="004033B9" w:rsidP="00560AC0">
      <w:pPr>
        <w:tabs>
          <w:tab w:val="left" w:pos="1162"/>
        </w:tabs>
        <w:rPr>
          <w:rFonts w:cs="Arial"/>
          <w:szCs w:val="20"/>
        </w:rPr>
      </w:pPr>
      <w:r>
        <w:rPr>
          <w:rFonts w:cs="Arial"/>
          <w:szCs w:val="20"/>
        </w:rPr>
        <w:t>Approximately</w:t>
      </w:r>
      <w:r w:rsidR="008B0A88" w:rsidRPr="00A95C8E">
        <w:rPr>
          <w:rFonts w:cs="Arial"/>
          <w:szCs w:val="20"/>
        </w:rPr>
        <w:t xml:space="preserve"> </w:t>
      </w:r>
      <w:r w:rsidRPr="00917A00">
        <w:rPr>
          <w:rFonts w:cs="Arial"/>
          <w:szCs w:val="20"/>
        </w:rPr>
        <w:t>27</w:t>
      </w:r>
      <w:r>
        <w:rPr>
          <w:rFonts w:cs="Arial"/>
          <w:szCs w:val="20"/>
        </w:rPr>
        <w:t xml:space="preserve"> per cent</w:t>
      </w:r>
      <w:r w:rsidR="008B0A88">
        <w:rPr>
          <w:rFonts w:cs="Arial"/>
          <w:szCs w:val="20"/>
        </w:rPr>
        <w:t xml:space="preserve"> of block funded hospitals reported </w:t>
      </w:r>
      <w:r>
        <w:rPr>
          <w:rFonts w:cs="Arial"/>
          <w:szCs w:val="20"/>
        </w:rPr>
        <w:t xml:space="preserve">emergency activity </w:t>
      </w:r>
      <w:r w:rsidR="008B0A88">
        <w:rPr>
          <w:rFonts w:cs="Arial"/>
          <w:szCs w:val="20"/>
        </w:rPr>
        <w:t>at the patient level</w:t>
      </w:r>
      <w:r>
        <w:rPr>
          <w:rFonts w:cs="Arial"/>
          <w:szCs w:val="20"/>
        </w:rPr>
        <w:t>, and</w:t>
      </w:r>
      <w:r w:rsidR="008B0A88">
        <w:rPr>
          <w:rFonts w:cs="Arial"/>
          <w:szCs w:val="20"/>
        </w:rPr>
        <w:t xml:space="preserve"> </w:t>
      </w:r>
      <w:r w:rsidR="00917A00">
        <w:rPr>
          <w:rFonts w:cs="Arial"/>
          <w:szCs w:val="20"/>
        </w:rPr>
        <w:t xml:space="preserve">54 </w:t>
      </w:r>
      <w:r>
        <w:rPr>
          <w:rFonts w:cs="Arial"/>
          <w:szCs w:val="20"/>
        </w:rPr>
        <w:t>per cent</w:t>
      </w:r>
      <w:r w:rsidR="008B0A88">
        <w:rPr>
          <w:rFonts w:cs="Arial"/>
          <w:szCs w:val="20"/>
        </w:rPr>
        <w:t xml:space="preserve"> report aggregate presentation</w:t>
      </w:r>
      <w:r w:rsidR="008B0A88" w:rsidRPr="001F6FD3">
        <w:rPr>
          <w:rFonts w:cs="Arial"/>
          <w:szCs w:val="20"/>
        </w:rPr>
        <w:t xml:space="preserve"> information at the </w:t>
      </w:r>
      <w:r w:rsidR="008B0A88">
        <w:rPr>
          <w:rFonts w:cs="Arial"/>
          <w:szCs w:val="20"/>
        </w:rPr>
        <w:t>UDG</w:t>
      </w:r>
      <w:r w:rsidR="008B0A88" w:rsidRPr="001F6FD3">
        <w:rPr>
          <w:rFonts w:cs="Arial"/>
          <w:szCs w:val="20"/>
        </w:rPr>
        <w:t xml:space="preserve"> leve</w:t>
      </w:r>
      <w:r>
        <w:rPr>
          <w:rFonts w:cs="Arial"/>
          <w:szCs w:val="20"/>
        </w:rPr>
        <w:t>l. W</w:t>
      </w:r>
      <w:r w:rsidR="008B0A88" w:rsidRPr="001F6FD3">
        <w:rPr>
          <w:rFonts w:cs="Arial"/>
          <w:szCs w:val="20"/>
        </w:rPr>
        <w:t>here available, these data are used to determine NWAU values utilising the NEP</w:t>
      </w:r>
      <w:r w:rsidR="008B0A88">
        <w:rPr>
          <w:rFonts w:cs="Arial"/>
          <w:szCs w:val="20"/>
        </w:rPr>
        <w:t>16</w:t>
      </w:r>
      <w:r w:rsidR="008B0A88" w:rsidRPr="001F6FD3">
        <w:rPr>
          <w:rFonts w:cs="Arial"/>
          <w:szCs w:val="20"/>
        </w:rPr>
        <w:t xml:space="preserve"> price weights.</w:t>
      </w:r>
    </w:p>
    <w:p w14:paraId="2142F4BF" w14:textId="0710C94B" w:rsidR="008B0A88" w:rsidRPr="00BC389A" w:rsidRDefault="008B0A88">
      <w:pPr>
        <w:tabs>
          <w:tab w:val="left" w:pos="1162"/>
        </w:tabs>
        <w:rPr>
          <w:rFonts w:cs="Arial"/>
          <w:szCs w:val="20"/>
        </w:rPr>
      </w:pPr>
      <w:r w:rsidRPr="001F6FD3">
        <w:rPr>
          <w:rFonts w:cs="Arial"/>
          <w:szCs w:val="20"/>
        </w:rPr>
        <w:t xml:space="preserve">For the hospitals that do not supply </w:t>
      </w:r>
      <w:r>
        <w:rPr>
          <w:rFonts w:cs="Arial"/>
          <w:szCs w:val="20"/>
        </w:rPr>
        <w:t>emergency</w:t>
      </w:r>
      <w:r w:rsidRPr="001F6FD3">
        <w:rPr>
          <w:rFonts w:cs="Arial"/>
          <w:szCs w:val="20"/>
        </w:rPr>
        <w:t xml:space="preserve"> </w:t>
      </w:r>
      <w:r>
        <w:rPr>
          <w:rFonts w:cs="Arial"/>
          <w:szCs w:val="20"/>
        </w:rPr>
        <w:t>activity data,</w:t>
      </w:r>
      <w:r w:rsidRPr="001F6FD3">
        <w:rPr>
          <w:rFonts w:cs="Arial"/>
          <w:szCs w:val="20"/>
        </w:rPr>
        <w:t xml:space="preserve"> </w:t>
      </w:r>
      <w:r>
        <w:rPr>
          <w:rFonts w:cs="Arial"/>
          <w:szCs w:val="20"/>
        </w:rPr>
        <w:t>emergency</w:t>
      </w:r>
      <w:r w:rsidRPr="001F6FD3">
        <w:rPr>
          <w:rFonts w:cs="Arial"/>
          <w:szCs w:val="20"/>
        </w:rPr>
        <w:t xml:space="preserve"> NWAU </w:t>
      </w:r>
      <w:r>
        <w:rPr>
          <w:rFonts w:cs="Arial"/>
          <w:szCs w:val="20"/>
        </w:rPr>
        <w:t>is estimated based on the reported emergency expenditure from the NPHED</w:t>
      </w:r>
      <w:r w:rsidRPr="001F6FD3">
        <w:rPr>
          <w:rFonts w:cs="Arial"/>
          <w:szCs w:val="20"/>
        </w:rPr>
        <w:t>.</w:t>
      </w:r>
      <w:r>
        <w:rPr>
          <w:rFonts w:cs="Arial"/>
          <w:szCs w:val="20"/>
        </w:rPr>
        <w:t xml:space="preserve"> </w:t>
      </w:r>
      <w:r w:rsidRPr="00BC389A">
        <w:rPr>
          <w:rFonts w:cs="Arial"/>
          <w:szCs w:val="20"/>
        </w:rPr>
        <w:t xml:space="preserve">The number of </w:t>
      </w:r>
      <w:r>
        <w:rPr>
          <w:rFonts w:cs="Arial"/>
          <w:szCs w:val="20"/>
        </w:rPr>
        <w:t>emergency</w:t>
      </w:r>
      <w:r w:rsidRPr="00BC389A">
        <w:rPr>
          <w:rFonts w:cs="Arial"/>
          <w:szCs w:val="20"/>
        </w:rPr>
        <w:t xml:space="preserve"> NWAU is calculated by multiplying </w:t>
      </w:r>
      <w:r>
        <w:rPr>
          <w:rFonts w:cs="Arial"/>
          <w:szCs w:val="20"/>
        </w:rPr>
        <w:t xml:space="preserve">the total reported emergency expenditure by </w:t>
      </w:r>
      <w:r w:rsidRPr="00BC389A">
        <w:rPr>
          <w:rFonts w:cs="Arial"/>
          <w:szCs w:val="20"/>
        </w:rPr>
        <w:t>0.</w:t>
      </w:r>
      <w:r w:rsidR="00AE49F0" w:rsidRPr="00BC389A">
        <w:rPr>
          <w:rFonts w:cs="Arial"/>
          <w:szCs w:val="20"/>
        </w:rPr>
        <w:t>000</w:t>
      </w:r>
      <w:r w:rsidR="00AE49F0">
        <w:rPr>
          <w:rFonts w:cs="Arial"/>
          <w:szCs w:val="20"/>
        </w:rPr>
        <w:t>187</w:t>
      </w:r>
      <w:r w:rsidR="00EC32C8">
        <w:rPr>
          <w:rFonts w:cs="Arial"/>
          <w:szCs w:val="20"/>
        </w:rPr>
        <w:t>.</w:t>
      </w:r>
    </w:p>
    <w:p w14:paraId="20B40A6C" w14:textId="77777777" w:rsidR="008B0A88" w:rsidRPr="00BC389A" w:rsidRDefault="008B0A88">
      <w:pPr>
        <w:tabs>
          <w:tab w:val="left" w:pos="1162"/>
        </w:tabs>
        <w:spacing w:before="120" w:after="200" w:line="276" w:lineRule="auto"/>
      </w:pPr>
      <w:r w:rsidRPr="00BC389A">
        <w:rPr>
          <w:rFonts w:cs="Arial"/>
          <w:szCs w:val="20"/>
        </w:rPr>
        <w:t xml:space="preserve">The </w:t>
      </w:r>
      <w:r>
        <w:rPr>
          <w:rFonts w:cs="Arial"/>
          <w:szCs w:val="20"/>
        </w:rPr>
        <w:t>emergency</w:t>
      </w:r>
      <w:r w:rsidRPr="00BC389A">
        <w:rPr>
          <w:rFonts w:cs="Arial"/>
          <w:szCs w:val="20"/>
        </w:rPr>
        <w:t xml:space="preserve"> multiplier is the </w:t>
      </w:r>
      <w:r>
        <w:rPr>
          <w:rFonts w:cs="Arial"/>
          <w:szCs w:val="20"/>
        </w:rPr>
        <w:t>parameter estimate from</w:t>
      </w:r>
      <w:r w:rsidRPr="00BC389A">
        <w:rPr>
          <w:rFonts w:cs="Arial"/>
          <w:szCs w:val="20"/>
        </w:rPr>
        <w:t xml:space="preserve"> a linear regression of NWAU (using the NEP16 NWAU calculator) versus </w:t>
      </w:r>
      <w:r>
        <w:rPr>
          <w:rFonts w:cs="Arial"/>
          <w:szCs w:val="20"/>
        </w:rPr>
        <w:t>total emergency</w:t>
      </w:r>
      <w:r w:rsidRPr="00BC389A">
        <w:rPr>
          <w:rFonts w:cs="Arial"/>
          <w:szCs w:val="20"/>
        </w:rPr>
        <w:t xml:space="preserve"> </w:t>
      </w:r>
      <w:r>
        <w:rPr>
          <w:rFonts w:cs="Arial"/>
          <w:szCs w:val="20"/>
        </w:rPr>
        <w:t xml:space="preserve">expenditure </w:t>
      </w:r>
      <w:r w:rsidRPr="00BC389A">
        <w:rPr>
          <w:rFonts w:cs="Arial"/>
          <w:szCs w:val="20"/>
        </w:rPr>
        <w:t xml:space="preserve">for </w:t>
      </w:r>
      <w:r>
        <w:rPr>
          <w:rFonts w:cs="Arial"/>
          <w:szCs w:val="20"/>
        </w:rPr>
        <w:t>small</w:t>
      </w:r>
      <w:r w:rsidRPr="00BC389A">
        <w:rPr>
          <w:rFonts w:cs="Arial"/>
          <w:szCs w:val="20"/>
        </w:rPr>
        <w:t xml:space="preserve"> hospitals</w:t>
      </w:r>
      <w:r>
        <w:rPr>
          <w:rFonts w:cs="Arial"/>
          <w:szCs w:val="20"/>
        </w:rPr>
        <w:t xml:space="preserve"> (total public patient equivalent NWAU less than 5,000)</w:t>
      </w:r>
      <w:r w:rsidRPr="00BC389A">
        <w:rPr>
          <w:rFonts w:cs="Arial"/>
          <w:szCs w:val="20"/>
        </w:rPr>
        <w:t xml:space="preserve"> that have </w:t>
      </w:r>
      <w:r>
        <w:rPr>
          <w:rFonts w:cs="Arial"/>
          <w:szCs w:val="20"/>
        </w:rPr>
        <w:t xml:space="preserve">emergency activity </w:t>
      </w:r>
      <w:r w:rsidRPr="00BC389A">
        <w:rPr>
          <w:rFonts w:cs="Arial"/>
          <w:szCs w:val="20"/>
        </w:rPr>
        <w:t xml:space="preserve">data. </w:t>
      </w:r>
    </w:p>
    <w:p w14:paraId="36008C34" w14:textId="77777777" w:rsidR="008B0A88" w:rsidRPr="00A75588" w:rsidRDefault="008B0A88" w:rsidP="002D606E">
      <w:pPr>
        <w:pStyle w:val="Headingnonumber"/>
        <w:jc w:val="left"/>
      </w:pPr>
      <w:r w:rsidRPr="00A75588">
        <w:t>Non-admitted NWAU</w:t>
      </w:r>
    </w:p>
    <w:p w14:paraId="4E0F7EDB" w14:textId="670AD784" w:rsidR="008B0A88" w:rsidRPr="001F6FD3" w:rsidRDefault="004033B9" w:rsidP="00560AC0">
      <w:pPr>
        <w:tabs>
          <w:tab w:val="left" w:pos="1162"/>
        </w:tabs>
        <w:rPr>
          <w:rFonts w:cs="Arial"/>
          <w:szCs w:val="20"/>
        </w:rPr>
      </w:pPr>
      <w:r>
        <w:rPr>
          <w:rFonts w:cs="Arial"/>
          <w:szCs w:val="20"/>
        </w:rPr>
        <w:t xml:space="preserve">Approximately </w:t>
      </w:r>
      <w:r w:rsidR="00917A00">
        <w:rPr>
          <w:rFonts w:cs="Arial"/>
          <w:szCs w:val="20"/>
        </w:rPr>
        <w:t xml:space="preserve">44 </w:t>
      </w:r>
      <w:r>
        <w:rPr>
          <w:rFonts w:cs="Arial"/>
          <w:szCs w:val="20"/>
        </w:rPr>
        <w:t>per cent</w:t>
      </w:r>
      <w:r w:rsidR="008B0A88">
        <w:rPr>
          <w:rFonts w:cs="Arial"/>
          <w:szCs w:val="20"/>
        </w:rPr>
        <w:t xml:space="preserve"> of block funded hospitals reported </w:t>
      </w:r>
      <w:r>
        <w:rPr>
          <w:rFonts w:cs="Arial"/>
          <w:szCs w:val="20"/>
        </w:rPr>
        <w:t xml:space="preserve">non-admitted activity </w:t>
      </w:r>
      <w:r w:rsidR="008B0A88">
        <w:rPr>
          <w:rFonts w:cs="Arial"/>
          <w:szCs w:val="20"/>
        </w:rPr>
        <w:t>at the patient level</w:t>
      </w:r>
      <w:r>
        <w:rPr>
          <w:rFonts w:cs="Arial"/>
          <w:szCs w:val="20"/>
        </w:rPr>
        <w:t>, and</w:t>
      </w:r>
      <w:r w:rsidR="008B0A88">
        <w:rPr>
          <w:rFonts w:cs="Arial"/>
          <w:szCs w:val="20"/>
        </w:rPr>
        <w:t xml:space="preserve"> </w:t>
      </w:r>
      <w:r w:rsidRPr="00917A00">
        <w:rPr>
          <w:rFonts w:cs="Arial"/>
          <w:szCs w:val="20"/>
        </w:rPr>
        <w:t>87</w:t>
      </w:r>
      <w:r w:rsidR="008B0A88" w:rsidRPr="005D2CAB">
        <w:rPr>
          <w:rFonts w:cs="Arial"/>
          <w:szCs w:val="20"/>
        </w:rPr>
        <w:t xml:space="preserve"> per cent</w:t>
      </w:r>
      <w:r w:rsidR="008B0A88">
        <w:rPr>
          <w:rFonts w:cs="Arial"/>
          <w:szCs w:val="20"/>
        </w:rPr>
        <w:t xml:space="preserve"> report</w:t>
      </w:r>
      <w:r>
        <w:rPr>
          <w:rFonts w:cs="Arial"/>
          <w:szCs w:val="20"/>
        </w:rPr>
        <w:t>ed</w:t>
      </w:r>
      <w:r w:rsidR="008B0A88">
        <w:rPr>
          <w:rFonts w:cs="Arial"/>
          <w:szCs w:val="20"/>
        </w:rPr>
        <w:t xml:space="preserve"> aggregate</w:t>
      </w:r>
      <w:r w:rsidR="008B0A88" w:rsidRPr="001F6FD3">
        <w:rPr>
          <w:rFonts w:cs="Arial"/>
          <w:szCs w:val="20"/>
        </w:rPr>
        <w:t xml:space="preserve"> service event information at the clinic level</w:t>
      </w:r>
      <w:r>
        <w:rPr>
          <w:rFonts w:cs="Arial"/>
          <w:szCs w:val="20"/>
        </w:rPr>
        <w:t>. W</w:t>
      </w:r>
      <w:r w:rsidR="008B0A88" w:rsidRPr="001F6FD3">
        <w:rPr>
          <w:rFonts w:cs="Arial"/>
          <w:szCs w:val="20"/>
        </w:rPr>
        <w:t>here available, these data are used to determine NWAU values utilising the NEP</w:t>
      </w:r>
      <w:r w:rsidR="008B0A88">
        <w:rPr>
          <w:rFonts w:cs="Arial"/>
          <w:szCs w:val="20"/>
        </w:rPr>
        <w:t>16</w:t>
      </w:r>
      <w:r w:rsidR="008B0A88" w:rsidRPr="001F6FD3">
        <w:rPr>
          <w:rFonts w:cs="Arial"/>
          <w:szCs w:val="20"/>
        </w:rPr>
        <w:t xml:space="preserve"> price weights.</w:t>
      </w:r>
    </w:p>
    <w:p w14:paraId="43827AD7" w14:textId="1B06FF8C" w:rsidR="008B0A88" w:rsidRPr="00BC389A" w:rsidRDefault="008B0A88">
      <w:pPr>
        <w:tabs>
          <w:tab w:val="left" w:pos="1162"/>
        </w:tabs>
        <w:rPr>
          <w:rFonts w:cs="Arial"/>
          <w:szCs w:val="20"/>
        </w:rPr>
      </w:pPr>
      <w:r w:rsidRPr="001F6FD3">
        <w:rPr>
          <w:rFonts w:cs="Arial"/>
          <w:szCs w:val="20"/>
        </w:rPr>
        <w:t xml:space="preserve">For the hospitals that do not supply </w:t>
      </w:r>
      <w:r>
        <w:rPr>
          <w:rFonts w:cs="Arial"/>
          <w:szCs w:val="20"/>
        </w:rPr>
        <w:t>non-admitted</w:t>
      </w:r>
      <w:r w:rsidRPr="001F6FD3">
        <w:rPr>
          <w:rFonts w:cs="Arial"/>
          <w:szCs w:val="20"/>
        </w:rPr>
        <w:t xml:space="preserve"> </w:t>
      </w:r>
      <w:r>
        <w:rPr>
          <w:rFonts w:cs="Arial"/>
          <w:szCs w:val="20"/>
        </w:rPr>
        <w:t>activity, non-admitted</w:t>
      </w:r>
      <w:r w:rsidRPr="001F6FD3">
        <w:rPr>
          <w:rFonts w:cs="Arial"/>
          <w:szCs w:val="20"/>
        </w:rPr>
        <w:t xml:space="preserve"> NWAU </w:t>
      </w:r>
      <w:r>
        <w:rPr>
          <w:rFonts w:cs="Arial"/>
          <w:szCs w:val="20"/>
        </w:rPr>
        <w:t>is estimated based on reported in-scope non-admitted expenditure from the NPHED</w:t>
      </w:r>
      <w:r w:rsidRPr="001F6FD3">
        <w:rPr>
          <w:rFonts w:cs="Arial"/>
          <w:szCs w:val="20"/>
        </w:rPr>
        <w:t>.</w:t>
      </w:r>
      <w:r>
        <w:rPr>
          <w:rFonts w:cs="Arial"/>
          <w:szCs w:val="20"/>
        </w:rPr>
        <w:t xml:space="preserve"> </w:t>
      </w:r>
      <w:r w:rsidRPr="00BC389A">
        <w:rPr>
          <w:rFonts w:cs="Arial"/>
          <w:szCs w:val="20"/>
        </w:rPr>
        <w:t xml:space="preserve">The number of </w:t>
      </w:r>
      <w:r>
        <w:rPr>
          <w:rFonts w:cs="Arial"/>
          <w:szCs w:val="20"/>
        </w:rPr>
        <w:t>non-admitted</w:t>
      </w:r>
      <w:r w:rsidRPr="00BC389A">
        <w:rPr>
          <w:rFonts w:cs="Arial"/>
          <w:szCs w:val="20"/>
        </w:rPr>
        <w:t xml:space="preserve"> NWAU is calculated by multiplying </w:t>
      </w:r>
      <w:r>
        <w:rPr>
          <w:rFonts w:cs="Arial"/>
          <w:szCs w:val="20"/>
        </w:rPr>
        <w:t xml:space="preserve">the total reported in-scope non-admitted expenditure by </w:t>
      </w:r>
      <w:r w:rsidRPr="00BC389A">
        <w:rPr>
          <w:rFonts w:cs="Arial"/>
          <w:szCs w:val="20"/>
        </w:rPr>
        <w:t>0.000</w:t>
      </w:r>
      <w:r>
        <w:rPr>
          <w:rFonts w:cs="Arial"/>
          <w:szCs w:val="20"/>
        </w:rPr>
        <w:t>098</w:t>
      </w:r>
      <w:r w:rsidR="00EC32C8">
        <w:rPr>
          <w:rFonts w:cs="Arial"/>
          <w:szCs w:val="20"/>
        </w:rPr>
        <w:t>.</w:t>
      </w:r>
    </w:p>
    <w:p w14:paraId="7FAF576E" w14:textId="77777777" w:rsidR="008B0A88" w:rsidRPr="00BC389A" w:rsidRDefault="008B0A88">
      <w:pPr>
        <w:tabs>
          <w:tab w:val="left" w:pos="1162"/>
        </w:tabs>
        <w:spacing w:before="120" w:after="200" w:line="276" w:lineRule="auto"/>
      </w:pPr>
      <w:r w:rsidRPr="00BC389A">
        <w:rPr>
          <w:rFonts w:cs="Arial"/>
          <w:szCs w:val="20"/>
        </w:rPr>
        <w:lastRenderedPageBreak/>
        <w:t xml:space="preserve">The </w:t>
      </w:r>
      <w:r>
        <w:rPr>
          <w:rFonts w:cs="Arial"/>
          <w:szCs w:val="20"/>
        </w:rPr>
        <w:t>non-admitted</w:t>
      </w:r>
      <w:r w:rsidRPr="00BC389A">
        <w:rPr>
          <w:rFonts w:cs="Arial"/>
          <w:szCs w:val="20"/>
        </w:rPr>
        <w:t xml:space="preserve"> multiplier is the </w:t>
      </w:r>
      <w:r>
        <w:rPr>
          <w:rFonts w:cs="Arial"/>
          <w:szCs w:val="20"/>
        </w:rPr>
        <w:t>parameter estimate from</w:t>
      </w:r>
      <w:r w:rsidRPr="00BC389A">
        <w:rPr>
          <w:rFonts w:cs="Arial"/>
          <w:szCs w:val="20"/>
        </w:rPr>
        <w:t xml:space="preserve"> a linear regression of NWAU (using the NEP16 NWAU calculator) versus </w:t>
      </w:r>
      <w:r>
        <w:rPr>
          <w:rFonts w:cs="Arial"/>
          <w:szCs w:val="20"/>
        </w:rPr>
        <w:t>total in-scope non-admitted</w:t>
      </w:r>
      <w:r w:rsidRPr="00BC389A">
        <w:rPr>
          <w:rFonts w:cs="Arial"/>
          <w:szCs w:val="20"/>
        </w:rPr>
        <w:t xml:space="preserve"> </w:t>
      </w:r>
      <w:r>
        <w:rPr>
          <w:rFonts w:cs="Arial"/>
          <w:szCs w:val="20"/>
        </w:rPr>
        <w:t xml:space="preserve">expenditure </w:t>
      </w:r>
      <w:r w:rsidRPr="00BC389A">
        <w:rPr>
          <w:rFonts w:cs="Arial"/>
          <w:szCs w:val="20"/>
        </w:rPr>
        <w:t xml:space="preserve">for </w:t>
      </w:r>
      <w:r>
        <w:rPr>
          <w:rFonts w:cs="Arial"/>
          <w:szCs w:val="20"/>
        </w:rPr>
        <w:t>small</w:t>
      </w:r>
      <w:r w:rsidRPr="00BC389A">
        <w:rPr>
          <w:rFonts w:cs="Arial"/>
          <w:szCs w:val="20"/>
        </w:rPr>
        <w:t xml:space="preserve"> hospitals</w:t>
      </w:r>
      <w:r>
        <w:rPr>
          <w:rFonts w:cs="Arial"/>
          <w:szCs w:val="20"/>
        </w:rPr>
        <w:t xml:space="preserve"> (total public patient equivalent NWAU less than 5,000)</w:t>
      </w:r>
      <w:r w:rsidRPr="00BC389A">
        <w:rPr>
          <w:rFonts w:cs="Arial"/>
          <w:szCs w:val="20"/>
        </w:rPr>
        <w:t xml:space="preserve"> that have </w:t>
      </w:r>
      <w:r>
        <w:rPr>
          <w:rFonts w:cs="Arial"/>
          <w:szCs w:val="20"/>
        </w:rPr>
        <w:t xml:space="preserve">non-admitted activity </w:t>
      </w:r>
      <w:r w:rsidRPr="00BC389A">
        <w:rPr>
          <w:rFonts w:cs="Arial"/>
          <w:szCs w:val="20"/>
        </w:rPr>
        <w:t xml:space="preserve">data. </w:t>
      </w:r>
    </w:p>
    <w:p w14:paraId="04BA0230" w14:textId="77777777" w:rsidR="008B0A88" w:rsidRPr="000351BD" w:rsidRDefault="008B0A88">
      <w:pPr>
        <w:pStyle w:val="Heading4"/>
        <w:ind w:left="426" w:hanging="142"/>
      </w:pPr>
      <w:r w:rsidRPr="00AE53A9">
        <w:t xml:space="preserve">In-scope </w:t>
      </w:r>
      <w:r>
        <w:t>e</w:t>
      </w:r>
      <w:r w:rsidRPr="00AE53A9">
        <w:t>xpenditure</w:t>
      </w:r>
    </w:p>
    <w:p w14:paraId="6EF29C37" w14:textId="58F3C9EA" w:rsidR="008B0A88" w:rsidRPr="008431B2" w:rsidRDefault="008B0A88">
      <w:pPr>
        <w:pStyle w:val="ListParagraph"/>
        <w:numPr>
          <w:ilvl w:val="0"/>
          <w:numId w:val="38"/>
        </w:numPr>
        <w:tabs>
          <w:tab w:val="left" w:pos="1162"/>
        </w:tabs>
        <w:spacing w:after="200" w:line="276" w:lineRule="auto"/>
        <w:rPr>
          <w:rFonts w:cs="Arial"/>
          <w:szCs w:val="20"/>
        </w:rPr>
      </w:pPr>
      <w:r w:rsidRPr="008431B2">
        <w:rPr>
          <w:rFonts w:cs="Arial"/>
          <w:szCs w:val="20"/>
        </w:rPr>
        <w:t>Depreciation is excluded from the NPHED reports of expenditure.</w:t>
      </w:r>
    </w:p>
    <w:p w14:paraId="325530B0" w14:textId="04D9E740" w:rsidR="008B0A88" w:rsidRPr="00C66019" w:rsidRDefault="008B0A88">
      <w:pPr>
        <w:pStyle w:val="ListParagraph"/>
        <w:numPr>
          <w:ilvl w:val="0"/>
          <w:numId w:val="38"/>
        </w:numPr>
        <w:tabs>
          <w:tab w:val="left" w:pos="1162"/>
        </w:tabs>
        <w:spacing w:after="200" w:line="276" w:lineRule="auto"/>
      </w:pPr>
      <w:r w:rsidRPr="008431B2">
        <w:rPr>
          <w:rFonts w:cs="Arial"/>
          <w:szCs w:val="20"/>
        </w:rPr>
        <w:t xml:space="preserve">Multi-purpose Services (MPS) </w:t>
      </w:r>
      <w:r>
        <w:rPr>
          <w:rFonts w:cs="Arial"/>
          <w:szCs w:val="20"/>
        </w:rPr>
        <w:t>payments</w:t>
      </w:r>
      <w:r w:rsidRPr="008431B2">
        <w:rPr>
          <w:rFonts w:cs="Arial"/>
          <w:szCs w:val="20"/>
        </w:rPr>
        <w:t xml:space="preserve"> </w:t>
      </w:r>
      <w:r>
        <w:rPr>
          <w:rFonts w:cs="Arial"/>
          <w:szCs w:val="20"/>
        </w:rPr>
        <w:t>have</w:t>
      </w:r>
      <w:r w:rsidRPr="008431B2">
        <w:rPr>
          <w:rFonts w:cs="Arial"/>
          <w:szCs w:val="20"/>
        </w:rPr>
        <w:t xml:space="preserve"> excluded from the NPHED total expenditure except where the jurisdictions have advised that MPS amounts were already excluded in the NPHED reported expenditure.</w:t>
      </w:r>
    </w:p>
    <w:p w14:paraId="09399EB1" w14:textId="77777777" w:rsidR="008B0A88" w:rsidRDefault="008B0A88">
      <w:pPr>
        <w:pStyle w:val="Heading3"/>
        <w:numPr>
          <w:ilvl w:val="2"/>
          <w:numId w:val="17"/>
        </w:numPr>
        <w:spacing w:before="200" w:after="120" w:line="276" w:lineRule="auto"/>
        <w:ind w:left="851" w:hanging="851"/>
        <w:contextualSpacing w:val="0"/>
      </w:pPr>
      <w:bookmarkStart w:id="853" w:name="_Toc412123656"/>
      <w:bookmarkStart w:id="854" w:name="_Toc412191164"/>
      <w:bookmarkStart w:id="855" w:name="_Toc412193599"/>
      <w:bookmarkStart w:id="856" w:name="_Toc412193701"/>
      <w:bookmarkStart w:id="857" w:name="_Toc412196595"/>
      <w:bookmarkStart w:id="858" w:name="_Toc412196698"/>
      <w:bookmarkStart w:id="859" w:name="_Toc412196801"/>
      <w:bookmarkStart w:id="860" w:name="_Toc412197101"/>
      <w:bookmarkStart w:id="861" w:name="_Toc412198125"/>
      <w:bookmarkStart w:id="862" w:name="_Toc412204654"/>
      <w:bookmarkStart w:id="863" w:name="_Toc412206046"/>
      <w:bookmarkStart w:id="864" w:name="_Toc412206632"/>
      <w:bookmarkStart w:id="865" w:name="_Toc412206757"/>
      <w:bookmarkStart w:id="866" w:name="_Toc412206859"/>
      <w:bookmarkStart w:id="867" w:name="_Toc412206959"/>
      <w:bookmarkStart w:id="868" w:name="_Toc412207168"/>
      <w:bookmarkStart w:id="869" w:name="_Toc412207431"/>
      <w:bookmarkStart w:id="870" w:name="_Toc412123657"/>
      <w:bookmarkStart w:id="871" w:name="_Toc412191165"/>
      <w:bookmarkStart w:id="872" w:name="_Toc412193600"/>
      <w:bookmarkStart w:id="873" w:name="_Toc412193702"/>
      <w:bookmarkStart w:id="874" w:name="_Toc412196596"/>
      <w:bookmarkStart w:id="875" w:name="_Toc412196699"/>
      <w:bookmarkStart w:id="876" w:name="_Toc412196802"/>
      <w:bookmarkStart w:id="877" w:name="_Toc412197102"/>
      <w:bookmarkStart w:id="878" w:name="_Toc412198126"/>
      <w:bookmarkStart w:id="879" w:name="_Toc412204655"/>
      <w:bookmarkStart w:id="880" w:name="_Toc412206047"/>
      <w:bookmarkStart w:id="881" w:name="_Toc412206633"/>
      <w:bookmarkStart w:id="882" w:name="_Toc412206758"/>
      <w:bookmarkStart w:id="883" w:name="_Toc412206860"/>
      <w:bookmarkStart w:id="884" w:name="_Toc412206960"/>
      <w:bookmarkStart w:id="885" w:name="_Toc412207169"/>
      <w:bookmarkStart w:id="886" w:name="_Toc412207432"/>
      <w:bookmarkStart w:id="887" w:name="_Ref373479482"/>
      <w:bookmarkStart w:id="888" w:name="_Toc380754769"/>
      <w:bookmarkStart w:id="889" w:name="_Toc466884241"/>
      <w:bookmarkStart w:id="890" w:name="_Toc467505254"/>
      <w:bookmarkStart w:id="891" w:name="_Toc467745635"/>
      <w:bookmarkStart w:id="892" w:name="_Toc468204098"/>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t>Calculation of cost parameters</w:t>
      </w:r>
      <w:bookmarkEnd w:id="887"/>
      <w:bookmarkEnd w:id="888"/>
      <w:bookmarkEnd w:id="889"/>
      <w:bookmarkEnd w:id="890"/>
      <w:bookmarkEnd w:id="891"/>
      <w:bookmarkEnd w:id="892"/>
    </w:p>
    <w:p w14:paraId="02899C1C" w14:textId="77777777" w:rsidR="008B0A88" w:rsidRDefault="008B0A88">
      <w:pPr>
        <w:tabs>
          <w:tab w:val="left" w:pos="1162"/>
        </w:tabs>
        <w:rPr>
          <w:rFonts w:cs="Arial"/>
          <w:szCs w:val="20"/>
        </w:rPr>
      </w:pPr>
      <w:r>
        <w:rPr>
          <w:rFonts w:cs="Arial"/>
          <w:szCs w:val="20"/>
        </w:rPr>
        <w:t xml:space="preserve">The placement of a hospital in a group is based on the average total NWAU over the </w:t>
      </w:r>
      <w:r w:rsidRPr="00801AF5">
        <w:rPr>
          <w:rFonts w:cs="Arial"/>
          <w:szCs w:val="20"/>
        </w:rPr>
        <w:t>three years from 2012-13 to 2014-15</w:t>
      </w:r>
      <w:r>
        <w:rPr>
          <w:rFonts w:cs="Arial"/>
          <w:szCs w:val="20"/>
        </w:rPr>
        <w:t>; namely, the sum of the NWAU for all admitted acute, subacute, ED and non-admitted in-scope hospital services.</w:t>
      </w:r>
    </w:p>
    <w:p w14:paraId="74368D4D" w14:textId="6EEFAB9A" w:rsidR="008B0A88" w:rsidRPr="00AB73FA" w:rsidRDefault="008B0A88">
      <w:pPr>
        <w:tabs>
          <w:tab w:val="left" w:pos="1162"/>
        </w:tabs>
        <w:rPr>
          <w:rFonts w:cs="Arial"/>
          <w:szCs w:val="20"/>
        </w:rPr>
      </w:pPr>
      <w:r w:rsidRPr="001D52E1">
        <w:rPr>
          <w:rFonts w:cs="Arial"/>
          <w:szCs w:val="20"/>
        </w:rPr>
        <w:t xml:space="preserve">For </w:t>
      </w:r>
      <w:r>
        <w:rPr>
          <w:rFonts w:cs="Arial"/>
          <w:szCs w:val="20"/>
        </w:rPr>
        <w:t>NEC17</w:t>
      </w:r>
      <w:r w:rsidRPr="001D52E1">
        <w:rPr>
          <w:rFonts w:cs="Arial"/>
          <w:szCs w:val="20"/>
        </w:rPr>
        <w:t xml:space="preserve">, </w:t>
      </w:r>
      <w:r>
        <w:rPr>
          <w:rFonts w:cs="Arial"/>
          <w:szCs w:val="20"/>
        </w:rPr>
        <w:t>379</w:t>
      </w:r>
      <w:r w:rsidRPr="001D52E1">
        <w:rPr>
          <w:rFonts w:cs="Arial"/>
          <w:szCs w:val="20"/>
        </w:rPr>
        <w:t xml:space="preserve"> hospitals have been designated as block funded</w:t>
      </w:r>
      <w:r>
        <w:rPr>
          <w:rFonts w:cs="Arial"/>
          <w:szCs w:val="20"/>
        </w:rPr>
        <w:t xml:space="preserve"> and</w:t>
      </w:r>
      <w:r w:rsidRPr="001D52E1">
        <w:rPr>
          <w:rFonts w:cs="Arial"/>
          <w:szCs w:val="20"/>
        </w:rPr>
        <w:t xml:space="preserve"> have been grouped by size</w:t>
      </w:r>
      <w:r>
        <w:rPr>
          <w:rFonts w:cs="Arial"/>
          <w:szCs w:val="20"/>
        </w:rPr>
        <w:t>, type</w:t>
      </w:r>
      <w:r w:rsidRPr="001D52E1">
        <w:rPr>
          <w:rFonts w:cs="Arial"/>
          <w:szCs w:val="20"/>
        </w:rPr>
        <w:t xml:space="preserve"> and locality for the specification of availability and service capacity elements to determine </w:t>
      </w:r>
      <w:r>
        <w:rPr>
          <w:rFonts w:cs="Arial"/>
          <w:szCs w:val="20"/>
        </w:rPr>
        <w:t>NEC17</w:t>
      </w:r>
      <w:r w:rsidRPr="001D52E1">
        <w:rPr>
          <w:rFonts w:cs="Arial"/>
          <w:szCs w:val="20"/>
        </w:rPr>
        <w:t xml:space="preserve">. The distribution of these </w:t>
      </w:r>
      <w:r>
        <w:rPr>
          <w:rFonts w:cs="Arial"/>
          <w:szCs w:val="20"/>
        </w:rPr>
        <w:t>379 h</w:t>
      </w:r>
      <w:r w:rsidRPr="001D52E1">
        <w:rPr>
          <w:rFonts w:cs="Arial"/>
          <w:szCs w:val="20"/>
        </w:rPr>
        <w:t xml:space="preserve">ospitals is shown in </w:t>
      </w:r>
      <w:r>
        <w:rPr>
          <w:rFonts w:cs="Arial"/>
          <w:szCs w:val="20"/>
        </w:rPr>
        <w:fldChar w:fldCharType="begin"/>
      </w:r>
      <w:r>
        <w:rPr>
          <w:rFonts w:cs="Arial"/>
          <w:szCs w:val="20"/>
        </w:rPr>
        <w:instrText xml:space="preserve"> REF _Ref467072346 \h </w:instrText>
      </w:r>
      <w:r w:rsidR="00560AC0">
        <w:rPr>
          <w:rFonts w:cs="Arial"/>
          <w:szCs w:val="20"/>
        </w:rPr>
        <w:instrText xml:space="preserve"> \* MERGEFORMAT </w:instrText>
      </w:r>
      <w:r>
        <w:rPr>
          <w:rFonts w:cs="Arial"/>
          <w:szCs w:val="20"/>
        </w:rPr>
      </w:r>
      <w:r>
        <w:rPr>
          <w:rFonts w:cs="Arial"/>
          <w:szCs w:val="20"/>
        </w:rPr>
        <w:fldChar w:fldCharType="separate"/>
      </w:r>
      <w:r w:rsidR="00F84458" w:rsidRPr="008B0A88">
        <w:rPr>
          <w:b/>
        </w:rPr>
        <w:t xml:space="preserve">Table </w:t>
      </w:r>
      <w:r w:rsidR="00F84458">
        <w:rPr>
          <w:b/>
          <w:noProof/>
        </w:rPr>
        <w:t>19</w:t>
      </w:r>
      <w:r>
        <w:rPr>
          <w:rFonts w:cs="Arial"/>
          <w:szCs w:val="20"/>
        </w:rPr>
        <w:fldChar w:fldCharType="end"/>
      </w:r>
      <w:r w:rsidRPr="001D52E1">
        <w:rPr>
          <w:rFonts w:cs="Arial"/>
          <w:szCs w:val="20"/>
        </w:rPr>
        <w:t>.</w:t>
      </w:r>
      <w:bookmarkStart w:id="893" w:name="_Ref373478917"/>
    </w:p>
    <w:p w14:paraId="6BD7A67A" w14:textId="3501A059" w:rsidR="008B0A88" w:rsidRDefault="008B0A88">
      <w:pPr>
        <w:spacing w:before="120" w:after="0" w:line="240" w:lineRule="auto"/>
      </w:pPr>
      <w:bookmarkStart w:id="894" w:name="_Ref467072346"/>
      <w:r w:rsidRPr="008B0A88">
        <w:rPr>
          <w:b/>
        </w:rPr>
        <w:t xml:space="preserve">Table </w:t>
      </w:r>
      <w:r w:rsidRPr="008B0A88">
        <w:rPr>
          <w:b/>
        </w:rPr>
        <w:fldChar w:fldCharType="begin"/>
      </w:r>
      <w:r w:rsidRPr="008B0A88">
        <w:rPr>
          <w:b/>
        </w:rPr>
        <w:instrText xml:space="preserve"> SEQ Table \* ARABIC </w:instrText>
      </w:r>
      <w:r w:rsidRPr="008B0A88">
        <w:rPr>
          <w:b/>
        </w:rPr>
        <w:fldChar w:fldCharType="separate"/>
      </w:r>
      <w:r w:rsidR="00F84458">
        <w:rPr>
          <w:b/>
          <w:noProof/>
        </w:rPr>
        <w:t>19</w:t>
      </w:r>
      <w:r w:rsidRPr="008B0A88">
        <w:rPr>
          <w:b/>
        </w:rPr>
        <w:fldChar w:fldCharType="end"/>
      </w:r>
      <w:bookmarkEnd w:id="893"/>
      <w:bookmarkEnd w:id="894"/>
      <w:r w:rsidRPr="008B0A88">
        <w:rPr>
          <w:b/>
        </w:rPr>
        <w:t>: Distribution of block funded hospitals across size-locality</w:t>
      </w:r>
      <w:r>
        <w:t xml:space="preserve"> </w:t>
      </w:r>
      <w:r w:rsidRPr="008B0A88">
        <w:rPr>
          <w:b/>
        </w:rPr>
        <w:t>cells</w:t>
      </w:r>
      <w:r>
        <w:t>.</w:t>
      </w:r>
    </w:p>
    <w:tbl>
      <w:tblPr>
        <w:tblW w:w="9441" w:type="dxa"/>
        <w:jc w:val="center"/>
        <w:tblLayout w:type="fixed"/>
        <w:tblLook w:val="04A0" w:firstRow="1" w:lastRow="0" w:firstColumn="1" w:lastColumn="0" w:noHBand="0" w:noVBand="1"/>
      </w:tblPr>
      <w:tblGrid>
        <w:gridCol w:w="908"/>
        <w:gridCol w:w="8"/>
        <w:gridCol w:w="900"/>
        <w:gridCol w:w="953"/>
        <w:gridCol w:w="953"/>
        <w:gridCol w:w="953"/>
        <w:gridCol w:w="953"/>
        <w:gridCol w:w="953"/>
        <w:gridCol w:w="953"/>
        <w:gridCol w:w="953"/>
        <w:gridCol w:w="954"/>
      </w:tblGrid>
      <w:tr w:rsidR="008B0A88" w:rsidRPr="00AE49F0" w14:paraId="2A967375" w14:textId="77777777" w:rsidTr="008B0A88">
        <w:trPr>
          <w:cantSplit/>
          <w:trHeight w:val="421"/>
          <w:tblHeader/>
          <w:jc w:val="center"/>
        </w:trPr>
        <w:tc>
          <w:tcPr>
            <w:tcW w:w="908" w:type="dxa"/>
            <w:tcBorders>
              <w:top w:val="single" w:sz="4" w:space="0" w:color="auto"/>
              <w:left w:val="single" w:sz="4" w:space="0" w:color="auto"/>
              <w:bottom w:val="single" w:sz="4" w:space="0" w:color="auto"/>
            </w:tcBorders>
            <w:shd w:val="clear" w:color="auto" w:fill="288A32"/>
            <w:vAlign w:val="center"/>
          </w:tcPr>
          <w:p w14:paraId="4B1A8FA1" w14:textId="77777777" w:rsidR="008B0A88" w:rsidRPr="009E2E48" w:rsidRDefault="008B0A88" w:rsidP="002D606E">
            <w:pPr>
              <w:rPr>
                <w:rFonts w:cs="Arial"/>
                <w:b/>
                <w:color w:val="FFFFFF" w:themeColor="background1"/>
                <w:sz w:val="20"/>
                <w:szCs w:val="20"/>
              </w:rPr>
            </w:pPr>
          </w:p>
        </w:tc>
        <w:tc>
          <w:tcPr>
            <w:tcW w:w="908" w:type="dxa"/>
            <w:gridSpan w:val="2"/>
            <w:tcBorders>
              <w:top w:val="single" w:sz="4" w:space="0" w:color="auto"/>
              <w:bottom w:val="single" w:sz="4" w:space="0" w:color="auto"/>
              <w:right w:val="single" w:sz="4" w:space="0" w:color="auto"/>
            </w:tcBorders>
            <w:shd w:val="clear" w:color="auto" w:fill="288A32"/>
            <w:vAlign w:val="center"/>
          </w:tcPr>
          <w:p w14:paraId="5504F053" w14:textId="77777777" w:rsidR="008B0A88" w:rsidRPr="009E2E48" w:rsidRDefault="008B0A88" w:rsidP="002D606E">
            <w:pPr>
              <w:rPr>
                <w:rFonts w:cs="Arial"/>
                <w:b/>
                <w:color w:val="FFFFFF" w:themeColor="background1"/>
                <w:sz w:val="20"/>
                <w:szCs w:val="20"/>
              </w:rPr>
            </w:pPr>
          </w:p>
        </w:tc>
        <w:tc>
          <w:tcPr>
            <w:tcW w:w="7625" w:type="dxa"/>
            <w:gridSpan w:val="8"/>
            <w:tcBorders>
              <w:top w:val="single" w:sz="4" w:space="0" w:color="auto"/>
              <w:left w:val="nil"/>
              <w:bottom w:val="single" w:sz="4" w:space="0" w:color="auto"/>
              <w:right w:val="single" w:sz="4" w:space="0" w:color="auto"/>
            </w:tcBorders>
            <w:shd w:val="clear" w:color="auto" w:fill="288A32"/>
            <w:noWrap/>
            <w:vAlign w:val="bottom"/>
          </w:tcPr>
          <w:p w14:paraId="39847C04" w14:textId="77777777" w:rsidR="008B0A88" w:rsidRPr="009E2E48" w:rsidRDefault="008B0A88" w:rsidP="002D606E">
            <w:pPr>
              <w:rPr>
                <w:rFonts w:cs="Arial"/>
                <w:b/>
                <w:color w:val="FFFFFF" w:themeColor="background1"/>
                <w:sz w:val="20"/>
                <w:szCs w:val="20"/>
              </w:rPr>
            </w:pPr>
            <w:r w:rsidRPr="009E2E48">
              <w:rPr>
                <w:rFonts w:cs="Arial"/>
                <w:b/>
                <w:color w:val="FFFFFF" w:themeColor="background1"/>
                <w:sz w:val="20"/>
                <w:szCs w:val="20"/>
              </w:rPr>
              <w:t>Volume Group</w:t>
            </w:r>
          </w:p>
        </w:tc>
      </w:tr>
      <w:tr w:rsidR="008B0A88" w:rsidRPr="00AE49F0" w14:paraId="7E1F6A0F" w14:textId="77777777" w:rsidTr="008B0A88">
        <w:trPr>
          <w:cantSplit/>
          <w:trHeight w:val="155"/>
          <w:tblHeader/>
          <w:jc w:val="center"/>
        </w:trPr>
        <w:tc>
          <w:tcPr>
            <w:tcW w:w="916" w:type="dxa"/>
            <w:gridSpan w:val="2"/>
            <w:tcBorders>
              <w:top w:val="single" w:sz="4" w:space="0" w:color="auto"/>
              <w:left w:val="single" w:sz="4" w:space="0" w:color="auto"/>
              <w:bottom w:val="single" w:sz="4" w:space="0" w:color="auto"/>
              <w:right w:val="single" w:sz="4" w:space="0" w:color="auto"/>
            </w:tcBorders>
            <w:shd w:val="clear" w:color="auto" w:fill="ECF6E7" w:themeFill="accent4" w:themeFillTint="33"/>
            <w:vAlign w:val="center"/>
          </w:tcPr>
          <w:p w14:paraId="68D80659" w14:textId="77777777" w:rsidR="008B0A88" w:rsidRPr="009E2E48" w:rsidRDefault="008B0A88" w:rsidP="002D606E">
            <w:pPr>
              <w:spacing w:before="40" w:after="40"/>
              <w:rPr>
                <w:rFonts w:cs="Arial"/>
                <w:b/>
                <w:sz w:val="20"/>
                <w:szCs w:val="20"/>
              </w:rPr>
            </w:pPr>
            <w:r w:rsidRPr="009E2E48">
              <w:rPr>
                <w:rFonts w:cs="Arial"/>
                <w:b/>
                <w:sz w:val="20"/>
                <w:szCs w:val="20"/>
              </w:rPr>
              <w:t>Region Group</w:t>
            </w:r>
          </w:p>
        </w:tc>
        <w:tc>
          <w:tcPr>
            <w:tcW w:w="900" w:type="dxa"/>
            <w:tcBorders>
              <w:top w:val="single" w:sz="4" w:space="0" w:color="auto"/>
              <w:left w:val="single" w:sz="4" w:space="0" w:color="auto"/>
              <w:bottom w:val="single" w:sz="4" w:space="0" w:color="000000"/>
              <w:right w:val="single" w:sz="4" w:space="0" w:color="auto"/>
            </w:tcBorders>
            <w:shd w:val="clear" w:color="auto" w:fill="ECF6E7" w:themeFill="accent4" w:themeFillTint="33"/>
            <w:vAlign w:val="center"/>
          </w:tcPr>
          <w:p w14:paraId="42788309" w14:textId="77777777" w:rsidR="008B0A88" w:rsidRPr="009E2E48" w:rsidRDefault="008B0A88" w:rsidP="002D606E">
            <w:pPr>
              <w:spacing w:before="40" w:after="40"/>
              <w:rPr>
                <w:rFonts w:eastAsiaTheme="minorHAnsi" w:cs="Arial"/>
                <w:b/>
                <w:noProof/>
                <w:sz w:val="20"/>
                <w:szCs w:val="20"/>
              </w:rPr>
            </w:pPr>
            <w:r w:rsidRPr="009E2E48">
              <w:rPr>
                <w:rFonts w:cs="Arial"/>
                <w:b/>
                <w:sz w:val="20"/>
                <w:szCs w:val="20"/>
              </w:rPr>
              <w:t>Type</w:t>
            </w:r>
          </w:p>
        </w:tc>
        <w:tc>
          <w:tcPr>
            <w:tcW w:w="953" w:type="dxa"/>
            <w:tcBorders>
              <w:top w:val="nil"/>
              <w:left w:val="nil"/>
              <w:bottom w:val="single" w:sz="4" w:space="0" w:color="auto"/>
              <w:right w:val="single" w:sz="4" w:space="0" w:color="auto"/>
            </w:tcBorders>
            <w:shd w:val="clear" w:color="auto" w:fill="ECF6E7" w:themeFill="accent4" w:themeFillTint="33"/>
            <w:vAlign w:val="center"/>
          </w:tcPr>
          <w:p w14:paraId="2447D008" w14:textId="77777777" w:rsidR="008B0A88" w:rsidRPr="009E2E48" w:rsidRDefault="008B0A88" w:rsidP="00F84458">
            <w:pPr>
              <w:spacing w:before="40" w:after="40"/>
              <w:jc w:val="center"/>
              <w:rPr>
                <w:rFonts w:eastAsiaTheme="minorHAnsi" w:cs="Arial"/>
                <w:b/>
                <w:noProof/>
                <w:sz w:val="20"/>
                <w:szCs w:val="20"/>
              </w:rPr>
            </w:pPr>
            <w:r w:rsidRPr="009E2E48">
              <w:rPr>
                <w:rFonts w:cs="Arial"/>
                <w:b/>
                <w:sz w:val="20"/>
                <w:szCs w:val="20"/>
              </w:rPr>
              <w:t>Group 0</w:t>
            </w:r>
          </w:p>
        </w:tc>
        <w:tc>
          <w:tcPr>
            <w:tcW w:w="953" w:type="dxa"/>
            <w:tcBorders>
              <w:top w:val="nil"/>
              <w:left w:val="nil"/>
              <w:bottom w:val="single" w:sz="4" w:space="0" w:color="auto"/>
              <w:right w:val="single" w:sz="4" w:space="0" w:color="auto"/>
            </w:tcBorders>
            <w:shd w:val="clear" w:color="auto" w:fill="ECF6E7" w:themeFill="accent4" w:themeFillTint="33"/>
            <w:vAlign w:val="center"/>
          </w:tcPr>
          <w:p w14:paraId="72047BA0" w14:textId="77777777" w:rsidR="008B0A88" w:rsidRPr="009E2E48" w:rsidRDefault="008B0A88" w:rsidP="00F84458">
            <w:pPr>
              <w:spacing w:before="40" w:after="40"/>
              <w:jc w:val="center"/>
              <w:rPr>
                <w:rFonts w:eastAsiaTheme="minorHAnsi" w:cs="Arial"/>
                <w:b/>
                <w:noProof/>
                <w:sz w:val="20"/>
                <w:szCs w:val="20"/>
              </w:rPr>
            </w:pPr>
            <w:r w:rsidRPr="009E2E48">
              <w:rPr>
                <w:rFonts w:cs="Arial"/>
                <w:b/>
                <w:sz w:val="20"/>
                <w:szCs w:val="20"/>
              </w:rPr>
              <w:t>Group A</w:t>
            </w:r>
          </w:p>
        </w:tc>
        <w:tc>
          <w:tcPr>
            <w:tcW w:w="953" w:type="dxa"/>
            <w:tcBorders>
              <w:top w:val="nil"/>
              <w:left w:val="nil"/>
              <w:bottom w:val="single" w:sz="4" w:space="0" w:color="auto"/>
              <w:right w:val="single" w:sz="4" w:space="0" w:color="auto"/>
            </w:tcBorders>
            <w:shd w:val="clear" w:color="auto" w:fill="ECF6E7" w:themeFill="accent4" w:themeFillTint="33"/>
            <w:vAlign w:val="center"/>
          </w:tcPr>
          <w:p w14:paraId="31079639" w14:textId="77777777" w:rsidR="008B0A88" w:rsidRPr="009E2E48" w:rsidRDefault="008B0A88" w:rsidP="00F84458">
            <w:pPr>
              <w:spacing w:before="40" w:after="40"/>
              <w:jc w:val="center"/>
              <w:rPr>
                <w:rFonts w:cs="Arial"/>
                <w:b/>
                <w:sz w:val="20"/>
                <w:szCs w:val="20"/>
              </w:rPr>
            </w:pPr>
            <w:r w:rsidRPr="009E2E48">
              <w:rPr>
                <w:rFonts w:cs="Arial"/>
                <w:b/>
                <w:sz w:val="20"/>
                <w:szCs w:val="20"/>
              </w:rPr>
              <w:t>Group B</w:t>
            </w:r>
          </w:p>
        </w:tc>
        <w:tc>
          <w:tcPr>
            <w:tcW w:w="953" w:type="dxa"/>
            <w:tcBorders>
              <w:top w:val="nil"/>
              <w:left w:val="nil"/>
              <w:bottom w:val="single" w:sz="4" w:space="0" w:color="auto"/>
              <w:right w:val="single" w:sz="4" w:space="0" w:color="auto"/>
            </w:tcBorders>
            <w:shd w:val="clear" w:color="auto" w:fill="ECF6E7" w:themeFill="accent4" w:themeFillTint="33"/>
            <w:vAlign w:val="center"/>
          </w:tcPr>
          <w:p w14:paraId="0B1ACE2B" w14:textId="77777777" w:rsidR="008B0A88" w:rsidRPr="009E2E48" w:rsidRDefault="008B0A88" w:rsidP="00F84458">
            <w:pPr>
              <w:spacing w:before="40" w:after="40"/>
              <w:jc w:val="center"/>
              <w:rPr>
                <w:rFonts w:cs="Arial"/>
                <w:b/>
                <w:sz w:val="20"/>
                <w:szCs w:val="20"/>
              </w:rPr>
            </w:pPr>
            <w:r w:rsidRPr="009E2E48">
              <w:rPr>
                <w:rFonts w:cs="Arial"/>
                <w:b/>
                <w:sz w:val="20"/>
                <w:szCs w:val="20"/>
              </w:rPr>
              <w:t>Group C</w:t>
            </w:r>
          </w:p>
        </w:tc>
        <w:tc>
          <w:tcPr>
            <w:tcW w:w="953" w:type="dxa"/>
            <w:tcBorders>
              <w:top w:val="nil"/>
              <w:left w:val="nil"/>
              <w:bottom w:val="single" w:sz="4" w:space="0" w:color="auto"/>
              <w:right w:val="single" w:sz="4" w:space="0" w:color="auto"/>
            </w:tcBorders>
            <w:shd w:val="clear" w:color="auto" w:fill="ECF6E7" w:themeFill="accent4" w:themeFillTint="33"/>
            <w:vAlign w:val="center"/>
          </w:tcPr>
          <w:p w14:paraId="1E6409B6" w14:textId="77777777" w:rsidR="008B0A88" w:rsidRPr="009E2E48" w:rsidRDefault="008B0A88" w:rsidP="00F84458">
            <w:pPr>
              <w:spacing w:before="40" w:after="40"/>
              <w:jc w:val="center"/>
              <w:rPr>
                <w:rFonts w:cs="Arial"/>
                <w:b/>
                <w:sz w:val="20"/>
                <w:szCs w:val="20"/>
              </w:rPr>
            </w:pPr>
            <w:r w:rsidRPr="009E2E48">
              <w:rPr>
                <w:rFonts w:cs="Arial"/>
                <w:b/>
                <w:sz w:val="20"/>
                <w:szCs w:val="20"/>
              </w:rPr>
              <w:t>Group D</w:t>
            </w:r>
          </w:p>
        </w:tc>
        <w:tc>
          <w:tcPr>
            <w:tcW w:w="953" w:type="dxa"/>
            <w:tcBorders>
              <w:top w:val="nil"/>
              <w:left w:val="nil"/>
              <w:bottom w:val="single" w:sz="4" w:space="0" w:color="auto"/>
              <w:right w:val="single" w:sz="4" w:space="0" w:color="auto"/>
            </w:tcBorders>
            <w:shd w:val="clear" w:color="auto" w:fill="ECF6E7" w:themeFill="accent4" w:themeFillTint="33"/>
            <w:vAlign w:val="center"/>
          </w:tcPr>
          <w:p w14:paraId="7ED54688" w14:textId="77777777" w:rsidR="008B0A88" w:rsidRPr="009E2E48" w:rsidRDefault="008B0A88" w:rsidP="00F84458">
            <w:pPr>
              <w:spacing w:before="40" w:after="40"/>
              <w:jc w:val="center"/>
              <w:rPr>
                <w:rFonts w:cs="Arial"/>
                <w:b/>
                <w:sz w:val="20"/>
                <w:szCs w:val="20"/>
              </w:rPr>
            </w:pPr>
            <w:r w:rsidRPr="009E2E48">
              <w:rPr>
                <w:rFonts w:cs="Arial"/>
                <w:b/>
                <w:sz w:val="20"/>
                <w:szCs w:val="20"/>
              </w:rPr>
              <w:t>Group E</w:t>
            </w:r>
          </w:p>
        </w:tc>
        <w:tc>
          <w:tcPr>
            <w:tcW w:w="953" w:type="dxa"/>
            <w:tcBorders>
              <w:top w:val="nil"/>
              <w:left w:val="nil"/>
              <w:bottom w:val="single" w:sz="4" w:space="0" w:color="auto"/>
              <w:right w:val="single" w:sz="4" w:space="0" w:color="auto"/>
            </w:tcBorders>
            <w:shd w:val="clear" w:color="auto" w:fill="ECF6E7" w:themeFill="accent4" w:themeFillTint="33"/>
            <w:vAlign w:val="center"/>
          </w:tcPr>
          <w:p w14:paraId="56FFD12E" w14:textId="77777777" w:rsidR="008B0A88" w:rsidRPr="009E2E48" w:rsidRDefault="008B0A88" w:rsidP="00F84458">
            <w:pPr>
              <w:spacing w:before="40" w:after="40"/>
              <w:jc w:val="center"/>
              <w:rPr>
                <w:rFonts w:cs="Arial"/>
                <w:b/>
                <w:sz w:val="20"/>
                <w:szCs w:val="20"/>
              </w:rPr>
            </w:pPr>
            <w:r w:rsidRPr="009E2E48">
              <w:rPr>
                <w:rFonts w:cs="Arial"/>
                <w:b/>
                <w:sz w:val="20"/>
                <w:szCs w:val="20"/>
              </w:rPr>
              <w:t>Group F</w:t>
            </w:r>
          </w:p>
        </w:tc>
        <w:tc>
          <w:tcPr>
            <w:tcW w:w="954" w:type="dxa"/>
            <w:tcBorders>
              <w:top w:val="nil"/>
              <w:left w:val="nil"/>
              <w:bottom w:val="single" w:sz="4" w:space="0" w:color="auto"/>
              <w:right w:val="single" w:sz="4" w:space="0" w:color="auto"/>
            </w:tcBorders>
            <w:shd w:val="clear" w:color="auto" w:fill="ECF6E7" w:themeFill="accent4" w:themeFillTint="33"/>
            <w:vAlign w:val="center"/>
          </w:tcPr>
          <w:p w14:paraId="2F08C2A1" w14:textId="77777777" w:rsidR="008B0A88" w:rsidRPr="009E2E48" w:rsidRDefault="008B0A88" w:rsidP="00F84458">
            <w:pPr>
              <w:spacing w:before="40" w:after="40"/>
              <w:jc w:val="center"/>
              <w:rPr>
                <w:rFonts w:cs="Arial"/>
                <w:b/>
                <w:sz w:val="20"/>
                <w:szCs w:val="20"/>
              </w:rPr>
            </w:pPr>
            <w:r w:rsidRPr="009E2E48">
              <w:rPr>
                <w:rFonts w:cs="Arial"/>
                <w:b/>
                <w:sz w:val="20"/>
                <w:szCs w:val="20"/>
              </w:rPr>
              <w:t>Group G</w:t>
            </w:r>
          </w:p>
        </w:tc>
      </w:tr>
      <w:tr w:rsidR="008B0A88" w:rsidRPr="00AE49F0" w14:paraId="2EB98576" w14:textId="77777777" w:rsidTr="008B0A88">
        <w:trPr>
          <w:cantSplit/>
          <w:trHeight w:val="170"/>
          <w:jc w:val="center"/>
        </w:trPr>
        <w:tc>
          <w:tcPr>
            <w:tcW w:w="916" w:type="dxa"/>
            <w:gridSpan w:val="2"/>
            <w:vMerge w:val="restart"/>
            <w:tcBorders>
              <w:top w:val="single" w:sz="4" w:space="0" w:color="auto"/>
              <w:left w:val="single" w:sz="4" w:space="0" w:color="auto"/>
              <w:right w:val="single" w:sz="4" w:space="0" w:color="auto"/>
            </w:tcBorders>
            <w:shd w:val="clear" w:color="auto" w:fill="ECF6E7" w:themeFill="accent4" w:themeFillTint="33"/>
            <w:noWrap/>
            <w:vAlign w:val="center"/>
          </w:tcPr>
          <w:p w14:paraId="1634BDE8" w14:textId="77777777" w:rsidR="008B0A88" w:rsidRPr="009E2E48" w:rsidRDefault="008B0A88" w:rsidP="002D606E">
            <w:pPr>
              <w:spacing w:before="120"/>
              <w:rPr>
                <w:rFonts w:cs="Arial"/>
                <w:b/>
                <w:sz w:val="20"/>
                <w:szCs w:val="20"/>
              </w:rPr>
            </w:pPr>
            <w:r w:rsidRPr="009E2E48">
              <w:rPr>
                <w:rFonts w:cs="Arial"/>
                <w:b/>
                <w:sz w:val="20"/>
                <w:szCs w:val="20"/>
              </w:rPr>
              <w:t>1</w:t>
            </w:r>
          </w:p>
        </w:tc>
        <w:tc>
          <w:tcPr>
            <w:tcW w:w="900" w:type="dxa"/>
            <w:tcBorders>
              <w:top w:val="nil"/>
              <w:left w:val="single" w:sz="4" w:space="0" w:color="auto"/>
              <w:bottom w:val="single" w:sz="4" w:space="0" w:color="auto"/>
              <w:right w:val="single" w:sz="4" w:space="0" w:color="auto"/>
            </w:tcBorders>
            <w:shd w:val="clear" w:color="auto" w:fill="ECF6E7" w:themeFill="accent4" w:themeFillTint="33"/>
            <w:vAlign w:val="center"/>
          </w:tcPr>
          <w:p w14:paraId="00663BE3" w14:textId="77777777" w:rsidR="008B0A88" w:rsidRPr="009E2E48" w:rsidRDefault="008B0A88" w:rsidP="002D606E">
            <w:pPr>
              <w:spacing w:before="120"/>
              <w:rPr>
                <w:rFonts w:eastAsiaTheme="minorHAnsi" w:cs="Arial"/>
                <w:b/>
                <w:noProof/>
                <w:sz w:val="20"/>
                <w:szCs w:val="20"/>
              </w:rPr>
            </w:pPr>
            <w:r w:rsidRPr="009E2E48">
              <w:rPr>
                <w:rFonts w:cs="Arial"/>
                <w:b/>
                <w:sz w:val="20"/>
                <w:szCs w:val="20"/>
              </w:rPr>
              <w:t>A</w:t>
            </w:r>
          </w:p>
        </w:tc>
        <w:tc>
          <w:tcPr>
            <w:tcW w:w="953" w:type="dxa"/>
            <w:tcBorders>
              <w:top w:val="single" w:sz="4" w:space="0" w:color="auto"/>
              <w:left w:val="single" w:sz="4" w:space="0" w:color="auto"/>
              <w:bottom w:val="single" w:sz="4" w:space="0" w:color="auto"/>
              <w:right w:val="single" w:sz="4" w:space="0" w:color="auto"/>
            </w:tcBorders>
            <w:shd w:val="clear" w:color="auto" w:fill="auto"/>
            <w:noWrap/>
          </w:tcPr>
          <w:p w14:paraId="6D141554" w14:textId="77777777" w:rsidR="008B0A88" w:rsidRPr="009E2E48" w:rsidRDefault="008B0A88" w:rsidP="00F84458">
            <w:pPr>
              <w:spacing w:before="120"/>
              <w:jc w:val="center"/>
              <w:rPr>
                <w:rFonts w:eastAsiaTheme="minorHAnsi" w:cs="Arial"/>
                <w:b/>
                <w:noProof/>
                <w:sz w:val="20"/>
                <w:szCs w:val="20"/>
              </w:rPr>
            </w:pPr>
            <w:r w:rsidRPr="009E2E48">
              <w:rPr>
                <w:sz w:val="20"/>
              </w:rPr>
              <w:t>0</w:t>
            </w:r>
          </w:p>
        </w:tc>
        <w:tc>
          <w:tcPr>
            <w:tcW w:w="953" w:type="dxa"/>
            <w:tcBorders>
              <w:top w:val="single" w:sz="4" w:space="0" w:color="auto"/>
              <w:left w:val="single" w:sz="4" w:space="0" w:color="auto"/>
              <w:bottom w:val="single" w:sz="4" w:space="0" w:color="auto"/>
              <w:right w:val="single" w:sz="4" w:space="0" w:color="auto"/>
            </w:tcBorders>
            <w:shd w:val="clear" w:color="auto" w:fill="auto"/>
            <w:noWrap/>
          </w:tcPr>
          <w:p w14:paraId="36833B9E" w14:textId="77777777" w:rsidR="008B0A88" w:rsidRPr="009E2E48" w:rsidRDefault="008B0A88" w:rsidP="00F84458">
            <w:pPr>
              <w:spacing w:before="120"/>
              <w:jc w:val="center"/>
              <w:rPr>
                <w:rFonts w:eastAsiaTheme="minorHAnsi" w:cs="Arial"/>
                <w:b/>
                <w:noProof/>
                <w:sz w:val="20"/>
                <w:szCs w:val="20"/>
              </w:rPr>
            </w:pPr>
            <w:r w:rsidRPr="009E2E48">
              <w:rPr>
                <w:sz w:val="20"/>
              </w:rPr>
              <w:t>0</w:t>
            </w:r>
          </w:p>
        </w:tc>
        <w:tc>
          <w:tcPr>
            <w:tcW w:w="953" w:type="dxa"/>
            <w:tcBorders>
              <w:top w:val="single" w:sz="4" w:space="0" w:color="auto"/>
              <w:left w:val="single" w:sz="4" w:space="0" w:color="auto"/>
              <w:bottom w:val="single" w:sz="4" w:space="0" w:color="auto"/>
              <w:right w:val="single" w:sz="4" w:space="0" w:color="auto"/>
            </w:tcBorders>
            <w:shd w:val="clear" w:color="auto" w:fill="auto"/>
            <w:noWrap/>
          </w:tcPr>
          <w:p w14:paraId="6392E740" w14:textId="77777777" w:rsidR="008B0A88" w:rsidRPr="009E2E48" w:rsidRDefault="008B0A88" w:rsidP="00F84458">
            <w:pPr>
              <w:spacing w:before="120"/>
              <w:jc w:val="center"/>
              <w:rPr>
                <w:rFonts w:eastAsiaTheme="minorHAnsi" w:cs="Arial"/>
                <w:b/>
                <w:noProof/>
                <w:sz w:val="20"/>
                <w:szCs w:val="20"/>
              </w:rPr>
            </w:pPr>
            <w:r w:rsidRPr="009E2E48">
              <w:rPr>
                <w:sz w:val="20"/>
              </w:rPr>
              <w:t>2</w:t>
            </w:r>
          </w:p>
        </w:tc>
        <w:tc>
          <w:tcPr>
            <w:tcW w:w="953" w:type="dxa"/>
            <w:tcBorders>
              <w:top w:val="single" w:sz="4" w:space="0" w:color="auto"/>
              <w:left w:val="single" w:sz="4" w:space="0" w:color="auto"/>
              <w:bottom w:val="single" w:sz="4" w:space="0" w:color="auto"/>
              <w:right w:val="single" w:sz="4" w:space="0" w:color="auto"/>
            </w:tcBorders>
            <w:shd w:val="clear" w:color="auto" w:fill="auto"/>
            <w:noWrap/>
          </w:tcPr>
          <w:p w14:paraId="15BE6DB3" w14:textId="77777777" w:rsidR="008B0A88" w:rsidRPr="009E2E48" w:rsidRDefault="008B0A88" w:rsidP="00F84458">
            <w:pPr>
              <w:spacing w:before="120"/>
              <w:jc w:val="center"/>
              <w:rPr>
                <w:rFonts w:eastAsiaTheme="minorHAnsi" w:cs="Arial"/>
                <w:b/>
                <w:noProof/>
                <w:sz w:val="20"/>
                <w:szCs w:val="20"/>
              </w:rPr>
            </w:pPr>
            <w:r w:rsidRPr="009E2E48">
              <w:rPr>
                <w:sz w:val="20"/>
              </w:rPr>
              <w:t>5</w:t>
            </w:r>
          </w:p>
        </w:tc>
        <w:tc>
          <w:tcPr>
            <w:tcW w:w="953" w:type="dxa"/>
            <w:tcBorders>
              <w:top w:val="single" w:sz="4" w:space="0" w:color="auto"/>
              <w:left w:val="single" w:sz="4" w:space="0" w:color="auto"/>
              <w:bottom w:val="single" w:sz="4" w:space="0" w:color="auto"/>
              <w:right w:val="single" w:sz="4" w:space="0" w:color="auto"/>
            </w:tcBorders>
            <w:shd w:val="clear" w:color="auto" w:fill="auto"/>
            <w:noWrap/>
          </w:tcPr>
          <w:p w14:paraId="458331A3" w14:textId="25FAD5F8" w:rsidR="008B0A88" w:rsidRPr="009E2E48" w:rsidRDefault="009E2E48" w:rsidP="00F84458">
            <w:pPr>
              <w:spacing w:before="120"/>
              <w:jc w:val="center"/>
              <w:rPr>
                <w:rFonts w:eastAsiaTheme="minorHAnsi" w:cs="Arial"/>
                <w:b/>
                <w:noProof/>
                <w:sz w:val="20"/>
                <w:szCs w:val="20"/>
              </w:rPr>
            </w:pPr>
            <w:r>
              <w:rPr>
                <w:sz w:val="20"/>
              </w:rPr>
              <w:t>13</w:t>
            </w:r>
          </w:p>
        </w:tc>
        <w:tc>
          <w:tcPr>
            <w:tcW w:w="953" w:type="dxa"/>
            <w:tcBorders>
              <w:top w:val="nil"/>
              <w:left w:val="nil"/>
              <w:bottom w:val="single" w:sz="4" w:space="0" w:color="auto"/>
              <w:right w:val="single" w:sz="4" w:space="0" w:color="auto"/>
            </w:tcBorders>
            <w:shd w:val="clear" w:color="auto" w:fill="auto"/>
            <w:noWrap/>
          </w:tcPr>
          <w:p w14:paraId="55140A3D" w14:textId="22EF5DF7" w:rsidR="008B0A88" w:rsidRPr="009E2E48" w:rsidRDefault="009E2E48" w:rsidP="00F84458">
            <w:pPr>
              <w:spacing w:before="120"/>
              <w:jc w:val="center"/>
              <w:rPr>
                <w:rFonts w:eastAsiaTheme="minorHAnsi" w:cs="Arial"/>
                <w:b/>
                <w:noProof/>
                <w:sz w:val="20"/>
                <w:szCs w:val="20"/>
              </w:rPr>
            </w:pPr>
            <w:r>
              <w:rPr>
                <w:sz w:val="20"/>
              </w:rPr>
              <w:t>23</w:t>
            </w:r>
          </w:p>
        </w:tc>
        <w:tc>
          <w:tcPr>
            <w:tcW w:w="953" w:type="dxa"/>
            <w:tcBorders>
              <w:top w:val="nil"/>
              <w:left w:val="nil"/>
              <w:bottom w:val="single" w:sz="4" w:space="0" w:color="auto"/>
              <w:right w:val="single" w:sz="4" w:space="0" w:color="auto"/>
            </w:tcBorders>
            <w:shd w:val="clear" w:color="auto" w:fill="auto"/>
            <w:noWrap/>
          </w:tcPr>
          <w:p w14:paraId="7CD99FB2" w14:textId="53F4A286" w:rsidR="008B0A88" w:rsidRPr="009E2E48" w:rsidRDefault="009E2E48" w:rsidP="00F84458">
            <w:pPr>
              <w:spacing w:before="120"/>
              <w:jc w:val="center"/>
              <w:rPr>
                <w:rFonts w:eastAsiaTheme="minorHAnsi" w:cs="Arial"/>
                <w:b/>
                <w:noProof/>
                <w:sz w:val="20"/>
                <w:szCs w:val="20"/>
              </w:rPr>
            </w:pPr>
            <w:r>
              <w:rPr>
                <w:sz w:val="20"/>
              </w:rPr>
              <w:t>19</w:t>
            </w:r>
          </w:p>
        </w:tc>
        <w:tc>
          <w:tcPr>
            <w:tcW w:w="954" w:type="dxa"/>
            <w:tcBorders>
              <w:top w:val="nil"/>
              <w:left w:val="nil"/>
              <w:bottom w:val="single" w:sz="4" w:space="0" w:color="auto"/>
              <w:right w:val="single" w:sz="4" w:space="0" w:color="auto"/>
            </w:tcBorders>
          </w:tcPr>
          <w:p w14:paraId="43D07230" w14:textId="6B0BC7B1" w:rsidR="008B0A88" w:rsidRPr="009E2E48" w:rsidRDefault="009E2E48" w:rsidP="00F84458">
            <w:pPr>
              <w:spacing w:before="120"/>
              <w:jc w:val="center"/>
              <w:rPr>
                <w:rFonts w:eastAsiaTheme="minorHAnsi" w:cs="Arial"/>
                <w:b/>
                <w:noProof/>
                <w:sz w:val="20"/>
                <w:szCs w:val="20"/>
              </w:rPr>
            </w:pPr>
            <w:r>
              <w:rPr>
                <w:sz w:val="20"/>
              </w:rPr>
              <w:t>10</w:t>
            </w:r>
          </w:p>
        </w:tc>
      </w:tr>
      <w:tr w:rsidR="008B0A88" w:rsidRPr="00AE49F0" w14:paraId="2DC5BDF5" w14:textId="77777777" w:rsidTr="008B0A88">
        <w:trPr>
          <w:cantSplit/>
          <w:trHeight w:val="170"/>
          <w:jc w:val="center"/>
        </w:trPr>
        <w:tc>
          <w:tcPr>
            <w:tcW w:w="916" w:type="dxa"/>
            <w:gridSpan w:val="2"/>
            <w:vMerge/>
            <w:tcBorders>
              <w:left w:val="single" w:sz="4" w:space="0" w:color="auto"/>
              <w:right w:val="single" w:sz="4" w:space="0" w:color="auto"/>
            </w:tcBorders>
            <w:shd w:val="clear" w:color="auto" w:fill="ECF6E7" w:themeFill="accent4" w:themeFillTint="33"/>
            <w:noWrap/>
            <w:vAlign w:val="center"/>
          </w:tcPr>
          <w:p w14:paraId="1E41DA88" w14:textId="77777777" w:rsidR="008B0A88" w:rsidRPr="009E2E48" w:rsidRDefault="008B0A88" w:rsidP="002D606E">
            <w:pPr>
              <w:spacing w:before="120"/>
              <w:rPr>
                <w:rFonts w:cs="Arial"/>
                <w:b/>
                <w:sz w:val="20"/>
                <w:szCs w:val="20"/>
              </w:rPr>
            </w:pPr>
          </w:p>
        </w:tc>
        <w:tc>
          <w:tcPr>
            <w:tcW w:w="900" w:type="dxa"/>
            <w:tcBorders>
              <w:top w:val="nil"/>
              <w:left w:val="single" w:sz="4" w:space="0" w:color="auto"/>
              <w:bottom w:val="single" w:sz="4" w:space="0" w:color="auto"/>
              <w:right w:val="single" w:sz="4" w:space="0" w:color="auto"/>
            </w:tcBorders>
            <w:shd w:val="clear" w:color="auto" w:fill="ECF6E7" w:themeFill="accent4" w:themeFillTint="33"/>
            <w:vAlign w:val="center"/>
          </w:tcPr>
          <w:p w14:paraId="5F696500" w14:textId="77777777" w:rsidR="008B0A88" w:rsidRPr="009E2E48" w:rsidRDefault="008B0A88" w:rsidP="002D606E">
            <w:pPr>
              <w:spacing w:before="120"/>
              <w:rPr>
                <w:rFonts w:eastAsiaTheme="minorHAnsi" w:cs="Arial"/>
                <w:b/>
                <w:noProof/>
                <w:sz w:val="20"/>
                <w:szCs w:val="20"/>
              </w:rPr>
            </w:pPr>
            <w:r w:rsidRPr="009E2E48">
              <w:rPr>
                <w:rFonts w:cs="Arial"/>
                <w:b/>
                <w:sz w:val="20"/>
                <w:szCs w:val="20"/>
              </w:rPr>
              <w:t>B</w:t>
            </w:r>
          </w:p>
        </w:tc>
        <w:tc>
          <w:tcPr>
            <w:tcW w:w="953" w:type="dxa"/>
            <w:tcBorders>
              <w:top w:val="nil"/>
              <w:left w:val="nil"/>
              <w:bottom w:val="single" w:sz="4" w:space="0" w:color="auto"/>
              <w:right w:val="single" w:sz="4" w:space="0" w:color="auto"/>
            </w:tcBorders>
            <w:shd w:val="clear" w:color="auto" w:fill="auto"/>
            <w:noWrap/>
          </w:tcPr>
          <w:p w14:paraId="6954A9C8" w14:textId="77777777" w:rsidR="008B0A88" w:rsidRPr="009E2E48" w:rsidRDefault="008B0A88" w:rsidP="00F84458">
            <w:pPr>
              <w:spacing w:before="120"/>
              <w:jc w:val="center"/>
              <w:rPr>
                <w:rFonts w:eastAsiaTheme="minorHAnsi" w:cs="Arial"/>
                <w:b/>
                <w:noProof/>
                <w:sz w:val="20"/>
                <w:szCs w:val="20"/>
              </w:rPr>
            </w:pPr>
            <w:r w:rsidRPr="009E2E48">
              <w:rPr>
                <w:sz w:val="20"/>
              </w:rPr>
              <w:t>0</w:t>
            </w:r>
          </w:p>
        </w:tc>
        <w:tc>
          <w:tcPr>
            <w:tcW w:w="953" w:type="dxa"/>
            <w:tcBorders>
              <w:top w:val="nil"/>
              <w:left w:val="nil"/>
              <w:bottom w:val="single" w:sz="4" w:space="0" w:color="auto"/>
              <w:right w:val="single" w:sz="4" w:space="0" w:color="auto"/>
            </w:tcBorders>
            <w:shd w:val="clear" w:color="auto" w:fill="auto"/>
            <w:noWrap/>
          </w:tcPr>
          <w:p w14:paraId="7002565D" w14:textId="77777777" w:rsidR="008B0A88" w:rsidRPr="009E2E48" w:rsidRDefault="008B0A88" w:rsidP="00F84458">
            <w:pPr>
              <w:spacing w:before="120"/>
              <w:jc w:val="center"/>
              <w:rPr>
                <w:rFonts w:eastAsiaTheme="minorHAnsi" w:cs="Arial"/>
                <w:b/>
                <w:noProof/>
                <w:sz w:val="20"/>
                <w:szCs w:val="20"/>
              </w:rPr>
            </w:pPr>
            <w:r w:rsidRPr="009E2E48">
              <w:rPr>
                <w:sz w:val="20"/>
              </w:rPr>
              <w:t>0</w:t>
            </w:r>
          </w:p>
        </w:tc>
        <w:tc>
          <w:tcPr>
            <w:tcW w:w="953" w:type="dxa"/>
            <w:tcBorders>
              <w:top w:val="nil"/>
              <w:left w:val="nil"/>
              <w:bottom w:val="single" w:sz="4" w:space="0" w:color="auto"/>
              <w:right w:val="single" w:sz="4" w:space="0" w:color="auto"/>
            </w:tcBorders>
            <w:shd w:val="clear" w:color="auto" w:fill="auto"/>
            <w:noWrap/>
          </w:tcPr>
          <w:p w14:paraId="24B81F87" w14:textId="77777777" w:rsidR="008B0A88" w:rsidRPr="009E2E48" w:rsidRDefault="008B0A88" w:rsidP="00F84458">
            <w:pPr>
              <w:spacing w:before="120"/>
              <w:jc w:val="center"/>
              <w:rPr>
                <w:rFonts w:eastAsiaTheme="minorHAnsi" w:cs="Arial"/>
                <w:b/>
                <w:noProof/>
                <w:sz w:val="20"/>
                <w:szCs w:val="20"/>
              </w:rPr>
            </w:pPr>
            <w:r w:rsidRPr="009E2E48">
              <w:rPr>
                <w:sz w:val="20"/>
              </w:rPr>
              <w:t>52</w:t>
            </w:r>
          </w:p>
        </w:tc>
        <w:tc>
          <w:tcPr>
            <w:tcW w:w="953" w:type="dxa"/>
            <w:tcBorders>
              <w:top w:val="nil"/>
              <w:left w:val="nil"/>
              <w:bottom w:val="single" w:sz="4" w:space="0" w:color="auto"/>
              <w:right w:val="single" w:sz="4" w:space="0" w:color="auto"/>
            </w:tcBorders>
            <w:shd w:val="clear" w:color="auto" w:fill="auto"/>
            <w:noWrap/>
          </w:tcPr>
          <w:p w14:paraId="469E4DB1" w14:textId="77777777" w:rsidR="008B0A88" w:rsidRPr="009E2E48" w:rsidRDefault="008B0A88" w:rsidP="00F84458">
            <w:pPr>
              <w:spacing w:before="120"/>
              <w:jc w:val="center"/>
              <w:rPr>
                <w:rFonts w:eastAsiaTheme="minorHAnsi" w:cs="Arial"/>
                <w:b/>
                <w:noProof/>
                <w:sz w:val="20"/>
                <w:szCs w:val="20"/>
              </w:rPr>
            </w:pPr>
            <w:r w:rsidRPr="009E2E48">
              <w:rPr>
                <w:sz w:val="20"/>
              </w:rPr>
              <w:t>37</w:t>
            </w:r>
          </w:p>
        </w:tc>
        <w:tc>
          <w:tcPr>
            <w:tcW w:w="953" w:type="dxa"/>
            <w:tcBorders>
              <w:top w:val="nil"/>
              <w:left w:val="nil"/>
              <w:bottom w:val="single" w:sz="4" w:space="0" w:color="auto"/>
              <w:right w:val="single" w:sz="4" w:space="0" w:color="auto"/>
            </w:tcBorders>
            <w:shd w:val="clear" w:color="auto" w:fill="auto"/>
            <w:noWrap/>
          </w:tcPr>
          <w:p w14:paraId="42175C5D" w14:textId="77777777" w:rsidR="008B0A88" w:rsidRPr="009E2E48" w:rsidRDefault="008B0A88" w:rsidP="00F84458">
            <w:pPr>
              <w:spacing w:before="120"/>
              <w:jc w:val="center"/>
              <w:rPr>
                <w:rFonts w:eastAsiaTheme="minorHAnsi" w:cs="Arial"/>
                <w:b/>
                <w:noProof/>
                <w:sz w:val="20"/>
                <w:szCs w:val="20"/>
              </w:rPr>
            </w:pPr>
            <w:r w:rsidRPr="009E2E48">
              <w:rPr>
                <w:sz w:val="20"/>
              </w:rPr>
              <w:t>34</w:t>
            </w:r>
          </w:p>
        </w:tc>
        <w:tc>
          <w:tcPr>
            <w:tcW w:w="953" w:type="dxa"/>
            <w:tcBorders>
              <w:top w:val="nil"/>
              <w:left w:val="nil"/>
              <w:bottom w:val="single" w:sz="4" w:space="0" w:color="auto"/>
              <w:right w:val="single" w:sz="4" w:space="0" w:color="auto"/>
            </w:tcBorders>
            <w:shd w:val="clear" w:color="auto" w:fill="auto"/>
            <w:noWrap/>
          </w:tcPr>
          <w:p w14:paraId="153F2631" w14:textId="77777777" w:rsidR="008B0A88" w:rsidRPr="009E2E48" w:rsidRDefault="008B0A88" w:rsidP="00F84458">
            <w:pPr>
              <w:spacing w:before="120"/>
              <w:jc w:val="center"/>
              <w:rPr>
                <w:rFonts w:eastAsiaTheme="minorHAnsi" w:cs="Arial"/>
                <w:b/>
                <w:noProof/>
                <w:sz w:val="20"/>
                <w:szCs w:val="20"/>
              </w:rPr>
            </w:pPr>
            <w:r w:rsidRPr="009E2E48">
              <w:rPr>
                <w:sz w:val="20"/>
              </w:rPr>
              <w:t>19</w:t>
            </w:r>
          </w:p>
        </w:tc>
        <w:tc>
          <w:tcPr>
            <w:tcW w:w="953" w:type="dxa"/>
            <w:tcBorders>
              <w:top w:val="nil"/>
              <w:left w:val="nil"/>
              <w:bottom w:val="single" w:sz="4" w:space="0" w:color="auto"/>
              <w:right w:val="single" w:sz="4" w:space="0" w:color="auto"/>
            </w:tcBorders>
            <w:shd w:val="clear" w:color="auto" w:fill="auto"/>
            <w:noWrap/>
          </w:tcPr>
          <w:p w14:paraId="32A8E770" w14:textId="77777777" w:rsidR="008B0A88" w:rsidRPr="009E2E48" w:rsidRDefault="008B0A88" w:rsidP="00F84458">
            <w:pPr>
              <w:spacing w:before="120"/>
              <w:jc w:val="center"/>
              <w:rPr>
                <w:rFonts w:eastAsiaTheme="minorHAnsi" w:cs="Arial"/>
                <w:b/>
                <w:noProof/>
                <w:sz w:val="20"/>
                <w:szCs w:val="20"/>
              </w:rPr>
            </w:pPr>
            <w:r w:rsidRPr="009E2E48">
              <w:rPr>
                <w:sz w:val="20"/>
              </w:rPr>
              <w:t>3</w:t>
            </w:r>
          </w:p>
        </w:tc>
        <w:tc>
          <w:tcPr>
            <w:tcW w:w="954" w:type="dxa"/>
            <w:tcBorders>
              <w:top w:val="nil"/>
              <w:left w:val="nil"/>
              <w:bottom w:val="single" w:sz="4" w:space="0" w:color="auto"/>
              <w:right w:val="single" w:sz="4" w:space="0" w:color="auto"/>
            </w:tcBorders>
          </w:tcPr>
          <w:p w14:paraId="14C39206" w14:textId="77777777" w:rsidR="008B0A88" w:rsidRPr="009E2E48" w:rsidRDefault="008B0A88" w:rsidP="00F84458">
            <w:pPr>
              <w:spacing w:before="120"/>
              <w:jc w:val="center"/>
              <w:rPr>
                <w:rFonts w:eastAsiaTheme="minorHAnsi" w:cs="Arial"/>
                <w:b/>
                <w:noProof/>
                <w:sz w:val="20"/>
                <w:szCs w:val="20"/>
              </w:rPr>
            </w:pPr>
            <w:r w:rsidRPr="009E2E48">
              <w:rPr>
                <w:sz w:val="20"/>
              </w:rPr>
              <w:t>2</w:t>
            </w:r>
          </w:p>
        </w:tc>
      </w:tr>
      <w:tr w:rsidR="008B0A88" w:rsidRPr="00AE49F0" w14:paraId="72BA314D" w14:textId="77777777" w:rsidTr="008B0A88">
        <w:trPr>
          <w:cantSplit/>
          <w:trHeight w:val="170"/>
          <w:jc w:val="center"/>
        </w:trPr>
        <w:tc>
          <w:tcPr>
            <w:tcW w:w="916" w:type="dxa"/>
            <w:gridSpan w:val="2"/>
            <w:vMerge/>
            <w:tcBorders>
              <w:left w:val="single" w:sz="4" w:space="0" w:color="auto"/>
              <w:bottom w:val="single" w:sz="4" w:space="0" w:color="auto"/>
              <w:right w:val="single" w:sz="4" w:space="0" w:color="auto"/>
            </w:tcBorders>
            <w:shd w:val="clear" w:color="auto" w:fill="ECF6E7" w:themeFill="accent4" w:themeFillTint="33"/>
            <w:noWrap/>
            <w:vAlign w:val="center"/>
          </w:tcPr>
          <w:p w14:paraId="16152850" w14:textId="77777777" w:rsidR="008B0A88" w:rsidRPr="009E2E48" w:rsidRDefault="008B0A88" w:rsidP="002D606E">
            <w:pPr>
              <w:spacing w:before="120"/>
              <w:rPr>
                <w:rFonts w:cs="Arial"/>
                <w:b/>
                <w:sz w:val="20"/>
                <w:szCs w:val="20"/>
              </w:rPr>
            </w:pPr>
          </w:p>
        </w:tc>
        <w:tc>
          <w:tcPr>
            <w:tcW w:w="900" w:type="dxa"/>
            <w:tcBorders>
              <w:top w:val="nil"/>
              <w:left w:val="single" w:sz="4" w:space="0" w:color="auto"/>
              <w:bottom w:val="single" w:sz="4" w:space="0" w:color="auto"/>
              <w:right w:val="single" w:sz="4" w:space="0" w:color="auto"/>
            </w:tcBorders>
            <w:shd w:val="clear" w:color="auto" w:fill="ECF6E7" w:themeFill="accent4" w:themeFillTint="33"/>
            <w:vAlign w:val="center"/>
          </w:tcPr>
          <w:p w14:paraId="44B84367" w14:textId="77777777" w:rsidR="008B0A88" w:rsidRPr="009E2E48" w:rsidRDefault="008B0A88" w:rsidP="002D606E">
            <w:pPr>
              <w:spacing w:before="120"/>
              <w:rPr>
                <w:rFonts w:eastAsiaTheme="minorHAnsi" w:cs="Arial"/>
                <w:b/>
                <w:noProof/>
                <w:sz w:val="20"/>
                <w:szCs w:val="20"/>
              </w:rPr>
            </w:pPr>
            <w:r w:rsidRPr="009E2E48">
              <w:rPr>
                <w:rFonts w:cs="Arial"/>
                <w:b/>
                <w:sz w:val="20"/>
                <w:szCs w:val="20"/>
              </w:rPr>
              <w:t>C</w:t>
            </w:r>
          </w:p>
        </w:tc>
        <w:tc>
          <w:tcPr>
            <w:tcW w:w="953" w:type="dxa"/>
            <w:tcBorders>
              <w:top w:val="nil"/>
              <w:left w:val="nil"/>
              <w:bottom w:val="single" w:sz="4" w:space="0" w:color="auto"/>
              <w:right w:val="single" w:sz="4" w:space="0" w:color="auto"/>
            </w:tcBorders>
            <w:shd w:val="clear" w:color="auto" w:fill="auto"/>
            <w:noWrap/>
          </w:tcPr>
          <w:p w14:paraId="6BFEA50D" w14:textId="3DF8C969" w:rsidR="008B0A88" w:rsidRPr="009E2E48" w:rsidRDefault="009E2E48" w:rsidP="00F84458">
            <w:pPr>
              <w:spacing w:before="120"/>
              <w:jc w:val="center"/>
              <w:rPr>
                <w:rFonts w:eastAsiaTheme="minorHAnsi" w:cs="Arial"/>
                <w:b/>
                <w:noProof/>
                <w:sz w:val="20"/>
                <w:szCs w:val="20"/>
              </w:rPr>
            </w:pPr>
            <w:r>
              <w:rPr>
                <w:sz w:val="20"/>
              </w:rPr>
              <w:t>8</w:t>
            </w:r>
          </w:p>
        </w:tc>
        <w:tc>
          <w:tcPr>
            <w:tcW w:w="953" w:type="dxa"/>
            <w:tcBorders>
              <w:top w:val="nil"/>
              <w:left w:val="nil"/>
              <w:bottom w:val="single" w:sz="4" w:space="0" w:color="auto"/>
              <w:right w:val="single" w:sz="4" w:space="0" w:color="auto"/>
            </w:tcBorders>
            <w:shd w:val="clear" w:color="auto" w:fill="auto"/>
            <w:noWrap/>
          </w:tcPr>
          <w:p w14:paraId="230ECD60" w14:textId="0C53A195" w:rsidR="008B0A88" w:rsidRPr="009E2E48" w:rsidRDefault="009E2E48" w:rsidP="00F84458">
            <w:pPr>
              <w:spacing w:before="120"/>
              <w:jc w:val="center"/>
              <w:rPr>
                <w:rFonts w:eastAsiaTheme="minorHAnsi" w:cs="Arial"/>
                <w:b/>
                <w:noProof/>
                <w:sz w:val="20"/>
                <w:szCs w:val="20"/>
              </w:rPr>
            </w:pPr>
            <w:r>
              <w:rPr>
                <w:sz w:val="20"/>
              </w:rPr>
              <w:t>82</w:t>
            </w:r>
          </w:p>
        </w:tc>
        <w:tc>
          <w:tcPr>
            <w:tcW w:w="953" w:type="dxa"/>
            <w:tcBorders>
              <w:top w:val="nil"/>
              <w:left w:val="nil"/>
              <w:bottom w:val="single" w:sz="4" w:space="0" w:color="auto"/>
              <w:right w:val="single" w:sz="4" w:space="0" w:color="auto"/>
            </w:tcBorders>
            <w:shd w:val="clear" w:color="auto" w:fill="auto"/>
            <w:noWrap/>
          </w:tcPr>
          <w:p w14:paraId="09E993DA" w14:textId="77777777" w:rsidR="008B0A88" w:rsidRPr="009E2E48" w:rsidRDefault="008B0A88" w:rsidP="00F84458">
            <w:pPr>
              <w:spacing w:before="120"/>
              <w:jc w:val="center"/>
              <w:rPr>
                <w:rFonts w:eastAsiaTheme="minorHAnsi" w:cs="Arial"/>
                <w:b/>
                <w:noProof/>
                <w:sz w:val="20"/>
                <w:szCs w:val="20"/>
              </w:rPr>
            </w:pPr>
            <w:r w:rsidRPr="009E2E48">
              <w:rPr>
                <w:sz w:val="20"/>
              </w:rPr>
              <w:t>9</w:t>
            </w:r>
          </w:p>
        </w:tc>
        <w:tc>
          <w:tcPr>
            <w:tcW w:w="953" w:type="dxa"/>
            <w:tcBorders>
              <w:top w:val="nil"/>
              <w:left w:val="nil"/>
              <w:bottom w:val="single" w:sz="4" w:space="0" w:color="auto"/>
              <w:right w:val="single" w:sz="4" w:space="0" w:color="auto"/>
            </w:tcBorders>
            <w:shd w:val="clear" w:color="auto" w:fill="auto"/>
            <w:noWrap/>
          </w:tcPr>
          <w:p w14:paraId="60D9B99B" w14:textId="77777777" w:rsidR="008B0A88" w:rsidRPr="009E2E48" w:rsidRDefault="008B0A88" w:rsidP="00F84458">
            <w:pPr>
              <w:spacing w:before="120"/>
              <w:jc w:val="center"/>
              <w:rPr>
                <w:rFonts w:eastAsiaTheme="minorHAnsi" w:cs="Arial"/>
                <w:b/>
                <w:noProof/>
                <w:sz w:val="20"/>
                <w:szCs w:val="20"/>
              </w:rPr>
            </w:pPr>
            <w:r w:rsidRPr="009E2E48">
              <w:rPr>
                <w:sz w:val="20"/>
              </w:rPr>
              <w:t>5</w:t>
            </w:r>
          </w:p>
        </w:tc>
        <w:tc>
          <w:tcPr>
            <w:tcW w:w="953" w:type="dxa"/>
            <w:tcBorders>
              <w:top w:val="nil"/>
              <w:left w:val="nil"/>
              <w:bottom w:val="single" w:sz="4" w:space="0" w:color="auto"/>
              <w:right w:val="single" w:sz="4" w:space="0" w:color="auto"/>
            </w:tcBorders>
            <w:shd w:val="clear" w:color="auto" w:fill="auto"/>
            <w:noWrap/>
          </w:tcPr>
          <w:p w14:paraId="1BB25DFB" w14:textId="77777777" w:rsidR="008B0A88" w:rsidRPr="009E2E48" w:rsidRDefault="008B0A88" w:rsidP="00F84458">
            <w:pPr>
              <w:spacing w:before="120"/>
              <w:jc w:val="center"/>
              <w:rPr>
                <w:rFonts w:eastAsiaTheme="minorHAnsi" w:cs="Arial"/>
                <w:b/>
                <w:noProof/>
                <w:sz w:val="20"/>
                <w:szCs w:val="20"/>
              </w:rPr>
            </w:pPr>
            <w:r w:rsidRPr="009E2E48">
              <w:rPr>
                <w:sz w:val="20"/>
              </w:rPr>
              <w:t>5</w:t>
            </w:r>
          </w:p>
        </w:tc>
        <w:tc>
          <w:tcPr>
            <w:tcW w:w="953" w:type="dxa"/>
            <w:tcBorders>
              <w:top w:val="nil"/>
              <w:left w:val="nil"/>
              <w:bottom w:val="single" w:sz="4" w:space="0" w:color="auto"/>
              <w:right w:val="single" w:sz="4" w:space="0" w:color="auto"/>
            </w:tcBorders>
            <w:shd w:val="clear" w:color="auto" w:fill="auto"/>
            <w:noWrap/>
          </w:tcPr>
          <w:p w14:paraId="24CC2487" w14:textId="77777777" w:rsidR="008B0A88" w:rsidRPr="009E2E48" w:rsidRDefault="008B0A88" w:rsidP="00F84458">
            <w:pPr>
              <w:spacing w:before="120"/>
              <w:jc w:val="center"/>
              <w:rPr>
                <w:rFonts w:eastAsiaTheme="minorHAnsi" w:cs="Arial"/>
                <w:b/>
                <w:noProof/>
                <w:sz w:val="20"/>
                <w:szCs w:val="20"/>
              </w:rPr>
            </w:pPr>
            <w:r w:rsidRPr="009E2E48">
              <w:rPr>
                <w:sz w:val="20"/>
              </w:rPr>
              <w:t>2</w:t>
            </w:r>
          </w:p>
        </w:tc>
        <w:tc>
          <w:tcPr>
            <w:tcW w:w="953" w:type="dxa"/>
            <w:tcBorders>
              <w:top w:val="nil"/>
              <w:left w:val="nil"/>
              <w:bottom w:val="single" w:sz="4" w:space="0" w:color="auto"/>
              <w:right w:val="single" w:sz="4" w:space="0" w:color="auto"/>
            </w:tcBorders>
            <w:shd w:val="clear" w:color="auto" w:fill="auto"/>
            <w:noWrap/>
          </w:tcPr>
          <w:p w14:paraId="46A20750" w14:textId="77777777" w:rsidR="008B0A88" w:rsidRPr="009E2E48" w:rsidRDefault="008B0A88" w:rsidP="00F84458">
            <w:pPr>
              <w:spacing w:before="120"/>
              <w:jc w:val="center"/>
              <w:rPr>
                <w:rFonts w:eastAsiaTheme="minorHAnsi" w:cs="Arial"/>
                <w:b/>
                <w:noProof/>
                <w:sz w:val="20"/>
                <w:szCs w:val="20"/>
              </w:rPr>
            </w:pPr>
            <w:r w:rsidRPr="009E2E48">
              <w:rPr>
                <w:sz w:val="20"/>
              </w:rPr>
              <w:t>1</w:t>
            </w:r>
          </w:p>
        </w:tc>
        <w:tc>
          <w:tcPr>
            <w:tcW w:w="954" w:type="dxa"/>
            <w:tcBorders>
              <w:top w:val="nil"/>
              <w:left w:val="nil"/>
              <w:bottom w:val="single" w:sz="4" w:space="0" w:color="auto"/>
              <w:right w:val="single" w:sz="4" w:space="0" w:color="auto"/>
            </w:tcBorders>
          </w:tcPr>
          <w:p w14:paraId="50FF71B6" w14:textId="77777777" w:rsidR="008B0A88" w:rsidRPr="009E2E48" w:rsidRDefault="008B0A88" w:rsidP="00F84458">
            <w:pPr>
              <w:spacing w:before="120"/>
              <w:jc w:val="center"/>
              <w:rPr>
                <w:rFonts w:eastAsiaTheme="minorHAnsi" w:cs="Arial"/>
                <w:b/>
                <w:noProof/>
                <w:sz w:val="20"/>
                <w:szCs w:val="20"/>
              </w:rPr>
            </w:pPr>
            <w:r w:rsidRPr="009E2E48">
              <w:rPr>
                <w:sz w:val="20"/>
              </w:rPr>
              <w:t>0</w:t>
            </w:r>
          </w:p>
        </w:tc>
      </w:tr>
      <w:tr w:rsidR="008B0A88" w:rsidRPr="00253078" w14:paraId="2260D7BE" w14:textId="77777777" w:rsidTr="008B0A88">
        <w:trPr>
          <w:cantSplit/>
          <w:trHeight w:val="170"/>
          <w:jc w:val="center"/>
        </w:trPr>
        <w:tc>
          <w:tcPr>
            <w:tcW w:w="916" w:type="dxa"/>
            <w:gridSpan w:val="2"/>
            <w:tcBorders>
              <w:top w:val="nil"/>
              <w:left w:val="single" w:sz="4" w:space="0" w:color="auto"/>
              <w:bottom w:val="single" w:sz="4" w:space="0" w:color="auto"/>
              <w:right w:val="single" w:sz="4" w:space="0" w:color="auto"/>
            </w:tcBorders>
            <w:shd w:val="clear" w:color="auto" w:fill="ECF6E7" w:themeFill="accent4" w:themeFillTint="33"/>
            <w:noWrap/>
            <w:vAlign w:val="center"/>
          </w:tcPr>
          <w:p w14:paraId="6C023D2C" w14:textId="77777777" w:rsidR="008B0A88" w:rsidRPr="009E2E48" w:rsidRDefault="008B0A88" w:rsidP="002D606E">
            <w:pPr>
              <w:spacing w:before="120"/>
              <w:rPr>
                <w:rFonts w:eastAsiaTheme="minorHAnsi" w:cs="Arial"/>
                <w:b/>
                <w:noProof/>
                <w:sz w:val="20"/>
                <w:szCs w:val="20"/>
              </w:rPr>
            </w:pPr>
            <w:r w:rsidRPr="009E2E48">
              <w:rPr>
                <w:rFonts w:cs="Arial"/>
                <w:b/>
                <w:sz w:val="20"/>
                <w:szCs w:val="20"/>
              </w:rPr>
              <w:t>2</w:t>
            </w:r>
          </w:p>
        </w:tc>
        <w:tc>
          <w:tcPr>
            <w:tcW w:w="900" w:type="dxa"/>
            <w:tcBorders>
              <w:top w:val="nil"/>
              <w:left w:val="single" w:sz="4" w:space="0" w:color="auto"/>
              <w:bottom w:val="single" w:sz="4" w:space="0" w:color="auto"/>
              <w:right w:val="single" w:sz="4" w:space="0" w:color="auto"/>
            </w:tcBorders>
            <w:shd w:val="clear" w:color="auto" w:fill="ECF6E7" w:themeFill="accent4" w:themeFillTint="33"/>
            <w:vAlign w:val="center"/>
          </w:tcPr>
          <w:p w14:paraId="2CF1B7E6" w14:textId="77777777" w:rsidR="008B0A88" w:rsidRPr="009E2E48" w:rsidRDefault="008B0A88" w:rsidP="002D606E">
            <w:pPr>
              <w:spacing w:before="120"/>
              <w:rPr>
                <w:rFonts w:cs="Arial"/>
                <w:b/>
                <w:sz w:val="20"/>
                <w:szCs w:val="20"/>
              </w:rPr>
            </w:pPr>
          </w:p>
        </w:tc>
        <w:tc>
          <w:tcPr>
            <w:tcW w:w="953" w:type="dxa"/>
            <w:tcBorders>
              <w:top w:val="nil"/>
              <w:left w:val="nil"/>
              <w:bottom w:val="single" w:sz="4" w:space="0" w:color="auto"/>
              <w:right w:val="single" w:sz="4" w:space="0" w:color="auto"/>
            </w:tcBorders>
            <w:shd w:val="clear" w:color="auto" w:fill="auto"/>
            <w:noWrap/>
          </w:tcPr>
          <w:p w14:paraId="5028B038" w14:textId="77777777" w:rsidR="008B0A88" w:rsidRPr="009E2E48" w:rsidRDefault="008B0A88" w:rsidP="00F84458">
            <w:pPr>
              <w:spacing w:before="120"/>
              <w:jc w:val="center"/>
              <w:rPr>
                <w:rFonts w:eastAsiaTheme="minorHAnsi" w:cs="Arial"/>
                <w:b/>
                <w:noProof/>
                <w:sz w:val="20"/>
                <w:szCs w:val="20"/>
              </w:rPr>
            </w:pPr>
            <w:r w:rsidRPr="009E2E48">
              <w:rPr>
                <w:sz w:val="20"/>
              </w:rPr>
              <w:t>2</w:t>
            </w:r>
          </w:p>
        </w:tc>
        <w:tc>
          <w:tcPr>
            <w:tcW w:w="953" w:type="dxa"/>
            <w:tcBorders>
              <w:top w:val="nil"/>
              <w:left w:val="nil"/>
              <w:bottom w:val="single" w:sz="4" w:space="0" w:color="auto"/>
              <w:right w:val="single" w:sz="4" w:space="0" w:color="auto"/>
            </w:tcBorders>
            <w:shd w:val="clear" w:color="auto" w:fill="auto"/>
            <w:noWrap/>
          </w:tcPr>
          <w:p w14:paraId="43FD40FD" w14:textId="77777777" w:rsidR="008B0A88" w:rsidRPr="009E2E48" w:rsidRDefault="008B0A88" w:rsidP="00F84458">
            <w:pPr>
              <w:spacing w:before="120"/>
              <w:jc w:val="center"/>
              <w:rPr>
                <w:rFonts w:eastAsiaTheme="minorHAnsi" w:cs="Arial"/>
                <w:b/>
                <w:noProof/>
                <w:sz w:val="20"/>
                <w:szCs w:val="20"/>
              </w:rPr>
            </w:pPr>
            <w:r w:rsidRPr="009E2E48">
              <w:rPr>
                <w:sz w:val="20"/>
              </w:rPr>
              <w:t>15</w:t>
            </w:r>
          </w:p>
        </w:tc>
        <w:tc>
          <w:tcPr>
            <w:tcW w:w="953" w:type="dxa"/>
            <w:tcBorders>
              <w:top w:val="nil"/>
              <w:left w:val="nil"/>
              <w:bottom w:val="single" w:sz="4" w:space="0" w:color="auto"/>
              <w:right w:val="single" w:sz="4" w:space="0" w:color="auto"/>
            </w:tcBorders>
            <w:shd w:val="clear" w:color="auto" w:fill="auto"/>
            <w:noWrap/>
          </w:tcPr>
          <w:p w14:paraId="65B31249" w14:textId="77777777" w:rsidR="008B0A88" w:rsidRPr="009E2E48" w:rsidRDefault="008B0A88" w:rsidP="00F84458">
            <w:pPr>
              <w:spacing w:before="120"/>
              <w:jc w:val="center"/>
              <w:rPr>
                <w:rFonts w:eastAsiaTheme="minorHAnsi" w:cs="Arial"/>
                <w:b/>
                <w:noProof/>
                <w:sz w:val="20"/>
                <w:szCs w:val="20"/>
              </w:rPr>
            </w:pPr>
            <w:r w:rsidRPr="009E2E48">
              <w:rPr>
                <w:sz w:val="20"/>
              </w:rPr>
              <w:t>6</w:t>
            </w:r>
          </w:p>
        </w:tc>
        <w:tc>
          <w:tcPr>
            <w:tcW w:w="953" w:type="dxa"/>
            <w:tcBorders>
              <w:top w:val="nil"/>
              <w:left w:val="nil"/>
              <w:bottom w:val="single" w:sz="4" w:space="0" w:color="auto"/>
              <w:right w:val="single" w:sz="4" w:space="0" w:color="auto"/>
            </w:tcBorders>
            <w:shd w:val="clear" w:color="auto" w:fill="auto"/>
            <w:noWrap/>
          </w:tcPr>
          <w:p w14:paraId="21D15556" w14:textId="77777777" w:rsidR="008B0A88" w:rsidRPr="009E2E48" w:rsidRDefault="008B0A88" w:rsidP="00F84458">
            <w:pPr>
              <w:spacing w:before="120"/>
              <w:jc w:val="center"/>
              <w:rPr>
                <w:rFonts w:eastAsiaTheme="minorHAnsi" w:cs="Arial"/>
                <w:b/>
                <w:noProof/>
                <w:sz w:val="20"/>
                <w:szCs w:val="20"/>
              </w:rPr>
            </w:pPr>
            <w:r w:rsidRPr="009E2E48">
              <w:rPr>
                <w:sz w:val="20"/>
              </w:rPr>
              <w:t>8</w:t>
            </w:r>
          </w:p>
        </w:tc>
        <w:tc>
          <w:tcPr>
            <w:tcW w:w="953" w:type="dxa"/>
            <w:tcBorders>
              <w:top w:val="nil"/>
              <w:left w:val="nil"/>
              <w:bottom w:val="single" w:sz="4" w:space="0" w:color="auto"/>
              <w:right w:val="single" w:sz="4" w:space="0" w:color="auto"/>
            </w:tcBorders>
            <w:shd w:val="clear" w:color="auto" w:fill="auto"/>
            <w:noWrap/>
          </w:tcPr>
          <w:p w14:paraId="76C37D69" w14:textId="77777777" w:rsidR="008B0A88" w:rsidRPr="009E2E48" w:rsidRDefault="008B0A88" w:rsidP="00F84458">
            <w:pPr>
              <w:spacing w:before="120"/>
              <w:jc w:val="center"/>
              <w:rPr>
                <w:rFonts w:eastAsiaTheme="minorHAnsi" w:cs="Arial"/>
                <w:b/>
                <w:noProof/>
                <w:sz w:val="20"/>
                <w:szCs w:val="20"/>
              </w:rPr>
            </w:pPr>
            <w:r w:rsidRPr="009E2E48">
              <w:rPr>
                <w:sz w:val="20"/>
              </w:rPr>
              <w:t>8</w:t>
            </w:r>
          </w:p>
        </w:tc>
        <w:tc>
          <w:tcPr>
            <w:tcW w:w="953" w:type="dxa"/>
            <w:tcBorders>
              <w:top w:val="nil"/>
              <w:left w:val="nil"/>
              <w:bottom w:val="single" w:sz="4" w:space="0" w:color="auto"/>
              <w:right w:val="single" w:sz="4" w:space="0" w:color="auto"/>
            </w:tcBorders>
            <w:shd w:val="clear" w:color="auto" w:fill="auto"/>
            <w:noWrap/>
          </w:tcPr>
          <w:p w14:paraId="44AF15B0" w14:textId="77777777" w:rsidR="008B0A88" w:rsidRPr="009E2E48" w:rsidRDefault="008B0A88" w:rsidP="00F84458">
            <w:pPr>
              <w:spacing w:before="120"/>
              <w:jc w:val="center"/>
              <w:rPr>
                <w:rFonts w:eastAsiaTheme="minorHAnsi" w:cs="Arial"/>
                <w:b/>
                <w:noProof/>
                <w:sz w:val="20"/>
                <w:szCs w:val="20"/>
              </w:rPr>
            </w:pPr>
            <w:r w:rsidRPr="009E2E48">
              <w:rPr>
                <w:sz w:val="20"/>
              </w:rPr>
              <w:t>7</w:t>
            </w:r>
          </w:p>
        </w:tc>
        <w:tc>
          <w:tcPr>
            <w:tcW w:w="953" w:type="dxa"/>
            <w:tcBorders>
              <w:top w:val="nil"/>
              <w:left w:val="nil"/>
              <w:bottom w:val="single" w:sz="4" w:space="0" w:color="auto"/>
              <w:right w:val="single" w:sz="4" w:space="0" w:color="auto"/>
            </w:tcBorders>
            <w:shd w:val="clear" w:color="auto" w:fill="auto"/>
            <w:noWrap/>
          </w:tcPr>
          <w:p w14:paraId="0BDFD430" w14:textId="77777777" w:rsidR="008B0A88" w:rsidRPr="009E2E48" w:rsidRDefault="008B0A88" w:rsidP="00F84458">
            <w:pPr>
              <w:spacing w:before="120"/>
              <w:jc w:val="center"/>
              <w:rPr>
                <w:rFonts w:eastAsiaTheme="minorHAnsi" w:cs="Arial"/>
                <w:b/>
                <w:noProof/>
                <w:sz w:val="20"/>
                <w:szCs w:val="20"/>
              </w:rPr>
            </w:pPr>
            <w:r w:rsidRPr="009E2E48">
              <w:rPr>
                <w:sz w:val="20"/>
              </w:rPr>
              <w:t>3</w:t>
            </w:r>
          </w:p>
        </w:tc>
        <w:tc>
          <w:tcPr>
            <w:tcW w:w="954" w:type="dxa"/>
            <w:tcBorders>
              <w:top w:val="nil"/>
              <w:left w:val="nil"/>
              <w:bottom w:val="single" w:sz="4" w:space="0" w:color="auto"/>
              <w:right w:val="single" w:sz="4" w:space="0" w:color="auto"/>
            </w:tcBorders>
          </w:tcPr>
          <w:p w14:paraId="24DBE159" w14:textId="77777777" w:rsidR="008B0A88" w:rsidRPr="009E2E48" w:rsidRDefault="008B0A88" w:rsidP="00F84458">
            <w:pPr>
              <w:spacing w:before="120"/>
              <w:jc w:val="center"/>
              <w:rPr>
                <w:rFonts w:eastAsiaTheme="minorHAnsi" w:cs="Arial"/>
                <w:b/>
                <w:noProof/>
                <w:sz w:val="20"/>
                <w:szCs w:val="20"/>
              </w:rPr>
            </w:pPr>
            <w:r w:rsidRPr="009E2E48">
              <w:rPr>
                <w:sz w:val="20"/>
              </w:rPr>
              <w:t>0</w:t>
            </w:r>
          </w:p>
        </w:tc>
      </w:tr>
    </w:tbl>
    <w:p w14:paraId="0031F3B2" w14:textId="77777777" w:rsidR="008B0A88" w:rsidRDefault="008B0A88" w:rsidP="00560AC0">
      <w:pPr>
        <w:pStyle w:val="Heading2"/>
        <w:numPr>
          <w:ilvl w:val="1"/>
          <w:numId w:val="17"/>
        </w:numPr>
        <w:ind w:left="567" w:right="-28" w:hanging="567"/>
      </w:pPr>
      <w:bookmarkStart w:id="895" w:name="_Ref373486942"/>
      <w:bookmarkStart w:id="896" w:name="_Ref373492494"/>
      <w:bookmarkStart w:id="897" w:name="_Ref373492495"/>
      <w:bookmarkStart w:id="898" w:name="_Ref373492496"/>
      <w:bookmarkStart w:id="899" w:name="_Toc380754770"/>
      <w:bookmarkStart w:id="900" w:name="_Toc466884242"/>
      <w:bookmarkStart w:id="901" w:name="_Toc467505255"/>
      <w:bookmarkStart w:id="902" w:name="_Toc467745636"/>
      <w:bookmarkStart w:id="903" w:name="_Toc467759598"/>
      <w:bookmarkStart w:id="904" w:name="_Toc468204099"/>
      <w:bookmarkStart w:id="905" w:name="_Toc476305253"/>
      <w:r>
        <w:t>Calculation of National Efficient Cost</w:t>
      </w:r>
      <w:bookmarkEnd w:id="895"/>
      <w:bookmarkEnd w:id="896"/>
      <w:bookmarkEnd w:id="897"/>
      <w:bookmarkEnd w:id="898"/>
      <w:bookmarkEnd w:id="899"/>
      <w:bookmarkEnd w:id="900"/>
      <w:bookmarkEnd w:id="901"/>
      <w:bookmarkEnd w:id="902"/>
      <w:bookmarkEnd w:id="903"/>
      <w:bookmarkEnd w:id="904"/>
      <w:bookmarkEnd w:id="905"/>
    </w:p>
    <w:p w14:paraId="175EA38C" w14:textId="7AAC282C" w:rsidR="008B0A88" w:rsidRDefault="008B0A88">
      <w:pPr>
        <w:tabs>
          <w:tab w:val="left" w:pos="1162"/>
        </w:tabs>
        <w:rPr>
          <w:rFonts w:cs="Arial"/>
          <w:szCs w:val="20"/>
        </w:rPr>
      </w:pPr>
      <w:r>
        <w:rPr>
          <w:rFonts w:cs="Arial"/>
          <w:szCs w:val="20"/>
        </w:rPr>
        <w:t>The NEC17 model is largely in line with the model used for NEC16, employing the same number of categories for size, type, and locality groupings. O</w:t>
      </w:r>
      <w:r w:rsidRPr="00811CD9">
        <w:rPr>
          <w:rFonts w:cs="Arial"/>
          <w:szCs w:val="20"/>
        </w:rPr>
        <w:t xml:space="preserve">utliers </w:t>
      </w:r>
      <w:r>
        <w:rPr>
          <w:rFonts w:cs="Arial"/>
          <w:szCs w:val="20"/>
        </w:rPr>
        <w:t xml:space="preserve">are treated the same in NEC17 as they were NEC16, as explained in </w:t>
      </w:r>
      <w:r w:rsidR="00A83F3A">
        <w:rPr>
          <w:rFonts w:cs="Arial"/>
          <w:szCs w:val="20"/>
        </w:rPr>
        <w:t>Section</w:t>
      </w:r>
      <w:r w:rsidRPr="00811CD9">
        <w:rPr>
          <w:rFonts w:cs="Arial"/>
          <w:szCs w:val="20"/>
        </w:rPr>
        <w:t xml:space="preserve"> </w:t>
      </w:r>
      <w:r>
        <w:rPr>
          <w:rFonts w:cs="Arial"/>
          <w:szCs w:val="20"/>
        </w:rPr>
        <w:fldChar w:fldCharType="begin"/>
      </w:r>
      <w:r>
        <w:rPr>
          <w:rFonts w:cs="Arial"/>
          <w:szCs w:val="20"/>
        </w:rPr>
        <w:instrText xml:space="preserve"> REF _Ref373487677 \r \h </w:instrText>
      </w:r>
      <w:r w:rsidR="00560AC0">
        <w:rPr>
          <w:rFonts w:cs="Arial"/>
          <w:szCs w:val="20"/>
        </w:rPr>
        <w:instrText xml:space="preserve"> \* MERGEFORMAT </w:instrText>
      </w:r>
      <w:r>
        <w:rPr>
          <w:rFonts w:cs="Arial"/>
          <w:szCs w:val="20"/>
        </w:rPr>
      </w:r>
      <w:r>
        <w:rPr>
          <w:rFonts w:cs="Arial"/>
          <w:szCs w:val="20"/>
        </w:rPr>
        <w:fldChar w:fldCharType="separate"/>
      </w:r>
      <w:r w:rsidR="00F84458">
        <w:rPr>
          <w:rFonts w:cs="Arial"/>
          <w:szCs w:val="20"/>
        </w:rPr>
        <w:t>8.3.1</w:t>
      </w:r>
      <w:r>
        <w:rPr>
          <w:rFonts w:cs="Arial"/>
          <w:szCs w:val="20"/>
        </w:rPr>
        <w:fldChar w:fldCharType="end"/>
      </w:r>
      <w:r w:rsidRPr="00382D5D">
        <w:rPr>
          <w:rFonts w:cs="Arial"/>
          <w:szCs w:val="20"/>
        </w:rPr>
        <w:t>.</w:t>
      </w:r>
    </w:p>
    <w:p w14:paraId="24B4E7F6" w14:textId="77777777" w:rsidR="008B0A88" w:rsidRDefault="008B0A88">
      <w:pPr>
        <w:tabs>
          <w:tab w:val="left" w:pos="1162"/>
        </w:tabs>
      </w:pPr>
      <w:r w:rsidRPr="00B12DFB">
        <w:rPr>
          <w:rFonts w:cs="Arial"/>
          <w:szCs w:val="20"/>
        </w:rPr>
        <w:t>T</w:t>
      </w:r>
      <w:r>
        <w:rPr>
          <w:rFonts w:cs="Arial"/>
          <w:szCs w:val="20"/>
        </w:rPr>
        <w:t>he NEC17</w:t>
      </w:r>
      <w:r w:rsidRPr="00B12DFB">
        <w:rPr>
          <w:rFonts w:cs="Arial"/>
          <w:szCs w:val="20"/>
        </w:rPr>
        <w:t xml:space="preserve"> average model cost for the year is given as a simple average of total expenditure across all model in-scope hospitals. This is reported as the NEC per </w:t>
      </w:r>
      <w:r>
        <w:rPr>
          <w:rFonts w:cs="Arial"/>
          <w:szCs w:val="20"/>
        </w:rPr>
        <w:t xml:space="preserve">block funded hospital </w:t>
      </w:r>
      <w:r w:rsidRPr="00B12DFB">
        <w:rPr>
          <w:rFonts w:cs="Arial"/>
          <w:szCs w:val="20"/>
        </w:rPr>
        <w:t xml:space="preserve">in </w:t>
      </w:r>
      <w:r w:rsidRPr="00B3571F">
        <w:rPr>
          <w:rFonts w:cs="Arial"/>
          <w:szCs w:val="20"/>
        </w:rPr>
        <w:t xml:space="preserve">the </w:t>
      </w:r>
      <w:r>
        <w:rPr>
          <w:rFonts w:cs="Arial"/>
          <w:szCs w:val="20"/>
        </w:rPr>
        <w:t>NEC17</w:t>
      </w:r>
      <w:r w:rsidRPr="00B3571F">
        <w:rPr>
          <w:rFonts w:cs="Arial"/>
          <w:szCs w:val="20"/>
        </w:rPr>
        <w:t xml:space="preserve"> Determination</w:t>
      </w:r>
      <w:r w:rsidRPr="00B12DFB">
        <w:rPr>
          <w:rFonts w:cs="Arial"/>
          <w:szCs w:val="20"/>
        </w:rPr>
        <w:t>.</w:t>
      </w:r>
      <w:r w:rsidRPr="00BB4753">
        <w:t xml:space="preserve"> </w:t>
      </w:r>
      <w:r>
        <w:t>Note that this value is lower than the NEC16 amount.</w:t>
      </w:r>
    </w:p>
    <w:p w14:paraId="4B338FC1" w14:textId="77777777" w:rsidR="008B0A88" w:rsidRDefault="008B0A88">
      <w:pPr>
        <w:tabs>
          <w:tab w:val="left" w:pos="1162"/>
        </w:tabs>
        <w:rPr>
          <w:rFonts w:cs="Arial"/>
          <w:szCs w:val="20"/>
        </w:rPr>
      </w:pPr>
      <w:r>
        <w:rPr>
          <w:rFonts w:cs="Arial"/>
          <w:szCs w:val="20"/>
        </w:rPr>
        <w:t xml:space="preserve">As for NEC16, the inlier range was limited to those hospitals whose cost ratios sat between the symmetrical boundary points </w:t>
      </w:r>
      <w:r w:rsidRPr="00801AF5">
        <w:rPr>
          <w:rFonts w:cs="Arial"/>
          <w:szCs w:val="20"/>
        </w:rPr>
        <w:t>0.56 and 1.8</w:t>
      </w:r>
      <w:r>
        <w:rPr>
          <w:rFonts w:cs="Arial"/>
          <w:szCs w:val="20"/>
        </w:rPr>
        <w:t xml:space="preserve"> inclusive.</w:t>
      </w:r>
      <w:r w:rsidRPr="0083074A">
        <w:t xml:space="preserve"> </w:t>
      </w:r>
      <w:r>
        <w:rPr>
          <w:rFonts w:cs="Arial"/>
          <w:szCs w:val="20"/>
        </w:rPr>
        <w:t xml:space="preserve">The thresholds are symmetrical so that a hospital that is </w:t>
      </w:r>
      <w:r w:rsidRPr="00801AF5">
        <w:rPr>
          <w:rFonts w:cs="Arial"/>
          <w:szCs w:val="20"/>
        </w:rPr>
        <w:t>twice</w:t>
      </w:r>
      <w:r>
        <w:rPr>
          <w:rFonts w:cs="Arial"/>
          <w:szCs w:val="20"/>
        </w:rPr>
        <w:t xml:space="preserve"> the cost of the mean gets treated in a similar way to a hospital that has a cost of </w:t>
      </w:r>
      <w:r w:rsidRPr="00801AF5">
        <w:rPr>
          <w:rFonts w:cs="Arial"/>
          <w:szCs w:val="20"/>
        </w:rPr>
        <w:t>half</w:t>
      </w:r>
      <w:r>
        <w:rPr>
          <w:rFonts w:cs="Arial"/>
          <w:szCs w:val="20"/>
        </w:rPr>
        <w:t xml:space="preserve"> the mean. </w:t>
      </w:r>
    </w:p>
    <w:p w14:paraId="141EC4CB" w14:textId="77777777" w:rsidR="008B0A88" w:rsidRPr="00811CD9" w:rsidRDefault="008B0A88">
      <w:pPr>
        <w:pStyle w:val="Heading3"/>
        <w:numPr>
          <w:ilvl w:val="2"/>
          <w:numId w:val="17"/>
        </w:numPr>
        <w:spacing w:before="200" w:after="120" w:line="276" w:lineRule="auto"/>
        <w:ind w:left="851" w:hanging="851"/>
        <w:contextualSpacing w:val="0"/>
      </w:pPr>
      <w:bookmarkStart w:id="906" w:name="_Ref373487677"/>
      <w:bookmarkStart w:id="907" w:name="_Toc380754772"/>
      <w:bookmarkStart w:id="908" w:name="_Toc466884243"/>
      <w:bookmarkStart w:id="909" w:name="_Toc467505256"/>
      <w:bookmarkStart w:id="910" w:name="_Toc467745637"/>
      <w:bookmarkStart w:id="911" w:name="_Toc468204100"/>
      <w:r>
        <w:t>Calculation of the efficient cost for a particular hospital</w:t>
      </w:r>
      <w:bookmarkEnd w:id="906"/>
      <w:bookmarkEnd w:id="907"/>
      <w:bookmarkEnd w:id="908"/>
      <w:bookmarkEnd w:id="909"/>
      <w:bookmarkEnd w:id="910"/>
      <w:bookmarkEnd w:id="911"/>
      <w:r>
        <w:t xml:space="preserve"> </w:t>
      </w:r>
    </w:p>
    <w:p w14:paraId="7B7065E0" w14:textId="77777777" w:rsidR="008B0A88" w:rsidRDefault="008B0A88">
      <w:pPr>
        <w:tabs>
          <w:tab w:val="left" w:pos="1162"/>
        </w:tabs>
        <w:rPr>
          <w:rFonts w:cs="Arial"/>
          <w:szCs w:val="20"/>
        </w:rPr>
      </w:pPr>
      <w:r>
        <w:rPr>
          <w:rFonts w:cs="Arial"/>
          <w:szCs w:val="20"/>
        </w:rPr>
        <w:t xml:space="preserve">The efficient cost of an inlier, in-scope block funded hospital is given by the availability payment for the hospital’s size-type cell. This cost is determined by a regression of the form </w:t>
      </w:r>
    </w:p>
    <w:p w14:paraId="2201432E" w14:textId="77777777" w:rsidR="008B0A88" w:rsidRDefault="0052227C" w:rsidP="002D606E">
      <w:pPr>
        <w:tabs>
          <w:tab w:val="left" w:pos="1162"/>
        </w:tabs>
        <w:rPr>
          <w:rFonts w:cs="Arial"/>
          <w:szCs w:val="20"/>
        </w:rPr>
      </w:pPr>
      <m:oMath>
        <m:func>
          <m:funcPr>
            <m:ctrlPr>
              <w:rPr>
                <w:rFonts w:ascii="Cambria Math" w:hAnsi="Cambria Math" w:cs="Arial"/>
                <w:i/>
                <w:szCs w:val="20"/>
              </w:rPr>
            </m:ctrlPr>
          </m:funcPr>
          <m:fName>
            <m:r>
              <m:rPr>
                <m:sty m:val="p"/>
              </m:rPr>
              <w:rPr>
                <w:rFonts w:ascii="Cambria Math" w:hAnsi="Cambria Math" w:cs="Arial"/>
                <w:szCs w:val="20"/>
              </w:rPr>
              <m:t>ln</m:t>
            </m:r>
          </m:fName>
          <m:e>
            <m:d>
              <m:dPr>
                <m:ctrlPr>
                  <w:rPr>
                    <w:rFonts w:ascii="Cambria Math" w:hAnsi="Cambria Math" w:cs="Arial"/>
                    <w:i/>
                    <w:szCs w:val="20"/>
                  </w:rPr>
                </m:ctrlPr>
              </m:dPr>
              <m:e>
                <m:r>
                  <w:rPr>
                    <w:rFonts w:ascii="Cambria Math" w:hAnsi="Cambria Math" w:cs="Arial"/>
                    <w:szCs w:val="20"/>
                  </w:rPr>
                  <m:t>inscope expenditure</m:t>
                </m:r>
              </m:e>
            </m:d>
          </m:e>
        </m:func>
        <m:r>
          <w:rPr>
            <w:rFonts w:ascii="Cambria Math" w:hAnsi="Cambria Math" w:cs="Arial"/>
            <w:szCs w:val="20"/>
          </w:rPr>
          <m:t>=s+t</m:t>
        </m:r>
      </m:oMath>
      <w:r w:rsidR="008B0A88">
        <w:rPr>
          <w:rFonts w:cs="Arial"/>
          <w:szCs w:val="20"/>
        </w:rPr>
        <w:t>,</w:t>
      </w:r>
    </w:p>
    <w:p w14:paraId="257AF87B" w14:textId="77777777" w:rsidR="008B0A88" w:rsidRDefault="008B0A88" w:rsidP="00560AC0">
      <w:pPr>
        <w:tabs>
          <w:tab w:val="left" w:pos="1162"/>
        </w:tabs>
        <w:rPr>
          <w:rFonts w:cs="Arial"/>
          <w:szCs w:val="20"/>
        </w:rPr>
      </w:pPr>
      <w:proofErr w:type="gramStart"/>
      <w:r>
        <w:rPr>
          <w:rFonts w:cs="Arial"/>
          <w:szCs w:val="20"/>
        </w:rPr>
        <w:t>for</w:t>
      </w:r>
      <w:proofErr w:type="gramEnd"/>
      <w:r>
        <w:rPr>
          <w:rFonts w:cs="Arial"/>
          <w:szCs w:val="20"/>
        </w:rPr>
        <w:t xml:space="preserve"> each region, where </w:t>
      </w:r>
      <w:r w:rsidRPr="00493806">
        <w:rPr>
          <w:rFonts w:cs="Arial"/>
          <w:i/>
          <w:szCs w:val="20"/>
        </w:rPr>
        <w:t>s</w:t>
      </w:r>
      <w:r>
        <w:rPr>
          <w:rFonts w:cs="Arial"/>
          <w:szCs w:val="20"/>
        </w:rPr>
        <w:t xml:space="preserve"> and</w:t>
      </w:r>
      <w:r w:rsidRPr="00493806">
        <w:rPr>
          <w:rFonts w:cs="Arial"/>
          <w:i/>
          <w:szCs w:val="20"/>
        </w:rPr>
        <w:t xml:space="preserve"> t</w:t>
      </w:r>
      <w:r>
        <w:rPr>
          <w:rFonts w:cs="Arial"/>
          <w:szCs w:val="20"/>
        </w:rPr>
        <w:t xml:space="preserve"> are parameters associated with each hospital’s size and type respectively. </w:t>
      </w:r>
    </w:p>
    <w:p w14:paraId="799B4612" w14:textId="77777777" w:rsidR="008B0A88" w:rsidRDefault="008B0A88" w:rsidP="00560AC0">
      <w:pPr>
        <w:tabs>
          <w:tab w:val="left" w:pos="1162"/>
        </w:tabs>
        <w:rPr>
          <w:rFonts w:cs="Arial"/>
          <w:szCs w:val="20"/>
        </w:rPr>
      </w:pPr>
      <w:r w:rsidRPr="00BB4753">
        <w:rPr>
          <w:rFonts w:cs="Arial"/>
          <w:szCs w:val="20"/>
        </w:rPr>
        <w:lastRenderedPageBreak/>
        <w:t>Outliers</w:t>
      </w:r>
      <w:r>
        <w:rPr>
          <w:rFonts w:cs="Arial"/>
          <w:szCs w:val="20"/>
        </w:rPr>
        <w:t xml:space="preserve">, </w:t>
      </w:r>
      <w:r w:rsidRPr="00BB4753">
        <w:rPr>
          <w:rFonts w:cs="Arial"/>
          <w:szCs w:val="20"/>
        </w:rPr>
        <w:t xml:space="preserve">specialist psychiatric </w:t>
      </w:r>
      <w:r>
        <w:rPr>
          <w:rFonts w:cs="Arial"/>
          <w:szCs w:val="20"/>
        </w:rPr>
        <w:t xml:space="preserve">and major city </w:t>
      </w:r>
      <w:r w:rsidRPr="00BB4753">
        <w:rPr>
          <w:rFonts w:cs="Arial"/>
          <w:szCs w:val="20"/>
        </w:rPr>
        <w:t xml:space="preserve">hospitals </w:t>
      </w:r>
      <w:r>
        <w:rPr>
          <w:rFonts w:cs="Arial"/>
          <w:szCs w:val="20"/>
        </w:rPr>
        <w:t>are</w:t>
      </w:r>
      <w:r w:rsidRPr="00BB4753">
        <w:rPr>
          <w:rFonts w:cs="Arial"/>
          <w:szCs w:val="20"/>
        </w:rPr>
        <w:t xml:space="preserve"> treated separately to </w:t>
      </w:r>
      <w:r>
        <w:rPr>
          <w:rFonts w:cs="Arial"/>
          <w:szCs w:val="20"/>
        </w:rPr>
        <w:t xml:space="preserve">the 379 rural </w:t>
      </w:r>
      <w:r w:rsidRPr="00BB4753">
        <w:rPr>
          <w:rFonts w:cs="Arial"/>
          <w:szCs w:val="20"/>
        </w:rPr>
        <w:t xml:space="preserve">hospitals within the model and are addressed further </w:t>
      </w:r>
      <w:r>
        <w:rPr>
          <w:rFonts w:cs="Arial"/>
          <w:szCs w:val="20"/>
        </w:rPr>
        <w:t>below.</w:t>
      </w:r>
    </w:p>
    <w:p w14:paraId="54DC1401" w14:textId="77777777" w:rsidR="008B0A88" w:rsidRPr="00FA3C49" w:rsidRDefault="008B0A88" w:rsidP="002D606E">
      <w:pPr>
        <w:pStyle w:val="Heading4"/>
        <w:numPr>
          <w:ilvl w:val="3"/>
          <w:numId w:val="100"/>
        </w:numPr>
        <w:ind w:left="426" w:hanging="142"/>
      </w:pPr>
      <w:r w:rsidRPr="00FA3C49">
        <w:t>Outliers</w:t>
      </w:r>
    </w:p>
    <w:p w14:paraId="19F840C2" w14:textId="77777777" w:rsidR="008B0A88" w:rsidRPr="006F743D" w:rsidRDefault="008B0A88">
      <w:pPr>
        <w:pStyle w:val="ListParagraph"/>
        <w:numPr>
          <w:ilvl w:val="0"/>
          <w:numId w:val="48"/>
        </w:numPr>
        <w:tabs>
          <w:tab w:val="left" w:pos="1162"/>
        </w:tabs>
        <w:spacing w:after="200" w:line="276" w:lineRule="auto"/>
        <w:rPr>
          <w:rFonts w:cs="Arial"/>
          <w:szCs w:val="20"/>
        </w:rPr>
      </w:pPr>
      <w:r w:rsidRPr="006F743D">
        <w:rPr>
          <w:rFonts w:cs="Arial"/>
          <w:szCs w:val="20"/>
        </w:rPr>
        <w:t xml:space="preserve">Hospitals with cost ratios that fall outside the prescribed cost ratio boundaries, </w:t>
      </w:r>
      <w:r w:rsidRPr="00801AF5">
        <w:rPr>
          <w:rFonts w:cs="Arial"/>
          <w:szCs w:val="20"/>
        </w:rPr>
        <w:t>0.56 and 1.8</w:t>
      </w:r>
      <w:r w:rsidRPr="006F743D">
        <w:rPr>
          <w:rFonts w:cs="Arial"/>
          <w:szCs w:val="20"/>
        </w:rPr>
        <w:t xml:space="preserve">, referred to as cost outliers, and are prescribed capped cost ratios. </w:t>
      </w:r>
    </w:p>
    <w:p w14:paraId="63D91682" w14:textId="77777777" w:rsidR="008B0A88" w:rsidRPr="006F743D" w:rsidRDefault="008B0A88">
      <w:pPr>
        <w:pStyle w:val="ListParagraph"/>
        <w:numPr>
          <w:ilvl w:val="0"/>
          <w:numId w:val="48"/>
        </w:numPr>
        <w:tabs>
          <w:tab w:val="left" w:pos="1162"/>
        </w:tabs>
        <w:spacing w:after="200" w:line="276" w:lineRule="auto"/>
        <w:rPr>
          <w:rFonts w:cs="Arial"/>
          <w:szCs w:val="20"/>
        </w:rPr>
      </w:pPr>
      <w:r w:rsidRPr="006F743D">
        <w:rPr>
          <w:rFonts w:cs="Arial"/>
          <w:szCs w:val="20"/>
        </w:rPr>
        <w:t xml:space="preserve">Hospitals with a cost ratio </w:t>
      </w:r>
      <w:r w:rsidRPr="00BD4DD8">
        <w:rPr>
          <w:rFonts w:cs="Arial"/>
          <w:i/>
          <w:szCs w:val="20"/>
        </w:rPr>
        <w:t>greater</w:t>
      </w:r>
      <w:r w:rsidRPr="006F743D">
        <w:rPr>
          <w:rFonts w:cs="Arial"/>
          <w:szCs w:val="20"/>
        </w:rPr>
        <w:t xml:space="preserve"> than 1.8 are assigned an efficient cost equal to its actual cost divided by 1.8. </w:t>
      </w:r>
    </w:p>
    <w:p w14:paraId="1A4176BC" w14:textId="77777777" w:rsidR="008B0A88" w:rsidRPr="006F743D" w:rsidRDefault="008B0A88">
      <w:pPr>
        <w:pStyle w:val="ListParagraph"/>
        <w:tabs>
          <w:tab w:val="left" w:pos="1162"/>
        </w:tabs>
        <w:spacing w:after="240"/>
        <w:contextualSpacing w:val="0"/>
        <w:rPr>
          <w:rFonts w:cs="Arial"/>
          <w:szCs w:val="20"/>
        </w:rPr>
      </w:pPr>
      <m:oMathPara>
        <m:oMath>
          <m:r>
            <w:rPr>
              <w:rFonts w:ascii="Cambria Math" w:hAnsi="Cambria Math" w:cs="Arial"/>
              <w:szCs w:val="20"/>
            </w:rPr>
            <m:t>CR&gt;1.8          efficient cost=</m:t>
          </m:r>
          <m:f>
            <m:fPr>
              <m:ctrlPr>
                <w:rPr>
                  <w:rFonts w:ascii="Cambria Math" w:hAnsi="Cambria Math" w:cs="Arial"/>
                  <w:i/>
                  <w:szCs w:val="20"/>
                </w:rPr>
              </m:ctrlPr>
            </m:fPr>
            <m:num>
              <m:r>
                <w:rPr>
                  <w:rFonts w:ascii="Cambria Math" w:hAnsi="Cambria Math" w:cs="Arial"/>
                  <w:szCs w:val="20"/>
                </w:rPr>
                <m:t>actual cost</m:t>
              </m:r>
            </m:num>
            <m:den>
              <m:r>
                <w:rPr>
                  <w:rFonts w:ascii="Cambria Math" w:hAnsi="Cambria Math" w:cs="Arial"/>
                  <w:szCs w:val="20"/>
                </w:rPr>
                <m:t>1.8</m:t>
              </m:r>
            </m:den>
          </m:f>
        </m:oMath>
      </m:oMathPara>
    </w:p>
    <w:p w14:paraId="5C74C749" w14:textId="77777777" w:rsidR="008B0A88" w:rsidRPr="006F743D" w:rsidRDefault="008B0A88">
      <w:pPr>
        <w:pStyle w:val="ListParagraph"/>
        <w:numPr>
          <w:ilvl w:val="0"/>
          <w:numId w:val="48"/>
        </w:numPr>
        <w:tabs>
          <w:tab w:val="left" w:pos="1162"/>
        </w:tabs>
        <w:spacing w:after="200" w:line="276" w:lineRule="auto"/>
        <w:rPr>
          <w:rFonts w:cs="Arial"/>
          <w:szCs w:val="20"/>
        </w:rPr>
      </w:pPr>
      <w:r w:rsidRPr="006F743D">
        <w:rPr>
          <w:rFonts w:cs="Arial"/>
          <w:szCs w:val="20"/>
        </w:rPr>
        <w:t xml:space="preserve">Hospitals with a cost ratio </w:t>
      </w:r>
      <w:r w:rsidRPr="00BD4DD8">
        <w:rPr>
          <w:rFonts w:cs="Arial"/>
          <w:i/>
          <w:szCs w:val="20"/>
        </w:rPr>
        <w:t>less</w:t>
      </w:r>
      <w:r w:rsidRPr="006F743D">
        <w:rPr>
          <w:rFonts w:cs="Arial"/>
          <w:szCs w:val="20"/>
        </w:rPr>
        <w:t xml:space="preserve"> than 0.56 are assigned an efficient cost equal to its actual cost multiplied by 1.8 (or divided by 0.56).</w:t>
      </w:r>
    </w:p>
    <w:p w14:paraId="070E362E" w14:textId="77777777" w:rsidR="008B0A88" w:rsidRDefault="008B0A88">
      <w:pPr>
        <w:tabs>
          <w:tab w:val="left" w:pos="1162"/>
        </w:tabs>
        <w:spacing w:after="360"/>
        <w:rPr>
          <w:rFonts w:cs="Arial"/>
          <w:szCs w:val="20"/>
        </w:rPr>
      </w:pPr>
      <m:oMathPara>
        <m:oMath>
          <m:r>
            <w:rPr>
              <w:rFonts w:ascii="Cambria Math" w:hAnsi="Cambria Math" w:cs="Arial"/>
              <w:szCs w:val="20"/>
            </w:rPr>
            <m:t xml:space="preserve">CR&lt;0.56         efficient cost=actual cost </m:t>
          </m:r>
          <m:r>
            <w:rPr>
              <w:rFonts w:ascii="Cambria Math" w:hAnsi="Cambria Math" w:cs="Arial" w:hint="eastAsia"/>
              <w:szCs w:val="20"/>
            </w:rPr>
            <m:t>×</m:t>
          </m:r>
          <m:r>
            <w:rPr>
              <w:rFonts w:ascii="Cambria Math" w:hAnsi="Cambria Math" w:cs="Arial"/>
              <w:szCs w:val="20"/>
            </w:rPr>
            <m:t>1.8</m:t>
          </m:r>
        </m:oMath>
      </m:oMathPara>
    </w:p>
    <w:p w14:paraId="47414373" w14:textId="77777777" w:rsidR="008B0A88" w:rsidRPr="00FA3C49" w:rsidRDefault="008B0A88" w:rsidP="002D606E">
      <w:pPr>
        <w:pStyle w:val="Heading4"/>
        <w:numPr>
          <w:ilvl w:val="3"/>
          <w:numId w:val="100"/>
        </w:numPr>
        <w:ind w:left="426" w:hanging="142"/>
      </w:pPr>
      <w:r w:rsidRPr="00FA3C49">
        <w:t xml:space="preserve">Hospitals </w:t>
      </w:r>
      <w:r>
        <w:t xml:space="preserve">with </w:t>
      </w:r>
      <w:r w:rsidRPr="00FA3C49">
        <w:t>missing data</w:t>
      </w:r>
    </w:p>
    <w:p w14:paraId="2DC56A38" w14:textId="77777777" w:rsidR="008B0A88" w:rsidRDefault="008B0A88">
      <w:pPr>
        <w:tabs>
          <w:tab w:val="left" w:pos="1162"/>
        </w:tabs>
        <w:rPr>
          <w:rFonts w:cs="Arial"/>
          <w:szCs w:val="20"/>
        </w:rPr>
      </w:pPr>
      <w:r>
        <w:rPr>
          <w:rFonts w:cs="Arial"/>
          <w:szCs w:val="20"/>
        </w:rPr>
        <w:t>Jurisdictional advice was sought from hospitals with missing activity or cost data. Where appropriate, new data received from jurisdictions was incorporated into existing datasets for these hospitals. They</w:t>
      </w:r>
      <w:r w:rsidRPr="003474BA">
        <w:rPr>
          <w:rFonts w:cs="Arial"/>
          <w:szCs w:val="20"/>
        </w:rPr>
        <w:t xml:space="preserve"> are then treated in the same way as hospitals </w:t>
      </w:r>
      <w:r>
        <w:rPr>
          <w:rFonts w:cs="Arial"/>
          <w:szCs w:val="20"/>
        </w:rPr>
        <w:t xml:space="preserve">reporting adequate </w:t>
      </w:r>
      <w:r w:rsidRPr="003474BA">
        <w:rPr>
          <w:rFonts w:cs="Arial"/>
          <w:szCs w:val="20"/>
        </w:rPr>
        <w:t xml:space="preserve">data for the purposes of determining </w:t>
      </w:r>
      <w:r>
        <w:rPr>
          <w:rFonts w:cs="Arial"/>
          <w:szCs w:val="20"/>
        </w:rPr>
        <w:t>the 2014-15 average cost</w:t>
      </w:r>
      <w:r w:rsidRPr="003474BA">
        <w:rPr>
          <w:rFonts w:cs="Arial"/>
          <w:szCs w:val="20"/>
        </w:rPr>
        <w:t xml:space="preserve"> and </w:t>
      </w:r>
      <w:r>
        <w:rPr>
          <w:rFonts w:cs="Arial"/>
          <w:szCs w:val="20"/>
        </w:rPr>
        <w:t>NEC17</w:t>
      </w:r>
      <w:r w:rsidRPr="003474BA">
        <w:rPr>
          <w:rFonts w:cs="Arial"/>
          <w:szCs w:val="20"/>
        </w:rPr>
        <w:t>.</w:t>
      </w:r>
    </w:p>
    <w:p w14:paraId="0988BF36" w14:textId="77777777" w:rsidR="008B0A88" w:rsidRDefault="008B0A88">
      <w:pPr>
        <w:pStyle w:val="Heading3"/>
        <w:numPr>
          <w:ilvl w:val="2"/>
          <w:numId w:val="17"/>
        </w:numPr>
        <w:spacing w:before="200" w:after="120" w:line="276" w:lineRule="auto"/>
        <w:ind w:left="851" w:hanging="851"/>
        <w:contextualSpacing w:val="0"/>
      </w:pPr>
      <w:bookmarkStart w:id="912" w:name="_Ref373486503"/>
      <w:bookmarkStart w:id="913" w:name="_Toc380754773"/>
      <w:bookmarkStart w:id="914" w:name="_Toc466884244"/>
      <w:bookmarkStart w:id="915" w:name="_Toc467505257"/>
      <w:bookmarkStart w:id="916" w:name="_Toc467745638"/>
      <w:bookmarkStart w:id="917" w:name="_Toc468204101"/>
      <w:r>
        <w:t>Calculation of the efficient cost of specialist psychiatric and major city hospitals</w:t>
      </w:r>
      <w:bookmarkEnd w:id="912"/>
      <w:bookmarkEnd w:id="913"/>
      <w:bookmarkEnd w:id="914"/>
      <w:bookmarkEnd w:id="915"/>
      <w:bookmarkEnd w:id="916"/>
      <w:bookmarkEnd w:id="917"/>
      <w:r>
        <w:t xml:space="preserve"> </w:t>
      </w:r>
    </w:p>
    <w:p w14:paraId="5E1C3E6D" w14:textId="77777777" w:rsidR="008B0A88" w:rsidRDefault="008B0A88">
      <w:r w:rsidRPr="00603CB8">
        <w:t xml:space="preserve">Specialist mental health hospitals are excluded from the model from the outset. These </w:t>
      </w:r>
      <w:r>
        <w:t xml:space="preserve">hospitals </w:t>
      </w:r>
      <w:r w:rsidRPr="00603CB8">
        <w:t>are assigned model costs based on advice from jurisdictions.</w:t>
      </w:r>
      <w:r>
        <w:t xml:space="preserve"> Where advice was not received from jurisdictions the NEC16 efficient cost has been escalated by the NEC17 indexation rate to become the NEC17 efficient cost for each of these hospitals.</w:t>
      </w:r>
    </w:p>
    <w:p w14:paraId="7C93C432" w14:textId="398E0B5B" w:rsidR="008B0A88" w:rsidRDefault="008B0A88">
      <w:r>
        <w:t xml:space="preserve">For </w:t>
      </w:r>
      <w:r w:rsidRPr="00603CB8">
        <w:t xml:space="preserve">the purposes of </w:t>
      </w:r>
      <w:r>
        <w:t>NEC17</w:t>
      </w:r>
      <w:r w:rsidRPr="00603CB8">
        <w:t xml:space="preserve">, these hospitals are priced </w:t>
      </w:r>
      <w:r>
        <w:t xml:space="preserve">after consultation with jurisdictions. Subject to this advice, their prices are set </w:t>
      </w:r>
      <w:r w:rsidRPr="00603CB8">
        <w:t xml:space="preserve">at their actual cost for </w:t>
      </w:r>
      <w:r>
        <w:t xml:space="preserve">2014-15, </w:t>
      </w:r>
      <w:r w:rsidRPr="00603CB8">
        <w:t xml:space="preserve">and are indexed at the same rate applied to the in-scope hospitals in the </w:t>
      </w:r>
      <w:r>
        <w:t>2014-15</w:t>
      </w:r>
      <w:r w:rsidRPr="00603CB8">
        <w:t xml:space="preserve"> cost </w:t>
      </w:r>
      <w:proofErr w:type="gramStart"/>
      <w:r w:rsidRPr="00603CB8">
        <w:t>model</w:t>
      </w:r>
      <w:proofErr w:type="gramEnd"/>
      <w:r w:rsidRPr="00603CB8">
        <w:t xml:space="preserve"> for </w:t>
      </w:r>
      <w:r>
        <w:t xml:space="preserve">NEC17. Indexation is described in further </w:t>
      </w:r>
      <w:r w:rsidRPr="00382D5D">
        <w:t xml:space="preserve">detail in </w:t>
      </w:r>
      <w:r w:rsidR="00A83F3A">
        <w:t>Section</w:t>
      </w:r>
      <w:r w:rsidRPr="00382D5D">
        <w:t xml:space="preserve"> </w:t>
      </w:r>
      <w:r w:rsidRPr="00382D5D">
        <w:fldChar w:fldCharType="begin"/>
      </w:r>
      <w:r w:rsidRPr="00382D5D">
        <w:instrText xml:space="preserve"> REF _Ref467073405 \r \h </w:instrText>
      </w:r>
      <w:r>
        <w:instrText xml:space="preserve"> \* MERGEFORMAT </w:instrText>
      </w:r>
      <w:r w:rsidRPr="00382D5D">
        <w:fldChar w:fldCharType="separate"/>
      </w:r>
      <w:r w:rsidR="00F84458">
        <w:t>8.4</w:t>
      </w:r>
      <w:r w:rsidRPr="00382D5D">
        <w:fldChar w:fldCharType="end"/>
      </w:r>
      <w:r w:rsidRPr="00382D5D">
        <w:t>.</w:t>
      </w:r>
    </w:p>
    <w:p w14:paraId="4BDAA1E2" w14:textId="77777777" w:rsidR="008B0A88" w:rsidRPr="00603CB8" w:rsidRDefault="008B0A88">
      <w:r>
        <w:t xml:space="preserve">The 2017-18 efficient costs for the </w:t>
      </w:r>
      <w:r w:rsidRPr="00801AF5">
        <w:t>12 major cit</w:t>
      </w:r>
      <w:r w:rsidRPr="009A4425">
        <w:t>y</w:t>
      </w:r>
      <w:r>
        <w:t xml:space="preserve"> hospitals will be determined separately in a similar way, following consultation with jurisdictions.</w:t>
      </w:r>
    </w:p>
    <w:p w14:paraId="1D812E59" w14:textId="77777777" w:rsidR="008B0A88" w:rsidRDefault="008B0A88">
      <w:pPr>
        <w:pStyle w:val="Heading2"/>
        <w:numPr>
          <w:ilvl w:val="1"/>
          <w:numId w:val="17"/>
        </w:numPr>
        <w:ind w:left="567" w:right="-28" w:hanging="567"/>
      </w:pPr>
      <w:bookmarkStart w:id="918" w:name="_Ref373491276"/>
      <w:bookmarkStart w:id="919" w:name="_Toc380754774"/>
      <w:bookmarkStart w:id="920" w:name="_Toc466884245"/>
      <w:bookmarkStart w:id="921" w:name="_Ref467073405"/>
      <w:bookmarkStart w:id="922" w:name="_Toc467505258"/>
      <w:bookmarkStart w:id="923" w:name="_Toc467745639"/>
      <w:bookmarkStart w:id="924" w:name="_Toc467759599"/>
      <w:bookmarkStart w:id="925" w:name="_Toc468204102"/>
      <w:bookmarkStart w:id="926" w:name="_Toc476305254"/>
      <w:r>
        <w:t xml:space="preserve">Indexation of the 2014-15 </w:t>
      </w:r>
      <w:bookmarkEnd w:id="918"/>
      <w:bookmarkEnd w:id="919"/>
      <w:r>
        <w:t>model</w:t>
      </w:r>
      <w:bookmarkEnd w:id="920"/>
      <w:bookmarkEnd w:id="921"/>
      <w:bookmarkEnd w:id="922"/>
      <w:bookmarkEnd w:id="923"/>
      <w:bookmarkEnd w:id="924"/>
      <w:bookmarkEnd w:id="925"/>
      <w:bookmarkEnd w:id="926"/>
      <w:r>
        <w:t xml:space="preserve"> </w:t>
      </w:r>
    </w:p>
    <w:p w14:paraId="7FDBDE9A" w14:textId="77777777" w:rsidR="008B0A88" w:rsidRDefault="008B0A88">
      <w:pPr>
        <w:tabs>
          <w:tab w:val="left" w:pos="1162"/>
        </w:tabs>
        <w:spacing w:before="120"/>
      </w:pPr>
      <w:r>
        <w:t xml:space="preserve">Due to the </w:t>
      </w:r>
      <w:r w:rsidRPr="00801AF5">
        <w:t>three</w:t>
      </w:r>
      <w:r w:rsidRPr="00C150CE">
        <w:t xml:space="preserve"> year time lag in data collection, cost model results for </w:t>
      </w:r>
      <w:r>
        <w:t>2014-15</w:t>
      </w:r>
      <w:r w:rsidRPr="00C150CE">
        <w:t xml:space="preserve"> </w:t>
      </w:r>
      <w:r>
        <w:t>were</w:t>
      </w:r>
      <w:r w:rsidRPr="00C150CE">
        <w:t xml:space="preserve"> appropriately indexed over three years to give a price model for </w:t>
      </w:r>
      <w:r>
        <w:t>2017-18</w:t>
      </w:r>
      <w:r w:rsidRPr="00C150CE">
        <w:t xml:space="preserve">. </w:t>
      </w:r>
      <w:r>
        <w:t xml:space="preserve">The indexation of the model is </w:t>
      </w:r>
      <w:r w:rsidRPr="00603CB8">
        <w:t xml:space="preserve">based on the growth of </w:t>
      </w:r>
      <w:r>
        <w:t xml:space="preserve">the NPHED expenditure, net of depreciation and MPS </w:t>
      </w:r>
      <w:r w:rsidRPr="00603CB8">
        <w:t>of all block funded hospitals</w:t>
      </w:r>
      <w:r>
        <w:t xml:space="preserve">. The methodology adopted for NEC16 used only APCP </w:t>
      </w:r>
      <w:proofErr w:type="gramStart"/>
      <w:r>
        <w:t>expenditure,</w:t>
      </w:r>
      <w:proofErr w:type="gramEnd"/>
      <w:r>
        <w:t xml:space="preserve"> however, the approach was updated for NEC17 due to volatility seen in the APCP ratios in the 2014-15 NPHED.</w:t>
      </w:r>
    </w:p>
    <w:p w14:paraId="30F7A4B8" w14:textId="7DC730D1" w:rsidR="008B0A88" w:rsidRDefault="00EC32C8" w:rsidP="002D606E">
      <w:pPr>
        <w:spacing w:after="0" w:line="240" w:lineRule="auto"/>
      </w:pPr>
      <w:r w:rsidRPr="002D606E">
        <w:t xml:space="preserve">Figure </w:t>
      </w:r>
      <w:r w:rsidRPr="002D606E">
        <w:rPr>
          <w:noProof/>
        </w:rPr>
        <w:t xml:space="preserve">9 illustrates </w:t>
      </w:r>
      <w:r w:rsidRPr="00EC32C8">
        <w:t>th</w:t>
      </w:r>
      <w:r w:rsidR="008B0A88" w:rsidRPr="00EC32C8">
        <w:t>e indexation rate is given by the slope of the exponential line of best-fit</w:t>
      </w:r>
      <w:r>
        <w:t>.</w:t>
      </w:r>
      <w:r w:rsidR="008B0A88">
        <w:t xml:space="preserve"> </w:t>
      </w:r>
      <w:r w:rsidR="008B0A88" w:rsidRPr="004468C1">
        <w:t>Th</w:t>
      </w:r>
      <w:r w:rsidR="008B0A88">
        <w:t>e overall 2014-15 model average-</w:t>
      </w:r>
      <w:r w:rsidR="008B0A88" w:rsidRPr="004468C1">
        <w:t xml:space="preserve">spend was projected to </w:t>
      </w:r>
      <w:r w:rsidR="008B0A88">
        <w:t>2017-18</w:t>
      </w:r>
      <w:r w:rsidR="008B0A88" w:rsidRPr="004468C1">
        <w:t xml:space="preserve"> using the annual indexation factor as speci</w:t>
      </w:r>
      <w:r w:rsidR="008B0A88">
        <w:t>fied in the NEC17</w:t>
      </w:r>
      <w:r w:rsidR="008B0A88" w:rsidRPr="00B3571F">
        <w:t xml:space="preserve"> Determination</w:t>
      </w:r>
      <w:r w:rsidR="008B0A88">
        <w:t>.</w:t>
      </w:r>
    </w:p>
    <w:p w14:paraId="1DE5A003" w14:textId="77777777" w:rsidR="000C2251" w:rsidRDefault="000C2251">
      <w:pPr>
        <w:spacing w:after="0" w:line="240" w:lineRule="auto"/>
        <w:rPr>
          <w:b/>
        </w:rPr>
      </w:pPr>
      <w:bookmarkStart w:id="927" w:name="_Ref467074301"/>
      <w:r>
        <w:rPr>
          <w:b/>
        </w:rPr>
        <w:br w:type="page"/>
      </w:r>
    </w:p>
    <w:p w14:paraId="2776FA8A" w14:textId="19FCFD12" w:rsidR="008B0A88" w:rsidRPr="003331A3" w:rsidRDefault="008B0A88">
      <w:pPr>
        <w:spacing w:before="120" w:after="0" w:line="240" w:lineRule="auto"/>
        <w:rPr>
          <w:b/>
        </w:rPr>
      </w:pPr>
      <w:r w:rsidRPr="003331A3">
        <w:rPr>
          <w:b/>
        </w:rPr>
        <w:lastRenderedPageBreak/>
        <w:t xml:space="preserve">Figure </w:t>
      </w:r>
      <w:r w:rsidRPr="003331A3">
        <w:rPr>
          <w:b/>
        </w:rPr>
        <w:fldChar w:fldCharType="begin"/>
      </w:r>
      <w:r w:rsidRPr="003331A3">
        <w:rPr>
          <w:b/>
        </w:rPr>
        <w:instrText xml:space="preserve"> SEQ Figure \* ARABIC </w:instrText>
      </w:r>
      <w:r w:rsidRPr="003331A3">
        <w:rPr>
          <w:b/>
        </w:rPr>
        <w:fldChar w:fldCharType="separate"/>
      </w:r>
      <w:r w:rsidR="00F84458">
        <w:rPr>
          <w:b/>
          <w:noProof/>
        </w:rPr>
        <w:t>9</w:t>
      </w:r>
      <w:r w:rsidRPr="003331A3">
        <w:rPr>
          <w:b/>
        </w:rPr>
        <w:fldChar w:fldCharType="end"/>
      </w:r>
      <w:bookmarkEnd w:id="927"/>
      <w:r w:rsidRPr="003331A3">
        <w:rPr>
          <w:b/>
        </w:rPr>
        <w:t>: NEC17 Indexation</w:t>
      </w:r>
    </w:p>
    <w:p w14:paraId="1E89BA9B" w14:textId="7F6A7BD6" w:rsidR="003642EA" w:rsidRDefault="00736A7D">
      <w:pPr>
        <w:tabs>
          <w:tab w:val="left" w:pos="1162"/>
        </w:tabs>
        <w:rPr>
          <w:rFonts w:asciiTheme="majorHAnsi" w:eastAsiaTheme="majorEastAsia" w:hAnsiTheme="majorHAnsi" w:cstheme="majorBidi"/>
          <w:b/>
          <w:bCs/>
          <w:color w:val="F8F8F8" w:themeColor="background2"/>
          <w:sz w:val="28"/>
          <w:szCs w:val="32"/>
        </w:rPr>
      </w:pPr>
      <w:r w:rsidRPr="00736A7D">
        <w:rPr>
          <w:noProof/>
        </w:rPr>
        <w:t xml:space="preserve"> </w:t>
      </w:r>
      <w:r>
        <w:rPr>
          <w:noProof/>
        </w:rPr>
        <w:drawing>
          <wp:inline distT="0" distB="0" distL="0" distR="0" wp14:anchorId="5238F944" wp14:editId="1E6F444F">
            <wp:extent cx="6238875" cy="3819525"/>
            <wp:effectExtent l="0" t="0" r="9525" b="9525"/>
            <wp:docPr id="13" name="Chart 13" title="Figure 9: NEC17 Index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04B4FB5" w14:textId="5D2A13DB" w:rsidR="0096133E" w:rsidRDefault="0096133E">
      <w:pPr>
        <w:pStyle w:val="Heading2"/>
        <w:numPr>
          <w:ilvl w:val="1"/>
          <w:numId w:val="17"/>
        </w:numPr>
        <w:ind w:left="567" w:right="-28" w:hanging="567"/>
      </w:pPr>
      <w:bookmarkStart w:id="928" w:name="_Toc467745640"/>
      <w:bookmarkStart w:id="929" w:name="_Toc467759600"/>
      <w:bookmarkStart w:id="930" w:name="_Toc468204103"/>
      <w:bookmarkStart w:id="931" w:name="_Toc476305255"/>
      <w:r>
        <w:t>Backcasting for Block Funded Hospitals</w:t>
      </w:r>
      <w:bookmarkEnd w:id="928"/>
      <w:bookmarkEnd w:id="929"/>
      <w:bookmarkEnd w:id="930"/>
      <w:bookmarkEnd w:id="931"/>
    </w:p>
    <w:p w14:paraId="3144447E" w14:textId="77777777" w:rsidR="0096133E" w:rsidRDefault="0096133E">
      <w:pPr>
        <w:tabs>
          <w:tab w:val="left" w:pos="1162"/>
        </w:tabs>
        <w:spacing w:before="120"/>
        <w:rPr>
          <w:rFonts w:eastAsia="Calibri" w:cs="Arial"/>
        </w:rPr>
      </w:pPr>
      <w:r w:rsidRPr="00801AF5">
        <w:rPr>
          <w:rFonts w:eastAsia="Calibri" w:cs="Arial"/>
        </w:rPr>
        <w:t xml:space="preserve">In </w:t>
      </w:r>
      <w:r w:rsidRPr="0096133E">
        <w:t>accordance</w:t>
      </w:r>
      <w:r w:rsidRPr="00801AF5">
        <w:rPr>
          <w:rFonts w:eastAsia="Calibri" w:cs="Arial"/>
        </w:rPr>
        <w:t xml:space="preserve"> with the guiding principles of the NEC cost model, the Pricing Authority has applied the methodological changes made in NEC17 to NEC16 to determine the </w:t>
      </w:r>
      <w:proofErr w:type="spellStart"/>
      <w:r w:rsidRPr="00801AF5">
        <w:rPr>
          <w:rFonts w:eastAsia="Calibri" w:cs="Arial"/>
        </w:rPr>
        <w:t>backcast</w:t>
      </w:r>
      <w:proofErr w:type="spellEnd"/>
      <w:r w:rsidRPr="00801AF5">
        <w:rPr>
          <w:rFonts w:eastAsia="Calibri" w:cs="Arial"/>
        </w:rPr>
        <w:t xml:space="preserve"> NEC16 for the purposes of determining Commonwealth growth funding between 2016-17 and 2017-18. The </w:t>
      </w:r>
      <w:proofErr w:type="spellStart"/>
      <w:r w:rsidRPr="00801AF5">
        <w:rPr>
          <w:rFonts w:eastAsia="Calibri" w:cs="Arial"/>
        </w:rPr>
        <w:t>backcast</w:t>
      </w:r>
      <w:proofErr w:type="spellEnd"/>
      <w:r w:rsidRPr="00801AF5">
        <w:rPr>
          <w:rFonts w:eastAsia="Calibri" w:cs="Arial"/>
        </w:rPr>
        <w:t xml:space="preserve"> amount for NEC16 is provided in Chapter 5 of the NEC17 Determination.</w:t>
      </w:r>
    </w:p>
    <w:p w14:paraId="23047010" w14:textId="77777777" w:rsidR="0096133E" w:rsidRPr="00BC389A" w:rsidRDefault="0096133E">
      <w:pPr>
        <w:spacing w:before="100" w:beforeAutospacing="1" w:after="100" w:afterAutospacing="1"/>
        <w:rPr>
          <w:rFonts w:eastAsia="Calibri" w:cs="Arial"/>
        </w:rPr>
      </w:pPr>
      <w:r w:rsidRPr="00801AF5">
        <w:rPr>
          <w:rFonts w:eastAsia="Calibri" w:cs="Arial"/>
        </w:rPr>
        <w:t xml:space="preserve">The impact of methodological changes is measured by applying the NEC16 and NEC17 versions of the cost model to the latest available data – namely 2014-15. </w:t>
      </w:r>
      <w:r w:rsidRPr="00BC389A">
        <w:rPr>
          <w:rFonts w:eastAsia="Calibri" w:cs="Arial"/>
        </w:rPr>
        <w:t xml:space="preserve">The </w:t>
      </w:r>
      <w:proofErr w:type="spellStart"/>
      <w:r w:rsidRPr="00BC389A">
        <w:rPr>
          <w:rFonts w:eastAsia="Calibri" w:cs="Arial"/>
        </w:rPr>
        <w:t>backcast</w:t>
      </w:r>
      <w:proofErr w:type="spellEnd"/>
      <w:r w:rsidRPr="00BC389A">
        <w:rPr>
          <w:rFonts w:eastAsia="Calibri" w:cs="Arial"/>
        </w:rPr>
        <w:t xml:space="preserve"> multiplier (BM) for each state is calculated as follows:</w:t>
      </w:r>
    </w:p>
    <w:p w14:paraId="7C4BEAED" w14:textId="77777777" w:rsidR="0096133E" w:rsidRPr="00644CE9" w:rsidRDefault="0096133E">
      <w:pPr>
        <w:spacing w:before="360" w:after="360"/>
        <w:ind w:left="1440"/>
        <w:rPr>
          <w:rFonts w:eastAsiaTheme="minorEastAsia" w:cs="Arial"/>
          <w:u w:val="single"/>
        </w:rPr>
      </w:pPr>
      <m:oMathPara>
        <m:oMathParaPr>
          <m:jc m:val="left"/>
        </m:oMathParaPr>
        <m:oMath>
          <m:r>
            <m:rPr>
              <m:sty m:val="p"/>
            </m:rPr>
            <w:rPr>
              <w:rFonts w:ascii="Cambria Math" w:eastAsiaTheme="minorEastAsia" w:hAnsi="Cambria Math" w:cs="Arial"/>
              <w:u w:color="000000" w:themeColor="text1"/>
            </w:rPr>
            <m:t>BM</m:t>
          </m:r>
          <m:r>
            <w:rPr>
              <w:rFonts w:ascii="Cambria Math" w:eastAsiaTheme="minorEastAsia" w:hAnsi="Cambria Math" w:cs="Arial"/>
              <w:u w:color="000000" w:themeColor="text1"/>
            </w:rPr>
            <m:t xml:space="preserve">= </m:t>
          </m:r>
          <m:f>
            <m:fPr>
              <m:ctrlPr>
                <w:rPr>
                  <w:rFonts w:ascii="Cambria Math" w:hAnsi="Cambria Math" w:cs="Arial"/>
                  <w:u w:color="000000" w:themeColor="text1"/>
                </w:rPr>
              </m:ctrlPr>
            </m:fPr>
            <m:num>
              <m:r>
                <m:rPr>
                  <m:sty m:val="p"/>
                </m:rPr>
                <w:rPr>
                  <w:rFonts w:ascii="Cambria Math" w:hAnsi="Cambria Math" w:cs="Arial"/>
                  <w:u w:color="000000" w:themeColor="text1"/>
                </w:rPr>
                <m:t>Aggregate efficient cost using NEC17 cost model</m:t>
              </m:r>
            </m:num>
            <m:den>
              <m:r>
                <m:rPr>
                  <m:sty m:val="p"/>
                </m:rPr>
                <w:rPr>
                  <w:rFonts w:ascii="Cambria Math" w:hAnsi="Cambria Math" w:cs="Arial"/>
                  <w:u w:color="000000" w:themeColor="text1"/>
                </w:rPr>
                <m:t xml:space="preserve">Aggregate efficient cost using NEC16 cost model </m:t>
              </m:r>
            </m:den>
          </m:f>
        </m:oMath>
      </m:oMathPara>
    </w:p>
    <w:p w14:paraId="0780937E" w14:textId="77777777" w:rsidR="0096133E" w:rsidRPr="00801AF5" w:rsidRDefault="0096133E">
      <w:pPr>
        <w:spacing w:before="100" w:beforeAutospacing="1" w:after="100" w:afterAutospacing="1"/>
        <w:rPr>
          <w:rFonts w:eastAsia="Calibri" w:cs="Arial"/>
        </w:rPr>
      </w:pPr>
      <w:r w:rsidRPr="00801AF5">
        <w:rPr>
          <w:rFonts w:eastAsia="Calibri" w:cs="Arial"/>
        </w:rPr>
        <w:t xml:space="preserve">In addition to changes in model methodology, NEC17 also includes a change in the indexation methodology in projecting the 2014-15 average in-scope cost to the 2017-18 NEC. This change in indexation methodology means a </w:t>
      </w:r>
      <w:proofErr w:type="spellStart"/>
      <w:r w:rsidRPr="00801AF5">
        <w:rPr>
          <w:rFonts w:eastAsia="Calibri" w:cs="Arial"/>
        </w:rPr>
        <w:t>backcast</w:t>
      </w:r>
      <w:proofErr w:type="spellEnd"/>
      <w:r w:rsidRPr="00801AF5">
        <w:rPr>
          <w:rFonts w:eastAsia="Calibri" w:cs="Arial"/>
        </w:rPr>
        <w:t xml:space="preserve"> NEC16 must be calculated in order to appropriately estimate the growth between 2016 and 2017. The </w:t>
      </w:r>
      <w:proofErr w:type="spellStart"/>
      <w:r w:rsidRPr="00801AF5">
        <w:rPr>
          <w:rFonts w:eastAsia="Calibri" w:cs="Arial"/>
        </w:rPr>
        <w:t>backcast</w:t>
      </w:r>
      <w:proofErr w:type="spellEnd"/>
      <w:r w:rsidRPr="00801AF5">
        <w:rPr>
          <w:rFonts w:eastAsia="Calibri" w:cs="Arial"/>
        </w:rPr>
        <w:t xml:space="preserve"> NEC16 is calculated by taking the average in-scope cost for NEC1</w:t>
      </w:r>
      <w:r>
        <w:rPr>
          <w:rFonts w:eastAsia="Calibri" w:cs="Arial"/>
        </w:rPr>
        <w:t>7</w:t>
      </w:r>
      <w:r w:rsidRPr="00801AF5">
        <w:rPr>
          <w:rFonts w:eastAsia="Calibri" w:cs="Arial"/>
        </w:rPr>
        <w:t xml:space="preserve"> and indexing it forward </w:t>
      </w:r>
      <w:r>
        <w:rPr>
          <w:rFonts w:eastAsia="Calibri" w:cs="Arial"/>
        </w:rPr>
        <w:t>two</w:t>
      </w:r>
      <w:r w:rsidRPr="00801AF5">
        <w:rPr>
          <w:rFonts w:eastAsia="Calibri" w:cs="Arial"/>
        </w:rPr>
        <w:t xml:space="preserve"> years based on the </w:t>
      </w:r>
      <w:r>
        <w:rPr>
          <w:rFonts w:eastAsia="Calibri" w:cs="Arial"/>
        </w:rPr>
        <w:t>latest indexation methodology.</w:t>
      </w:r>
    </w:p>
    <w:p w14:paraId="6AA6F2F5" w14:textId="77777777" w:rsidR="0096133E" w:rsidRPr="00801AF5" w:rsidRDefault="0096133E">
      <w:pPr>
        <w:spacing w:before="100" w:beforeAutospacing="1" w:after="100" w:afterAutospacing="1"/>
        <w:rPr>
          <w:rFonts w:eastAsia="Calibri" w:cs="Arial"/>
        </w:rPr>
      </w:pPr>
      <w:r w:rsidRPr="00801AF5">
        <w:rPr>
          <w:rFonts w:eastAsia="Calibri" w:cs="Arial"/>
        </w:rPr>
        <w:t xml:space="preserve">The </w:t>
      </w:r>
      <w:proofErr w:type="spellStart"/>
      <w:r w:rsidRPr="00801AF5">
        <w:rPr>
          <w:rFonts w:eastAsia="Calibri" w:cs="Arial"/>
        </w:rPr>
        <w:t>backcast</w:t>
      </w:r>
      <w:proofErr w:type="spellEnd"/>
      <w:r w:rsidRPr="00801AF5">
        <w:rPr>
          <w:rFonts w:eastAsia="Calibri" w:cs="Arial"/>
        </w:rPr>
        <w:t xml:space="preserve"> efficient cost for </w:t>
      </w:r>
      <w:r>
        <w:rPr>
          <w:rFonts w:eastAsia="Calibri" w:cs="Arial"/>
        </w:rPr>
        <w:t xml:space="preserve">each </w:t>
      </w:r>
      <w:r w:rsidRPr="00801AF5">
        <w:rPr>
          <w:rFonts w:eastAsia="Calibri" w:cs="Arial"/>
        </w:rPr>
        <w:t xml:space="preserve">state is calculated by multiplying the </w:t>
      </w:r>
      <w:r>
        <w:rPr>
          <w:rFonts w:eastAsia="Calibri" w:cs="Arial"/>
        </w:rPr>
        <w:t xml:space="preserve">sum of block-funded weights by the </w:t>
      </w:r>
      <w:proofErr w:type="spellStart"/>
      <w:r w:rsidRPr="00801AF5">
        <w:rPr>
          <w:rFonts w:eastAsia="Calibri" w:cs="Arial"/>
        </w:rPr>
        <w:t>backcasting</w:t>
      </w:r>
      <w:proofErr w:type="spellEnd"/>
      <w:r w:rsidRPr="00801AF5">
        <w:rPr>
          <w:rFonts w:eastAsia="Calibri" w:cs="Arial"/>
        </w:rPr>
        <w:t xml:space="preserve"> multiplier by the </w:t>
      </w:r>
      <w:proofErr w:type="spellStart"/>
      <w:r w:rsidRPr="00801AF5">
        <w:rPr>
          <w:rFonts w:eastAsia="Calibri" w:cs="Arial"/>
        </w:rPr>
        <w:t>backcast</w:t>
      </w:r>
      <w:proofErr w:type="spellEnd"/>
      <w:r w:rsidRPr="00801AF5">
        <w:rPr>
          <w:rFonts w:eastAsia="Calibri" w:cs="Arial"/>
        </w:rPr>
        <w:t xml:space="preserve"> NEC16 for that state. The implied growth in efficient cost is then determined by dividing the NEC17 efficient cost by the </w:t>
      </w:r>
      <w:proofErr w:type="spellStart"/>
      <w:r w:rsidRPr="00801AF5">
        <w:rPr>
          <w:rFonts w:eastAsia="Calibri" w:cs="Arial"/>
        </w:rPr>
        <w:t>backcast</w:t>
      </w:r>
      <w:proofErr w:type="spellEnd"/>
      <w:r w:rsidRPr="00801AF5">
        <w:rPr>
          <w:rFonts w:eastAsia="Calibri" w:cs="Arial"/>
        </w:rPr>
        <w:t xml:space="preserve"> NEC16 efficient cost.</w:t>
      </w:r>
    </w:p>
    <w:p w14:paraId="41C8B5DA" w14:textId="77777777" w:rsidR="0096133E" w:rsidRDefault="0096133E">
      <w:pPr>
        <w:tabs>
          <w:tab w:val="left" w:pos="1162"/>
        </w:tabs>
        <w:rPr>
          <w:rFonts w:asciiTheme="majorHAnsi" w:eastAsiaTheme="majorEastAsia" w:hAnsiTheme="majorHAnsi" w:cstheme="majorBidi"/>
          <w:b/>
          <w:bCs/>
          <w:color w:val="F8F8F8" w:themeColor="background2"/>
          <w:sz w:val="28"/>
          <w:szCs w:val="32"/>
        </w:rPr>
      </w:pPr>
    </w:p>
    <w:p w14:paraId="5BD8CF40" w14:textId="1A147B5D" w:rsidR="00A5256C" w:rsidRPr="000C2251" w:rsidRDefault="00BA0669">
      <w:pPr>
        <w:pStyle w:val="TOC1"/>
        <w:tabs>
          <w:tab w:val="right" w:leader="dot" w:pos="9599"/>
        </w:tabs>
        <w:rPr>
          <w:rFonts w:asciiTheme="minorHAnsi" w:eastAsiaTheme="minorEastAsia" w:hAnsiTheme="minorHAnsi" w:cstheme="minorBidi"/>
          <w:b w:val="0"/>
          <w:sz w:val="22"/>
          <w:szCs w:val="22"/>
        </w:rPr>
      </w:pPr>
      <w:bookmarkStart w:id="932" w:name="_Toc467505259"/>
      <w:bookmarkStart w:id="933" w:name="_Toc467676239"/>
      <w:bookmarkStart w:id="934" w:name="_Toc467745641"/>
      <w:bookmarkStart w:id="935" w:name="_Toc467759601"/>
      <w:bookmarkStart w:id="936" w:name="_Toc468204104"/>
      <w:bookmarkEnd w:id="822"/>
      <w:r>
        <w:lastRenderedPageBreak/>
        <w:t>Appendix</w:t>
      </w:r>
      <w:bookmarkEnd w:id="932"/>
      <w:bookmarkEnd w:id="933"/>
      <w:bookmarkEnd w:id="934"/>
      <w:bookmarkEnd w:id="935"/>
      <w:bookmarkEnd w:id="936"/>
      <w:r w:rsidR="009059C5" w:rsidRPr="004E76FC">
        <w:rPr>
          <w:caps/>
          <w:sz w:val="56"/>
          <w:szCs w:val="44"/>
        </w:rPr>
        <w:fldChar w:fldCharType="begin"/>
      </w:r>
      <w:r w:rsidR="009059C5" w:rsidRPr="000C2251">
        <w:rPr>
          <w:b w:val="0"/>
          <w:sz w:val="56"/>
        </w:rPr>
        <w:instrText xml:space="preserve"> TOC \o "1-3" \h \z \u </w:instrText>
      </w:r>
      <w:r w:rsidR="009059C5" w:rsidRPr="004E76FC">
        <w:rPr>
          <w:caps/>
          <w:sz w:val="56"/>
          <w:szCs w:val="44"/>
        </w:rPr>
        <w:fldChar w:fldCharType="separate"/>
      </w:r>
    </w:p>
    <w:p w14:paraId="2793B553" w14:textId="5DA8C4E6" w:rsidR="00A5256C" w:rsidRPr="000C2251" w:rsidRDefault="0052227C">
      <w:pPr>
        <w:pStyle w:val="TOC2"/>
        <w:tabs>
          <w:tab w:val="left" w:pos="1540"/>
        </w:tabs>
        <w:rPr>
          <w:rFonts w:asciiTheme="minorHAnsi" w:eastAsiaTheme="minorEastAsia" w:hAnsiTheme="minorHAnsi" w:cstheme="minorBidi"/>
          <w:szCs w:val="22"/>
        </w:rPr>
      </w:pPr>
      <w:hyperlink w:anchor="_Toc468204105" w:history="1">
        <w:r w:rsidR="00A5256C" w:rsidRPr="000C2251">
          <w:rPr>
            <w:rStyle w:val="Hyperlink"/>
          </w:rPr>
          <w:t>Appendix A</w:t>
        </w:r>
        <w:r w:rsidR="00A5256C" w:rsidRPr="000C2251">
          <w:rPr>
            <w:rFonts w:asciiTheme="minorHAnsi" w:eastAsiaTheme="minorEastAsia" w:hAnsiTheme="minorHAnsi" w:cstheme="minorBidi"/>
            <w:szCs w:val="22"/>
          </w:rPr>
          <w:tab/>
        </w:r>
        <w:r w:rsidR="00A5256C" w:rsidRPr="000C2251">
          <w:rPr>
            <w:rStyle w:val="Hyperlink"/>
          </w:rPr>
          <w:t>Reference Tables</w:t>
        </w:r>
        <w:r w:rsidR="00A5256C" w:rsidRPr="000C2251">
          <w:rPr>
            <w:webHidden/>
          </w:rPr>
          <w:tab/>
        </w:r>
        <w:r w:rsidR="00A5256C" w:rsidRPr="000351BD">
          <w:rPr>
            <w:webHidden/>
          </w:rPr>
          <w:fldChar w:fldCharType="begin"/>
        </w:r>
        <w:r w:rsidR="00A5256C" w:rsidRPr="000C2251">
          <w:rPr>
            <w:webHidden/>
          </w:rPr>
          <w:instrText xml:space="preserve"> PAGEREF _Toc468204105 \h </w:instrText>
        </w:r>
        <w:r w:rsidR="00A5256C" w:rsidRPr="000351BD">
          <w:rPr>
            <w:webHidden/>
          </w:rPr>
        </w:r>
        <w:r w:rsidR="00A5256C" w:rsidRPr="000351BD">
          <w:rPr>
            <w:webHidden/>
          </w:rPr>
          <w:fldChar w:fldCharType="separate"/>
        </w:r>
        <w:r w:rsidR="00F84458">
          <w:rPr>
            <w:webHidden/>
          </w:rPr>
          <w:t>54</w:t>
        </w:r>
        <w:r w:rsidR="00A5256C" w:rsidRPr="000351BD">
          <w:rPr>
            <w:webHidden/>
          </w:rPr>
          <w:fldChar w:fldCharType="end"/>
        </w:r>
      </w:hyperlink>
    </w:p>
    <w:p w14:paraId="689FFA48" w14:textId="2E9698E0" w:rsidR="00A5256C" w:rsidRPr="000C2251" w:rsidRDefault="0052227C">
      <w:pPr>
        <w:pStyle w:val="TOC2"/>
        <w:tabs>
          <w:tab w:val="left" w:pos="1540"/>
        </w:tabs>
        <w:rPr>
          <w:rFonts w:asciiTheme="minorHAnsi" w:eastAsiaTheme="minorEastAsia" w:hAnsiTheme="minorHAnsi" w:cstheme="minorBidi"/>
          <w:szCs w:val="22"/>
        </w:rPr>
      </w:pPr>
      <w:hyperlink w:anchor="_Toc468204106" w:history="1">
        <w:r w:rsidR="00A5256C" w:rsidRPr="000C2251">
          <w:rPr>
            <w:rStyle w:val="Hyperlink"/>
          </w:rPr>
          <w:t>Appendix B</w:t>
        </w:r>
        <w:r w:rsidR="00A5256C" w:rsidRPr="000C2251">
          <w:rPr>
            <w:rFonts w:asciiTheme="minorHAnsi" w:eastAsiaTheme="minorEastAsia" w:hAnsiTheme="minorHAnsi" w:cstheme="minorBidi"/>
            <w:szCs w:val="22"/>
          </w:rPr>
          <w:tab/>
        </w:r>
        <w:r w:rsidR="00A5256C" w:rsidRPr="000C2251">
          <w:rPr>
            <w:rStyle w:val="Hyperlink"/>
          </w:rPr>
          <w:t>Application of NWAU Variables</w:t>
        </w:r>
        <w:r w:rsidR="00A5256C" w:rsidRPr="000C2251">
          <w:rPr>
            <w:webHidden/>
          </w:rPr>
          <w:tab/>
        </w:r>
        <w:r w:rsidR="00A5256C" w:rsidRPr="000351BD">
          <w:rPr>
            <w:webHidden/>
          </w:rPr>
          <w:fldChar w:fldCharType="begin"/>
        </w:r>
        <w:r w:rsidR="00A5256C" w:rsidRPr="000C2251">
          <w:rPr>
            <w:webHidden/>
          </w:rPr>
          <w:instrText xml:space="preserve"> PAGEREF _Toc468204106 \h </w:instrText>
        </w:r>
        <w:r w:rsidR="00A5256C" w:rsidRPr="000351BD">
          <w:rPr>
            <w:webHidden/>
          </w:rPr>
        </w:r>
        <w:r w:rsidR="00A5256C" w:rsidRPr="000351BD">
          <w:rPr>
            <w:webHidden/>
          </w:rPr>
          <w:fldChar w:fldCharType="separate"/>
        </w:r>
        <w:r w:rsidR="00F84458">
          <w:rPr>
            <w:webHidden/>
          </w:rPr>
          <w:t>56</w:t>
        </w:r>
        <w:r w:rsidR="00A5256C" w:rsidRPr="000351BD">
          <w:rPr>
            <w:webHidden/>
          </w:rPr>
          <w:fldChar w:fldCharType="end"/>
        </w:r>
      </w:hyperlink>
    </w:p>
    <w:p w14:paraId="5C5180C9" w14:textId="6273A3BD" w:rsidR="00A5256C" w:rsidRPr="000C2251" w:rsidRDefault="0052227C">
      <w:pPr>
        <w:pStyle w:val="TOC2"/>
        <w:tabs>
          <w:tab w:val="left" w:pos="1540"/>
        </w:tabs>
        <w:rPr>
          <w:rFonts w:asciiTheme="minorHAnsi" w:eastAsiaTheme="minorEastAsia" w:hAnsiTheme="minorHAnsi" w:cstheme="minorBidi"/>
          <w:szCs w:val="22"/>
        </w:rPr>
      </w:pPr>
      <w:hyperlink w:anchor="_Toc468204107" w:history="1">
        <w:r w:rsidR="00A5256C" w:rsidRPr="000C2251">
          <w:rPr>
            <w:rStyle w:val="Hyperlink"/>
          </w:rPr>
          <w:t>Appendix C</w:t>
        </w:r>
        <w:r w:rsidR="00A5256C" w:rsidRPr="000C2251">
          <w:rPr>
            <w:rFonts w:asciiTheme="minorHAnsi" w:eastAsiaTheme="minorEastAsia" w:hAnsiTheme="minorHAnsi" w:cstheme="minorBidi"/>
            <w:szCs w:val="22"/>
          </w:rPr>
          <w:tab/>
        </w:r>
        <w:r w:rsidR="00A5256C" w:rsidRPr="000C2251">
          <w:rPr>
            <w:rStyle w:val="Hyperlink"/>
          </w:rPr>
          <w:t>Summary of Input Data</w:t>
        </w:r>
        <w:r w:rsidR="00A5256C" w:rsidRPr="000C2251">
          <w:rPr>
            <w:webHidden/>
          </w:rPr>
          <w:tab/>
        </w:r>
        <w:r w:rsidR="00A5256C" w:rsidRPr="000351BD">
          <w:rPr>
            <w:webHidden/>
          </w:rPr>
          <w:fldChar w:fldCharType="begin"/>
        </w:r>
        <w:r w:rsidR="00A5256C" w:rsidRPr="000C2251">
          <w:rPr>
            <w:webHidden/>
          </w:rPr>
          <w:instrText xml:space="preserve"> PAGEREF _Toc468204107 \h </w:instrText>
        </w:r>
        <w:r w:rsidR="00A5256C" w:rsidRPr="000351BD">
          <w:rPr>
            <w:webHidden/>
          </w:rPr>
        </w:r>
        <w:r w:rsidR="00A5256C" w:rsidRPr="000351BD">
          <w:rPr>
            <w:webHidden/>
          </w:rPr>
          <w:fldChar w:fldCharType="separate"/>
        </w:r>
        <w:r w:rsidR="00F84458">
          <w:rPr>
            <w:webHidden/>
          </w:rPr>
          <w:t>66</w:t>
        </w:r>
        <w:r w:rsidR="00A5256C" w:rsidRPr="000351BD">
          <w:rPr>
            <w:webHidden/>
          </w:rPr>
          <w:fldChar w:fldCharType="end"/>
        </w:r>
      </w:hyperlink>
    </w:p>
    <w:p w14:paraId="3DC676B0" w14:textId="7B972FB3" w:rsidR="00A5256C" w:rsidRPr="000C2251" w:rsidRDefault="0052227C">
      <w:pPr>
        <w:pStyle w:val="TOC2"/>
        <w:tabs>
          <w:tab w:val="left" w:pos="1540"/>
        </w:tabs>
        <w:rPr>
          <w:rFonts w:asciiTheme="minorHAnsi" w:eastAsiaTheme="minorEastAsia" w:hAnsiTheme="minorHAnsi" w:cstheme="minorBidi"/>
          <w:szCs w:val="22"/>
        </w:rPr>
      </w:pPr>
      <w:hyperlink w:anchor="_Toc468204108" w:history="1">
        <w:r w:rsidR="00A5256C" w:rsidRPr="000C2251">
          <w:rPr>
            <w:rStyle w:val="Hyperlink"/>
          </w:rPr>
          <w:t>Appendix D</w:t>
        </w:r>
        <w:r w:rsidR="00A5256C" w:rsidRPr="000C2251">
          <w:rPr>
            <w:rFonts w:asciiTheme="minorHAnsi" w:eastAsiaTheme="minorEastAsia" w:hAnsiTheme="minorHAnsi" w:cstheme="minorBidi"/>
            <w:szCs w:val="22"/>
          </w:rPr>
          <w:tab/>
        </w:r>
        <w:r w:rsidR="00A5256C" w:rsidRPr="000C2251">
          <w:rPr>
            <w:rStyle w:val="Hyperlink"/>
          </w:rPr>
          <w:t>List of DRG Adopting the L1.5 H1.5 Methodology</w:t>
        </w:r>
        <w:r w:rsidR="00A5256C" w:rsidRPr="000C2251">
          <w:rPr>
            <w:webHidden/>
          </w:rPr>
          <w:tab/>
        </w:r>
        <w:r w:rsidR="00A5256C" w:rsidRPr="000351BD">
          <w:rPr>
            <w:webHidden/>
          </w:rPr>
          <w:fldChar w:fldCharType="begin"/>
        </w:r>
        <w:r w:rsidR="00A5256C" w:rsidRPr="000C2251">
          <w:rPr>
            <w:webHidden/>
          </w:rPr>
          <w:instrText xml:space="preserve"> PAGEREF _Toc468204108 \h </w:instrText>
        </w:r>
        <w:r w:rsidR="00A5256C" w:rsidRPr="000351BD">
          <w:rPr>
            <w:webHidden/>
          </w:rPr>
        </w:r>
        <w:r w:rsidR="00A5256C" w:rsidRPr="000351BD">
          <w:rPr>
            <w:webHidden/>
          </w:rPr>
          <w:fldChar w:fldCharType="separate"/>
        </w:r>
        <w:r w:rsidR="00F84458">
          <w:rPr>
            <w:webHidden/>
          </w:rPr>
          <w:t>67</w:t>
        </w:r>
        <w:r w:rsidR="00A5256C" w:rsidRPr="000351BD">
          <w:rPr>
            <w:webHidden/>
          </w:rPr>
          <w:fldChar w:fldCharType="end"/>
        </w:r>
      </w:hyperlink>
    </w:p>
    <w:p w14:paraId="01C40559" w14:textId="5F15334A" w:rsidR="00A5256C" w:rsidRPr="000C2251" w:rsidRDefault="0052227C">
      <w:pPr>
        <w:pStyle w:val="TOC2"/>
        <w:tabs>
          <w:tab w:val="left" w:pos="1540"/>
        </w:tabs>
        <w:rPr>
          <w:rFonts w:asciiTheme="minorHAnsi" w:eastAsiaTheme="minorEastAsia" w:hAnsiTheme="minorHAnsi" w:cstheme="minorBidi"/>
          <w:szCs w:val="22"/>
        </w:rPr>
      </w:pPr>
      <w:hyperlink w:anchor="_Toc468204109" w:history="1">
        <w:r w:rsidR="00A5256C" w:rsidRPr="000C2251">
          <w:rPr>
            <w:rStyle w:val="Hyperlink"/>
          </w:rPr>
          <w:t>Appendix E</w:t>
        </w:r>
        <w:r w:rsidR="00A5256C" w:rsidRPr="000C2251">
          <w:rPr>
            <w:rFonts w:asciiTheme="minorHAnsi" w:eastAsiaTheme="minorEastAsia" w:hAnsiTheme="minorHAnsi" w:cstheme="minorBidi"/>
            <w:szCs w:val="22"/>
          </w:rPr>
          <w:tab/>
        </w:r>
        <w:r w:rsidR="00A5256C" w:rsidRPr="000C2251">
          <w:rPr>
            <w:rStyle w:val="Hyperlink"/>
          </w:rPr>
          <w:t>NEC17 Data Preparation</w:t>
        </w:r>
        <w:r w:rsidR="00A5256C" w:rsidRPr="000C2251">
          <w:rPr>
            <w:webHidden/>
          </w:rPr>
          <w:tab/>
        </w:r>
        <w:r w:rsidR="00A5256C" w:rsidRPr="000351BD">
          <w:rPr>
            <w:webHidden/>
          </w:rPr>
          <w:fldChar w:fldCharType="begin"/>
        </w:r>
        <w:r w:rsidR="00A5256C" w:rsidRPr="000C2251">
          <w:rPr>
            <w:webHidden/>
          </w:rPr>
          <w:instrText xml:space="preserve"> PAGEREF _Toc468204109 \h </w:instrText>
        </w:r>
        <w:r w:rsidR="00A5256C" w:rsidRPr="000351BD">
          <w:rPr>
            <w:webHidden/>
          </w:rPr>
        </w:r>
        <w:r w:rsidR="00A5256C" w:rsidRPr="000351BD">
          <w:rPr>
            <w:webHidden/>
          </w:rPr>
          <w:fldChar w:fldCharType="separate"/>
        </w:r>
        <w:r w:rsidR="00F84458">
          <w:rPr>
            <w:webHidden/>
          </w:rPr>
          <w:t>68</w:t>
        </w:r>
        <w:r w:rsidR="00A5256C" w:rsidRPr="000351BD">
          <w:rPr>
            <w:webHidden/>
          </w:rPr>
          <w:fldChar w:fldCharType="end"/>
        </w:r>
      </w:hyperlink>
    </w:p>
    <w:p w14:paraId="21672571" w14:textId="77777777" w:rsidR="009059C5" w:rsidRDefault="009059C5">
      <w:r w:rsidRPr="004E76FC">
        <w:fldChar w:fldCharType="end"/>
      </w:r>
    </w:p>
    <w:p w14:paraId="0D142B6F" w14:textId="77777777" w:rsidR="009059C5" w:rsidRDefault="009059C5">
      <w:pPr>
        <w:spacing w:after="0" w:line="240" w:lineRule="auto"/>
      </w:pPr>
      <w:r>
        <w:br w:type="page"/>
      </w:r>
    </w:p>
    <w:p w14:paraId="59D2EA75" w14:textId="77777777" w:rsidR="009059C5" w:rsidRPr="009059C5" w:rsidRDefault="009059C5"/>
    <w:p w14:paraId="0B797FFF" w14:textId="1271BFA3" w:rsidR="00D17AD2" w:rsidRDefault="00772F7A">
      <w:pPr>
        <w:pStyle w:val="Heading2"/>
        <w:numPr>
          <w:ilvl w:val="0"/>
          <w:numId w:val="51"/>
        </w:numPr>
      </w:pPr>
      <w:bookmarkStart w:id="937" w:name="_Toc467745642"/>
      <w:bookmarkStart w:id="938" w:name="_Toc467759602"/>
      <w:bookmarkStart w:id="939" w:name="_Toc468204105"/>
      <w:bookmarkStart w:id="940" w:name="_Ref468263688"/>
      <w:bookmarkStart w:id="941" w:name="_Toc476305256"/>
      <w:bookmarkEnd w:id="576"/>
      <w:r>
        <w:t>R</w:t>
      </w:r>
      <w:r w:rsidR="00B325D8">
        <w:t>e</w:t>
      </w:r>
      <w:r>
        <w:t>ference Tables</w:t>
      </w:r>
      <w:bookmarkEnd w:id="937"/>
      <w:bookmarkEnd w:id="938"/>
      <w:bookmarkEnd w:id="939"/>
      <w:bookmarkEnd w:id="940"/>
      <w:bookmarkEnd w:id="941"/>
    </w:p>
    <w:p w14:paraId="0F1A7CEA" w14:textId="2609B649" w:rsidR="00B325D8" w:rsidRPr="00B325D8" w:rsidRDefault="00B325D8">
      <w:pPr>
        <w:spacing w:before="120" w:after="0" w:line="240" w:lineRule="auto"/>
        <w:rPr>
          <w:b/>
        </w:rPr>
      </w:pPr>
      <w:r w:rsidRPr="00B325D8">
        <w:rPr>
          <w:b/>
        </w:rPr>
        <w:t xml:space="preserve">Table </w:t>
      </w:r>
      <w:r w:rsidRPr="00B325D8">
        <w:rPr>
          <w:b/>
        </w:rPr>
        <w:fldChar w:fldCharType="begin"/>
      </w:r>
      <w:r w:rsidRPr="00B325D8">
        <w:rPr>
          <w:b/>
        </w:rPr>
        <w:instrText xml:space="preserve"> SEQ Table \* ARABIC </w:instrText>
      </w:r>
      <w:r w:rsidRPr="00B325D8">
        <w:rPr>
          <w:b/>
        </w:rPr>
        <w:fldChar w:fldCharType="separate"/>
      </w:r>
      <w:r w:rsidR="00F84458">
        <w:rPr>
          <w:b/>
          <w:noProof/>
        </w:rPr>
        <w:t>20</w:t>
      </w:r>
      <w:r w:rsidRPr="00B325D8">
        <w:rPr>
          <w:b/>
        </w:rPr>
        <w:fldChar w:fldCharType="end"/>
      </w:r>
      <w:r w:rsidRPr="00B325D8">
        <w:rPr>
          <w:b/>
        </w:rPr>
        <w:t xml:space="preserve">: </w:t>
      </w:r>
      <w:r>
        <w:rPr>
          <w:b/>
        </w:rPr>
        <w:t xml:space="preserve">Sections of the </w:t>
      </w:r>
      <w:proofErr w:type="gramStart"/>
      <w:r>
        <w:rPr>
          <w:b/>
        </w:rPr>
        <w:t>NEP17  and</w:t>
      </w:r>
      <w:proofErr w:type="gramEnd"/>
      <w:r>
        <w:rPr>
          <w:b/>
        </w:rPr>
        <w:t xml:space="preserve"> NEC17 Determinations</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A summary of table 1 is outlined in the text prior to this table. The table consists of two column headings: column one is a list of components and column two provides the relevant section it is found in the NEP15 and NEC15 Determinations. &#10;"/>
      </w:tblPr>
      <w:tblGrid>
        <w:gridCol w:w="7073"/>
        <w:gridCol w:w="2337"/>
      </w:tblGrid>
      <w:tr w:rsidR="00BA0669" w:rsidRPr="00D34DE3" w14:paraId="7B788C23" w14:textId="77777777" w:rsidTr="00B325D8">
        <w:trPr>
          <w:trHeight w:val="350"/>
          <w:tblHeader/>
        </w:trPr>
        <w:tc>
          <w:tcPr>
            <w:tcW w:w="7073" w:type="dxa"/>
            <w:shd w:val="clear" w:color="auto" w:fill="288A32"/>
            <w:vAlign w:val="center"/>
          </w:tcPr>
          <w:p w14:paraId="4F3005EB" w14:textId="77777777" w:rsidR="00BA0669" w:rsidRPr="00B325D8" w:rsidRDefault="00BA0669">
            <w:pPr>
              <w:tabs>
                <w:tab w:val="left" w:pos="1162"/>
              </w:tabs>
              <w:ind w:right="-28"/>
              <w:rPr>
                <w:rFonts w:asciiTheme="majorHAnsi" w:hAnsiTheme="majorHAnsi" w:cstheme="majorHAnsi"/>
                <w:b/>
                <w:color w:val="FFFFFF" w:themeColor="background1"/>
                <w:sz w:val="16"/>
                <w:szCs w:val="16"/>
              </w:rPr>
            </w:pPr>
            <w:r w:rsidRPr="00B325D8">
              <w:rPr>
                <w:rFonts w:asciiTheme="majorHAnsi" w:hAnsiTheme="majorHAnsi" w:cstheme="majorHAnsi"/>
                <w:b/>
                <w:color w:val="FFFFFF" w:themeColor="background1"/>
                <w:sz w:val="16"/>
                <w:szCs w:val="16"/>
              </w:rPr>
              <w:t>Component</w:t>
            </w:r>
          </w:p>
        </w:tc>
        <w:tc>
          <w:tcPr>
            <w:tcW w:w="2337" w:type="dxa"/>
            <w:shd w:val="clear" w:color="auto" w:fill="288A32"/>
            <w:vAlign w:val="center"/>
          </w:tcPr>
          <w:p w14:paraId="005FEFA0" w14:textId="77777777" w:rsidR="00BA0669" w:rsidRPr="00B325D8" w:rsidRDefault="00BA0669" w:rsidP="002D606E">
            <w:pPr>
              <w:tabs>
                <w:tab w:val="left" w:pos="1162"/>
              </w:tabs>
              <w:ind w:right="-28"/>
              <w:rPr>
                <w:rFonts w:asciiTheme="majorHAnsi" w:hAnsiTheme="majorHAnsi" w:cstheme="majorHAnsi"/>
                <w:b/>
                <w:i/>
                <w:color w:val="FFFFFF" w:themeColor="background1"/>
                <w:sz w:val="16"/>
                <w:szCs w:val="16"/>
              </w:rPr>
            </w:pPr>
            <w:r w:rsidRPr="00B325D8">
              <w:rPr>
                <w:rFonts w:asciiTheme="majorHAnsi" w:hAnsiTheme="majorHAnsi" w:cstheme="majorHAnsi"/>
                <w:b/>
                <w:color w:val="FFFFFF" w:themeColor="background1"/>
                <w:sz w:val="16"/>
                <w:szCs w:val="16"/>
              </w:rPr>
              <w:t>Section of Determination</w:t>
            </w:r>
          </w:p>
        </w:tc>
      </w:tr>
      <w:tr w:rsidR="00BA0669" w:rsidRPr="00D34DE3" w14:paraId="18FE3502" w14:textId="77777777" w:rsidTr="00BA0669">
        <w:tc>
          <w:tcPr>
            <w:tcW w:w="7073" w:type="dxa"/>
            <w:vAlign w:val="center"/>
          </w:tcPr>
          <w:p w14:paraId="5AA511B3"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National Efficient Price</w:t>
            </w:r>
          </w:p>
        </w:tc>
        <w:tc>
          <w:tcPr>
            <w:tcW w:w="2337" w:type="dxa"/>
            <w:vAlign w:val="center"/>
          </w:tcPr>
          <w:p w14:paraId="09A4F957"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Chapter 2</w:t>
            </w:r>
          </w:p>
        </w:tc>
      </w:tr>
      <w:tr w:rsidR="00BA0669" w:rsidRPr="00D34DE3" w14:paraId="2E33D5EB" w14:textId="77777777" w:rsidTr="00BA0669">
        <w:tc>
          <w:tcPr>
            <w:tcW w:w="7073" w:type="dxa"/>
            <w:vAlign w:val="center"/>
          </w:tcPr>
          <w:p w14:paraId="6B443C41" w14:textId="77777777" w:rsidR="00BA0669" w:rsidRPr="00D34DE3" w:rsidRDefault="00BA0669" w:rsidP="00560AC0">
            <w:pPr>
              <w:tabs>
                <w:tab w:val="left" w:pos="1162"/>
              </w:tabs>
              <w:spacing w:before="60" w:afterLines="60" w:after="144"/>
              <w:ind w:right="-28"/>
              <w:rPr>
                <w:rFonts w:asciiTheme="majorHAnsi" w:hAnsiTheme="majorHAnsi" w:cstheme="majorHAnsi"/>
                <w:b/>
                <w:sz w:val="16"/>
                <w:szCs w:val="16"/>
                <w:highlight w:val="yellow"/>
              </w:rPr>
            </w:pPr>
            <w:r>
              <w:rPr>
                <w:rFonts w:asciiTheme="majorHAnsi" w:hAnsiTheme="majorHAnsi" w:cstheme="majorHAnsi"/>
                <w:b/>
                <w:i/>
                <w:sz w:val="16"/>
                <w:szCs w:val="16"/>
              </w:rPr>
              <w:t>Admitted acute</w:t>
            </w:r>
            <w:r w:rsidRPr="00D34DE3">
              <w:rPr>
                <w:rFonts w:asciiTheme="majorHAnsi" w:hAnsiTheme="majorHAnsi" w:cstheme="majorHAnsi"/>
                <w:b/>
                <w:i/>
                <w:sz w:val="16"/>
                <w:szCs w:val="16"/>
              </w:rPr>
              <w:t xml:space="preserve"> services - </w:t>
            </w:r>
            <w:r>
              <w:rPr>
                <w:rFonts w:asciiTheme="majorHAnsi" w:hAnsiTheme="majorHAnsi" w:cstheme="majorHAnsi"/>
                <w:b/>
                <w:i/>
                <w:sz w:val="16"/>
                <w:szCs w:val="16"/>
              </w:rPr>
              <w:t>NEP17</w:t>
            </w:r>
          </w:p>
        </w:tc>
        <w:tc>
          <w:tcPr>
            <w:tcW w:w="2337" w:type="dxa"/>
            <w:vAlign w:val="center"/>
          </w:tcPr>
          <w:p w14:paraId="33C88219" w14:textId="77777777" w:rsidR="00BA0669" w:rsidRPr="00F414F9" w:rsidRDefault="00BA0669">
            <w:pPr>
              <w:ind w:right="-28"/>
              <w:rPr>
                <w:highlight w:val="yellow"/>
              </w:rPr>
            </w:pPr>
          </w:p>
        </w:tc>
      </w:tr>
      <w:tr w:rsidR="00BA0669" w:rsidRPr="00D34DE3" w14:paraId="26694252" w14:textId="77777777" w:rsidTr="00BA0669">
        <w:tc>
          <w:tcPr>
            <w:tcW w:w="7073" w:type="dxa"/>
            <w:vAlign w:val="center"/>
          </w:tcPr>
          <w:p w14:paraId="15A2743C"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 xml:space="preserve">AR-DRG inlier bounds, flags for designated same-day payment AR-DRG and unbundled ICU AR-DRG, National Weighted Activity Unit (NWAU) weights for same-day payment AR-DRGs, short-stay outliers (base and per diem), inliers, long-stay outliers (per diem), Intensive Care Unit (ICU) rates per hour </w:t>
            </w:r>
          </w:p>
        </w:tc>
        <w:tc>
          <w:tcPr>
            <w:tcW w:w="2337" w:type="dxa"/>
            <w:vAlign w:val="center"/>
          </w:tcPr>
          <w:p w14:paraId="1451EFCD"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15037E">
              <w:rPr>
                <w:rFonts w:asciiTheme="majorHAnsi" w:hAnsiTheme="majorHAnsi" w:cstheme="majorHAnsi"/>
                <w:sz w:val="16"/>
                <w:szCs w:val="16"/>
              </w:rPr>
              <w:t xml:space="preserve">Appendix </w:t>
            </w:r>
            <w:r>
              <w:rPr>
                <w:rFonts w:asciiTheme="majorHAnsi" w:hAnsiTheme="majorHAnsi" w:cstheme="majorHAnsi"/>
                <w:sz w:val="16"/>
                <w:szCs w:val="16"/>
              </w:rPr>
              <w:t>H</w:t>
            </w:r>
          </w:p>
        </w:tc>
      </w:tr>
      <w:tr w:rsidR="00BA0669" w:rsidRPr="00D34DE3" w14:paraId="2A1C6779" w14:textId="77777777" w:rsidTr="00BA0669">
        <w:tc>
          <w:tcPr>
            <w:tcW w:w="7073" w:type="dxa"/>
            <w:vAlign w:val="center"/>
          </w:tcPr>
          <w:p w14:paraId="2F221C22"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Pr>
                <w:rFonts w:asciiTheme="majorHAnsi" w:hAnsiTheme="majorHAnsi" w:cstheme="majorHAnsi"/>
                <w:sz w:val="16"/>
                <w:szCs w:val="16"/>
              </w:rPr>
              <w:t xml:space="preserve">Adjustments to Price Weights </w:t>
            </w:r>
          </w:p>
        </w:tc>
        <w:tc>
          <w:tcPr>
            <w:tcW w:w="2337" w:type="dxa"/>
            <w:vAlign w:val="center"/>
          </w:tcPr>
          <w:p w14:paraId="4A9DFDBF"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rPr>
            </w:pPr>
            <w:r w:rsidRPr="00D34DE3">
              <w:rPr>
                <w:rFonts w:asciiTheme="majorHAnsi" w:hAnsiTheme="majorHAnsi" w:cstheme="majorHAnsi"/>
                <w:sz w:val="16"/>
                <w:szCs w:val="16"/>
              </w:rPr>
              <w:t>Chapter 5</w:t>
            </w:r>
          </w:p>
        </w:tc>
      </w:tr>
      <w:tr w:rsidR="00BA0669" w:rsidRPr="00D34DE3" w14:paraId="6A2464ED" w14:textId="77777777" w:rsidTr="00BA0669">
        <w:tc>
          <w:tcPr>
            <w:tcW w:w="7073" w:type="dxa"/>
            <w:vAlign w:val="center"/>
          </w:tcPr>
          <w:p w14:paraId="1EBA53B1"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 xml:space="preserve">List of radiotherapy ICD-10-AM 9th edition codes </w:t>
            </w:r>
          </w:p>
        </w:tc>
        <w:tc>
          <w:tcPr>
            <w:tcW w:w="2337" w:type="dxa"/>
            <w:vAlign w:val="center"/>
          </w:tcPr>
          <w:p w14:paraId="6D2972C2"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rPr>
            </w:pPr>
            <w:r w:rsidRPr="00D34DE3">
              <w:rPr>
                <w:rFonts w:asciiTheme="majorHAnsi" w:hAnsiTheme="majorHAnsi" w:cstheme="majorHAnsi"/>
                <w:sz w:val="16"/>
                <w:szCs w:val="16"/>
              </w:rPr>
              <w:t>Appendix B</w:t>
            </w:r>
          </w:p>
        </w:tc>
      </w:tr>
      <w:tr w:rsidR="00BA0669" w:rsidRPr="00D34DE3" w14:paraId="1CC31E81" w14:textId="77777777" w:rsidTr="00BA0669">
        <w:tc>
          <w:tcPr>
            <w:tcW w:w="7073" w:type="dxa"/>
            <w:vAlign w:val="center"/>
          </w:tcPr>
          <w:p w14:paraId="1140BA08"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List of dialysis ICD-10-AM 9th edition codes</w:t>
            </w:r>
          </w:p>
        </w:tc>
        <w:tc>
          <w:tcPr>
            <w:tcW w:w="2337" w:type="dxa"/>
            <w:vAlign w:val="center"/>
          </w:tcPr>
          <w:p w14:paraId="7B2D87E4"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rPr>
            </w:pPr>
            <w:r w:rsidRPr="00D34DE3">
              <w:rPr>
                <w:rFonts w:asciiTheme="majorHAnsi" w:hAnsiTheme="majorHAnsi" w:cstheme="majorHAnsi"/>
                <w:sz w:val="16"/>
                <w:szCs w:val="16"/>
              </w:rPr>
              <w:t>Appendix C</w:t>
            </w:r>
          </w:p>
        </w:tc>
      </w:tr>
      <w:tr w:rsidR="00BA0669" w:rsidRPr="00D34DE3" w14:paraId="337793FB" w14:textId="77777777" w:rsidTr="00BA0669">
        <w:tc>
          <w:tcPr>
            <w:tcW w:w="7073" w:type="dxa"/>
            <w:vAlign w:val="center"/>
          </w:tcPr>
          <w:p w14:paraId="04760B44"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 xml:space="preserve">Specified  ICUs </w:t>
            </w:r>
          </w:p>
        </w:tc>
        <w:tc>
          <w:tcPr>
            <w:tcW w:w="2337" w:type="dxa"/>
            <w:vAlign w:val="center"/>
          </w:tcPr>
          <w:p w14:paraId="3F9ADF5C"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Appendix D</w:t>
            </w:r>
          </w:p>
        </w:tc>
      </w:tr>
      <w:tr w:rsidR="00BA0669" w:rsidRPr="00D34DE3" w14:paraId="59E4616F" w14:textId="77777777" w:rsidTr="00BA0669">
        <w:tc>
          <w:tcPr>
            <w:tcW w:w="7073" w:type="dxa"/>
          </w:tcPr>
          <w:p w14:paraId="0D74C992"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Specialised children's hospitals</w:t>
            </w:r>
          </w:p>
        </w:tc>
        <w:tc>
          <w:tcPr>
            <w:tcW w:w="2337" w:type="dxa"/>
          </w:tcPr>
          <w:p w14:paraId="5465A128"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rPr>
            </w:pPr>
            <w:r w:rsidRPr="00D34DE3">
              <w:rPr>
                <w:rFonts w:asciiTheme="majorHAnsi" w:hAnsiTheme="majorHAnsi" w:cstheme="majorHAnsi"/>
                <w:sz w:val="16"/>
                <w:szCs w:val="16"/>
              </w:rPr>
              <w:t>Appendix E</w:t>
            </w:r>
          </w:p>
        </w:tc>
      </w:tr>
      <w:tr w:rsidR="00BA0669" w:rsidRPr="00D34DE3" w14:paraId="5EA08F19" w14:textId="77777777" w:rsidTr="00BA0669">
        <w:tc>
          <w:tcPr>
            <w:tcW w:w="7073" w:type="dxa"/>
            <w:vAlign w:val="center"/>
          </w:tcPr>
          <w:p w14:paraId="297ABA5D"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Private patient adjustments</w:t>
            </w:r>
          </w:p>
        </w:tc>
        <w:tc>
          <w:tcPr>
            <w:tcW w:w="2337" w:type="dxa"/>
            <w:vAlign w:val="center"/>
          </w:tcPr>
          <w:p w14:paraId="644C4FDC"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Appendix F</w:t>
            </w:r>
          </w:p>
        </w:tc>
      </w:tr>
      <w:tr w:rsidR="00BA0669" w:rsidRPr="00D34DE3" w14:paraId="6EE46763" w14:textId="77777777" w:rsidTr="00BA0669">
        <w:tc>
          <w:tcPr>
            <w:tcW w:w="7073" w:type="dxa"/>
            <w:vAlign w:val="center"/>
          </w:tcPr>
          <w:p w14:paraId="509EACAA"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Provisional weights for very long stay patients</w:t>
            </w:r>
          </w:p>
        </w:tc>
        <w:tc>
          <w:tcPr>
            <w:tcW w:w="2337" w:type="dxa"/>
            <w:shd w:val="clear" w:color="auto" w:fill="auto"/>
            <w:vAlign w:val="center"/>
          </w:tcPr>
          <w:p w14:paraId="7252D5E3"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Appendix G</w:t>
            </w:r>
          </w:p>
        </w:tc>
      </w:tr>
      <w:tr w:rsidR="00BA0669" w:rsidRPr="00D34DE3" w14:paraId="686CB841" w14:textId="77777777" w:rsidTr="00BA0669">
        <w:tc>
          <w:tcPr>
            <w:tcW w:w="7073" w:type="dxa"/>
            <w:vAlign w:val="center"/>
          </w:tcPr>
          <w:p w14:paraId="4B5F3FF8"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Definition of an eligible ICU or paediatric ICU (PICU)</w:t>
            </w:r>
          </w:p>
        </w:tc>
        <w:tc>
          <w:tcPr>
            <w:tcW w:w="2337" w:type="dxa"/>
            <w:vAlign w:val="center"/>
          </w:tcPr>
          <w:p w14:paraId="2025E270"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Glossary</w:t>
            </w:r>
          </w:p>
        </w:tc>
      </w:tr>
      <w:tr w:rsidR="00BA0669" w:rsidRPr="00D34DE3" w14:paraId="4EDD86AE" w14:textId="77777777" w:rsidTr="00BA0669">
        <w:tc>
          <w:tcPr>
            <w:tcW w:w="7073" w:type="dxa"/>
            <w:vAlign w:val="center"/>
          </w:tcPr>
          <w:p w14:paraId="2DE58016" w14:textId="77777777" w:rsidR="00BA0669" w:rsidRPr="00D34DE3" w:rsidRDefault="00BA0669" w:rsidP="00560AC0">
            <w:pPr>
              <w:tabs>
                <w:tab w:val="left" w:pos="1162"/>
              </w:tabs>
              <w:spacing w:before="60" w:afterLines="60" w:after="144"/>
              <w:ind w:right="-28"/>
              <w:rPr>
                <w:rFonts w:asciiTheme="majorHAnsi" w:hAnsiTheme="majorHAnsi" w:cstheme="majorHAnsi"/>
                <w:b/>
                <w:sz w:val="16"/>
                <w:szCs w:val="16"/>
                <w:highlight w:val="yellow"/>
              </w:rPr>
            </w:pPr>
            <w:r w:rsidRPr="00D34DE3">
              <w:rPr>
                <w:rFonts w:asciiTheme="majorHAnsi" w:hAnsiTheme="majorHAnsi" w:cstheme="majorHAnsi"/>
                <w:b/>
                <w:i/>
                <w:sz w:val="16"/>
                <w:szCs w:val="16"/>
              </w:rPr>
              <w:t xml:space="preserve">Emergency department services - </w:t>
            </w:r>
            <w:r>
              <w:rPr>
                <w:rFonts w:asciiTheme="majorHAnsi" w:hAnsiTheme="majorHAnsi" w:cstheme="majorHAnsi"/>
                <w:b/>
                <w:i/>
                <w:sz w:val="16"/>
                <w:szCs w:val="16"/>
              </w:rPr>
              <w:t>NEP17</w:t>
            </w:r>
          </w:p>
        </w:tc>
        <w:tc>
          <w:tcPr>
            <w:tcW w:w="2337" w:type="dxa"/>
            <w:vAlign w:val="center"/>
          </w:tcPr>
          <w:p w14:paraId="586FAA1A" w14:textId="77777777" w:rsidR="00BA0669" w:rsidRPr="00F414F9" w:rsidRDefault="00BA0669">
            <w:pPr>
              <w:ind w:right="-28"/>
              <w:rPr>
                <w:highlight w:val="yellow"/>
              </w:rPr>
            </w:pPr>
          </w:p>
        </w:tc>
      </w:tr>
      <w:tr w:rsidR="00BA0669" w:rsidRPr="00D34DE3" w14:paraId="562358A0" w14:textId="77777777" w:rsidTr="00BA0669">
        <w:tc>
          <w:tcPr>
            <w:tcW w:w="7073" w:type="dxa"/>
            <w:vAlign w:val="center"/>
          </w:tcPr>
          <w:p w14:paraId="238495E2"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Urgency Related Groups v1.4 classification and NWAU weights</w:t>
            </w:r>
          </w:p>
        </w:tc>
        <w:tc>
          <w:tcPr>
            <w:tcW w:w="2337" w:type="dxa"/>
            <w:vAlign w:val="center"/>
          </w:tcPr>
          <w:p w14:paraId="3076BC52"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Appendix L</w:t>
            </w:r>
          </w:p>
        </w:tc>
      </w:tr>
      <w:tr w:rsidR="00BA0669" w:rsidRPr="00D34DE3" w14:paraId="4D43037F" w14:textId="77777777" w:rsidTr="00BA0669">
        <w:tc>
          <w:tcPr>
            <w:tcW w:w="7073" w:type="dxa"/>
            <w:vAlign w:val="center"/>
          </w:tcPr>
          <w:p w14:paraId="250BCCDD"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Urgency Disposition Groups v1.3 classification and NWAU weights</w:t>
            </w:r>
          </w:p>
        </w:tc>
        <w:tc>
          <w:tcPr>
            <w:tcW w:w="2337" w:type="dxa"/>
            <w:vAlign w:val="center"/>
          </w:tcPr>
          <w:p w14:paraId="50BF12DA"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Appendix M</w:t>
            </w:r>
          </w:p>
        </w:tc>
      </w:tr>
      <w:tr w:rsidR="00BA0669" w:rsidRPr="00D34DE3" w14:paraId="10BE4F8E" w14:textId="77777777" w:rsidTr="00BA0669">
        <w:tc>
          <w:tcPr>
            <w:tcW w:w="7073" w:type="dxa"/>
            <w:vAlign w:val="center"/>
          </w:tcPr>
          <w:p w14:paraId="1EE9F1DC"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Emergency departments in-scope for ABF</w:t>
            </w:r>
          </w:p>
        </w:tc>
        <w:tc>
          <w:tcPr>
            <w:tcW w:w="2337" w:type="dxa"/>
            <w:vAlign w:val="center"/>
          </w:tcPr>
          <w:p w14:paraId="0FF04CC8"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rPr>
            </w:pPr>
            <w:r w:rsidRPr="00D34DE3">
              <w:rPr>
                <w:rFonts w:asciiTheme="majorHAnsi" w:hAnsiTheme="majorHAnsi" w:cstheme="majorHAnsi"/>
                <w:sz w:val="16"/>
                <w:szCs w:val="16"/>
              </w:rPr>
              <w:t>Glossary</w:t>
            </w:r>
          </w:p>
        </w:tc>
      </w:tr>
      <w:tr w:rsidR="00BA0669" w:rsidRPr="00D34DE3" w14:paraId="24C83857" w14:textId="77777777" w:rsidTr="00BA0669">
        <w:tc>
          <w:tcPr>
            <w:tcW w:w="7073" w:type="dxa"/>
            <w:vAlign w:val="center"/>
          </w:tcPr>
          <w:p w14:paraId="6FFEA538"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Definitions of emergency department role levels</w:t>
            </w:r>
          </w:p>
        </w:tc>
        <w:tc>
          <w:tcPr>
            <w:tcW w:w="2337" w:type="dxa"/>
            <w:vAlign w:val="center"/>
          </w:tcPr>
          <w:p w14:paraId="17153CBF"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rPr>
            </w:pPr>
            <w:r w:rsidRPr="00D34DE3">
              <w:rPr>
                <w:rFonts w:asciiTheme="majorHAnsi" w:hAnsiTheme="majorHAnsi" w:cstheme="majorHAnsi"/>
                <w:sz w:val="16"/>
                <w:szCs w:val="16"/>
              </w:rPr>
              <w:t>Glossary</w:t>
            </w:r>
          </w:p>
        </w:tc>
      </w:tr>
      <w:tr w:rsidR="00BA0669" w:rsidRPr="00D34DE3" w14:paraId="13B402DC" w14:textId="77777777" w:rsidTr="00BA0669">
        <w:tc>
          <w:tcPr>
            <w:tcW w:w="7073" w:type="dxa"/>
            <w:vAlign w:val="center"/>
          </w:tcPr>
          <w:p w14:paraId="302629FD"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highlight w:val="yellow"/>
              </w:rPr>
            </w:pPr>
            <w:r w:rsidRPr="00D34DE3">
              <w:rPr>
                <w:rFonts w:asciiTheme="majorHAnsi" w:hAnsiTheme="majorHAnsi" w:cstheme="majorHAnsi"/>
                <w:b/>
                <w:i/>
                <w:sz w:val="16"/>
                <w:szCs w:val="16"/>
              </w:rPr>
              <w:t xml:space="preserve">Non-admitted services - </w:t>
            </w:r>
            <w:r>
              <w:rPr>
                <w:rFonts w:asciiTheme="majorHAnsi" w:hAnsiTheme="majorHAnsi" w:cstheme="majorHAnsi"/>
                <w:b/>
                <w:i/>
                <w:sz w:val="16"/>
                <w:szCs w:val="16"/>
              </w:rPr>
              <w:t>NEP17</w:t>
            </w:r>
          </w:p>
        </w:tc>
        <w:tc>
          <w:tcPr>
            <w:tcW w:w="2337" w:type="dxa"/>
            <w:vAlign w:val="center"/>
          </w:tcPr>
          <w:p w14:paraId="43259438" w14:textId="77777777" w:rsidR="00BA0669" w:rsidRPr="00F414F9" w:rsidRDefault="00BA0669">
            <w:pPr>
              <w:ind w:right="-28"/>
              <w:rPr>
                <w:highlight w:val="yellow"/>
              </w:rPr>
            </w:pPr>
          </w:p>
        </w:tc>
      </w:tr>
      <w:tr w:rsidR="00BA0669" w:rsidRPr="00D34DE3" w14:paraId="78D1D07D" w14:textId="77777777" w:rsidTr="00BA0669">
        <w:tc>
          <w:tcPr>
            <w:tcW w:w="7073" w:type="dxa"/>
            <w:vAlign w:val="center"/>
          </w:tcPr>
          <w:p w14:paraId="7BDE7594"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Tier 2 non-admitted services classification v4.</w:t>
            </w:r>
            <w:r>
              <w:rPr>
                <w:rFonts w:asciiTheme="majorHAnsi" w:hAnsiTheme="majorHAnsi" w:cstheme="majorHAnsi"/>
                <w:sz w:val="16"/>
                <w:szCs w:val="16"/>
              </w:rPr>
              <w:t>1</w:t>
            </w:r>
            <w:r w:rsidRPr="00D34DE3">
              <w:rPr>
                <w:rFonts w:asciiTheme="majorHAnsi" w:hAnsiTheme="majorHAnsi" w:cstheme="majorHAnsi"/>
                <w:sz w:val="16"/>
                <w:szCs w:val="16"/>
              </w:rPr>
              <w:t xml:space="preserve"> weights</w:t>
            </w:r>
          </w:p>
        </w:tc>
        <w:tc>
          <w:tcPr>
            <w:tcW w:w="2337" w:type="dxa"/>
            <w:vAlign w:val="center"/>
          </w:tcPr>
          <w:p w14:paraId="2051AFCB"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Appendix K</w:t>
            </w:r>
          </w:p>
        </w:tc>
      </w:tr>
      <w:tr w:rsidR="00BA0669" w:rsidRPr="00D34DE3" w14:paraId="4AF1905F" w14:textId="77777777" w:rsidTr="00BA0669">
        <w:tc>
          <w:tcPr>
            <w:tcW w:w="7073" w:type="dxa"/>
            <w:vAlign w:val="center"/>
          </w:tcPr>
          <w:p w14:paraId="24385222"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Definition of Tier 2 list of non-admitted services classifications v4.</w:t>
            </w:r>
            <w:r>
              <w:rPr>
                <w:rFonts w:asciiTheme="majorHAnsi" w:hAnsiTheme="majorHAnsi" w:cstheme="majorHAnsi"/>
                <w:sz w:val="16"/>
                <w:szCs w:val="16"/>
              </w:rPr>
              <w:t>1</w:t>
            </w:r>
          </w:p>
        </w:tc>
        <w:tc>
          <w:tcPr>
            <w:tcW w:w="2337" w:type="dxa"/>
            <w:vAlign w:val="center"/>
          </w:tcPr>
          <w:p w14:paraId="1FB3AC9C"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Glossary</w:t>
            </w:r>
          </w:p>
        </w:tc>
      </w:tr>
      <w:tr w:rsidR="00BA0669" w:rsidRPr="00D34DE3" w14:paraId="26B9ACF4" w14:textId="77777777" w:rsidTr="00BA0669">
        <w:tc>
          <w:tcPr>
            <w:tcW w:w="7073" w:type="dxa"/>
            <w:vAlign w:val="center"/>
          </w:tcPr>
          <w:p w14:paraId="303C7317"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b/>
                <w:i/>
                <w:sz w:val="16"/>
                <w:szCs w:val="16"/>
              </w:rPr>
              <w:t xml:space="preserve">Subacute and non-acute services - </w:t>
            </w:r>
            <w:r>
              <w:rPr>
                <w:rFonts w:asciiTheme="majorHAnsi" w:hAnsiTheme="majorHAnsi" w:cstheme="majorHAnsi"/>
                <w:b/>
                <w:i/>
                <w:sz w:val="16"/>
                <w:szCs w:val="16"/>
              </w:rPr>
              <w:t>NEP17</w:t>
            </w:r>
          </w:p>
        </w:tc>
        <w:tc>
          <w:tcPr>
            <w:tcW w:w="2337" w:type="dxa"/>
            <w:vAlign w:val="center"/>
          </w:tcPr>
          <w:p w14:paraId="1A180662" w14:textId="77777777" w:rsidR="00BA0669" w:rsidRPr="00D34DE3" w:rsidRDefault="00BA0669" w:rsidP="002D606E">
            <w:pPr>
              <w:tabs>
                <w:tab w:val="left" w:pos="1162"/>
              </w:tabs>
              <w:spacing w:before="60" w:afterLines="60" w:after="144"/>
              <w:ind w:right="-28"/>
              <w:rPr>
                <w:rFonts w:asciiTheme="majorHAnsi" w:hAnsiTheme="majorHAnsi" w:cstheme="majorHAnsi"/>
                <w:sz w:val="16"/>
                <w:szCs w:val="16"/>
                <w:highlight w:val="yellow"/>
              </w:rPr>
            </w:pPr>
          </w:p>
        </w:tc>
      </w:tr>
      <w:tr w:rsidR="00BA0669" w:rsidRPr="00D34DE3" w14:paraId="5F853C6B" w14:textId="77777777" w:rsidTr="00BA0669">
        <w:tc>
          <w:tcPr>
            <w:tcW w:w="7073" w:type="dxa"/>
            <w:vAlign w:val="center"/>
          </w:tcPr>
          <w:p w14:paraId="3C2CCDD4"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AN-SNAP v</w:t>
            </w:r>
            <w:r>
              <w:rPr>
                <w:rFonts w:asciiTheme="majorHAnsi" w:hAnsiTheme="majorHAnsi" w:cstheme="majorHAnsi"/>
                <w:sz w:val="16"/>
                <w:szCs w:val="16"/>
              </w:rPr>
              <w:t>4</w:t>
            </w:r>
            <w:r w:rsidRPr="00D34DE3">
              <w:rPr>
                <w:rFonts w:asciiTheme="majorHAnsi" w:hAnsiTheme="majorHAnsi" w:cstheme="majorHAnsi"/>
                <w:sz w:val="16"/>
                <w:szCs w:val="16"/>
              </w:rPr>
              <w:t xml:space="preserve"> weights</w:t>
            </w:r>
          </w:p>
        </w:tc>
        <w:tc>
          <w:tcPr>
            <w:tcW w:w="2337" w:type="dxa"/>
            <w:vAlign w:val="center"/>
          </w:tcPr>
          <w:p w14:paraId="1DE118E8"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Appendix I</w:t>
            </w:r>
          </w:p>
        </w:tc>
      </w:tr>
      <w:tr w:rsidR="00BA0669" w:rsidRPr="00D34DE3" w14:paraId="635DACA8" w14:textId="77777777" w:rsidTr="00BA0669">
        <w:tc>
          <w:tcPr>
            <w:tcW w:w="7073" w:type="dxa"/>
            <w:vAlign w:val="center"/>
          </w:tcPr>
          <w:p w14:paraId="156BC14C"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Paediatric per diem price weights</w:t>
            </w:r>
          </w:p>
        </w:tc>
        <w:tc>
          <w:tcPr>
            <w:tcW w:w="2337" w:type="dxa"/>
            <w:vAlign w:val="center"/>
          </w:tcPr>
          <w:p w14:paraId="61E32DB7"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Appendix J</w:t>
            </w:r>
          </w:p>
        </w:tc>
      </w:tr>
      <w:tr w:rsidR="00BA0669" w:rsidRPr="00D34DE3" w14:paraId="5F1F2C4B" w14:textId="77777777" w:rsidTr="00BA0669">
        <w:tc>
          <w:tcPr>
            <w:tcW w:w="7073" w:type="dxa"/>
            <w:vAlign w:val="center"/>
          </w:tcPr>
          <w:p w14:paraId="1BB58772"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Definitions of AN-SNAP v</w:t>
            </w:r>
            <w:r>
              <w:rPr>
                <w:rFonts w:asciiTheme="majorHAnsi" w:hAnsiTheme="majorHAnsi" w:cstheme="majorHAnsi"/>
                <w:sz w:val="16"/>
                <w:szCs w:val="16"/>
              </w:rPr>
              <w:t>4</w:t>
            </w:r>
          </w:p>
        </w:tc>
        <w:tc>
          <w:tcPr>
            <w:tcW w:w="2337" w:type="dxa"/>
            <w:vAlign w:val="center"/>
          </w:tcPr>
          <w:p w14:paraId="1E19CECC"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Glossary</w:t>
            </w:r>
          </w:p>
        </w:tc>
      </w:tr>
      <w:tr w:rsidR="00BA0669" w:rsidRPr="00D34DE3" w14:paraId="2371D2C0" w14:textId="77777777" w:rsidTr="00BA0669">
        <w:tc>
          <w:tcPr>
            <w:tcW w:w="7073" w:type="dxa"/>
            <w:shd w:val="clear" w:color="auto" w:fill="auto"/>
            <w:vAlign w:val="center"/>
          </w:tcPr>
          <w:p w14:paraId="49F31E53" w14:textId="77777777" w:rsidR="00BA0669" w:rsidRPr="00225003" w:rsidRDefault="00BA0669" w:rsidP="00560AC0">
            <w:pPr>
              <w:tabs>
                <w:tab w:val="left" w:pos="1162"/>
              </w:tabs>
              <w:spacing w:before="60" w:afterLines="60" w:after="144"/>
              <w:ind w:right="-28"/>
              <w:rPr>
                <w:rFonts w:asciiTheme="majorHAnsi" w:hAnsiTheme="majorHAnsi" w:cstheme="majorHAnsi"/>
                <w:sz w:val="16"/>
                <w:szCs w:val="16"/>
              </w:rPr>
            </w:pPr>
            <w:r w:rsidRPr="00225003">
              <w:rPr>
                <w:rFonts w:asciiTheme="majorHAnsi" w:hAnsiTheme="majorHAnsi" w:cstheme="majorHAnsi"/>
                <w:b/>
                <w:i/>
                <w:sz w:val="16"/>
                <w:szCs w:val="16"/>
              </w:rPr>
              <w:t xml:space="preserve">Mental health services - </w:t>
            </w:r>
            <w:r>
              <w:rPr>
                <w:rFonts w:asciiTheme="majorHAnsi" w:hAnsiTheme="majorHAnsi" w:cstheme="majorHAnsi"/>
                <w:b/>
                <w:i/>
                <w:sz w:val="16"/>
                <w:szCs w:val="16"/>
              </w:rPr>
              <w:t>NEP17</w:t>
            </w:r>
          </w:p>
        </w:tc>
        <w:tc>
          <w:tcPr>
            <w:tcW w:w="2337" w:type="dxa"/>
            <w:shd w:val="clear" w:color="auto" w:fill="auto"/>
            <w:vAlign w:val="center"/>
          </w:tcPr>
          <w:p w14:paraId="0EDF3145" w14:textId="77777777" w:rsidR="00BA0669" w:rsidRPr="00F414F9" w:rsidRDefault="00BA0669">
            <w:pPr>
              <w:ind w:right="-28"/>
            </w:pPr>
          </w:p>
        </w:tc>
      </w:tr>
      <w:tr w:rsidR="00BA0669" w:rsidRPr="00D34DE3" w14:paraId="5047FC56" w14:textId="77777777" w:rsidTr="00BA0669">
        <w:tc>
          <w:tcPr>
            <w:tcW w:w="7073" w:type="dxa"/>
            <w:shd w:val="clear" w:color="auto" w:fill="auto"/>
            <w:vAlign w:val="center"/>
          </w:tcPr>
          <w:p w14:paraId="60AEC971" w14:textId="77777777" w:rsidR="00BA0669" w:rsidRPr="00225003" w:rsidRDefault="00BA0669" w:rsidP="00560AC0">
            <w:pPr>
              <w:tabs>
                <w:tab w:val="left" w:pos="1162"/>
              </w:tabs>
              <w:spacing w:before="60" w:afterLines="60" w:after="144"/>
              <w:ind w:right="-28"/>
              <w:rPr>
                <w:rFonts w:asciiTheme="majorHAnsi" w:hAnsiTheme="majorHAnsi" w:cstheme="majorHAnsi"/>
                <w:sz w:val="16"/>
                <w:szCs w:val="16"/>
              </w:rPr>
            </w:pPr>
            <w:r w:rsidRPr="00225003">
              <w:rPr>
                <w:rFonts w:asciiTheme="majorHAnsi" w:hAnsiTheme="majorHAnsi" w:cstheme="majorHAnsi"/>
                <w:sz w:val="16"/>
                <w:szCs w:val="16"/>
              </w:rPr>
              <w:t>AR-DRG-based inlier bounds, NWAU and adjustment weights</w:t>
            </w:r>
          </w:p>
        </w:tc>
        <w:tc>
          <w:tcPr>
            <w:tcW w:w="2337" w:type="dxa"/>
            <w:shd w:val="clear" w:color="auto" w:fill="auto"/>
            <w:vAlign w:val="center"/>
          </w:tcPr>
          <w:p w14:paraId="2C72EF02" w14:textId="77777777" w:rsidR="00BA0669" w:rsidRPr="00225003" w:rsidRDefault="00BA0669" w:rsidP="002D606E">
            <w:pPr>
              <w:tabs>
                <w:tab w:val="left" w:pos="1162"/>
              </w:tabs>
              <w:spacing w:before="60" w:afterLines="60" w:after="144"/>
              <w:ind w:right="-28"/>
              <w:rPr>
                <w:rFonts w:asciiTheme="majorHAnsi" w:eastAsiaTheme="minorHAnsi" w:hAnsiTheme="majorHAnsi" w:cstheme="majorHAnsi"/>
                <w:b/>
                <w:noProof/>
                <w:sz w:val="16"/>
                <w:szCs w:val="16"/>
              </w:rPr>
            </w:pPr>
            <w:r>
              <w:rPr>
                <w:rFonts w:asciiTheme="majorHAnsi" w:hAnsiTheme="majorHAnsi" w:cstheme="majorHAnsi"/>
                <w:sz w:val="16"/>
                <w:szCs w:val="16"/>
              </w:rPr>
              <w:t>Appendix H</w:t>
            </w:r>
          </w:p>
        </w:tc>
      </w:tr>
      <w:tr w:rsidR="00BA0669" w:rsidRPr="00D34DE3" w14:paraId="1B18FB16" w14:textId="77777777" w:rsidTr="00BA0669">
        <w:tc>
          <w:tcPr>
            <w:tcW w:w="7073" w:type="dxa"/>
            <w:tcBorders>
              <w:bottom w:val="single" w:sz="4" w:space="0" w:color="auto"/>
            </w:tcBorders>
            <w:shd w:val="clear" w:color="auto" w:fill="auto"/>
            <w:vAlign w:val="center"/>
          </w:tcPr>
          <w:p w14:paraId="74A85C8F" w14:textId="77777777" w:rsidR="00BA0669" w:rsidRPr="00225003" w:rsidRDefault="00BA0669" w:rsidP="00560AC0">
            <w:pPr>
              <w:tabs>
                <w:tab w:val="left" w:pos="1162"/>
              </w:tabs>
              <w:spacing w:before="60" w:afterLines="60" w:after="144"/>
              <w:ind w:right="-28"/>
              <w:rPr>
                <w:rFonts w:asciiTheme="majorHAnsi" w:hAnsiTheme="majorHAnsi" w:cstheme="majorHAnsi"/>
                <w:sz w:val="16"/>
                <w:szCs w:val="16"/>
              </w:rPr>
            </w:pPr>
            <w:r>
              <w:rPr>
                <w:rFonts w:asciiTheme="majorHAnsi" w:hAnsiTheme="majorHAnsi" w:cstheme="majorHAnsi"/>
                <w:sz w:val="16"/>
                <w:szCs w:val="16"/>
              </w:rPr>
              <w:lastRenderedPageBreak/>
              <w:t>M</w:t>
            </w:r>
            <w:r w:rsidRPr="00225003">
              <w:rPr>
                <w:rFonts w:asciiTheme="majorHAnsi" w:hAnsiTheme="majorHAnsi" w:cstheme="majorHAnsi"/>
                <w:sz w:val="16"/>
                <w:szCs w:val="16"/>
              </w:rPr>
              <w:t xml:space="preserve">ental health </w:t>
            </w:r>
            <w:r>
              <w:rPr>
                <w:rFonts w:asciiTheme="majorHAnsi" w:hAnsiTheme="majorHAnsi" w:cstheme="majorHAnsi"/>
                <w:sz w:val="16"/>
                <w:szCs w:val="16"/>
              </w:rPr>
              <w:t>age adjustments</w:t>
            </w:r>
          </w:p>
        </w:tc>
        <w:tc>
          <w:tcPr>
            <w:tcW w:w="2337" w:type="dxa"/>
            <w:tcBorders>
              <w:bottom w:val="single" w:sz="4" w:space="0" w:color="auto"/>
            </w:tcBorders>
            <w:shd w:val="clear" w:color="auto" w:fill="auto"/>
            <w:vAlign w:val="center"/>
          </w:tcPr>
          <w:p w14:paraId="79F3DAAC" w14:textId="77777777" w:rsidR="00BA0669" w:rsidRPr="00225003" w:rsidRDefault="00BA0669" w:rsidP="002D606E">
            <w:pPr>
              <w:tabs>
                <w:tab w:val="left" w:pos="1162"/>
              </w:tabs>
              <w:spacing w:before="60" w:afterLines="60" w:after="144"/>
              <w:ind w:right="-28"/>
              <w:rPr>
                <w:rFonts w:asciiTheme="majorHAnsi" w:eastAsiaTheme="minorHAnsi" w:hAnsiTheme="majorHAnsi" w:cstheme="majorHAnsi"/>
                <w:b/>
                <w:noProof/>
                <w:sz w:val="16"/>
                <w:szCs w:val="16"/>
              </w:rPr>
            </w:pPr>
            <w:r w:rsidRPr="00225003">
              <w:rPr>
                <w:rFonts w:asciiTheme="majorHAnsi" w:hAnsiTheme="majorHAnsi" w:cstheme="majorHAnsi"/>
                <w:sz w:val="16"/>
                <w:szCs w:val="16"/>
              </w:rPr>
              <w:t>Chapter 5</w:t>
            </w:r>
          </w:p>
        </w:tc>
      </w:tr>
      <w:tr w:rsidR="00BA0669" w:rsidRPr="00D34DE3" w14:paraId="70D4076A" w14:textId="77777777" w:rsidTr="00BA0669">
        <w:tc>
          <w:tcPr>
            <w:tcW w:w="7073" w:type="dxa"/>
            <w:tcBorders>
              <w:right w:val="nil"/>
            </w:tcBorders>
            <w:vAlign w:val="center"/>
          </w:tcPr>
          <w:p w14:paraId="2865458C" w14:textId="77777777" w:rsidR="00BA0669" w:rsidRPr="00D34DE3" w:rsidRDefault="00BA0669" w:rsidP="00560AC0">
            <w:pPr>
              <w:tabs>
                <w:tab w:val="left" w:pos="1162"/>
              </w:tabs>
              <w:spacing w:before="60" w:afterLines="60" w:after="144"/>
              <w:ind w:right="-28"/>
              <w:rPr>
                <w:rFonts w:asciiTheme="majorHAnsi" w:hAnsiTheme="majorHAnsi" w:cstheme="majorHAnsi"/>
                <w:b/>
                <w:sz w:val="16"/>
                <w:szCs w:val="16"/>
                <w:highlight w:val="yellow"/>
              </w:rPr>
            </w:pPr>
            <w:r w:rsidRPr="00D34DE3">
              <w:rPr>
                <w:rFonts w:asciiTheme="majorHAnsi" w:hAnsiTheme="majorHAnsi" w:cstheme="majorHAnsi"/>
                <w:b/>
                <w:i/>
                <w:sz w:val="16"/>
                <w:szCs w:val="16"/>
              </w:rPr>
              <w:t xml:space="preserve">Block funded hospital services - </w:t>
            </w:r>
            <w:r>
              <w:rPr>
                <w:rFonts w:asciiTheme="majorHAnsi" w:hAnsiTheme="majorHAnsi" w:cstheme="majorHAnsi"/>
                <w:b/>
                <w:i/>
                <w:sz w:val="16"/>
                <w:szCs w:val="16"/>
              </w:rPr>
              <w:t>NEC17</w:t>
            </w:r>
          </w:p>
        </w:tc>
        <w:tc>
          <w:tcPr>
            <w:tcW w:w="2337" w:type="dxa"/>
            <w:tcBorders>
              <w:left w:val="nil"/>
            </w:tcBorders>
            <w:vAlign w:val="center"/>
          </w:tcPr>
          <w:p w14:paraId="5029DB6F" w14:textId="77777777" w:rsidR="00BA0669" w:rsidRPr="00F414F9" w:rsidRDefault="00BA0669">
            <w:pPr>
              <w:ind w:right="-28"/>
              <w:rPr>
                <w:highlight w:val="yellow"/>
              </w:rPr>
            </w:pPr>
          </w:p>
        </w:tc>
      </w:tr>
      <w:tr w:rsidR="00BA0669" w:rsidRPr="00D34DE3" w14:paraId="39C09948" w14:textId="77777777" w:rsidTr="00BA0669">
        <w:tc>
          <w:tcPr>
            <w:tcW w:w="7073" w:type="dxa"/>
            <w:vAlign w:val="center"/>
          </w:tcPr>
          <w:p w14:paraId="112D6266" w14:textId="77777777" w:rsidR="00BA0669" w:rsidRPr="00D34DE3" w:rsidRDefault="00BA0669" w:rsidP="00560AC0">
            <w:pPr>
              <w:tabs>
                <w:tab w:val="left" w:pos="1162"/>
              </w:tabs>
              <w:spacing w:before="60" w:afterLines="60" w:after="144"/>
              <w:ind w:right="-28"/>
              <w:rPr>
                <w:rFonts w:asciiTheme="majorHAnsi" w:hAnsiTheme="majorHAnsi" w:cstheme="majorHAnsi"/>
                <w:sz w:val="16"/>
                <w:szCs w:val="16"/>
              </w:rPr>
            </w:pPr>
            <w:r w:rsidRPr="00D34DE3">
              <w:rPr>
                <w:rFonts w:asciiTheme="majorHAnsi" w:hAnsiTheme="majorHAnsi" w:cstheme="majorHAnsi"/>
                <w:sz w:val="16"/>
                <w:szCs w:val="16"/>
              </w:rPr>
              <w:t>NEC weights, Efficient costs for each block funded hospital</w:t>
            </w:r>
          </w:p>
        </w:tc>
        <w:tc>
          <w:tcPr>
            <w:tcW w:w="2337" w:type="dxa"/>
            <w:vAlign w:val="center"/>
          </w:tcPr>
          <w:p w14:paraId="1524A452" w14:textId="77777777" w:rsidR="00BA0669" w:rsidRPr="00D34DE3" w:rsidRDefault="00BA0669" w:rsidP="002D606E">
            <w:pPr>
              <w:tabs>
                <w:tab w:val="left" w:pos="1162"/>
              </w:tabs>
              <w:spacing w:before="60" w:afterLines="60" w:after="144"/>
              <w:ind w:right="-28"/>
              <w:rPr>
                <w:rFonts w:asciiTheme="majorHAnsi" w:eastAsiaTheme="minorHAnsi" w:hAnsiTheme="majorHAnsi" w:cstheme="majorHAnsi"/>
                <w:b/>
                <w:noProof/>
                <w:sz w:val="16"/>
                <w:szCs w:val="16"/>
                <w:highlight w:val="yellow"/>
              </w:rPr>
            </w:pPr>
            <w:r w:rsidRPr="00D34DE3">
              <w:rPr>
                <w:rFonts w:asciiTheme="majorHAnsi" w:hAnsiTheme="majorHAnsi" w:cstheme="majorHAnsi"/>
                <w:sz w:val="16"/>
                <w:szCs w:val="16"/>
              </w:rPr>
              <w:t>Chapter 3</w:t>
            </w:r>
          </w:p>
        </w:tc>
      </w:tr>
    </w:tbl>
    <w:p w14:paraId="2CC5418A" w14:textId="77777777" w:rsidR="00973F7C" w:rsidRDefault="00973F7C" w:rsidP="00560AC0">
      <w:pPr>
        <w:spacing w:after="0" w:line="240" w:lineRule="auto"/>
        <w:ind w:right="-28"/>
      </w:pPr>
    </w:p>
    <w:p w14:paraId="345EB7A0" w14:textId="5DA2E450" w:rsidR="00CE670F" w:rsidRPr="00B325D8" w:rsidRDefault="00CE670F">
      <w:pPr>
        <w:spacing w:before="120" w:after="0" w:line="240" w:lineRule="auto"/>
        <w:rPr>
          <w:b/>
        </w:rPr>
      </w:pPr>
      <w:bookmarkStart w:id="942" w:name="_Ref466622923"/>
      <w:proofErr w:type="gramStart"/>
      <w:r w:rsidRPr="00B325D8">
        <w:rPr>
          <w:b/>
        </w:rPr>
        <w:t xml:space="preserve">Table </w:t>
      </w:r>
      <w:r w:rsidRPr="00B325D8">
        <w:rPr>
          <w:b/>
        </w:rPr>
        <w:fldChar w:fldCharType="begin"/>
      </w:r>
      <w:r w:rsidRPr="00B325D8">
        <w:rPr>
          <w:b/>
        </w:rPr>
        <w:instrText xml:space="preserve"> SEQ Table \* ARABIC </w:instrText>
      </w:r>
      <w:r w:rsidRPr="00B325D8">
        <w:rPr>
          <w:b/>
        </w:rPr>
        <w:fldChar w:fldCharType="separate"/>
      </w:r>
      <w:r w:rsidR="00F84458">
        <w:rPr>
          <w:b/>
          <w:noProof/>
        </w:rPr>
        <w:t>21</w:t>
      </w:r>
      <w:r w:rsidRPr="00B325D8">
        <w:rPr>
          <w:b/>
        </w:rPr>
        <w:fldChar w:fldCharType="end"/>
      </w:r>
      <w:bookmarkEnd w:id="942"/>
      <w:r w:rsidRPr="00B325D8">
        <w:rPr>
          <w:b/>
        </w:rPr>
        <w:t>: Summary of classification systems and sources of cost.</w:t>
      </w:r>
      <w:proofErr w:type="gramEnd"/>
    </w:p>
    <w:tbl>
      <w:tblPr>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Look w:val="00A0" w:firstRow="1" w:lastRow="0" w:firstColumn="1" w:lastColumn="0" w:noHBand="0" w:noVBand="0"/>
        <w:tblDescription w:val="A summary of table 2 is outlined in the text prior to this table. The table consists of four column headings: column one is for service stream, column two is for classification, column three is for cost data, and column four is for activity data. The five rows relate to each individual service stream, Acute admitted care, Emergency Department care, Non-admitted care, Subacute and non-acute care, and Block funded services. "/>
      </w:tblPr>
      <w:tblGrid>
        <w:gridCol w:w="1706"/>
        <w:gridCol w:w="2808"/>
        <w:gridCol w:w="2961"/>
        <w:gridCol w:w="2350"/>
      </w:tblGrid>
      <w:tr w:rsidR="00CE670F" w:rsidRPr="00B7560D" w14:paraId="262FA390" w14:textId="77777777" w:rsidTr="00B325D8">
        <w:trPr>
          <w:cantSplit/>
          <w:tblHeader/>
        </w:trPr>
        <w:tc>
          <w:tcPr>
            <w:tcW w:w="868" w:type="pct"/>
            <w:shd w:val="clear" w:color="auto" w:fill="288A32"/>
            <w:vAlign w:val="center"/>
          </w:tcPr>
          <w:p w14:paraId="30B747B2" w14:textId="77777777" w:rsidR="00CE670F" w:rsidRPr="00B325D8" w:rsidRDefault="00CE670F">
            <w:pPr>
              <w:tabs>
                <w:tab w:val="left" w:pos="1162"/>
              </w:tabs>
              <w:spacing w:before="80" w:after="80"/>
              <w:rPr>
                <w:rFonts w:cs="Arial"/>
                <w:b/>
                <w:color w:val="FFFFFF" w:themeColor="background1"/>
                <w:sz w:val="16"/>
                <w:szCs w:val="16"/>
              </w:rPr>
            </w:pPr>
            <w:r w:rsidRPr="00B325D8">
              <w:rPr>
                <w:rFonts w:cs="Arial"/>
                <w:b/>
                <w:color w:val="FFFFFF" w:themeColor="background1"/>
                <w:sz w:val="16"/>
                <w:szCs w:val="16"/>
              </w:rPr>
              <w:t>Service stream</w:t>
            </w:r>
          </w:p>
        </w:tc>
        <w:tc>
          <w:tcPr>
            <w:tcW w:w="1429" w:type="pct"/>
            <w:shd w:val="clear" w:color="auto" w:fill="288A32"/>
            <w:vAlign w:val="center"/>
          </w:tcPr>
          <w:p w14:paraId="024657F3" w14:textId="77777777" w:rsidR="00CE670F" w:rsidRPr="00B325D8" w:rsidRDefault="00CE670F">
            <w:pPr>
              <w:tabs>
                <w:tab w:val="left" w:pos="1162"/>
              </w:tabs>
              <w:spacing w:before="80" w:after="80"/>
              <w:rPr>
                <w:rFonts w:cs="Arial"/>
                <w:b/>
                <w:color w:val="FFFFFF" w:themeColor="background1"/>
                <w:sz w:val="16"/>
                <w:szCs w:val="16"/>
              </w:rPr>
            </w:pPr>
            <w:r w:rsidRPr="00B325D8">
              <w:rPr>
                <w:rFonts w:cs="Arial"/>
                <w:b/>
                <w:color w:val="FFFFFF" w:themeColor="background1"/>
                <w:sz w:val="16"/>
                <w:szCs w:val="16"/>
              </w:rPr>
              <w:t>Classification</w:t>
            </w:r>
            <w:r w:rsidRPr="00B325D8">
              <w:rPr>
                <w:rStyle w:val="FootnoteReference"/>
                <w:rFonts w:cs="Arial"/>
                <w:b/>
                <w:color w:val="FFFFFF" w:themeColor="background1"/>
                <w:sz w:val="16"/>
                <w:szCs w:val="16"/>
              </w:rPr>
              <w:footnoteReference w:id="19"/>
            </w:r>
          </w:p>
        </w:tc>
        <w:tc>
          <w:tcPr>
            <w:tcW w:w="1507" w:type="pct"/>
            <w:shd w:val="clear" w:color="auto" w:fill="288A32"/>
            <w:vAlign w:val="center"/>
          </w:tcPr>
          <w:p w14:paraId="5FA8C869" w14:textId="77777777" w:rsidR="00CE670F" w:rsidRPr="00B325D8" w:rsidRDefault="00CE670F">
            <w:pPr>
              <w:tabs>
                <w:tab w:val="left" w:pos="1162"/>
              </w:tabs>
              <w:spacing w:before="80" w:after="80"/>
              <w:rPr>
                <w:rFonts w:cs="Arial"/>
                <w:b/>
                <w:color w:val="FFFFFF" w:themeColor="background1"/>
                <w:sz w:val="16"/>
                <w:szCs w:val="16"/>
              </w:rPr>
            </w:pPr>
            <w:r w:rsidRPr="00B325D8">
              <w:rPr>
                <w:rFonts w:cs="Arial"/>
                <w:b/>
                <w:color w:val="FFFFFF" w:themeColor="background1"/>
                <w:sz w:val="16"/>
                <w:szCs w:val="16"/>
              </w:rPr>
              <w:t>Cost data</w:t>
            </w:r>
          </w:p>
        </w:tc>
        <w:tc>
          <w:tcPr>
            <w:tcW w:w="1196" w:type="pct"/>
            <w:shd w:val="clear" w:color="auto" w:fill="288A32"/>
            <w:vAlign w:val="center"/>
          </w:tcPr>
          <w:p w14:paraId="691D5AC2" w14:textId="77777777" w:rsidR="00CE670F" w:rsidRPr="00B325D8" w:rsidRDefault="00CE670F">
            <w:pPr>
              <w:tabs>
                <w:tab w:val="left" w:pos="1162"/>
              </w:tabs>
              <w:spacing w:before="80" w:after="80"/>
              <w:rPr>
                <w:rFonts w:cs="Arial"/>
                <w:b/>
                <w:color w:val="FFFFFF" w:themeColor="background1"/>
                <w:sz w:val="16"/>
                <w:szCs w:val="16"/>
              </w:rPr>
            </w:pPr>
            <w:r w:rsidRPr="00B325D8">
              <w:rPr>
                <w:rFonts w:cs="Arial"/>
                <w:b/>
                <w:color w:val="FFFFFF" w:themeColor="background1"/>
                <w:sz w:val="16"/>
                <w:szCs w:val="16"/>
              </w:rPr>
              <w:t>Activity data</w:t>
            </w:r>
          </w:p>
        </w:tc>
      </w:tr>
      <w:tr w:rsidR="00CE670F" w:rsidRPr="00B7560D" w14:paraId="27B94D85" w14:textId="77777777" w:rsidTr="006C42C4">
        <w:trPr>
          <w:cantSplit/>
        </w:trPr>
        <w:tc>
          <w:tcPr>
            <w:tcW w:w="868" w:type="pct"/>
          </w:tcPr>
          <w:p w14:paraId="0CA2920C" w14:textId="77777777" w:rsidR="00CE670F" w:rsidRPr="00B7560D" w:rsidRDefault="00CE670F" w:rsidP="00560AC0">
            <w:pPr>
              <w:tabs>
                <w:tab w:val="left" w:pos="1162"/>
              </w:tabs>
              <w:spacing w:before="60" w:after="60"/>
              <w:rPr>
                <w:rFonts w:cs="Arial"/>
                <w:sz w:val="16"/>
                <w:szCs w:val="16"/>
              </w:rPr>
            </w:pPr>
            <w:r>
              <w:rPr>
                <w:rFonts w:cs="Arial"/>
                <w:sz w:val="16"/>
                <w:szCs w:val="16"/>
              </w:rPr>
              <w:t>Admitted acute</w:t>
            </w:r>
            <w:r w:rsidRPr="00B7560D">
              <w:rPr>
                <w:rFonts w:cs="Arial"/>
                <w:sz w:val="16"/>
                <w:szCs w:val="16"/>
              </w:rPr>
              <w:t xml:space="preserve"> care</w:t>
            </w:r>
          </w:p>
        </w:tc>
        <w:tc>
          <w:tcPr>
            <w:tcW w:w="1429" w:type="pct"/>
          </w:tcPr>
          <w:p w14:paraId="53C99BD1" w14:textId="77777777" w:rsidR="00CE670F" w:rsidRPr="00B7560D" w:rsidRDefault="00CE670F">
            <w:pPr>
              <w:tabs>
                <w:tab w:val="left" w:pos="1162"/>
              </w:tabs>
              <w:spacing w:before="60" w:after="60"/>
              <w:rPr>
                <w:rFonts w:cs="Arial"/>
                <w:sz w:val="16"/>
                <w:szCs w:val="16"/>
              </w:rPr>
            </w:pPr>
            <w:r w:rsidRPr="00B7560D">
              <w:rPr>
                <w:rFonts w:cs="Arial"/>
                <w:sz w:val="16"/>
                <w:szCs w:val="16"/>
              </w:rPr>
              <w:t xml:space="preserve">Australian Refined Diagnosis Related Groups (AR-DRG) version </w:t>
            </w:r>
            <w:r>
              <w:rPr>
                <w:rFonts w:cs="Arial"/>
                <w:sz w:val="16"/>
                <w:szCs w:val="16"/>
              </w:rPr>
              <w:t>8.0 (v8)</w:t>
            </w:r>
          </w:p>
        </w:tc>
        <w:tc>
          <w:tcPr>
            <w:tcW w:w="1507" w:type="pct"/>
          </w:tcPr>
          <w:p w14:paraId="786B895F" w14:textId="77777777" w:rsidR="00CE670F" w:rsidRPr="00B7560D" w:rsidRDefault="00CE670F">
            <w:pPr>
              <w:tabs>
                <w:tab w:val="left" w:pos="1162"/>
              </w:tabs>
              <w:spacing w:before="60" w:after="60"/>
              <w:rPr>
                <w:rFonts w:cs="Arial"/>
                <w:color w:val="FFFFFF"/>
                <w:sz w:val="16"/>
                <w:szCs w:val="16"/>
                <w:lang w:val="en-US"/>
              </w:rPr>
            </w:pPr>
            <w:r w:rsidRPr="00B7560D">
              <w:rPr>
                <w:rFonts w:cs="Arial"/>
                <w:sz w:val="16"/>
                <w:szCs w:val="16"/>
              </w:rPr>
              <w:t xml:space="preserve">National Hospital Cost Data Collection (NHCDC) </w:t>
            </w:r>
            <w:r>
              <w:rPr>
                <w:rFonts w:cs="Arial"/>
                <w:sz w:val="16"/>
                <w:szCs w:val="16"/>
              </w:rPr>
              <w:t>Round 19</w:t>
            </w:r>
            <w:r w:rsidRPr="00B7560D">
              <w:rPr>
                <w:rFonts w:cs="Arial"/>
                <w:sz w:val="16"/>
                <w:szCs w:val="16"/>
              </w:rPr>
              <w:t xml:space="preserve"> (</w:t>
            </w:r>
            <w:r>
              <w:rPr>
                <w:rFonts w:cs="Arial"/>
                <w:sz w:val="16"/>
                <w:szCs w:val="16"/>
              </w:rPr>
              <w:t>2014-15</w:t>
            </w:r>
            <w:r w:rsidRPr="00B7560D">
              <w:rPr>
                <w:rFonts w:cs="Arial"/>
                <w:sz w:val="16"/>
                <w:szCs w:val="16"/>
              </w:rPr>
              <w:t>)</w:t>
            </w:r>
            <w:r>
              <w:rPr>
                <w:rFonts w:cs="Arial"/>
                <w:sz w:val="16"/>
                <w:szCs w:val="16"/>
              </w:rPr>
              <w:t>.</w:t>
            </w:r>
          </w:p>
        </w:tc>
        <w:tc>
          <w:tcPr>
            <w:tcW w:w="1196" w:type="pct"/>
          </w:tcPr>
          <w:p w14:paraId="508209A8" w14:textId="77777777" w:rsidR="00CE670F" w:rsidRPr="00B7560D" w:rsidRDefault="00CE670F">
            <w:pPr>
              <w:tabs>
                <w:tab w:val="left" w:pos="1162"/>
              </w:tabs>
              <w:spacing w:before="60" w:after="60"/>
              <w:rPr>
                <w:rFonts w:cs="Arial"/>
                <w:sz w:val="16"/>
                <w:szCs w:val="16"/>
              </w:rPr>
            </w:pPr>
            <w:r w:rsidRPr="00A932B7">
              <w:rPr>
                <w:rFonts w:cs="Arial"/>
                <w:sz w:val="16"/>
                <w:szCs w:val="16"/>
              </w:rPr>
              <w:t>Admitted Patient Care</w:t>
            </w:r>
            <w:r>
              <w:rPr>
                <w:rFonts w:cs="Arial"/>
                <w:sz w:val="16"/>
                <w:szCs w:val="16"/>
              </w:rPr>
              <w:t xml:space="preserve"> National Minimum Data Set (APC NMDS)</w:t>
            </w:r>
          </w:p>
        </w:tc>
      </w:tr>
      <w:tr w:rsidR="00CE670F" w:rsidRPr="00B7560D" w14:paraId="3CD39F56" w14:textId="77777777" w:rsidTr="006C42C4">
        <w:trPr>
          <w:cantSplit/>
        </w:trPr>
        <w:tc>
          <w:tcPr>
            <w:tcW w:w="868" w:type="pct"/>
          </w:tcPr>
          <w:p w14:paraId="0ADFB8D8" w14:textId="77777777" w:rsidR="00CE670F" w:rsidRPr="00B7560D" w:rsidRDefault="00CE670F" w:rsidP="00560AC0">
            <w:pPr>
              <w:tabs>
                <w:tab w:val="left" w:pos="1162"/>
              </w:tabs>
              <w:spacing w:before="60" w:after="60"/>
              <w:rPr>
                <w:rFonts w:cs="Arial"/>
                <w:sz w:val="16"/>
                <w:szCs w:val="16"/>
              </w:rPr>
            </w:pPr>
            <w:r w:rsidRPr="00B7560D">
              <w:rPr>
                <w:rFonts w:cs="Arial"/>
                <w:sz w:val="16"/>
                <w:szCs w:val="16"/>
              </w:rPr>
              <w:t>Emergency department care</w:t>
            </w:r>
          </w:p>
        </w:tc>
        <w:tc>
          <w:tcPr>
            <w:tcW w:w="1429" w:type="pct"/>
          </w:tcPr>
          <w:p w14:paraId="43C2DB8F" w14:textId="77777777" w:rsidR="00CE670F" w:rsidRDefault="00CE670F">
            <w:pPr>
              <w:tabs>
                <w:tab w:val="left" w:pos="1162"/>
              </w:tabs>
              <w:spacing w:before="60" w:after="60"/>
              <w:rPr>
                <w:rFonts w:cs="Arial"/>
                <w:sz w:val="16"/>
                <w:szCs w:val="16"/>
              </w:rPr>
            </w:pPr>
            <w:r>
              <w:rPr>
                <w:rFonts w:cs="Arial"/>
                <w:sz w:val="16"/>
                <w:szCs w:val="16"/>
              </w:rPr>
              <w:t>Urgency Related Group (URG)</w:t>
            </w:r>
          </w:p>
          <w:p w14:paraId="256DD36B" w14:textId="77777777" w:rsidR="00CE670F" w:rsidRPr="00B7560D" w:rsidRDefault="00CE670F">
            <w:pPr>
              <w:tabs>
                <w:tab w:val="left" w:pos="1162"/>
              </w:tabs>
              <w:spacing w:before="60" w:after="60"/>
              <w:rPr>
                <w:rFonts w:cs="Arial"/>
                <w:sz w:val="16"/>
                <w:szCs w:val="16"/>
              </w:rPr>
            </w:pPr>
            <w:r w:rsidRPr="00B7560D">
              <w:rPr>
                <w:rFonts w:cs="Arial"/>
                <w:sz w:val="16"/>
                <w:szCs w:val="16"/>
              </w:rPr>
              <w:t>version 1.</w:t>
            </w:r>
            <w:r>
              <w:rPr>
                <w:rFonts w:cs="Arial"/>
                <w:sz w:val="16"/>
                <w:szCs w:val="16"/>
              </w:rPr>
              <w:t>4</w:t>
            </w:r>
          </w:p>
          <w:p w14:paraId="01547AE1" w14:textId="77777777" w:rsidR="00CE670F" w:rsidRPr="00B7560D" w:rsidRDefault="00CE670F">
            <w:pPr>
              <w:tabs>
                <w:tab w:val="left" w:pos="1162"/>
              </w:tabs>
              <w:spacing w:before="60" w:after="60"/>
              <w:rPr>
                <w:rFonts w:cs="Arial"/>
                <w:sz w:val="16"/>
                <w:szCs w:val="16"/>
              </w:rPr>
            </w:pPr>
            <w:r w:rsidRPr="00B7560D">
              <w:rPr>
                <w:rFonts w:cs="Arial"/>
                <w:sz w:val="16"/>
                <w:szCs w:val="16"/>
              </w:rPr>
              <w:t>Urgency Disposition Groups (UDG)</w:t>
            </w:r>
            <w:r>
              <w:rPr>
                <w:rFonts w:cs="Arial"/>
                <w:sz w:val="16"/>
                <w:szCs w:val="16"/>
              </w:rPr>
              <w:t xml:space="preserve"> version 1.3</w:t>
            </w:r>
          </w:p>
        </w:tc>
        <w:tc>
          <w:tcPr>
            <w:tcW w:w="1507" w:type="pct"/>
          </w:tcPr>
          <w:p w14:paraId="20FAB666" w14:textId="77777777" w:rsidR="00CE670F" w:rsidRPr="00B7560D" w:rsidRDefault="00CE670F">
            <w:pPr>
              <w:tabs>
                <w:tab w:val="left" w:pos="1162"/>
              </w:tabs>
              <w:spacing w:before="60" w:after="60"/>
              <w:rPr>
                <w:rFonts w:cs="Arial"/>
                <w:sz w:val="16"/>
                <w:szCs w:val="16"/>
              </w:rPr>
            </w:pPr>
            <w:r w:rsidRPr="00B7560D">
              <w:rPr>
                <w:rFonts w:cs="Arial"/>
                <w:sz w:val="16"/>
                <w:szCs w:val="16"/>
              </w:rPr>
              <w:t xml:space="preserve">NHCDC </w:t>
            </w:r>
            <w:r>
              <w:rPr>
                <w:rFonts w:cs="Arial"/>
                <w:sz w:val="16"/>
                <w:szCs w:val="16"/>
              </w:rPr>
              <w:t>Round 19</w:t>
            </w:r>
            <w:r w:rsidRPr="00B7560D">
              <w:rPr>
                <w:rFonts w:cs="Arial"/>
                <w:sz w:val="16"/>
                <w:szCs w:val="16"/>
              </w:rPr>
              <w:t xml:space="preserve"> (</w:t>
            </w:r>
            <w:r>
              <w:rPr>
                <w:rFonts w:cs="Arial"/>
                <w:sz w:val="16"/>
                <w:szCs w:val="16"/>
              </w:rPr>
              <w:t>2014-15</w:t>
            </w:r>
            <w:r w:rsidRPr="00B7560D">
              <w:rPr>
                <w:rFonts w:cs="Arial"/>
                <w:sz w:val="16"/>
                <w:szCs w:val="16"/>
              </w:rPr>
              <w:t>)</w:t>
            </w:r>
          </w:p>
        </w:tc>
        <w:tc>
          <w:tcPr>
            <w:tcW w:w="1196" w:type="pct"/>
          </w:tcPr>
          <w:p w14:paraId="4D34246C" w14:textId="77777777" w:rsidR="00CE670F" w:rsidRPr="00B7560D" w:rsidRDefault="00CE670F">
            <w:pPr>
              <w:tabs>
                <w:tab w:val="left" w:pos="1162"/>
              </w:tabs>
              <w:spacing w:before="60" w:after="60"/>
              <w:rPr>
                <w:rFonts w:cs="Arial"/>
                <w:sz w:val="16"/>
                <w:szCs w:val="16"/>
              </w:rPr>
            </w:pPr>
            <w:r w:rsidRPr="00B7560D">
              <w:rPr>
                <w:rFonts w:cs="Arial"/>
                <w:i/>
                <w:sz w:val="16"/>
                <w:szCs w:val="16"/>
              </w:rPr>
              <w:t>Level 3B to 6 emergency departments</w:t>
            </w:r>
            <w:r w:rsidRPr="00B7560D">
              <w:rPr>
                <w:rFonts w:cs="Arial"/>
                <w:sz w:val="16"/>
                <w:szCs w:val="16"/>
              </w:rPr>
              <w:t xml:space="preserve">: </w:t>
            </w:r>
            <w:r>
              <w:rPr>
                <w:rFonts w:cs="Arial"/>
                <w:sz w:val="16"/>
                <w:szCs w:val="16"/>
              </w:rPr>
              <w:t>Non-admitted Patient E</w:t>
            </w:r>
            <w:r w:rsidRPr="00A932B7">
              <w:rPr>
                <w:rFonts w:cs="Arial"/>
                <w:sz w:val="16"/>
                <w:szCs w:val="16"/>
              </w:rPr>
              <w:t xml:space="preserve">mergency </w:t>
            </w:r>
            <w:r>
              <w:rPr>
                <w:rFonts w:cs="Arial"/>
                <w:sz w:val="16"/>
                <w:szCs w:val="16"/>
              </w:rPr>
              <w:t>D</w:t>
            </w:r>
            <w:r w:rsidRPr="00A932B7">
              <w:rPr>
                <w:rFonts w:cs="Arial"/>
                <w:sz w:val="16"/>
                <w:szCs w:val="16"/>
              </w:rPr>
              <w:t xml:space="preserve">epartment Care </w:t>
            </w:r>
            <w:r>
              <w:rPr>
                <w:rFonts w:cs="Arial"/>
                <w:sz w:val="16"/>
                <w:szCs w:val="16"/>
              </w:rPr>
              <w:t>NMDS (NAPEDC NMDS)</w:t>
            </w:r>
          </w:p>
          <w:p w14:paraId="64661F82" w14:textId="77777777" w:rsidR="00CE670F" w:rsidRPr="00B7560D" w:rsidRDefault="00CE670F">
            <w:pPr>
              <w:tabs>
                <w:tab w:val="left" w:pos="1162"/>
              </w:tabs>
              <w:spacing w:before="60" w:after="60"/>
              <w:rPr>
                <w:rFonts w:cs="Arial"/>
                <w:sz w:val="16"/>
                <w:szCs w:val="16"/>
              </w:rPr>
            </w:pPr>
            <w:r w:rsidRPr="00B7560D">
              <w:rPr>
                <w:rFonts w:cs="Arial"/>
                <w:i/>
                <w:sz w:val="16"/>
                <w:szCs w:val="16"/>
              </w:rPr>
              <w:t>Level 1 to 3A emergency departments</w:t>
            </w:r>
            <w:r w:rsidRPr="00B7560D">
              <w:rPr>
                <w:rFonts w:cs="Arial"/>
                <w:sz w:val="16"/>
                <w:szCs w:val="16"/>
              </w:rPr>
              <w:t xml:space="preserve">: </w:t>
            </w:r>
            <w:r w:rsidRPr="00A932B7">
              <w:rPr>
                <w:rFonts w:cs="Arial"/>
                <w:sz w:val="16"/>
                <w:szCs w:val="16"/>
              </w:rPr>
              <w:t>Emergency Services ABF DSS</w:t>
            </w:r>
            <w:r>
              <w:rPr>
                <w:rFonts w:cs="Arial"/>
                <w:sz w:val="16"/>
                <w:szCs w:val="16"/>
              </w:rPr>
              <w:t xml:space="preserve"> (ABF ES DSS)</w:t>
            </w:r>
          </w:p>
        </w:tc>
      </w:tr>
      <w:tr w:rsidR="00CE670F" w:rsidRPr="00B7560D" w14:paraId="2C3992AB" w14:textId="77777777" w:rsidTr="006C42C4">
        <w:trPr>
          <w:cantSplit/>
        </w:trPr>
        <w:tc>
          <w:tcPr>
            <w:tcW w:w="868" w:type="pct"/>
          </w:tcPr>
          <w:p w14:paraId="1D94694E" w14:textId="77777777" w:rsidR="00CE670F" w:rsidRPr="00B7560D" w:rsidRDefault="00CE670F" w:rsidP="00560AC0">
            <w:pPr>
              <w:tabs>
                <w:tab w:val="left" w:pos="1162"/>
              </w:tabs>
              <w:spacing w:before="60" w:after="60"/>
              <w:rPr>
                <w:rFonts w:cs="Arial"/>
                <w:sz w:val="16"/>
                <w:szCs w:val="16"/>
              </w:rPr>
            </w:pPr>
            <w:r w:rsidRPr="00B7560D">
              <w:rPr>
                <w:rFonts w:cs="Arial"/>
                <w:sz w:val="16"/>
                <w:szCs w:val="16"/>
              </w:rPr>
              <w:t xml:space="preserve">Non-admitted care </w:t>
            </w:r>
          </w:p>
        </w:tc>
        <w:tc>
          <w:tcPr>
            <w:tcW w:w="1429" w:type="pct"/>
          </w:tcPr>
          <w:p w14:paraId="61989E9D" w14:textId="77777777" w:rsidR="00CE670F" w:rsidRPr="00B7560D" w:rsidRDefault="00CE670F">
            <w:pPr>
              <w:tabs>
                <w:tab w:val="left" w:pos="1162"/>
              </w:tabs>
              <w:spacing w:before="60" w:after="60"/>
              <w:rPr>
                <w:rFonts w:cs="Arial"/>
                <w:sz w:val="16"/>
                <w:szCs w:val="16"/>
              </w:rPr>
            </w:pPr>
            <w:r w:rsidRPr="00B7560D">
              <w:rPr>
                <w:rFonts w:cs="Arial"/>
                <w:sz w:val="16"/>
                <w:szCs w:val="16"/>
              </w:rPr>
              <w:t xml:space="preserve">Tier 2 Outpatient Clinic Definitions </w:t>
            </w:r>
            <w:r>
              <w:rPr>
                <w:rFonts w:cs="Arial"/>
                <w:sz w:val="16"/>
                <w:szCs w:val="16"/>
              </w:rPr>
              <w:t>version 4.1</w:t>
            </w:r>
          </w:p>
        </w:tc>
        <w:tc>
          <w:tcPr>
            <w:tcW w:w="1507" w:type="pct"/>
          </w:tcPr>
          <w:p w14:paraId="3709DF9A" w14:textId="77777777" w:rsidR="00CE670F" w:rsidRPr="00B7560D" w:rsidRDefault="00CE670F">
            <w:pPr>
              <w:tabs>
                <w:tab w:val="left" w:pos="1162"/>
              </w:tabs>
              <w:spacing w:before="60" w:after="60"/>
              <w:rPr>
                <w:rFonts w:cs="Arial"/>
                <w:sz w:val="16"/>
                <w:szCs w:val="16"/>
                <w:highlight w:val="yellow"/>
              </w:rPr>
            </w:pPr>
            <w:r w:rsidRPr="00B7560D">
              <w:rPr>
                <w:rFonts w:cs="Arial"/>
                <w:sz w:val="16"/>
                <w:szCs w:val="16"/>
              </w:rPr>
              <w:t xml:space="preserve">NHCDC </w:t>
            </w:r>
            <w:r>
              <w:rPr>
                <w:rFonts w:cs="Arial"/>
                <w:sz w:val="16"/>
                <w:szCs w:val="16"/>
              </w:rPr>
              <w:t>Round 19 (2014-15</w:t>
            </w:r>
            <w:r w:rsidRPr="00B7560D">
              <w:rPr>
                <w:rFonts w:cs="Arial"/>
                <w:sz w:val="16"/>
                <w:szCs w:val="16"/>
              </w:rPr>
              <w:t>)</w:t>
            </w:r>
          </w:p>
        </w:tc>
        <w:tc>
          <w:tcPr>
            <w:tcW w:w="1196" w:type="pct"/>
          </w:tcPr>
          <w:p w14:paraId="10D3E65F" w14:textId="77777777" w:rsidR="00CE670F" w:rsidRPr="00B7560D" w:rsidRDefault="00CE670F">
            <w:pPr>
              <w:tabs>
                <w:tab w:val="left" w:pos="1162"/>
              </w:tabs>
              <w:spacing w:before="60" w:after="60"/>
              <w:rPr>
                <w:rFonts w:cs="Arial"/>
                <w:sz w:val="16"/>
                <w:szCs w:val="16"/>
                <w:highlight w:val="yellow"/>
              </w:rPr>
            </w:pPr>
            <w:r w:rsidRPr="00B7560D">
              <w:rPr>
                <w:rFonts w:cs="Arial"/>
                <w:sz w:val="16"/>
                <w:szCs w:val="16"/>
              </w:rPr>
              <w:t>Non-</w:t>
            </w:r>
            <w:r>
              <w:rPr>
                <w:rFonts w:cs="Arial"/>
                <w:sz w:val="16"/>
                <w:szCs w:val="16"/>
              </w:rPr>
              <w:t>A</w:t>
            </w:r>
            <w:r w:rsidRPr="00B7560D">
              <w:rPr>
                <w:rFonts w:cs="Arial"/>
                <w:sz w:val="16"/>
                <w:szCs w:val="16"/>
              </w:rPr>
              <w:t xml:space="preserve">dmitted Patient </w:t>
            </w:r>
            <w:r>
              <w:rPr>
                <w:rFonts w:cs="Arial"/>
                <w:sz w:val="16"/>
                <w:szCs w:val="16"/>
              </w:rPr>
              <w:t>NMDS</w:t>
            </w:r>
            <w:r w:rsidRPr="00B7560D">
              <w:rPr>
                <w:rFonts w:cs="Arial"/>
                <w:sz w:val="16"/>
                <w:szCs w:val="16"/>
              </w:rPr>
              <w:t xml:space="preserve"> </w:t>
            </w:r>
            <w:r>
              <w:rPr>
                <w:rFonts w:cs="Arial"/>
                <w:sz w:val="16"/>
                <w:szCs w:val="16"/>
              </w:rPr>
              <w:t xml:space="preserve">and aggregate </w:t>
            </w:r>
            <w:r w:rsidRPr="00B7560D">
              <w:rPr>
                <w:rFonts w:cs="Arial"/>
                <w:sz w:val="16"/>
                <w:szCs w:val="16"/>
              </w:rPr>
              <w:t>DSS</w:t>
            </w:r>
            <w:r>
              <w:rPr>
                <w:rStyle w:val="FootnoteReference"/>
                <w:rFonts w:cs="Arial"/>
                <w:sz w:val="16"/>
                <w:szCs w:val="16"/>
              </w:rPr>
              <w:footnoteReference w:id="20"/>
            </w:r>
          </w:p>
        </w:tc>
      </w:tr>
      <w:tr w:rsidR="00CE670F" w:rsidRPr="00B7560D" w14:paraId="28F4C4C1" w14:textId="77777777" w:rsidTr="006C42C4">
        <w:trPr>
          <w:cantSplit/>
        </w:trPr>
        <w:tc>
          <w:tcPr>
            <w:tcW w:w="868" w:type="pct"/>
          </w:tcPr>
          <w:p w14:paraId="37BC80E4" w14:textId="77777777" w:rsidR="00CE670F" w:rsidRPr="00B7560D" w:rsidRDefault="00CE670F" w:rsidP="00560AC0">
            <w:pPr>
              <w:tabs>
                <w:tab w:val="left" w:pos="1162"/>
              </w:tabs>
              <w:spacing w:before="60" w:after="60"/>
              <w:rPr>
                <w:rFonts w:cs="Arial"/>
                <w:sz w:val="16"/>
                <w:szCs w:val="16"/>
              </w:rPr>
            </w:pPr>
            <w:r w:rsidRPr="00B7560D">
              <w:rPr>
                <w:rFonts w:cs="Arial"/>
                <w:sz w:val="16"/>
                <w:szCs w:val="16"/>
              </w:rPr>
              <w:t>Subacute care</w:t>
            </w:r>
          </w:p>
          <w:p w14:paraId="55A96B57" w14:textId="77777777" w:rsidR="00CE670F" w:rsidRPr="00B7560D" w:rsidRDefault="00CE670F">
            <w:pPr>
              <w:tabs>
                <w:tab w:val="left" w:pos="1162"/>
              </w:tabs>
              <w:spacing w:before="60" w:after="60"/>
              <w:rPr>
                <w:rFonts w:cs="Arial"/>
                <w:sz w:val="16"/>
                <w:szCs w:val="16"/>
              </w:rPr>
            </w:pPr>
            <w:r w:rsidRPr="00B7560D">
              <w:rPr>
                <w:rFonts w:cs="Arial"/>
                <w:sz w:val="16"/>
                <w:szCs w:val="16"/>
              </w:rPr>
              <w:t>(and non-acute)</w:t>
            </w:r>
          </w:p>
        </w:tc>
        <w:tc>
          <w:tcPr>
            <w:tcW w:w="1429" w:type="pct"/>
          </w:tcPr>
          <w:p w14:paraId="5F87D181" w14:textId="77777777" w:rsidR="00CE670F" w:rsidRPr="00B7560D" w:rsidRDefault="00CE670F">
            <w:pPr>
              <w:tabs>
                <w:tab w:val="left" w:pos="1162"/>
              </w:tabs>
              <w:spacing w:before="60" w:after="60"/>
              <w:rPr>
                <w:rFonts w:cs="Arial"/>
                <w:sz w:val="16"/>
                <w:szCs w:val="16"/>
              </w:rPr>
            </w:pPr>
            <w:r>
              <w:rPr>
                <w:rFonts w:cs="Arial"/>
                <w:sz w:val="16"/>
                <w:szCs w:val="16"/>
              </w:rPr>
              <w:t>AN-SNAP v4</w:t>
            </w:r>
          </w:p>
          <w:p w14:paraId="787D2717" w14:textId="77777777" w:rsidR="00CE670F" w:rsidRPr="00B7560D" w:rsidRDefault="00CE670F">
            <w:pPr>
              <w:tabs>
                <w:tab w:val="left" w:pos="1162"/>
              </w:tabs>
              <w:spacing w:before="60" w:after="60"/>
              <w:rPr>
                <w:rFonts w:cs="Arial"/>
                <w:sz w:val="16"/>
                <w:szCs w:val="16"/>
              </w:rPr>
            </w:pPr>
            <w:r w:rsidRPr="00B7560D">
              <w:rPr>
                <w:rFonts w:cs="Arial"/>
                <w:sz w:val="16"/>
                <w:szCs w:val="16"/>
              </w:rPr>
              <w:t>Care type</w:t>
            </w:r>
          </w:p>
        </w:tc>
        <w:tc>
          <w:tcPr>
            <w:tcW w:w="1507" w:type="pct"/>
          </w:tcPr>
          <w:p w14:paraId="74518667" w14:textId="77777777" w:rsidR="00CE670F" w:rsidRPr="00B7560D" w:rsidRDefault="00CE670F">
            <w:pPr>
              <w:tabs>
                <w:tab w:val="left" w:pos="1162"/>
              </w:tabs>
              <w:spacing w:before="60" w:after="60"/>
              <w:rPr>
                <w:rFonts w:cs="Arial"/>
                <w:sz w:val="16"/>
                <w:szCs w:val="16"/>
              </w:rPr>
            </w:pPr>
            <w:r w:rsidRPr="00B7560D">
              <w:rPr>
                <w:rFonts w:cs="Arial"/>
                <w:sz w:val="16"/>
                <w:szCs w:val="16"/>
              </w:rPr>
              <w:t xml:space="preserve">NHCDC </w:t>
            </w:r>
            <w:r>
              <w:rPr>
                <w:rFonts w:cs="Arial"/>
                <w:sz w:val="16"/>
                <w:szCs w:val="16"/>
              </w:rPr>
              <w:t>Round 19</w:t>
            </w:r>
            <w:r w:rsidRPr="00B7560D">
              <w:rPr>
                <w:rFonts w:cs="Arial"/>
                <w:sz w:val="16"/>
                <w:szCs w:val="16"/>
              </w:rPr>
              <w:t xml:space="preserve"> (</w:t>
            </w:r>
            <w:r>
              <w:rPr>
                <w:rFonts w:cs="Arial"/>
                <w:sz w:val="16"/>
                <w:szCs w:val="16"/>
              </w:rPr>
              <w:t>2014-15</w:t>
            </w:r>
            <w:r w:rsidRPr="00B7560D">
              <w:rPr>
                <w:rFonts w:cs="Arial"/>
                <w:sz w:val="16"/>
                <w:szCs w:val="16"/>
              </w:rPr>
              <w:t>)</w:t>
            </w:r>
          </w:p>
        </w:tc>
        <w:tc>
          <w:tcPr>
            <w:tcW w:w="1196" w:type="pct"/>
          </w:tcPr>
          <w:p w14:paraId="769E10BB" w14:textId="77777777" w:rsidR="00CE670F" w:rsidRPr="00B7560D" w:rsidRDefault="00CE670F">
            <w:pPr>
              <w:tabs>
                <w:tab w:val="left" w:pos="1162"/>
              </w:tabs>
              <w:spacing w:before="60" w:after="60"/>
              <w:rPr>
                <w:rFonts w:cs="Arial"/>
                <w:sz w:val="16"/>
                <w:szCs w:val="16"/>
              </w:rPr>
            </w:pPr>
            <w:r>
              <w:rPr>
                <w:rFonts w:cs="Arial"/>
                <w:sz w:val="16"/>
                <w:szCs w:val="16"/>
              </w:rPr>
              <w:t xml:space="preserve">APC NMDS and </w:t>
            </w:r>
            <w:r w:rsidRPr="00B25AB3">
              <w:rPr>
                <w:rFonts w:cs="Arial"/>
                <w:sz w:val="16"/>
                <w:szCs w:val="16"/>
              </w:rPr>
              <w:t>Admitted Subacute and Non</w:t>
            </w:r>
            <w:r>
              <w:rPr>
                <w:rFonts w:cs="Arial"/>
                <w:sz w:val="16"/>
                <w:szCs w:val="16"/>
              </w:rPr>
              <w:t>-</w:t>
            </w:r>
            <w:r w:rsidRPr="00B25AB3">
              <w:rPr>
                <w:rFonts w:cs="Arial"/>
                <w:sz w:val="16"/>
                <w:szCs w:val="16"/>
              </w:rPr>
              <w:t xml:space="preserve">acute </w:t>
            </w:r>
            <w:r>
              <w:rPr>
                <w:rFonts w:cs="Arial"/>
                <w:sz w:val="16"/>
                <w:szCs w:val="16"/>
              </w:rPr>
              <w:t xml:space="preserve">Hospital </w:t>
            </w:r>
            <w:r w:rsidRPr="00B25AB3">
              <w:rPr>
                <w:rFonts w:cs="Arial"/>
                <w:sz w:val="16"/>
                <w:szCs w:val="16"/>
              </w:rPr>
              <w:t>Care DSS</w:t>
            </w:r>
            <w:r>
              <w:rPr>
                <w:rFonts w:cs="Arial"/>
                <w:sz w:val="16"/>
                <w:szCs w:val="16"/>
              </w:rPr>
              <w:t xml:space="preserve"> (ASNHC DSS)</w:t>
            </w:r>
          </w:p>
        </w:tc>
      </w:tr>
      <w:tr w:rsidR="00CE670F" w:rsidRPr="00B7560D" w14:paraId="7B7F80BC" w14:textId="77777777" w:rsidTr="006C42C4">
        <w:trPr>
          <w:cantSplit/>
        </w:trPr>
        <w:tc>
          <w:tcPr>
            <w:tcW w:w="868" w:type="pct"/>
          </w:tcPr>
          <w:p w14:paraId="512CEC77" w14:textId="77777777" w:rsidR="00CE670F" w:rsidRPr="00B7560D" w:rsidRDefault="00CE670F" w:rsidP="00560AC0">
            <w:pPr>
              <w:tabs>
                <w:tab w:val="left" w:pos="1162"/>
              </w:tabs>
              <w:spacing w:before="60" w:after="60"/>
              <w:rPr>
                <w:rFonts w:cs="Arial"/>
                <w:sz w:val="16"/>
                <w:szCs w:val="16"/>
              </w:rPr>
            </w:pPr>
            <w:r>
              <w:rPr>
                <w:rFonts w:cs="Arial"/>
                <w:sz w:val="16"/>
                <w:szCs w:val="16"/>
              </w:rPr>
              <w:t>Block fund</w:t>
            </w:r>
            <w:r w:rsidRPr="00B7560D">
              <w:rPr>
                <w:rFonts w:cs="Arial"/>
                <w:sz w:val="16"/>
                <w:szCs w:val="16"/>
              </w:rPr>
              <w:t>ed services</w:t>
            </w:r>
          </w:p>
        </w:tc>
        <w:tc>
          <w:tcPr>
            <w:tcW w:w="1429" w:type="pct"/>
          </w:tcPr>
          <w:p w14:paraId="43786E97" w14:textId="77777777" w:rsidR="00CE670F" w:rsidRPr="00B7560D" w:rsidRDefault="00CE670F">
            <w:pPr>
              <w:tabs>
                <w:tab w:val="left" w:pos="1162"/>
              </w:tabs>
              <w:spacing w:before="60" w:after="60"/>
              <w:rPr>
                <w:rFonts w:cs="Arial"/>
                <w:sz w:val="16"/>
                <w:szCs w:val="16"/>
              </w:rPr>
            </w:pPr>
            <w:r w:rsidRPr="00B7560D">
              <w:rPr>
                <w:rFonts w:cs="Arial"/>
                <w:sz w:val="16"/>
                <w:szCs w:val="16"/>
              </w:rPr>
              <w:t xml:space="preserve">IHPA-defined size and </w:t>
            </w:r>
            <w:r w:rsidRPr="009F1B31">
              <w:rPr>
                <w:rFonts w:cs="Arial"/>
                <w:sz w:val="16"/>
                <w:szCs w:val="16"/>
              </w:rPr>
              <w:t>Australian Statistical Geography Standards</w:t>
            </w:r>
            <w:r>
              <w:rPr>
                <w:rFonts w:cs="Arial"/>
                <w:sz w:val="16"/>
                <w:szCs w:val="16"/>
              </w:rPr>
              <w:t xml:space="preserve"> (</w:t>
            </w:r>
            <w:r w:rsidRPr="00B7560D">
              <w:rPr>
                <w:rFonts w:cs="Arial"/>
                <w:sz w:val="16"/>
                <w:szCs w:val="16"/>
              </w:rPr>
              <w:t>ASG</w:t>
            </w:r>
            <w:r>
              <w:rPr>
                <w:rFonts w:cs="Arial"/>
                <w:sz w:val="16"/>
                <w:szCs w:val="16"/>
              </w:rPr>
              <w:t>S)</w:t>
            </w:r>
            <w:r w:rsidRPr="00B7560D">
              <w:rPr>
                <w:rFonts w:cs="Arial"/>
                <w:sz w:val="16"/>
                <w:szCs w:val="16"/>
              </w:rPr>
              <w:t xml:space="preserve"> location categorisation on total NWAU for hospital</w:t>
            </w:r>
          </w:p>
        </w:tc>
        <w:tc>
          <w:tcPr>
            <w:tcW w:w="1507" w:type="pct"/>
          </w:tcPr>
          <w:p w14:paraId="7E377D21" w14:textId="77777777" w:rsidR="00CE670F" w:rsidRPr="00B7560D" w:rsidRDefault="00CE670F">
            <w:pPr>
              <w:tabs>
                <w:tab w:val="left" w:pos="1162"/>
              </w:tabs>
              <w:spacing w:before="60" w:after="60"/>
              <w:rPr>
                <w:rFonts w:cs="Arial"/>
                <w:sz w:val="16"/>
                <w:szCs w:val="16"/>
              </w:rPr>
            </w:pPr>
            <w:r>
              <w:rPr>
                <w:rFonts w:cs="Arial"/>
                <w:sz w:val="16"/>
                <w:szCs w:val="16"/>
              </w:rPr>
              <w:t>Expenditure data from the National Public Hospital Establishments Data base (</w:t>
            </w:r>
            <w:r w:rsidRPr="00B7560D">
              <w:rPr>
                <w:rFonts w:cs="Arial"/>
                <w:sz w:val="16"/>
                <w:szCs w:val="16"/>
              </w:rPr>
              <w:t>NPHED</w:t>
            </w:r>
            <w:r>
              <w:rPr>
                <w:rFonts w:cs="Arial"/>
                <w:sz w:val="16"/>
                <w:szCs w:val="16"/>
              </w:rPr>
              <w:t xml:space="preserve">) </w:t>
            </w:r>
            <w:r w:rsidRPr="00B7560D">
              <w:rPr>
                <w:rFonts w:cs="Arial"/>
                <w:sz w:val="16"/>
                <w:szCs w:val="16"/>
              </w:rPr>
              <w:t>(</w:t>
            </w:r>
            <w:r>
              <w:rPr>
                <w:rFonts w:cs="Arial"/>
                <w:sz w:val="16"/>
                <w:szCs w:val="16"/>
              </w:rPr>
              <w:t>2014-15</w:t>
            </w:r>
            <w:r w:rsidRPr="00B7560D">
              <w:rPr>
                <w:rFonts w:cs="Arial"/>
                <w:sz w:val="16"/>
                <w:szCs w:val="16"/>
              </w:rPr>
              <w:t>)</w:t>
            </w:r>
          </w:p>
          <w:p w14:paraId="31C858DE" w14:textId="77777777" w:rsidR="00CE670F" w:rsidRPr="00B7560D" w:rsidRDefault="00CE670F">
            <w:pPr>
              <w:tabs>
                <w:tab w:val="left" w:pos="1162"/>
              </w:tabs>
              <w:spacing w:before="60" w:after="60"/>
              <w:rPr>
                <w:rFonts w:cs="Arial"/>
                <w:sz w:val="16"/>
                <w:szCs w:val="16"/>
              </w:rPr>
            </w:pPr>
            <w:r w:rsidRPr="00B7560D">
              <w:rPr>
                <w:rFonts w:cs="Arial"/>
                <w:sz w:val="16"/>
                <w:szCs w:val="16"/>
              </w:rPr>
              <w:t xml:space="preserve">NHCDC </w:t>
            </w:r>
            <w:r>
              <w:rPr>
                <w:rFonts w:cs="Arial"/>
                <w:sz w:val="16"/>
                <w:szCs w:val="16"/>
              </w:rPr>
              <w:t>Round 19</w:t>
            </w:r>
            <w:r w:rsidRPr="00B7560D">
              <w:rPr>
                <w:rFonts w:cs="Arial"/>
                <w:sz w:val="16"/>
                <w:szCs w:val="16"/>
              </w:rPr>
              <w:t xml:space="preserve"> (</w:t>
            </w:r>
            <w:r>
              <w:rPr>
                <w:rFonts w:cs="Arial"/>
                <w:sz w:val="16"/>
                <w:szCs w:val="16"/>
              </w:rPr>
              <w:t>2014-15</w:t>
            </w:r>
            <w:r w:rsidRPr="00B7560D">
              <w:rPr>
                <w:rFonts w:cs="Arial"/>
                <w:sz w:val="16"/>
                <w:szCs w:val="16"/>
              </w:rPr>
              <w:t>)</w:t>
            </w:r>
          </w:p>
        </w:tc>
        <w:tc>
          <w:tcPr>
            <w:tcW w:w="1196" w:type="pct"/>
          </w:tcPr>
          <w:p w14:paraId="6E061C7B" w14:textId="77777777" w:rsidR="00CE670F" w:rsidRPr="00B7560D" w:rsidRDefault="00CE670F">
            <w:pPr>
              <w:tabs>
                <w:tab w:val="left" w:pos="1162"/>
              </w:tabs>
              <w:spacing w:before="60" w:after="60"/>
              <w:rPr>
                <w:rFonts w:cs="Arial"/>
                <w:sz w:val="16"/>
                <w:szCs w:val="16"/>
              </w:rPr>
            </w:pPr>
            <w:r w:rsidRPr="00B7560D">
              <w:rPr>
                <w:rFonts w:cs="Arial"/>
                <w:sz w:val="16"/>
                <w:szCs w:val="16"/>
              </w:rPr>
              <w:t xml:space="preserve">APC </w:t>
            </w:r>
            <w:r>
              <w:rPr>
                <w:rFonts w:cs="Arial"/>
                <w:sz w:val="16"/>
                <w:szCs w:val="16"/>
              </w:rPr>
              <w:t>NMDS</w:t>
            </w:r>
            <w:r w:rsidRPr="00B7560D">
              <w:rPr>
                <w:rFonts w:cs="Arial"/>
                <w:sz w:val="16"/>
                <w:szCs w:val="16"/>
              </w:rPr>
              <w:t>, NAPED</w:t>
            </w:r>
            <w:r>
              <w:rPr>
                <w:rFonts w:cs="Arial"/>
                <w:sz w:val="16"/>
                <w:szCs w:val="16"/>
              </w:rPr>
              <w:t>C</w:t>
            </w:r>
            <w:r w:rsidRPr="00B7560D">
              <w:rPr>
                <w:rFonts w:cs="Arial"/>
                <w:sz w:val="16"/>
                <w:szCs w:val="16"/>
              </w:rPr>
              <w:t xml:space="preserve"> </w:t>
            </w:r>
            <w:r>
              <w:rPr>
                <w:rFonts w:cs="Arial"/>
                <w:sz w:val="16"/>
                <w:szCs w:val="16"/>
              </w:rPr>
              <w:t xml:space="preserve">NMDS, ABF ES DSS, </w:t>
            </w:r>
            <w:r w:rsidRPr="00B7560D">
              <w:rPr>
                <w:rFonts w:cs="Arial"/>
                <w:sz w:val="16"/>
                <w:szCs w:val="16"/>
              </w:rPr>
              <w:t>NPHED</w:t>
            </w:r>
            <w:r>
              <w:rPr>
                <w:rFonts w:cs="Arial"/>
                <w:sz w:val="16"/>
                <w:szCs w:val="16"/>
              </w:rPr>
              <w:t xml:space="preserve"> and aggregate DSS. </w:t>
            </w:r>
          </w:p>
        </w:tc>
      </w:tr>
    </w:tbl>
    <w:p w14:paraId="657A956B" w14:textId="77777777" w:rsidR="00CE670F" w:rsidRDefault="00CE670F" w:rsidP="00560AC0">
      <w:pPr>
        <w:spacing w:after="200" w:line="276" w:lineRule="auto"/>
      </w:pPr>
    </w:p>
    <w:p w14:paraId="2AC32415" w14:textId="77777777" w:rsidR="000F4DEB" w:rsidRDefault="000F4DEB">
      <w:pPr>
        <w:spacing w:after="0" w:line="240" w:lineRule="auto"/>
        <w:rPr>
          <w:b/>
        </w:rPr>
      </w:pPr>
      <w:bookmarkStart w:id="943" w:name="_Ref466625005"/>
      <w:r>
        <w:rPr>
          <w:b/>
        </w:rPr>
        <w:br w:type="page"/>
      </w:r>
    </w:p>
    <w:p w14:paraId="1B4BF6EC" w14:textId="77777777" w:rsidR="000F4DEB" w:rsidRDefault="000F4DEB">
      <w:pPr>
        <w:spacing w:after="200" w:line="276" w:lineRule="auto"/>
        <w:rPr>
          <w:b/>
        </w:rPr>
        <w:sectPr w:rsidR="000F4DEB" w:rsidSect="00A4183E">
          <w:headerReference w:type="default" r:id="rId32"/>
          <w:footerReference w:type="default" r:id="rId33"/>
          <w:pgSz w:w="11906" w:h="16838" w:code="9"/>
          <w:pgMar w:top="1418" w:right="1276" w:bottom="851" w:left="1021" w:header="567" w:footer="510" w:gutter="0"/>
          <w:cols w:space="708"/>
          <w:docGrid w:linePitch="360"/>
        </w:sectPr>
      </w:pPr>
    </w:p>
    <w:p w14:paraId="307572D4" w14:textId="76A75BA4" w:rsidR="00772F7A" w:rsidRDefault="00B325D8">
      <w:pPr>
        <w:pStyle w:val="Heading2"/>
        <w:numPr>
          <w:ilvl w:val="0"/>
          <w:numId w:val="51"/>
        </w:numPr>
      </w:pPr>
      <w:bookmarkStart w:id="944" w:name="_Toc467759603"/>
      <w:bookmarkStart w:id="945" w:name="_Toc468204106"/>
      <w:bookmarkStart w:id="946" w:name="_Toc476305257"/>
      <w:bookmarkEnd w:id="943"/>
      <w:r>
        <w:lastRenderedPageBreak/>
        <w:t>Application of NWAU Variables</w:t>
      </w:r>
      <w:bookmarkEnd w:id="944"/>
      <w:bookmarkEnd w:id="945"/>
      <w:bookmarkEnd w:id="946"/>
    </w:p>
    <w:p w14:paraId="0C712667" w14:textId="39023B65" w:rsidR="00B325D8" w:rsidRPr="00B325D8" w:rsidRDefault="00B325D8">
      <w:pPr>
        <w:spacing w:before="120" w:after="0" w:line="240" w:lineRule="auto"/>
        <w:rPr>
          <w:b/>
        </w:rPr>
      </w:pPr>
      <w:r w:rsidRPr="00B325D8">
        <w:rPr>
          <w:b/>
        </w:rPr>
        <w:t xml:space="preserve">Table </w:t>
      </w:r>
      <w:r w:rsidRPr="00B325D8">
        <w:rPr>
          <w:b/>
        </w:rPr>
        <w:fldChar w:fldCharType="begin"/>
      </w:r>
      <w:r w:rsidRPr="00B325D8">
        <w:rPr>
          <w:b/>
        </w:rPr>
        <w:instrText xml:space="preserve"> SEQ Table \* ARABIC </w:instrText>
      </w:r>
      <w:r w:rsidRPr="00B325D8">
        <w:rPr>
          <w:b/>
        </w:rPr>
        <w:fldChar w:fldCharType="separate"/>
      </w:r>
      <w:r w:rsidR="00F84458">
        <w:rPr>
          <w:b/>
          <w:noProof/>
        </w:rPr>
        <w:t>22</w:t>
      </w:r>
      <w:r w:rsidRPr="00B325D8">
        <w:rPr>
          <w:b/>
        </w:rPr>
        <w:fldChar w:fldCharType="end"/>
      </w:r>
      <w:r w:rsidRPr="00B325D8">
        <w:rPr>
          <w:b/>
        </w:rPr>
        <w:t xml:space="preserve">: </w:t>
      </w:r>
      <w:r>
        <w:rPr>
          <w:b/>
        </w:rPr>
        <w:t>Acute Admitted Patients: Variable Definitions</w:t>
      </w:r>
    </w:p>
    <w:tbl>
      <w:tblPr>
        <w:tblW w:w="1335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992"/>
        <w:gridCol w:w="2694"/>
        <w:gridCol w:w="3969"/>
        <w:gridCol w:w="5703"/>
      </w:tblGrid>
      <w:tr w:rsidR="00B325D8" w:rsidRPr="00C525F3" w14:paraId="4EDB728C" w14:textId="77777777" w:rsidTr="00B325D8">
        <w:trPr>
          <w:cantSplit/>
          <w:trHeight w:val="225"/>
          <w:tblHeader/>
        </w:trPr>
        <w:tc>
          <w:tcPr>
            <w:tcW w:w="992" w:type="dxa"/>
            <w:shd w:val="clear" w:color="auto" w:fill="288A32"/>
            <w:noWrap/>
            <w:hideMark/>
          </w:tcPr>
          <w:p w14:paraId="1133FFB1" w14:textId="77777777" w:rsidR="00B325D8" w:rsidRPr="00B325D8" w:rsidRDefault="00B325D8" w:rsidP="002D606E">
            <w:pPr>
              <w:tabs>
                <w:tab w:val="left" w:pos="1162"/>
              </w:tabs>
              <w:spacing w:before="80" w:after="80"/>
              <w:rPr>
                <w:rFonts w:cs="Arial"/>
                <w:b/>
                <w:color w:val="FFFFFF" w:themeColor="background1"/>
                <w:sz w:val="18"/>
                <w:szCs w:val="18"/>
              </w:rPr>
            </w:pPr>
            <w:r w:rsidRPr="00B325D8">
              <w:rPr>
                <w:rFonts w:cs="Arial"/>
                <w:b/>
                <w:color w:val="FFFFFF" w:themeColor="background1"/>
                <w:sz w:val="18"/>
                <w:szCs w:val="18"/>
              </w:rPr>
              <w:t>Variable</w:t>
            </w:r>
          </w:p>
        </w:tc>
        <w:tc>
          <w:tcPr>
            <w:tcW w:w="2694" w:type="dxa"/>
            <w:shd w:val="clear" w:color="auto" w:fill="288A32"/>
            <w:noWrap/>
            <w:hideMark/>
          </w:tcPr>
          <w:p w14:paraId="12E4F415" w14:textId="77777777" w:rsidR="00B325D8" w:rsidRPr="00B325D8" w:rsidRDefault="00B325D8" w:rsidP="00560AC0">
            <w:pPr>
              <w:tabs>
                <w:tab w:val="left" w:pos="1162"/>
              </w:tabs>
              <w:spacing w:before="80" w:after="80"/>
              <w:rPr>
                <w:rFonts w:cs="Arial"/>
                <w:b/>
                <w:bCs/>
                <w:color w:val="FFFFFF" w:themeColor="background1"/>
                <w:sz w:val="18"/>
                <w:szCs w:val="18"/>
              </w:rPr>
            </w:pPr>
            <w:r w:rsidRPr="00B325D8">
              <w:rPr>
                <w:rFonts w:cs="Arial"/>
                <w:b/>
                <w:bCs/>
                <w:color w:val="FFFFFF" w:themeColor="background1"/>
                <w:sz w:val="18"/>
                <w:szCs w:val="18"/>
              </w:rPr>
              <w:t>Name</w:t>
            </w:r>
          </w:p>
        </w:tc>
        <w:tc>
          <w:tcPr>
            <w:tcW w:w="3969" w:type="dxa"/>
            <w:shd w:val="clear" w:color="auto" w:fill="288A32"/>
            <w:hideMark/>
          </w:tcPr>
          <w:p w14:paraId="747487BE" w14:textId="77777777" w:rsidR="00B325D8" w:rsidRPr="00B325D8" w:rsidRDefault="00B325D8">
            <w:pPr>
              <w:tabs>
                <w:tab w:val="left" w:pos="1162"/>
              </w:tabs>
              <w:spacing w:before="80" w:after="80"/>
              <w:rPr>
                <w:rFonts w:cs="Arial"/>
                <w:b/>
                <w:bCs/>
                <w:color w:val="FFFFFF" w:themeColor="background1"/>
                <w:sz w:val="18"/>
                <w:szCs w:val="18"/>
              </w:rPr>
            </w:pPr>
            <w:r w:rsidRPr="00B325D8">
              <w:rPr>
                <w:rFonts w:cs="Arial"/>
                <w:b/>
                <w:bCs/>
                <w:color w:val="FFFFFF" w:themeColor="background1"/>
                <w:sz w:val="18"/>
                <w:szCs w:val="18"/>
              </w:rPr>
              <w:t>Description</w:t>
            </w:r>
          </w:p>
        </w:tc>
        <w:tc>
          <w:tcPr>
            <w:tcW w:w="5703" w:type="dxa"/>
            <w:shd w:val="clear" w:color="auto" w:fill="288A32"/>
            <w:hideMark/>
          </w:tcPr>
          <w:p w14:paraId="3588741E" w14:textId="77777777" w:rsidR="00B325D8" w:rsidRPr="00B325D8" w:rsidRDefault="00B325D8">
            <w:pPr>
              <w:tabs>
                <w:tab w:val="left" w:pos="1162"/>
              </w:tabs>
              <w:spacing w:before="80" w:after="80"/>
              <w:rPr>
                <w:rFonts w:cs="Arial"/>
                <w:b/>
                <w:bCs/>
                <w:color w:val="FFFFFF" w:themeColor="background1"/>
                <w:sz w:val="18"/>
                <w:szCs w:val="18"/>
              </w:rPr>
            </w:pPr>
            <w:r w:rsidRPr="00B325D8">
              <w:rPr>
                <w:rFonts w:cs="Arial"/>
                <w:b/>
                <w:bCs/>
                <w:color w:val="FFFFFF" w:themeColor="background1"/>
                <w:sz w:val="18"/>
                <w:szCs w:val="18"/>
              </w:rPr>
              <w:t>Definition</w:t>
            </w:r>
          </w:p>
        </w:tc>
      </w:tr>
      <w:tr w:rsidR="00B325D8" w:rsidRPr="00C525F3" w14:paraId="3BC6B1D9" w14:textId="77777777" w:rsidTr="00B325D8">
        <w:trPr>
          <w:cantSplit/>
          <w:trHeight w:val="450"/>
        </w:trPr>
        <w:tc>
          <w:tcPr>
            <w:tcW w:w="992" w:type="dxa"/>
            <w:shd w:val="clear" w:color="auto" w:fill="auto"/>
            <w:noWrap/>
          </w:tcPr>
          <w:p w14:paraId="77DBC523" w14:textId="77777777" w:rsidR="00B325D8" w:rsidRPr="00822178" w:rsidRDefault="00B325D8" w:rsidP="002D606E">
            <w:pPr>
              <w:tabs>
                <w:tab w:val="left" w:pos="1162"/>
              </w:tabs>
              <w:rPr>
                <w:rFonts w:cs="Arial"/>
                <w:color w:val="000000"/>
                <w:sz w:val="18"/>
                <w:szCs w:val="18"/>
              </w:rPr>
            </w:pPr>
            <w:r w:rsidRPr="00822178">
              <w:rPr>
                <w:rFonts w:cs="Arial"/>
                <w:color w:val="000000"/>
                <w:sz w:val="18"/>
                <w:szCs w:val="18"/>
              </w:rPr>
              <w:t>A0</w:t>
            </w:r>
            <w:r>
              <w:rPr>
                <w:rFonts w:cs="Arial"/>
                <w:color w:val="000000"/>
                <w:sz w:val="18"/>
                <w:szCs w:val="18"/>
              </w:rPr>
              <w:t>0</w:t>
            </w:r>
          </w:p>
        </w:tc>
        <w:tc>
          <w:tcPr>
            <w:tcW w:w="2694" w:type="dxa"/>
            <w:shd w:val="clear" w:color="auto" w:fill="auto"/>
            <w:noWrap/>
          </w:tcPr>
          <w:p w14:paraId="4526B7B7"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pat_radiotherapy_flag</w:t>
            </w:r>
            <w:proofErr w:type="spellEnd"/>
          </w:p>
        </w:tc>
        <w:tc>
          <w:tcPr>
            <w:tcW w:w="3969" w:type="dxa"/>
            <w:shd w:val="clear" w:color="auto" w:fill="auto"/>
          </w:tcPr>
          <w:p w14:paraId="7962C5D0" w14:textId="77777777" w:rsidR="00B325D8" w:rsidRPr="00822178" w:rsidRDefault="00B325D8">
            <w:pPr>
              <w:tabs>
                <w:tab w:val="left" w:pos="1162"/>
              </w:tabs>
              <w:rPr>
                <w:rFonts w:cs="Arial"/>
                <w:color w:val="000000"/>
                <w:sz w:val="18"/>
                <w:szCs w:val="18"/>
              </w:rPr>
            </w:pPr>
            <w:r w:rsidRPr="00822178">
              <w:rPr>
                <w:rFonts w:cs="Arial"/>
                <w:color w:val="000000"/>
                <w:sz w:val="18"/>
                <w:szCs w:val="18"/>
              </w:rPr>
              <w:t>Radiotherapy eligible separation. Either supplied in the input dataset or derived from the list of supplied procedure codes.</w:t>
            </w:r>
          </w:p>
        </w:tc>
        <w:tc>
          <w:tcPr>
            <w:tcW w:w="5703" w:type="dxa"/>
            <w:shd w:val="clear" w:color="auto" w:fill="auto"/>
          </w:tcPr>
          <w:p w14:paraId="5D4BB0B3" w14:textId="77777777" w:rsidR="00B325D8" w:rsidRPr="00822178" w:rsidRDefault="00B325D8">
            <w:pPr>
              <w:tabs>
                <w:tab w:val="left" w:pos="1162"/>
              </w:tabs>
              <w:rPr>
                <w:rFonts w:cs="Arial"/>
                <w:color w:val="000000"/>
                <w:sz w:val="18"/>
                <w:szCs w:val="18"/>
              </w:rPr>
            </w:pPr>
            <w:r w:rsidRPr="00822178">
              <w:rPr>
                <w:rFonts w:cs="Arial"/>
                <w:color w:val="000000"/>
                <w:sz w:val="18"/>
                <w:szCs w:val="18"/>
              </w:rPr>
              <w:t>1 if patient had radiotherapy related treatment or planning procedure</w:t>
            </w:r>
            <w:r>
              <w:rPr>
                <w:rFonts w:cs="Arial"/>
                <w:color w:val="000000"/>
                <w:sz w:val="18"/>
                <w:szCs w:val="18"/>
              </w:rPr>
              <w:t>; else 0.</w:t>
            </w:r>
          </w:p>
        </w:tc>
      </w:tr>
      <w:tr w:rsidR="00B325D8" w:rsidRPr="00C525F3" w14:paraId="67B7C51E" w14:textId="77777777" w:rsidTr="00B325D8">
        <w:trPr>
          <w:cantSplit/>
          <w:trHeight w:val="450"/>
        </w:trPr>
        <w:tc>
          <w:tcPr>
            <w:tcW w:w="992" w:type="dxa"/>
            <w:shd w:val="clear" w:color="auto" w:fill="auto"/>
            <w:noWrap/>
          </w:tcPr>
          <w:p w14:paraId="633B6E90" w14:textId="77777777" w:rsidR="00B325D8" w:rsidRPr="00822178" w:rsidRDefault="00B325D8" w:rsidP="002D606E">
            <w:pPr>
              <w:tabs>
                <w:tab w:val="left" w:pos="1162"/>
              </w:tabs>
              <w:rPr>
                <w:rFonts w:eastAsiaTheme="minorHAnsi" w:cs="Arial"/>
                <w:b/>
                <w:noProof/>
                <w:color w:val="000000"/>
                <w:sz w:val="18"/>
                <w:szCs w:val="18"/>
              </w:rPr>
            </w:pPr>
            <w:r>
              <w:rPr>
                <w:rFonts w:cs="Arial"/>
                <w:color w:val="000000"/>
                <w:sz w:val="18"/>
                <w:szCs w:val="18"/>
              </w:rPr>
              <w:t>A01</w:t>
            </w:r>
          </w:p>
        </w:tc>
        <w:tc>
          <w:tcPr>
            <w:tcW w:w="2694" w:type="dxa"/>
            <w:shd w:val="clear" w:color="auto" w:fill="auto"/>
            <w:noWrap/>
          </w:tcPr>
          <w:p w14:paraId="7A0D74B5"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Pr>
                <w:rFonts w:cs="Arial"/>
                <w:color w:val="000000"/>
                <w:sz w:val="18"/>
                <w:szCs w:val="18"/>
              </w:rPr>
              <w:t>pat_dialysis</w:t>
            </w:r>
            <w:r w:rsidRPr="00822178">
              <w:rPr>
                <w:rFonts w:cs="Arial"/>
                <w:color w:val="000000"/>
                <w:sz w:val="18"/>
                <w:szCs w:val="18"/>
              </w:rPr>
              <w:t>_flag</w:t>
            </w:r>
            <w:proofErr w:type="spellEnd"/>
          </w:p>
        </w:tc>
        <w:tc>
          <w:tcPr>
            <w:tcW w:w="3969" w:type="dxa"/>
            <w:shd w:val="clear" w:color="auto" w:fill="auto"/>
          </w:tcPr>
          <w:p w14:paraId="71434142" w14:textId="77777777" w:rsidR="00B325D8" w:rsidRPr="00822178" w:rsidRDefault="00B325D8">
            <w:pPr>
              <w:tabs>
                <w:tab w:val="left" w:pos="1162"/>
              </w:tabs>
              <w:rPr>
                <w:rFonts w:cs="Arial"/>
                <w:color w:val="000000"/>
                <w:sz w:val="18"/>
                <w:szCs w:val="18"/>
              </w:rPr>
            </w:pPr>
            <w:r>
              <w:rPr>
                <w:rFonts w:cs="Arial"/>
                <w:color w:val="000000"/>
                <w:sz w:val="18"/>
                <w:szCs w:val="18"/>
              </w:rPr>
              <w:t>Dialysis</w:t>
            </w:r>
            <w:r w:rsidRPr="00822178">
              <w:rPr>
                <w:rFonts w:cs="Arial"/>
                <w:color w:val="000000"/>
                <w:sz w:val="18"/>
                <w:szCs w:val="18"/>
              </w:rPr>
              <w:t xml:space="preserve"> eligible separation. Either supplied in the input dataset or derived from the list of supplied procedure codes.</w:t>
            </w:r>
          </w:p>
        </w:tc>
        <w:tc>
          <w:tcPr>
            <w:tcW w:w="5703" w:type="dxa"/>
            <w:shd w:val="clear" w:color="auto" w:fill="auto"/>
          </w:tcPr>
          <w:p w14:paraId="3C2B6468" w14:textId="77777777" w:rsidR="00B325D8" w:rsidRPr="00822178" w:rsidRDefault="00B325D8">
            <w:pPr>
              <w:tabs>
                <w:tab w:val="left" w:pos="1162"/>
              </w:tabs>
              <w:rPr>
                <w:rFonts w:cs="Arial"/>
                <w:color w:val="000000"/>
                <w:sz w:val="18"/>
                <w:szCs w:val="18"/>
              </w:rPr>
            </w:pPr>
            <w:r w:rsidRPr="00E33EAE">
              <w:rPr>
                <w:rFonts w:cs="Arial"/>
                <w:color w:val="000000"/>
                <w:sz w:val="18"/>
                <w:szCs w:val="18"/>
              </w:rPr>
              <w:t>1 if patient had a dialysis procedure and is not in AR</w:t>
            </w:r>
            <w:r w:rsidRPr="00E33EAE">
              <w:rPr>
                <w:rFonts w:cs="Arial"/>
                <w:color w:val="000000"/>
                <w:sz w:val="18"/>
                <w:szCs w:val="18"/>
              </w:rPr>
              <w:noBreakHyphen/>
              <w:t>DRG L61Z or L68Z</w:t>
            </w:r>
            <w:r>
              <w:rPr>
                <w:rFonts w:cs="Arial"/>
                <w:color w:val="000000"/>
                <w:sz w:val="18"/>
                <w:szCs w:val="18"/>
              </w:rPr>
              <w:t>; else 0.</w:t>
            </w:r>
          </w:p>
        </w:tc>
      </w:tr>
      <w:tr w:rsidR="00B325D8" w:rsidRPr="00C525F3" w14:paraId="0EF05604" w14:textId="77777777" w:rsidTr="00B325D8">
        <w:trPr>
          <w:cantSplit/>
          <w:trHeight w:val="450"/>
        </w:trPr>
        <w:tc>
          <w:tcPr>
            <w:tcW w:w="992" w:type="dxa"/>
            <w:shd w:val="clear" w:color="auto" w:fill="auto"/>
            <w:noWrap/>
            <w:hideMark/>
          </w:tcPr>
          <w:p w14:paraId="1CAACD88"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A02</w:t>
            </w:r>
          </w:p>
        </w:tc>
        <w:tc>
          <w:tcPr>
            <w:tcW w:w="2694" w:type="dxa"/>
            <w:shd w:val="clear" w:color="auto" w:fill="auto"/>
            <w:noWrap/>
            <w:hideMark/>
          </w:tcPr>
          <w:p w14:paraId="5F9B89C2"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est_eligible_icu_flag</w:t>
            </w:r>
            <w:proofErr w:type="spellEnd"/>
          </w:p>
        </w:tc>
        <w:tc>
          <w:tcPr>
            <w:tcW w:w="3969" w:type="dxa"/>
            <w:shd w:val="clear" w:color="auto" w:fill="auto"/>
            <w:hideMark/>
          </w:tcPr>
          <w:p w14:paraId="6D00CFE2" w14:textId="77777777" w:rsidR="00B325D8" w:rsidRPr="00822178" w:rsidRDefault="00B325D8">
            <w:pPr>
              <w:tabs>
                <w:tab w:val="left" w:pos="1162"/>
              </w:tabs>
              <w:rPr>
                <w:rFonts w:cs="Arial"/>
                <w:color w:val="000000"/>
                <w:sz w:val="18"/>
                <w:szCs w:val="18"/>
              </w:rPr>
            </w:pPr>
            <w:r w:rsidRPr="00822178">
              <w:rPr>
                <w:rFonts w:cs="Arial"/>
                <w:color w:val="000000"/>
                <w:sz w:val="18"/>
                <w:szCs w:val="18"/>
              </w:rPr>
              <w:t>ICU rate adjustment eligible establishment, derived from ICU and paediatric eligibility table</w:t>
            </w:r>
          </w:p>
        </w:tc>
        <w:tc>
          <w:tcPr>
            <w:tcW w:w="5703" w:type="dxa"/>
            <w:shd w:val="clear" w:color="auto" w:fill="auto"/>
            <w:hideMark/>
          </w:tcPr>
          <w:p w14:paraId="53340D55" w14:textId="77777777" w:rsidR="00B325D8" w:rsidRPr="00822178" w:rsidRDefault="00B325D8">
            <w:pPr>
              <w:tabs>
                <w:tab w:val="left" w:pos="1162"/>
              </w:tabs>
              <w:rPr>
                <w:rFonts w:cs="Arial"/>
                <w:color w:val="000000"/>
                <w:sz w:val="18"/>
                <w:szCs w:val="18"/>
              </w:rPr>
            </w:pPr>
            <w:r w:rsidRPr="00822178">
              <w:rPr>
                <w:rFonts w:cs="Arial"/>
                <w:color w:val="000000"/>
                <w:sz w:val="18"/>
                <w:szCs w:val="18"/>
              </w:rPr>
              <w:t>1 if establishment is designated as eligible for ICU rate adjustment; else</w:t>
            </w:r>
            <w:r>
              <w:rPr>
                <w:rFonts w:cs="Arial"/>
                <w:color w:val="000000"/>
                <w:sz w:val="18"/>
                <w:szCs w:val="18"/>
              </w:rPr>
              <w:t xml:space="preserve"> </w:t>
            </w:r>
            <w:r w:rsidRPr="00822178">
              <w:rPr>
                <w:rFonts w:cs="Arial"/>
                <w:color w:val="000000"/>
                <w:sz w:val="18"/>
                <w:szCs w:val="18"/>
              </w:rPr>
              <w:t>0.</w:t>
            </w:r>
          </w:p>
        </w:tc>
      </w:tr>
      <w:tr w:rsidR="00B325D8" w:rsidRPr="00C525F3" w14:paraId="4F775E30" w14:textId="77777777" w:rsidTr="00B325D8">
        <w:trPr>
          <w:cantSplit/>
          <w:trHeight w:val="450"/>
        </w:trPr>
        <w:tc>
          <w:tcPr>
            <w:tcW w:w="992" w:type="dxa"/>
            <w:tcBorders>
              <w:bottom w:val="single" w:sz="4" w:space="0" w:color="auto"/>
            </w:tcBorders>
            <w:shd w:val="clear" w:color="auto" w:fill="auto"/>
            <w:noWrap/>
            <w:hideMark/>
          </w:tcPr>
          <w:p w14:paraId="3CC0BB29"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A03</w:t>
            </w:r>
          </w:p>
        </w:tc>
        <w:tc>
          <w:tcPr>
            <w:tcW w:w="2694" w:type="dxa"/>
            <w:shd w:val="clear" w:color="auto" w:fill="auto"/>
            <w:noWrap/>
            <w:hideMark/>
          </w:tcPr>
          <w:p w14:paraId="48D8DB3A"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est_eligible_paed_flag</w:t>
            </w:r>
            <w:proofErr w:type="spellEnd"/>
          </w:p>
        </w:tc>
        <w:tc>
          <w:tcPr>
            <w:tcW w:w="3969" w:type="dxa"/>
            <w:shd w:val="clear" w:color="auto" w:fill="auto"/>
            <w:hideMark/>
          </w:tcPr>
          <w:p w14:paraId="425F16EA" w14:textId="77777777" w:rsidR="00B325D8" w:rsidRPr="00822178" w:rsidRDefault="00B325D8">
            <w:pPr>
              <w:tabs>
                <w:tab w:val="left" w:pos="1162"/>
              </w:tabs>
              <w:rPr>
                <w:rFonts w:cs="Arial"/>
                <w:color w:val="000000"/>
                <w:sz w:val="18"/>
                <w:szCs w:val="18"/>
              </w:rPr>
            </w:pPr>
            <w:r w:rsidRPr="00822178">
              <w:rPr>
                <w:rFonts w:cs="Arial"/>
                <w:color w:val="000000"/>
                <w:sz w:val="18"/>
                <w:szCs w:val="18"/>
              </w:rPr>
              <w:t>Paediatric adjustment eligible establishment, derived from ICU paediatric eligibility table</w:t>
            </w:r>
          </w:p>
        </w:tc>
        <w:tc>
          <w:tcPr>
            <w:tcW w:w="5703" w:type="dxa"/>
            <w:shd w:val="clear" w:color="auto" w:fill="auto"/>
            <w:hideMark/>
          </w:tcPr>
          <w:p w14:paraId="54FED67D" w14:textId="77777777" w:rsidR="00B325D8" w:rsidRPr="00822178" w:rsidRDefault="00B325D8">
            <w:pPr>
              <w:tabs>
                <w:tab w:val="left" w:pos="1162"/>
              </w:tabs>
              <w:rPr>
                <w:rFonts w:cs="Arial"/>
                <w:color w:val="000000"/>
                <w:sz w:val="18"/>
                <w:szCs w:val="18"/>
              </w:rPr>
            </w:pPr>
            <w:r w:rsidRPr="00822178">
              <w:rPr>
                <w:rFonts w:cs="Arial"/>
                <w:color w:val="000000"/>
                <w:sz w:val="18"/>
                <w:szCs w:val="18"/>
              </w:rPr>
              <w:t>1 if establishment is designated as eligible for paediatric adjustment; else</w:t>
            </w:r>
            <w:r>
              <w:rPr>
                <w:rFonts w:cs="Arial"/>
                <w:color w:val="000000"/>
                <w:sz w:val="18"/>
                <w:szCs w:val="18"/>
              </w:rPr>
              <w:t xml:space="preserve"> </w:t>
            </w:r>
            <w:r w:rsidRPr="00822178">
              <w:rPr>
                <w:rFonts w:cs="Arial"/>
                <w:color w:val="000000"/>
                <w:sz w:val="18"/>
                <w:szCs w:val="18"/>
              </w:rPr>
              <w:t>0.</w:t>
            </w:r>
          </w:p>
        </w:tc>
      </w:tr>
      <w:tr w:rsidR="00B325D8" w:rsidRPr="00C525F3" w14:paraId="5433C00C" w14:textId="77777777" w:rsidTr="00B325D8">
        <w:trPr>
          <w:cantSplit/>
          <w:trHeight w:val="450"/>
        </w:trPr>
        <w:tc>
          <w:tcPr>
            <w:tcW w:w="992" w:type="dxa"/>
            <w:tcBorders>
              <w:top w:val="single" w:sz="4" w:space="0" w:color="auto"/>
            </w:tcBorders>
            <w:shd w:val="clear" w:color="auto" w:fill="auto"/>
            <w:noWrap/>
            <w:hideMark/>
          </w:tcPr>
          <w:p w14:paraId="13E38E2A"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A04</w:t>
            </w:r>
          </w:p>
        </w:tc>
        <w:tc>
          <w:tcPr>
            <w:tcW w:w="2694" w:type="dxa"/>
            <w:shd w:val="clear" w:color="auto" w:fill="auto"/>
            <w:noWrap/>
            <w:hideMark/>
          </w:tcPr>
          <w:p w14:paraId="1BD19975"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Pr>
                <w:rFonts w:cs="Arial"/>
                <w:color w:val="000000"/>
                <w:sz w:val="18"/>
                <w:szCs w:val="18"/>
              </w:rPr>
              <w:t>pat</w:t>
            </w:r>
            <w:r w:rsidRPr="00822178">
              <w:rPr>
                <w:rFonts w:cs="Arial"/>
                <w:color w:val="000000"/>
                <w:sz w:val="18"/>
                <w:szCs w:val="18"/>
              </w:rPr>
              <w:t>_remoteness</w:t>
            </w:r>
            <w:proofErr w:type="spellEnd"/>
          </w:p>
        </w:tc>
        <w:tc>
          <w:tcPr>
            <w:tcW w:w="3969" w:type="dxa"/>
            <w:shd w:val="clear" w:color="auto" w:fill="auto"/>
            <w:hideMark/>
          </w:tcPr>
          <w:p w14:paraId="52F8D9D2" w14:textId="77777777" w:rsidR="00B325D8" w:rsidRPr="00822178" w:rsidRDefault="00B325D8">
            <w:pPr>
              <w:tabs>
                <w:tab w:val="left" w:pos="1162"/>
              </w:tabs>
              <w:rPr>
                <w:rFonts w:cs="Arial"/>
                <w:color w:val="000000"/>
                <w:sz w:val="18"/>
                <w:szCs w:val="18"/>
              </w:rPr>
            </w:pPr>
            <w:r>
              <w:rPr>
                <w:rFonts w:cs="Arial"/>
                <w:color w:val="000000"/>
                <w:sz w:val="18"/>
                <w:szCs w:val="18"/>
              </w:rPr>
              <w:t>Patient</w:t>
            </w:r>
            <w:r w:rsidRPr="00822178">
              <w:rPr>
                <w:rFonts w:cs="Arial"/>
                <w:color w:val="000000"/>
                <w:sz w:val="18"/>
                <w:szCs w:val="18"/>
              </w:rPr>
              <w:t xml:space="preserve"> Remoteness Area</w:t>
            </w:r>
          </w:p>
        </w:tc>
        <w:tc>
          <w:tcPr>
            <w:tcW w:w="5703" w:type="dxa"/>
            <w:shd w:val="clear" w:color="auto" w:fill="auto"/>
            <w:hideMark/>
          </w:tcPr>
          <w:p w14:paraId="2FC92F99" w14:textId="77777777" w:rsidR="00B325D8" w:rsidRPr="00822178" w:rsidRDefault="00B325D8">
            <w:pPr>
              <w:tabs>
                <w:tab w:val="left" w:pos="1162"/>
              </w:tabs>
              <w:rPr>
                <w:rFonts w:cs="Arial"/>
                <w:color w:val="000000"/>
                <w:sz w:val="18"/>
                <w:szCs w:val="18"/>
              </w:rPr>
            </w:pPr>
            <w:r w:rsidRPr="00822178">
              <w:rPr>
                <w:rFonts w:cs="Arial"/>
                <w:color w:val="000000"/>
                <w:sz w:val="18"/>
                <w:szCs w:val="18"/>
              </w:rPr>
              <w:t>2011 ASGS Remoteness Area category of the establishment location taken from the hospital geographical indicator variable, where</w:t>
            </w:r>
            <w:proofErr w:type="gramStart"/>
            <w:r w:rsidRPr="00822178">
              <w:rPr>
                <w:rFonts w:cs="Arial"/>
                <w:color w:val="000000"/>
                <w:sz w:val="18"/>
                <w:szCs w:val="18"/>
              </w:rPr>
              <w:t>:</w:t>
            </w:r>
            <w:proofErr w:type="gramEnd"/>
            <w:r w:rsidRPr="00822178">
              <w:rPr>
                <w:rFonts w:cs="Arial"/>
                <w:color w:val="000000"/>
                <w:sz w:val="18"/>
                <w:szCs w:val="18"/>
              </w:rPr>
              <w:br/>
              <w:t>0 = Major City; 1 = Inner Regional; 2 = Outer Regional; 3 = Remote; and 4 = Very Remote.</w:t>
            </w:r>
          </w:p>
        </w:tc>
      </w:tr>
      <w:tr w:rsidR="00B325D8" w:rsidRPr="00C525F3" w14:paraId="53EEE66C" w14:textId="77777777" w:rsidTr="00B325D8">
        <w:trPr>
          <w:cantSplit/>
          <w:trHeight w:val="450"/>
        </w:trPr>
        <w:tc>
          <w:tcPr>
            <w:tcW w:w="992" w:type="dxa"/>
            <w:shd w:val="clear" w:color="auto" w:fill="auto"/>
            <w:noWrap/>
            <w:hideMark/>
          </w:tcPr>
          <w:p w14:paraId="2C8F2E29"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A05</w:t>
            </w:r>
          </w:p>
        </w:tc>
        <w:tc>
          <w:tcPr>
            <w:tcW w:w="2694" w:type="dxa"/>
            <w:shd w:val="clear" w:color="auto" w:fill="auto"/>
            <w:noWrap/>
            <w:hideMark/>
          </w:tcPr>
          <w:p w14:paraId="0BEA9857"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pat_acute_flag</w:t>
            </w:r>
            <w:proofErr w:type="spellEnd"/>
          </w:p>
        </w:tc>
        <w:tc>
          <w:tcPr>
            <w:tcW w:w="3969" w:type="dxa"/>
            <w:shd w:val="clear" w:color="auto" w:fill="auto"/>
            <w:hideMark/>
          </w:tcPr>
          <w:p w14:paraId="41E2F2FC" w14:textId="77777777" w:rsidR="00B325D8" w:rsidRPr="00822178" w:rsidRDefault="00B325D8">
            <w:pPr>
              <w:tabs>
                <w:tab w:val="left" w:pos="1162"/>
              </w:tabs>
              <w:rPr>
                <w:rFonts w:cs="Arial"/>
                <w:color w:val="000000"/>
                <w:sz w:val="18"/>
                <w:szCs w:val="18"/>
              </w:rPr>
            </w:pPr>
            <w:r w:rsidRPr="00822178">
              <w:rPr>
                <w:rFonts w:cs="Arial"/>
                <w:color w:val="000000"/>
                <w:sz w:val="18"/>
                <w:szCs w:val="18"/>
              </w:rPr>
              <w:t>Acute patient flag</w:t>
            </w:r>
          </w:p>
        </w:tc>
        <w:tc>
          <w:tcPr>
            <w:tcW w:w="5703" w:type="dxa"/>
            <w:shd w:val="clear" w:color="auto" w:fill="auto"/>
            <w:hideMark/>
          </w:tcPr>
          <w:p w14:paraId="3A907BEC" w14:textId="77777777" w:rsidR="00B325D8" w:rsidRPr="00822178" w:rsidRDefault="00B325D8">
            <w:pPr>
              <w:tabs>
                <w:tab w:val="left" w:pos="1162"/>
              </w:tabs>
              <w:rPr>
                <w:rFonts w:cs="Arial"/>
                <w:color w:val="000000"/>
                <w:sz w:val="18"/>
                <w:szCs w:val="18"/>
              </w:rPr>
            </w:pPr>
            <w:r w:rsidRPr="00822178">
              <w:rPr>
                <w:rFonts w:cs="Arial"/>
                <w:color w:val="000000"/>
                <w:sz w:val="18"/>
                <w:szCs w:val="18"/>
              </w:rPr>
              <w:t xml:space="preserve">1 if </w:t>
            </w:r>
            <w:proofErr w:type="gramStart"/>
            <w:r w:rsidRPr="00822178">
              <w:rPr>
                <w:rFonts w:cs="Arial"/>
                <w:color w:val="000000"/>
                <w:sz w:val="18"/>
                <w:szCs w:val="18"/>
              </w:rPr>
              <w:t>( Care</w:t>
            </w:r>
            <w:proofErr w:type="gramEnd"/>
            <w:r w:rsidRPr="00822178">
              <w:rPr>
                <w:rFonts w:cs="Arial"/>
                <w:color w:val="000000"/>
                <w:sz w:val="18"/>
                <w:szCs w:val="18"/>
              </w:rPr>
              <w:t xml:space="preserve"> Type = 1 ) or ( Care Type = 7 and Number of Qualified Days for Newborns &gt; 0 ); else</w:t>
            </w:r>
            <w:r>
              <w:rPr>
                <w:rFonts w:cs="Arial"/>
                <w:color w:val="000000"/>
                <w:sz w:val="18"/>
                <w:szCs w:val="18"/>
              </w:rPr>
              <w:t xml:space="preserve"> </w:t>
            </w:r>
            <w:r w:rsidRPr="00822178">
              <w:rPr>
                <w:rFonts w:cs="Arial"/>
                <w:color w:val="000000"/>
                <w:sz w:val="18"/>
                <w:szCs w:val="18"/>
              </w:rPr>
              <w:t>0.</w:t>
            </w:r>
          </w:p>
        </w:tc>
      </w:tr>
      <w:tr w:rsidR="00B325D8" w:rsidRPr="00C525F3" w14:paraId="71B47C4A" w14:textId="77777777" w:rsidTr="00B325D8">
        <w:trPr>
          <w:cantSplit/>
          <w:trHeight w:val="450"/>
        </w:trPr>
        <w:tc>
          <w:tcPr>
            <w:tcW w:w="992" w:type="dxa"/>
            <w:shd w:val="clear" w:color="auto" w:fill="auto"/>
            <w:noWrap/>
          </w:tcPr>
          <w:p w14:paraId="26C24983"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A06</w:t>
            </w:r>
          </w:p>
        </w:tc>
        <w:tc>
          <w:tcPr>
            <w:tcW w:w="2694" w:type="dxa"/>
            <w:shd w:val="clear" w:color="auto" w:fill="auto"/>
            <w:noWrap/>
          </w:tcPr>
          <w:p w14:paraId="068AF412"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pat_los</w:t>
            </w:r>
            <w:proofErr w:type="spellEnd"/>
          </w:p>
        </w:tc>
        <w:tc>
          <w:tcPr>
            <w:tcW w:w="3969" w:type="dxa"/>
            <w:shd w:val="clear" w:color="auto" w:fill="auto"/>
          </w:tcPr>
          <w:p w14:paraId="1BC202F9" w14:textId="77777777" w:rsidR="00B325D8" w:rsidRPr="00822178" w:rsidRDefault="00B325D8">
            <w:pPr>
              <w:tabs>
                <w:tab w:val="left" w:pos="1162"/>
              </w:tabs>
              <w:rPr>
                <w:rFonts w:cs="Arial"/>
                <w:color w:val="000000"/>
                <w:sz w:val="18"/>
                <w:szCs w:val="18"/>
              </w:rPr>
            </w:pPr>
            <w:r w:rsidRPr="00822178">
              <w:rPr>
                <w:rFonts w:cs="Arial"/>
                <w:color w:val="000000"/>
                <w:sz w:val="18"/>
                <w:szCs w:val="18"/>
              </w:rPr>
              <w:t>Length of stay</w:t>
            </w:r>
          </w:p>
        </w:tc>
        <w:tc>
          <w:tcPr>
            <w:tcW w:w="5703" w:type="dxa"/>
            <w:shd w:val="clear" w:color="auto" w:fill="auto"/>
          </w:tcPr>
          <w:p w14:paraId="7CF8D947" w14:textId="77777777" w:rsidR="00B325D8" w:rsidRPr="00822178" w:rsidRDefault="00B325D8">
            <w:pPr>
              <w:tabs>
                <w:tab w:val="left" w:pos="1162"/>
              </w:tabs>
              <w:rPr>
                <w:rFonts w:cs="Arial"/>
                <w:color w:val="000000"/>
                <w:sz w:val="18"/>
                <w:szCs w:val="18"/>
              </w:rPr>
            </w:pPr>
            <w:proofErr w:type="gramStart"/>
            <w:r>
              <w:rPr>
                <w:rFonts w:cs="Arial"/>
                <w:color w:val="000000"/>
                <w:sz w:val="18"/>
                <w:szCs w:val="18"/>
              </w:rPr>
              <w:t>M</w:t>
            </w:r>
            <w:r w:rsidRPr="00822178">
              <w:rPr>
                <w:rFonts w:cs="Arial"/>
                <w:color w:val="000000"/>
                <w:sz w:val="18"/>
                <w:szCs w:val="18"/>
              </w:rPr>
              <w:t>ax(</w:t>
            </w:r>
            <w:proofErr w:type="gramEnd"/>
            <w:r w:rsidRPr="00822178">
              <w:rPr>
                <w:rFonts w:cs="Arial"/>
                <w:color w:val="000000"/>
                <w:sz w:val="18"/>
                <w:szCs w:val="18"/>
              </w:rPr>
              <w:t xml:space="preserve"> 1, ( Date of Separation ) - ( Date of Admission ) - (</w:t>
            </w:r>
            <w:r>
              <w:t> </w:t>
            </w:r>
            <w:r w:rsidRPr="00822178">
              <w:rPr>
                <w:rFonts w:cs="Arial"/>
                <w:color w:val="000000"/>
                <w:sz w:val="18"/>
                <w:szCs w:val="18"/>
              </w:rPr>
              <w:t>Total Leave Days ) ) if Care Type = 1; else</w:t>
            </w:r>
            <w:r w:rsidRPr="00822178">
              <w:rPr>
                <w:rFonts w:cs="Arial"/>
                <w:color w:val="000000"/>
                <w:sz w:val="18"/>
                <w:szCs w:val="18"/>
              </w:rPr>
              <w:br/>
              <w:t>Total Qualified Days if Care Type = 7.</w:t>
            </w:r>
          </w:p>
        </w:tc>
      </w:tr>
      <w:tr w:rsidR="00B325D8" w:rsidRPr="00C525F3" w14:paraId="6FD52A38" w14:textId="77777777" w:rsidTr="00B325D8">
        <w:trPr>
          <w:cantSplit/>
          <w:trHeight w:val="450"/>
        </w:trPr>
        <w:tc>
          <w:tcPr>
            <w:tcW w:w="992" w:type="dxa"/>
            <w:shd w:val="clear" w:color="auto" w:fill="auto"/>
            <w:noWrap/>
            <w:hideMark/>
          </w:tcPr>
          <w:p w14:paraId="0F39E33A"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A0</w:t>
            </w:r>
            <w:r>
              <w:rPr>
                <w:rFonts w:cs="Arial"/>
                <w:color w:val="000000"/>
                <w:sz w:val="18"/>
                <w:szCs w:val="18"/>
              </w:rPr>
              <w:t>7</w:t>
            </w:r>
          </w:p>
        </w:tc>
        <w:tc>
          <w:tcPr>
            <w:tcW w:w="2694" w:type="dxa"/>
            <w:shd w:val="clear" w:color="auto" w:fill="auto"/>
            <w:noWrap/>
            <w:hideMark/>
          </w:tcPr>
          <w:p w14:paraId="3ACEE344"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pat_sameday_flag</w:t>
            </w:r>
            <w:proofErr w:type="spellEnd"/>
          </w:p>
        </w:tc>
        <w:tc>
          <w:tcPr>
            <w:tcW w:w="3969" w:type="dxa"/>
            <w:shd w:val="clear" w:color="auto" w:fill="auto"/>
            <w:hideMark/>
          </w:tcPr>
          <w:p w14:paraId="2DF16E36" w14:textId="77777777" w:rsidR="00B325D8" w:rsidRPr="00822178" w:rsidRDefault="00B325D8">
            <w:pPr>
              <w:tabs>
                <w:tab w:val="left" w:pos="1162"/>
              </w:tabs>
              <w:rPr>
                <w:rFonts w:cs="Arial"/>
                <w:color w:val="000000"/>
                <w:sz w:val="18"/>
                <w:szCs w:val="18"/>
              </w:rPr>
            </w:pPr>
            <w:r w:rsidRPr="00822178">
              <w:rPr>
                <w:rFonts w:cs="Arial"/>
                <w:color w:val="000000"/>
                <w:sz w:val="18"/>
                <w:szCs w:val="18"/>
              </w:rPr>
              <w:t>Same-day flag</w:t>
            </w:r>
          </w:p>
        </w:tc>
        <w:tc>
          <w:tcPr>
            <w:tcW w:w="5703" w:type="dxa"/>
            <w:shd w:val="clear" w:color="auto" w:fill="auto"/>
            <w:hideMark/>
          </w:tcPr>
          <w:p w14:paraId="221DE489" w14:textId="77777777" w:rsidR="00B325D8" w:rsidRPr="00822178" w:rsidRDefault="00B325D8">
            <w:pPr>
              <w:tabs>
                <w:tab w:val="left" w:pos="1162"/>
              </w:tabs>
              <w:rPr>
                <w:rFonts w:cs="Arial"/>
                <w:color w:val="000000"/>
                <w:sz w:val="18"/>
                <w:szCs w:val="18"/>
              </w:rPr>
            </w:pPr>
            <w:r w:rsidRPr="00822178">
              <w:rPr>
                <w:rFonts w:cs="Arial"/>
                <w:color w:val="000000"/>
                <w:sz w:val="18"/>
                <w:szCs w:val="18"/>
              </w:rPr>
              <w:t>1 if Date of Admission = Date of Separation; else</w:t>
            </w:r>
            <w:r>
              <w:rPr>
                <w:rFonts w:cs="Arial"/>
                <w:color w:val="000000"/>
                <w:sz w:val="18"/>
                <w:szCs w:val="18"/>
              </w:rPr>
              <w:t xml:space="preserve"> </w:t>
            </w:r>
            <w:r w:rsidRPr="00822178">
              <w:rPr>
                <w:rFonts w:cs="Arial"/>
                <w:color w:val="000000"/>
                <w:sz w:val="18"/>
                <w:szCs w:val="18"/>
              </w:rPr>
              <w:t>0.</w:t>
            </w:r>
          </w:p>
        </w:tc>
      </w:tr>
      <w:tr w:rsidR="00B325D8" w:rsidRPr="00C525F3" w14:paraId="762F9BBD" w14:textId="77777777" w:rsidTr="00B325D8">
        <w:trPr>
          <w:cantSplit/>
          <w:trHeight w:val="450"/>
        </w:trPr>
        <w:tc>
          <w:tcPr>
            <w:tcW w:w="992" w:type="dxa"/>
            <w:shd w:val="clear" w:color="auto" w:fill="auto"/>
            <w:noWrap/>
            <w:hideMark/>
          </w:tcPr>
          <w:p w14:paraId="1E64F121"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A08</w:t>
            </w:r>
          </w:p>
        </w:tc>
        <w:tc>
          <w:tcPr>
            <w:tcW w:w="2694" w:type="dxa"/>
            <w:shd w:val="clear" w:color="auto" w:fill="auto"/>
            <w:noWrap/>
            <w:hideMark/>
          </w:tcPr>
          <w:p w14:paraId="21834892"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pat_age_years</w:t>
            </w:r>
            <w:proofErr w:type="spellEnd"/>
          </w:p>
        </w:tc>
        <w:tc>
          <w:tcPr>
            <w:tcW w:w="3969" w:type="dxa"/>
            <w:shd w:val="clear" w:color="auto" w:fill="auto"/>
            <w:hideMark/>
          </w:tcPr>
          <w:p w14:paraId="4483CAC0" w14:textId="77777777" w:rsidR="00B325D8" w:rsidRPr="00822178" w:rsidRDefault="00B325D8">
            <w:pPr>
              <w:tabs>
                <w:tab w:val="left" w:pos="1162"/>
              </w:tabs>
              <w:rPr>
                <w:rFonts w:cs="Arial"/>
                <w:color w:val="000000"/>
                <w:sz w:val="18"/>
                <w:szCs w:val="18"/>
              </w:rPr>
            </w:pPr>
            <w:r w:rsidRPr="00822178">
              <w:rPr>
                <w:rFonts w:cs="Arial"/>
                <w:color w:val="000000"/>
                <w:sz w:val="18"/>
                <w:szCs w:val="18"/>
              </w:rPr>
              <w:t>Age at admission (in years)</w:t>
            </w:r>
          </w:p>
        </w:tc>
        <w:tc>
          <w:tcPr>
            <w:tcW w:w="5703" w:type="dxa"/>
            <w:shd w:val="clear" w:color="auto" w:fill="auto"/>
            <w:hideMark/>
          </w:tcPr>
          <w:p w14:paraId="0F060D0E" w14:textId="77777777" w:rsidR="00B325D8" w:rsidRPr="00822178" w:rsidRDefault="00B325D8">
            <w:pPr>
              <w:tabs>
                <w:tab w:val="left" w:pos="1162"/>
              </w:tabs>
              <w:rPr>
                <w:rFonts w:cs="Arial"/>
                <w:color w:val="000000"/>
                <w:sz w:val="18"/>
                <w:szCs w:val="18"/>
              </w:rPr>
            </w:pPr>
            <w:r>
              <w:rPr>
                <w:rFonts w:cs="Arial"/>
                <w:color w:val="000000"/>
                <w:sz w:val="18"/>
                <w:szCs w:val="18"/>
              </w:rPr>
              <w:t>T</w:t>
            </w:r>
            <w:r w:rsidRPr="00822178">
              <w:rPr>
                <w:rFonts w:cs="Arial"/>
                <w:color w:val="000000"/>
                <w:sz w:val="18"/>
                <w:szCs w:val="18"/>
              </w:rPr>
              <w:t>otal whole years from Date of Birth to Date of Admission.</w:t>
            </w:r>
          </w:p>
        </w:tc>
      </w:tr>
      <w:tr w:rsidR="00B325D8" w:rsidRPr="00C525F3" w14:paraId="540ECFA3" w14:textId="77777777" w:rsidTr="00B325D8">
        <w:trPr>
          <w:cantSplit/>
          <w:trHeight w:val="225"/>
        </w:trPr>
        <w:tc>
          <w:tcPr>
            <w:tcW w:w="992" w:type="dxa"/>
            <w:shd w:val="clear" w:color="auto" w:fill="auto"/>
            <w:noWrap/>
            <w:hideMark/>
          </w:tcPr>
          <w:p w14:paraId="2E9A2AB9"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A09</w:t>
            </w:r>
          </w:p>
        </w:tc>
        <w:tc>
          <w:tcPr>
            <w:tcW w:w="2694" w:type="dxa"/>
            <w:shd w:val="clear" w:color="auto" w:fill="auto"/>
            <w:noWrap/>
            <w:hideMark/>
          </w:tcPr>
          <w:p w14:paraId="6B65D32C"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pat_eligible_paed_flag</w:t>
            </w:r>
            <w:proofErr w:type="spellEnd"/>
          </w:p>
        </w:tc>
        <w:tc>
          <w:tcPr>
            <w:tcW w:w="3969" w:type="dxa"/>
            <w:shd w:val="clear" w:color="auto" w:fill="auto"/>
            <w:hideMark/>
          </w:tcPr>
          <w:p w14:paraId="3C632244" w14:textId="77777777" w:rsidR="00B325D8" w:rsidRPr="00822178" w:rsidRDefault="00B325D8">
            <w:pPr>
              <w:tabs>
                <w:tab w:val="left" w:pos="1162"/>
              </w:tabs>
              <w:rPr>
                <w:rFonts w:cs="Arial"/>
                <w:color w:val="000000"/>
                <w:sz w:val="18"/>
                <w:szCs w:val="18"/>
              </w:rPr>
            </w:pPr>
            <w:r w:rsidRPr="00822178">
              <w:rPr>
                <w:rFonts w:cs="Arial"/>
                <w:color w:val="000000"/>
                <w:sz w:val="18"/>
                <w:szCs w:val="18"/>
              </w:rPr>
              <w:t>Paediatric Adjustment eligible patient</w:t>
            </w:r>
          </w:p>
        </w:tc>
        <w:tc>
          <w:tcPr>
            <w:tcW w:w="5703" w:type="dxa"/>
            <w:shd w:val="clear" w:color="auto" w:fill="auto"/>
            <w:hideMark/>
          </w:tcPr>
          <w:p w14:paraId="4226581B" w14:textId="77777777" w:rsidR="00B325D8" w:rsidRPr="00822178" w:rsidRDefault="00B325D8">
            <w:pPr>
              <w:tabs>
                <w:tab w:val="left" w:pos="1162"/>
              </w:tabs>
              <w:rPr>
                <w:rFonts w:cs="Arial"/>
                <w:color w:val="000000"/>
                <w:sz w:val="18"/>
                <w:szCs w:val="18"/>
              </w:rPr>
            </w:pPr>
            <w:r>
              <w:rPr>
                <w:rFonts w:cs="Arial"/>
                <w:color w:val="000000"/>
                <w:sz w:val="18"/>
                <w:szCs w:val="18"/>
              </w:rPr>
              <w:t>1 if (_</w:t>
            </w:r>
            <w:proofErr w:type="spellStart"/>
            <w:r>
              <w:rPr>
                <w:rFonts w:cs="Arial"/>
                <w:color w:val="000000"/>
                <w:sz w:val="18"/>
                <w:szCs w:val="18"/>
              </w:rPr>
              <w:t>pat_age_years</w:t>
            </w:r>
            <w:proofErr w:type="spellEnd"/>
            <w:r>
              <w:rPr>
                <w:rFonts w:cs="Arial"/>
                <w:color w:val="000000"/>
                <w:sz w:val="18"/>
                <w:szCs w:val="18"/>
              </w:rPr>
              <w:t xml:space="preserve"> between 0 and 17) and (</w:t>
            </w:r>
            <w:proofErr w:type="spellStart"/>
            <w:r w:rsidRPr="00822178">
              <w:rPr>
                <w:rFonts w:cs="Arial"/>
                <w:color w:val="000000"/>
                <w:sz w:val="18"/>
                <w:szCs w:val="18"/>
              </w:rPr>
              <w:t>est_eligible_paed_flag</w:t>
            </w:r>
            <w:proofErr w:type="spellEnd"/>
            <w:r>
              <w:rPr>
                <w:rFonts w:cs="Arial"/>
                <w:color w:val="000000"/>
                <w:sz w:val="18"/>
                <w:szCs w:val="18"/>
              </w:rPr>
              <w:t>=1); else 0.</w:t>
            </w:r>
          </w:p>
        </w:tc>
      </w:tr>
      <w:tr w:rsidR="00B325D8" w:rsidRPr="00C525F3" w14:paraId="7C7330A5" w14:textId="77777777" w:rsidTr="00B325D8">
        <w:trPr>
          <w:cantSplit/>
          <w:trHeight w:val="450"/>
        </w:trPr>
        <w:tc>
          <w:tcPr>
            <w:tcW w:w="992" w:type="dxa"/>
            <w:shd w:val="clear" w:color="auto" w:fill="auto"/>
            <w:noWrap/>
            <w:hideMark/>
          </w:tcPr>
          <w:p w14:paraId="5E8EC8A7"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lastRenderedPageBreak/>
              <w:t>A10</w:t>
            </w:r>
          </w:p>
        </w:tc>
        <w:tc>
          <w:tcPr>
            <w:tcW w:w="2694" w:type="dxa"/>
            <w:shd w:val="clear" w:color="auto" w:fill="auto"/>
            <w:noWrap/>
            <w:hideMark/>
          </w:tcPr>
          <w:p w14:paraId="26B4A9ED"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pat_ind_flag</w:t>
            </w:r>
            <w:proofErr w:type="spellEnd"/>
          </w:p>
        </w:tc>
        <w:tc>
          <w:tcPr>
            <w:tcW w:w="3969" w:type="dxa"/>
            <w:shd w:val="clear" w:color="auto" w:fill="auto"/>
            <w:hideMark/>
          </w:tcPr>
          <w:p w14:paraId="7BE7BB37" w14:textId="77777777" w:rsidR="00B325D8" w:rsidRPr="00822178" w:rsidRDefault="00B325D8">
            <w:pPr>
              <w:tabs>
                <w:tab w:val="left" w:pos="1162"/>
              </w:tabs>
              <w:rPr>
                <w:rFonts w:cs="Arial"/>
                <w:color w:val="000000"/>
                <w:sz w:val="18"/>
                <w:szCs w:val="18"/>
              </w:rPr>
            </w:pPr>
            <w:r>
              <w:rPr>
                <w:rFonts w:cs="Arial"/>
                <w:color w:val="000000"/>
                <w:sz w:val="18"/>
                <w:szCs w:val="18"/>
              </w:rPr>
              <w:t>Indigenous</w:t>
            </w:r>
            <w:r w:rsidRPr="00822178">
              <w:rPr>
                <w:rFonts w:cs="Arial"/>
                <w:color w:val="000000"/>
                <w:sz w:val="18"/>
                <w:szCs w:val="18"/>
              </w:rPr>
              <w:t xml:space="preserve"> patient flag</w:t>
            </w:r>
          </w:p>
        </w:tc>
        <w:tc>
          <w:tcPr>
            <w:tcW w:w="5703" w:type="dxa"/>
            <w:shd w:val="clear" w:color="auto" w:fill="auto"/>
            <w:hideMark/>
          </w:tcPr>
          <w:p w14:paraId="0406302F" w14:textId="77777777" w:rsidR="00B325D8" w:rsidRPr="00822178" w:rsidRDefault="00B325D8">
            <w:pPr>
              <w:tabs>
                <w:tab w:val="left" w:pos="1162"/>
              </w:tabs>
              <w:rPr>
                <w:rFonts w:cs="Arial"/>
                <w:color w:val="000000"/>
                <w:sz w:val="18"/>
                <w:szCs w:val="18"/>
              </w:rPr>
            </w:pPr>
            <w:r w:rsidRPr="00822178">
              <w:rPr>
                <w:rFonts w:cs="Arial"/>
                <w:color w:val="000000"/>
                <w:sz w:val="18"/>
                <w:szCs w:val="18"/>
              </w:rPr>
              <w:t xml:space="preserve">1 if Patient </w:t>
            </w:r>
            <w:r>
              <w:rPr>
                <w:rFonts w:cs="Arial"/>
                <w:color w:val="000000"/>
                <w:sz w:val="18"/>
                <w:szCs w:val="18"/>
              </w:rPr>
              <w:t>Indigenous</w:t>
            </w:r>
            <w:r w:rsidRPr="00822178">
              <w:rPr>
                <w:rFonts w:cs="Arial"/>
                <w:color w:val="000000"/>
                <w:sz w:val="18"/>
                <w:szCs w:val="18"/>
              </w:rPr>
              <w:t xml:space="preserve"> Status = 1, 2 or 3; else</w:t>
            </w:r>
            <w:r>
              <w:rPr>
                <w:rFonts w:cs="Arial"/>
                <w:color w:val="000000"/>
                <w:sz w:val="18"/>
                <w:szCs w:val="18"/>
              </w:rPr>
              <w:t xml:space="preserve"> </w:t>
            </w:r>
            <w:r w:rsidRPr="00822178">
              <w:rPr>
                <w:rFonts w:cs="Arial"/>
                <w:color w:val="000000"/>
                <w:sz w:val="18"/>
                <w:szCs w:val="18"/>
              </w:rPr>
              <w:t>0.</w:t>
            </w:r>
          </w:p>
        </w:tc>
      </w:tr>
      <w:tr w:rsidR="00B325D8" w:rsidRPr="00C525F3" w14:paraId="77ACD713" w14:textId="77777777" w:rsidTr="00B325D8">
        <w:trPr>
          <w:cantSplit/>
          <w:trHeight w:val="450"/>
        </w:trPr>
        <w:tc>
          <w:tcPr>
            <w:tcW w:w="992" w:type="dxa"/>
            <w:shd w:val="clear" w:color="auto" w:fill="auto"/>
            <w:noWrap/>
            <w:hideMark/>
          </w:tcPr>
          <w:p w14:paraId="2188C7AC"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A11</w:t>
            </w:r>
          </w:p>
        </w:tc>
        <w:tc>
          <w:tcPr>
            <w:tcW w:w="2694" w:type="dxa"/>
            <w:shd w:val="clear" w:color="auto" w:fill="auto"/>
            <w:noWrap/>
            <w:hideMark/>
          </w:tcPr>
          <w:p w14:paraId="1760D1C7"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pat_private_flag</w:t>
            </w:r>
            <w:proofErr w:type="spellEnd"/>
          </w:p>
        </w:tc>
        <w:tc>
          <w:tcPr>
            <w:tcW w:w="3969" w:type="dxa"/>
            <w:shd w:val="clear" w:color="auto" w:fill="auto"/>
            <w:hideMark/>
          </w:tcPr>
          <w:p w14:paraId="785C6CEC" w14:textId="77777777" w:rsidR="00B325D8" w:rsidRPr="00822178" w:rsidRDefault="00B325D8">
            <w:pPr>
              <w:tabs>
                <w:tab w:val="left" w:pos="1162"/>
              </w:tabs>
              <w:rPr>
                <w:rFonts w:cs="Arial"/>
                <w:color w:val="000000"/>
                <w:sz w:val="18"/>
                <w:szCs w:val="18"/>
              </w:rPr>
            </w:pPr>
            <w:r w:rsidRPr="00822178">
              <w:rPr>
                <w:rFonts w:cs="Arial"/>
                <w:color w:val="000000"/>
                <w:sz w:val="18"/>
                <w:szCs w:val="18"/>
              </w:rPr>
              <w:t>Private patient flag</w:t>
            </w:r>
          </w:p>
        </w:tc>
        <w:tc>
          <w:tcPr>
            <w:tcW w:w="5703" w:type="dxa"/>
            <w:shd w:val="clear" w:color="auto" w:fill="auto"/>
            <w:hideMark/>
          </w:tcPr>
          <w:p w14:paraId="0CCB8B54" w14:textId="77777777" w:rsidR="00B325D8" w:rsidRPr="00822178" w:rsidRDefault="00B325D8">
            <w:pPr>
              <w:tabs>
                <w:tab w:val="left" w:pos="1162"/>
              </w:tabs>
              <w:rPr>
                <w:rFonts w:cs="Arial"/>
                <w:color w:val="000000"/>
                <w:sz w:val="18"/>
                <w:szCs w:val="18"/>
              </w:rPr>
            </w:pPr>
            <w:r w:rsidRPr="006E13C4">
              <w:rPr>
                <w:rFonts w:cs="Arial"/>
                <w:color w:val="000000"/>
                <w:sz w:val="18"/>
                <w:szCs w:val="18"/>
              </w:rPr>
              <w:t xml:space="preserve">1 if Funding Source = 9 or 13 for </w:t>
            </w:r>
            <w:r>
              <w:rPr>
                <w:rFonts w:cs="Arial"/>
                <w:color w:val="000000"/>
                <w:sz w:val="18"/>
                <w:szCs w:val="18"/>
              </w:rPr>
              <w:t>2013-14</w:t>
            </w:r>
            <w:r w:rsidRPr="006E13C4">
              <w:rPr>
                <w:rFonts w:cs="Arial"/>
                <w:color w:val="000000"/>
                <w:sz w:val="18"/>
                <w:szCs w:val="18"/>
              </w:rPr>
              <w:t xml:space="preserve"> data and later.</w:t>
            </w:r>
            <w:r w:rsidRPr="006E13C4">
              <w:rPr>
                <w:rStyle w:val="FootnoteReference"/>
                <w:rFonts w:cs="Arial"/>
                <w:color w:val="000000"/>
                <w:sz w:val="18"/>
                <w:szCs w:val="18"/>
              </w:rPr>
              <w:footnoteReference w:id="21"/>
            </w:r>
          </w:p>
        </w:tc>
      </w:tr>
      <w:tr w:rsidR="00B325D8" w:rsidRPr="00C525F3" w14:paraId="0375D4D5" w14:textId="77777777" w:rsidTr="00B325D8">
        <w:trPr>
          <w:cantSplit/>
          <w:trHeight w:val="450"/>
        </w:trPr>
        <w:tc>
          <w:tcPr>
            <w:tcW w:w="992" w:type="dxa"/>
            <w:shd w:val="clear" w:color="auto" w:fill="auto"/>
            <w:noWrap/>
            <w:hideMark/>
          </w:tcPr>
          <w:p w14:paraId="4419A5E6"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A12</w:t>
            </w:r>
          </w:p>
        </w:tc>
        <w:tc>
          <w:tcPr>
            <w:tcW w:w="2694" w:type="dxa"/>
            <w:shd w:val="clear" w:color="auto" w:fill="auto"/>
            <w:noWrap/>
            <w:hideMark/>
          </w:tcPr>
          <w:p w14:paraId="26FE3E6D"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pat_public_flag</w:t>
            </w:r>
            <w:proofErr w:type="spellEnd"/>
          </w:p>
        </w:tc>
        <w:tc>
          <w:tcPr>
            <w:tcW w:w="3969" w:type="dxa"/>
            <w:shd w:val="clear" w:color="auto" w:fill="auto"/>
            <w:hideMark/>
          </w:tcPr>
          <w:p w14:paraId="02AD9539" w14:textId="77777777" w:rsidR="00B325D8" w:rsidRPr="00822178" w:rsidRDefault="00B325D8">
            <w:pPr>
              <w:tabs>
                <w:tab w:val="left" w:pos="1162"/>
              </w:tabs>
              <w:rPr>
                <w:rFonts w:cs="Arial"/>
                <w:color w:val="000000"/>
                <w:sz w:val="18"/>
                <w:szCs w:val="18"/>
              </w:rPr>
            </w:pPr>
            <w:r w:rsidRPr="00822178">
              <w:rPr>
                <w:rFonts w:cs="Arial"/>
                <w:color w:val="000000"/>
                <w:sz w:val="18"/>
                <w:szCs w:val="18"/>
              </w:rPr>
              <w:t>Public patient flag</w:t>
            </w:r>
          </w:p>
        </w:tc>
        <w:tc>
          <w:tcPr>
            <w:tcW w:w="5703" w:type="dxa"/>
            <w:shd w:val="clear" w:color="auto" w:fill="auto"/>
            <w:hideMark/>
          </w:tcPr>
          <w:p w14:paraId="584252F8" w14:textId="77777777" w:rsidR="00B325D8" w:rsidRPr="00822178" w:rsidRDefault="00B325D8">
            <w:pPr>
              <w:tabs>
                <w:tab w:val="left" w:pos="1162"/>
              </w:tabs>
              <w:rPr>
                <w:rFonts w:cs="Arial"/>
                <w:color w:val="000000"/>
                <w:sz w:val="18"/>
                <w:szCs w:val="18"/>
              </w:rPr>
            </w:pPr>
            <w:r>
              <w:rPr>
                <w:rFonts w:cs="Arial"/>
                <w:color w:val="000000"/>
                <w:sz w:val="18"/>
                <w:szCs w:val="18"/>
              </w:rPr>
              <w:t xml:space="preserve">1 if Funding Source = 1, 2 </w:t>
            </w:r>
            <w:r w:rsidRPr="006E13C4">
              <w:rPr>
                <w:rFonts w:cs="Arial"/>
                <w:color w:val="000000"/>
                <w:sz w:val="18"/>
                <w:szCs w:val="18"/>
              </w:rPr>
              <w:t xml:space="preserve">or 8 for </w:t>
            </w:r>
            <w:r>
              <w:rPr>
                <w:rFonts w:cs="Arial"/>
                <w:color w:val="000000"/>
                <w:sz w:val="18"/>
                <w:szCs w:val="18"/>
              </w:rPr>
              <w:t>2013-14</w:t>
            </w:r>
            <w:r w:rsidRPr="006E13C4">
              <w:rPr>
                <w:rFonts w:cs="Arial"/>
                <w:color w:val="000000"/>
                <w:sz w:val="18"/>
                <w:szCs w:val="18"/>
              </w:rPr>
              <w:t xml:space="preserve"> data and later.</w:t>
            </w:r>
            <w:r w:rsidRPr="006E13C4">
              <w:rPr>
                <w:rStyle w:val="FootnoteReference"/>
                <w:rFonts w:cs="Arial"/>
                <w:color w:val="000000"/>
                <w:sz w:val="18"/>
                <w:szCs w:val="18"/>
              </w:rPr>
              <w:footnoteReference w:id="22"/>
            </w:r>
          </w:p>
        </w:tc>
      </w:tr>
      <w:tr w:rsidR="00B325D8" w:rsidRPr="00C525F3" w14:paraId="1EBD96B2" w14:textId="77777777" w:rsidTr="00B325D8">
        <w:trPr>
          <w:cantSplit/>
          <w:trHeight w:val="2307"/>
        </w:trPr>
        <w:tc>
          <w:tcPr>
            <w:tcW w:w="992" w:type="dxa"/>
            <w:shd w:val="clear" w:color="auto" w:fill="auto"/>
            <w:noWrap/>
            <w:hideMark/>
          </w:tcPr>
          <w:p w14:paraId="7B6E36C3"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A13</w:t>
            </w:r>
          </w:p>
          <w:p w14:paraId="4E37C85B" w14:textId="77777777" w:rsidR="00B325D8" w:rsidRPr="00822178" w:rsidRDefault="00B325D8" w:rsidP="002D606E">
            <w:pPr>
              <w:tabs>
                <w:tab w:val="left" w:pos="1162"/>
              </w:tabs>
              <w:rPr>
                <w:rFonts w:cs="Arial"/>
                <w:color w:val="000000"/>
                <w:sz w:val="18"/>
                <w:szCs w:val="18"/>
              </w:rPr>
            </w:pPr>
          </w:p>
        </w:tc>
        <w:tc>
          <w:tcPr>
            <w:tcW w:w="2694" w:type="dxa"/>
            <w:shd w:val="clear" w:color="auto" w:fill="auto"/>
            <w:noWrap/>
          </w:tcPr>
          <w:p w14:paraId="4D0E2C17"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Pr>
                <w:rFonts w:cs="Arial"/>
                <w:color w:val="000000"/>
                <w:sz w:val="18"/>
                <w:szCs w:val="18"/>
              </w:rPr>
              <w:t>pat_spa_category</w:t>
            </w:r>
            <w:proofErr w:type="spellEnd"/>
          </w:p>
        </w:tc>
        <w:tc>
          <w:tcPr>
            <w:tcW w:w="3969" w:type="dxa"/>
            <w:shd w:val="clear" w:color="auto" w:fill="auto"/>
          </w:tcPr>
          <w:p w14:paraId="33BE50D0" w14:textId="77777777" w:rsidR="00B325D8" w:rsidRPr="00822178" w:rsidRDefault="00B325D8">
            <w:pPr>
              <w:tabs>
                <w:tab w:val="left" w:pos="1162"/>
              </w:tabs>
              <w:rPr>
                <w:rFonts w:cs="Arial"/>
                <w:color w:val="000000"/>
                <w:sz w:val="18"/>
                <w:szCs w:val="18"/>
              </w:rPr>
            </w:pPr>
            <w:r>
              <w:rPr>
                <w:rFonts w:cs="Arial"/>
                <w:color w:val="000000"/>
                <w:sz w:val="18"/>
                <w:szCs w:val="18"/>
              </w:rPr>
              <w:t xml:space="preserve">Patient specialist psychiatric category. All patients classified have positive psychiatric care days. </w:t>
            </w:r>
          </w:p>
          <w:p w14:paraId="272F08F7" w14:textId="77777777" w:rsidR="00B325D8" w:rsidRPr="00822178" w:rsidRDefault="00B325D8">
            <w:pPr>
              <w:tabs>
                <w:tab w:val="left" w:pos="1162"/>
              </w:tabs>
              <w:rPr>
                <w:rFonts w:cs="Arial"/>
                <w:color w:val="000000"/>
                <w:sz w:val="18"/>
                <w:szCs w:val="18"/>
              </w:rPr>
            </w:pPr>
          </w:p>
        </w:tc>
        <w:tc>
          <w:tcPr>
            <w:tcW w:w="5703" w:type="dxa"/>
            <w:shd w:val="clear" w:color="auto" w:fill="auto"/>
          </w:tcPr>
          <w:p w14:paraId="5277B78F" w14:textId="77777777" w:rsidR="00B325D8" w:rsidRDefault="00B325D8">
            <w:pPr>
              <w:pStyle w:val="ListParagraph"/>
              <w:numPr>
                <w:ilvl w:val="0"/>
                <w:numId w:val="26"/>
              </w:numPr>
              <w:tabs>
                <w:tab w:val="left" w:pos="1162"/>
              </w:tabs>
              <w:spacing w:line="240" w:lineRule="auto"/>
              <w:contextualSpacing w:val="0"/>
              <w:rPr>
                <w:rFonts w:cs="Arial"/>
                <w:color w:val="000000"/>
                <w:sz w:val="18"/>
                <w:szCs w:val="18"/>
              </w:rPr>
            </w:pPr>
            <w:r>
              <w:rPr>
                <w:rFonts w:cs="Arial"/>
                <w:color w:val="000000"/>
                <w:sz w:val="18"/>
                <w:szCs w:val="18"/>
              </w:rPr>
              <w:t xml:space="preserve">0: if not a specialist psychiatric patient </w:t>
            </w:r>
          </w:p>
          <w:p w14:paraId="55C9BBE5" w14:textId="77777777" w:rsidR="00B325D8" w:rsidRDefault="00B325D8">
            <w:pPr>
              <w:pStyle w:val="ListParagraph"/>
              <w:numPr>
                <w:ilvl w:val="0"/>
                <w:numId w:val="26"/>
              </w:numPr>
              <w:tabs>
                <w:tab w:val="left" w:pos="1162"/>
              </w:tabs>
              <w:spacing w:line="240" w:lineRule="auto"/>
              <w:contextualSpacing w:val="0"/>
              <w:rPr>
                <w:rFonts w:cs="Arial"/>
                <w:color w:val="000000"/>
                <w:sz w:val="18"/>
                <w:szCs w:val="18"/>
              </w:rPr>
            </w:pPr>
            <w:r w:rsidRPr="00295902">
              <w:rPr>
                <w:rFonts w:cs="Arial"/>
                <w:color w:val="000000"/>
                <w:sz w:val="18"/>
                <w:szCs w:val="18"/>
              </w:rPr>
              <w:t>1.1</w:t>
            </w:r>
            <w:r w:rsidRPr="00FA3851">
              <w:rPr>
                <w:rFonts w:cs="Arial"/>
                <w:color w:val="000000"/>
                <w:sz w:val="18"/>
                <w:szCs w:val="18"/>
              </w:rPr>
              <w:t>: if 0 to 17 years from establishment not eligible for Paediatric Adjustment</w:t>
            </w:r>
            <w:r w:rsidRPr="00FA3851" w:rsidDel="00B62E07">
              <w:rPr>
                <w:rFonts w:cs="Arial"/>
                <w:color w:val="000000"/>
                <w:sz w:val="18"/>
                <w:szCs w:val="18"/>
              </w:rPr>
              <w:t xml:space="preserve"> </w:t>
            </w:r>
            <w:r w:rsidRPr="00FA3851">
              <w:rPr>
                <w:rFonts w:cs="Arial"/>
                <w:color w:val="000000"/>
                <w:sz w:val="18"/>
                <w:szCs w:val="18"/>
              </w:rPr>
              <w:t xml:space="preserve">and in MDC 19 or 20 </w:t>
            </w:r>
          </w:p>
          <w:p w14:paraId="373A1CF4" w14:textId="77777777" w:rsidR="00B325D8" w:rsidRDefault="00B325D8">
            <w:pPr>
              <w:pStyle w:val="ListParagraph"/>
              <w:numPr>
                <w:ilvl w:val="0"/>
                <w:numId w:val="26"/>
              </w:numPr>
              <w:tabs>
                <w:tab w:val="left" w:pos="1162"/>
              </w:tabs>
              <w:spacing w:line="240" w:lineRule="auto"/>
              <w:contextualSpacing w:val="0"/>
              <w:rPr>
                <w:rFonts w:cs="Arial"/>
                <w:color w:val="000000"/>
                <w:sz w:val="18"/>
                <w:szCs w:val="18"/>
              </w:rPr>
            </w:pPr>
            <w:r>
              <w:rPr>
                <w:rFonts w:cs="Arial"/>
                <w:color w:val="000000"/>
                <w:sz w:val="18"/>
                <w:szCs w:val="18"/>
              </w:rPr>
              <w:t xml:space="preserve">1.2: </w:t>
            </w:r>
            <w:r w:rsidRPr="00822178">
              <w:rPr>
                <w:rFonts w:cs="Arial"/>
                <w:color w:val="000000"/>
                <w:sz w:val="18"/>
                <w:szCs w:val="18"/>
              </w:rPr>
              <w:t>: 0 to 17 years from establishment eligible for Paediatric Adjustment</w:t>
            </w:r>
            <w:r>
              <w:rPr>
                <w:rFonts w:cs="Arial"/>
                <w:color w:val="000000"/>
                <w:sz w:val="18"/>
                <w:szCs w:val="18"/>
              </w:rPr>
              <w:t xml:space="preserve"> and in MDC 19 or 20 </w:t>
            </w:r>
          </w:p>
          <w:p w14:paraId="4B759189" w14:textId="77777777" w:rsidR="00B325D8" w:rsidRDefault="00B325D8">
            <w:pPr>
              <w:pStyle w:val="ListParagraph"/>
              <w:numPr>
                <w:ilvl w:val="0"/>
                <w:numId w:val="26"/>
              </w:numPr>
              <w:tabs>
                <w:tab w:val="left" w:pos="1162"/>
              </w:tabs>
              <w:spacing w:line="240" w:lineRule="auto"/>
              <w:contextualSpacing w:val="0"/>
              <w:rPr>
                <w:rFonts w:cs="Arial"/>
                <w:color w:val="000000"/>
                <w:sz w:val="18"/>
                <w:szCs w:val="18"/>
              </w:rPr>
            </w:pPr>
            <w:r>
              <w:rPr>
                <w:rFonts w:cs="Arial"/>
                <w:color w:val="000000"/>
                <w:sz w:val="18"/>
                <w:szCs w:val="18"/>
              </w:rPr>
              <w:t>2</w:t>
            </w:r>
            <w:r w:rsidRPr="00F60424">
              <w:rPr>
                <w:rFonts w:cs="Arial"/>
                <w:color w:val="000000"/>
                <w:sz w:val="18"/>
                <w:szCs w:val="18"/>
              </w:rPr>
              <w:t>.1: if 0 to 17 years from establishment not eligible for Paediatric Adjustment</w:t>
            </w:r>
            <w:r w:rsidRPr="00F60424" w:rsidDel="00B62E07">
              <w:rPr>
                <w:rFonts w:cs="Arial"/>
                <w:color w:val="000000"/>
                <w:sz w:val="18"/>
                <w:szCs w:val="18"/>
              </w:rPr>
              <w:t xml:space="preserve"> </w:t>
            </w:r>
            <w:r w:rsidRPr="00F60424">
              <w:rPr>
                <w:rFonts w:cs="Arial"/>
                <w:color w:val="000000"/>
                <w:sz w:val="18"/>
                <w:szCs w:val="18"/>
              </w:rPr>
              <w:t>and</w:t>
            </w:r>
            <w:r>
              <w:rPr>
                <w:rFonts w:cs="Arial"/>
                <w:color w:val="000000"/>
                <w:sz w:val="18"/>
                <w:szCs w:val="18"/>
              </w:rPr>
              <w:t xml:space="preserve"> not</w:t>
            </w:r>
            <w:r w:rsidRPr="00F60424">
              <w:rPr>
                <w:rFonts w:cs="Arial"/>
                <w:color w:val="000000"/>
                <w:sz w:val="18"/>
                <w:szCs w:val="18"/>
              </w:rPr>
              <w:t xml:space="preserve"> in MDC 19 or 20 </w:t>
            </w:r>
          </w:p>
          <w:p w14:paraId="785D06E3" w14:textId="77777777" w:rsidR="00B325D8" w:rsidRDefault="00B325D8">
            <w:pPr>
              <w:pStyle w:val="ListParagraph"/>
              <w:numPr>
                <w:ilvl w:val="0"/>
                <w:numId w:val="26"/>
              </w:numPr>
              <w:tabs>
                <w:tab w:val="left" w:pos="1162"/>
              </w:tabs>
              <w:spacing w:line="240" w:lineRule="auto"/>
              <w:contextualSpacing w:val="0"/>
              <w:rPr>
                <w:rFonts w:cs="Arial"/>
                <w:color w:val="000000"/>
                <w:sz w:val="18"/>
                <w:szCs w:val="18"/>
              </w:rPr>
            </w:pPr>
            <w:r>
              <w:rPr>
                <w:rFonts w:cs="Arial"/>
                <w:color w:val="000000"/>
                <w:sz w:val="18"/>
                <w:szCs w:val="18"/>
              </w:rPr>
              <w:t xml:space="preserve">2.2: </w:t>
            </w:r>
            <w:r w:rsidRPr="00822178">
              <w:rPr>
                <w:rFonts w:cs="Arial"/>
                <w:color w:val="000000"/>
                <w:sz w:val="18"/>
                <w:szCs w:val="18"/>
              </w:rPr>
              <w:t>: 0 to 17 years from establishment eligible for Paediatric Adjustment</w:t>
            </w:r>
            <w:r>
              <w:rPr>
                <w:rFonts w:cs="Arial"/>
                <w:color w:val="000000"/>
                <w:sz w:val="18"/>
                <w:szCs w:val="18"/>
              </w:rPr>
              <w:t xml:space="preserve"> and not in MDC 19 or 20 </w:t>
            </w:r>
          </w:p>
          <w:p w14:paraId="23DE35AB" w14:textId="77777777" w:rsidR="00B325D8" w:rsidRPr="00FA3851" w:rsidRDefault="00B325D8">
            <w:pPr>
              <w:pStyle w:val="ListParagraph"/>
              <w:numPr>
                <w:ilvl w:val="0"/>
                <w:numId w:val="26"/>
              </w:numPr>
              <w:tabs>
                <w:tab w:val="left" w:pos="1162"/>
              </w:tabs>
              <w:spacing w:line="240" w:lineRule="auto"/>
              <w:contextualSpacing w:val="0"/>
              <w:rPr>
                <w:rFonts w:cs="Arial"/>
                <w:color w:val="000000"/>
                <w:sz w:val="18"/>
                <w:szCs w:val="18"/>
              </w:rPr>
            </w:pPr>
            <w:r>
              <w:rPr>
                <w:rFonts w:cs="Arial"/>
                <w:color w:val="000000"/>
                <w:sz w:val="18"/>
                <w:szCs w:val="18"/>
              </w:rPr>
              <w:t xml:space="preserve">3: </w:t>
            </w:r>
            <w:r w:rsidRPr="00822178">
              <w:rPr>
                <w:rFonts w:cs="Arial"/>
                <w:color w:val="000000"/>
                <w:sz w:val="18"/>
                <w:szCs w:val="18"/>
              </w:rPr>
              <w:t xml:space="preserve">: </w:t>
            </w:r>
            <w:r>
              <w:rPr>
                <w:rFonts w:cs="Arial"/>
                <w:color w:val="000000"/>
                <w:sz w:val="18"/>
                <w:szCs w:val="18"/>
              </w:rPr>
              <w:t xml:space="preserve">Greater than 17 years not in MDC 19 or 20 </w:t>
            </w:r>
          </w:p>
        </w:tc>
      </w:tr>
      <w:tr w:rsidR="00B325D8" w:rsidRPr="00C525F3" w14:paraId="4AD4DFA9" w14:textId="77777777" w:rsidTr="00B325D8">
        <w:trPr>
          <w:cantSplit/>
          <w:trHeight w:val="225"/>
        </w:trPr>
        <w:tc>
          <w:tcPr>
            <w:tcW w:w="992" w:type="dxa"/>
            <w:shd w:val="clear" w:color="auto" w:fill="auto"/>
            <w:noWrap/>
            <w:hideMark/>
          </w:tcPr>
          <w:p w14:paraId="5A3DC2F1" w14:textId="77777777" w:rsidR="00B325D8" w:rsidRPr="00822178" w:rsidRDefault="00B325D8" w:rsidP="002D606E">
            <w:pPr>
              <w:tabs>
                <w:tab w:val="left" w:pos="1162"/>
              </w:tabs>
              <w:rPr>
                <w:rFonts w:eastAsiaTheme="minorHAnsi" w:cs="Arial"/>
                <w:b/>
                <w:noProof/>
                <w:color w:val="000000"/>
                <w:sz w:val="18"/>
                <w:szCs w:val="18"/>
              </w:rPr>
            </w:pPr>
            <w:r>
              <w:rPr>
                <w:rFonts w:cs="Arial"/>
                <w:color w:val="000000"/>
                <w:sz w:val="18"/>
                <w:szCs w:val="18"/>
              </w:rPr>
              <w:t>A14</w:t>
            </w:r>
          </w:p>
        </w:tc>
        <w:tc>
          <w:tcPr>
            <w:tcW w:w="2694" w:type="dxa"/>
            <w:shd w:val="clear" w:color="auto" w:fill="auto"/>
            <w:noWrap/>
            <w:hideMark/>
          </w:tcPr>
          <w:p w14:paraId="0E6C7045"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drg_samedaylist_flag</w:t>
            </w:r>
            <w:proofErr w:type="spellEnd"/>
            <w:r w:rsidRPr="00822178" w:rsidDel="00B62E07">
              <w:rPr>
                <w:rFonts w:cs="Arial"/>
                <w:color w:val="000000"/>
                <w:sz w:val="18"/>
                <w:szCs w:val="18"/>
              </w:rPr>
              <w:t xml:space="preserve"> </w:t>
            </w:r>
          </w:p>
        </w:tc>
        <w:tc>
          <w:tcPr>
            <w:tcW w:w="3969" w:type="dxa"/>
            <w:shd w:val="clear" w:color="auto" w:fill="auto"/>
            <w:hideMark/>
          </w:tcPr>
          <w:p w14:paraId="711BBCF0" w14:textId="77777777" w:rsidR="00B325D8" w:rsidRPr="00822178" w:rsidRDefault="00B325D8">
            <w:pPr>
              <w:tabs>
                <w:tab w:val="left" w:pos="1162"/>
              </w:tabs>
              <w:rPr>
                <w:rFonts w:cs="Arial"/>
                <w:color w:val="000000"/>
                <w:sz w:val="18"/>
                <w:szCs w:val="18"/>
              </w:rPr>
            </w:pPr>
            <w:r w:rsidRPr="00822178">
              <w:rPr>
                <w:rFonts w:cs="Arial"/>
                <w:color w:val="000000"/>
                <w:sz w:val="18"/>
                <w:szCs w:val="18"/>
              </w:rPr>
              <w:t>Same-day price list flag</w:t>
            </w:r>
            <w:r w:rsidRPr="00822178" w:rsidDel="00B62E07">
              <w:rPr>
                <w:rFonts w:cs="Arial"/>
                <w:color w:val="000000"/>
                <w:sz w:val="18"/>
                <w:szCs w:val="18"/>
              </w:rPr>
              <w:t xml:space="preserve"> </w:t>
            </w:r>
          </w:p>
        </w:tc>
        <w:tc>
          <w:tcPr>
            <w:tcW w:w="5703" w:type="dxa"/>
            <w:shd w:val="clear" w:color="auto" w:fill="auto"/>
            <w:hideMark/>
          </w:tcPr>
          <w:p w14:paraId="502C3407" w14:textId="77777777" w:rsidR="00B325D8" w:rsidRPr="00822178" w:rsidRDefault="00B325D8">
            <w:pPr>
              <w:tabs>
                <w:tab w:val="left" w:pos="1162"/>
              </w:tabs>
              <w:rPr>
                <w:rFonts w:cs="Arial"/>
                <w:color w:val="000000"/>
                <w:sz w:val="18"/>
                <w:szCs w:val="18"/>
              </w:rPr>
            </w:pPr>
            <w:r w:rsidRPr="00822178">
              <w:rPr>
                <w:rFonts w:cs="Arial"/>
                <w:color w:val="000000"/>
                <w:sz w:val="18"/>
                <w:szCs w:val="18"/>
              </w:rPr>
              <w:t>1 if Same-Day Price List variable from joined NWAU AR-DRG Price Weight table equals 'Yes'; else</w:t>
            </w:r>
            <w:r>
              <w:rPr>
                <w:rFonts w:cs="Arial"/>
                <w:color w:val="000000"/>
                <w:sz w:val="18"/>
                <w:szCs w:val="18"/>
              </w:rPr>
              <w:t xml:space="preserve"> </w:t>
            </w:r>
            <w:r w:rsidRPr="00822178">
              <w:rPr>
                <w:rFonts w:cs="Arial"/>
                <w:color w:val="000000"/>
                <w:sz w:val="18"/>
                <w:szCs w:val="18"/>
              </w:rPr>
              <w:t>0.</w:t>
            </w:r>
          </w:p>
        </w:tc>
      </w:tr>
      <w:tr w:rsidR="00B325D8" w:rsidRPr="00C525F3" w14:paraId="26F997AF" w14:textId="77777777" w:rsidTr="00B325D8">
        <w:trPr>
          <w:cantSplit/>
          <w:trHeight w:val="450"/>
        </w:trPr>
        <w:tc>
          <w:tcPr>
            <w:tcW w:w="992" w:type="dxa"/>
            <w:shd w:val="clear" w:color="auto" w:fill="auto"/>
            <w:noWrap/>
            <w:hideMark/>
          </w:tcPr>
          <w:p w14:paraId="6F8D46C4" w14:textId="77777777" w:rsidR="00B325D8" w:rsidRPr="00822178" w:rsidRDefault="00B325D8" w:rsidP="002D606E">
            <w:pPr>
              <w:tabs>
                <w:tab w:val="left" w:pos="1162"/>
              </w:tabs>
              <w:rPr>
                <w:rFonts w:eastAsiaTheme="minorHAnsi" w:cs="Arial"/>
                <w:b/>
                <w:noProof/>
                <w:color w:val="000000"/>
                <w:sz w:val="18"/>
                <w:szCs w:val="18"/>
              </w:rPr>
            </w:pPr>
            <w:r w:rsidRPr="00822178">
              <w:rPr>
                <w:rFonts w:cs="Arial"/>
                <w:color w:val="000000"/>
                <w:sz w:val="18"/>
                <w:szCs w:val="18"/>
              </w:rPr>
              <w:t>A1</w:t>
            </w:r>
            <w:r>
              <w:rPr>
                <w:rFonts w:cs="Arial"/>
                <w:color w:val="000000"/>
                <w:sz w:val="18"/>
                <w:szCs w:val="18"/>
              </w:rPr>
              <w:t>5</w:t>
            </w:r>
          </w:p>
        </w:tc>
        <w:tc>
          <w:tcPr>
            <w:tcW w:w="2694" w:type="dxa"/>
            <w:shd w:val="clear" w:color="auto" w:fill="auto"/>
            <w:noWrap/>
            <w:hideMark/>
          </w:tcPr>
          <w:p w14:paraId="19E0B91A"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drg_bundled_icu_flag</w:t>
            </w:r>
            <w:proofErr w:type="spellEnd"/>
          </w:p>
        </w:tc>
        <w:tc>
          <w:tcPr>
            <w:tcW w:w="3969" w:type="dxa"/>
            <w:shd w:val="clear" w:color="auto" w:fill="auto"/>
            <w:hideMark/>
          </w:tcPr>
          <w:p w14:paraId="5D29E380" w14:textId="77777777" w:rsidR="00B325D8" w:rsidRPr="00822178" w:rsidRDefault="00B325D8">
            <w:pPr>
              <w:tabs>
                <w:tab w:val="left" w:pos="1162"/>
              </w:tabs>
              <w:rPr>
                <w:rFonts w:cs="Arial"/>
                <w:color w:val="000000"/>
                <w:sz w:val="18"/>
                <w:szCs w:val="18"/>
              </w:rPr>
            </w:pPr>
            <w:r w:rsidRPr="00822178">
              <w:rPr>
                <w:rFonts w:cs="Arial"/>
                <w:color w:val="000000"/>
                <w:sz w:val="18"/>
                <w:szCs w:val="18"/>
              </w:rPr>
              <w:t>Bundled ICU flag</w:t>
            </w:r>
          </w:p>
        </w:tc>
        <w:tc>
          <w:tcPr>
            <w:tcW w:w="5703" w:type="dxa"/>
            <w:shd w:val="clear" w:color="auto" w:fill="auto"/>
            <w:hideMark/>
          </w:tcPr>
          <w:p w14:paraId="2B098329" w14:textId="77777777" w:rsidR="00B325D8" w:rsidRPr="00822178" w:rsidRDefault="00B325D8">
            <w:pPr>
              <w:tabs>
                <w:tab w:val="left" w:pos="1162"/>
              </w:tabs>
              <w:rPr>
                <w:rFonts w:cs="Arial"/>
                <w:color w:val="000000"/>
                <w:sz w:val="18"/>
                <w:szCs w:val="18"/>
              </w:rPr>
            </w:pPr>
            <w:r w:rsidRPr="00822178">
              <w:rPr>
                <w:rFonts w:cs="Arial"/>
                <w:color w:val="000000"/>
                <w:sz w:val="18"/>
                <w:szCs w:val="18"/>
              </w:rPr>
              <w:t>1 if Bundled ICU variable from joined NWAU AR-DRG Price Weight table equals 'Yes'; else</w:t>
            </w:r>
            <w:r>
              <w:rPr>
                <w:rFonts w:cs="Arial"/>
                <w:color w:val="000000"/>
                <w:sz w:val="18"/>
                <w:szCs w:val="18"/>
              </w:rPr>
              <w:t xml:space="preserve"> </w:t>
            </w:r>
            <w:r w:rsidRPr="00822178">
              <w:rPr>
                <w:rFonts w:cs="Arial"/>
                <w:color w:val="000000"/>
                <w:sz w:val="18"/>
                <w:szCs w:val="18"/>
              </w:rPr>
              <w:t>0.</w:t>
            </w:r>
          </w:p>
        </w:tc>
      </w:tr>
      <w:tr w:rsidR="00B325D8" w:rsidRPr="00C525F3" w14:paraId="5EA2EB9F" w14:textId="77777777" w:rsidTr="00B325D8">
        <w:trPr>
          <w:cantSplit/>
          <w:trHeight w:val="450"/>
        </w:trPr>
        <w:tc>
          <w:tcPr>
            <w:tcW w:w="992" w:type="dxa"/>
            <w:shd w:val="clear" w:color="auto" w:fill="auto"/>
            <w:noWrap/>
            <w:hideMark/>
          </w:tcPr>
          <w:p w14:paraId="49C1AAA4" w14:textId="77777777" w:rsidR="00B325D8" w:rsidRPr="00822178" w:rsidRDefault="00B325D8" w:rsidP="002D606E">
            <w:pPr>
              <w:tabs>
                <w:tab w:val="left" w:pos="1162"/>
              </w:tabs>
              <w:rPr>
                <w:rFonts w:eastAsiaTheme="minorHAnsi" w:cs="Arial"/>
                <w:b/>
                <w:noProof/>
                <w:color w:val="000000"/>
                <w:sz w:val="18"/>
                <w:szCs w:val="18"/>
              </w:rPr>
            </w:pPr>
            <w:r>
              <w:rPr>
                <w:rFonts w:cs="Arial"/>
                <w:color w:val="000000"/>
                <w:sz w:val="18"/>
                <w:szCs w:val="18"/>
              </w:rPr>
              <w:t>A16</w:t>
            </w:r>
          </w:p>
        </w:tc>
        <w:tc>
          <w:tcPr>
            <w:tcW w:w="2694" w:type="dxa"/>
            <w:shd w:val="clear" w:color="auto" w:fill="auto"/>
            <w:noWrap/>
            <w:hideMark/>
          </w:tcPr>
          <w:p w14:paraId="25BC2D8C"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drg_inlier_lb</w:t>
            </w:r>
            <w:proofErr w:type="spellEnd"/>
          </w:p>
        </w:tc>
        <w:tc>
          <w:tcPr>
            <w:tcW w:w="3969" w:type="dxa"/>
            <w:shd w:val="clear" w:color="auto" w:fill="auto"/>
            <w:hideMark/>
          </w:tcPr>
          <w:p w14:paraId="3F2C10C7" w14:textId="77777777" w:rsidR="00B325D8" w:rsidRPr="00822178" w:rsidRDefault="00B325D8">
            <w:pPr>
              <w:tabs>
                <w:tab w:val="left" w:pos="1162"/>
              </w:tabs>
              <w:rPr>
                <w:rFonts w:cs="Arial"/>
                <w:color w:val="000000"/>
                <w:sz w:val="18"/>
                <w:szCs w:val="18"/>
              </w:rPr>
            </w:pPr>
            <w:r w:rsidRPr="00822178">
              <w:rPr>
                <w:rFonts w:cs="Arial"/>
                <w:color w:val="000000"/>
                <w:sz w:val="18"/>
                <w:szCs w:val="18"/>
              </w:rPr>
              <w:t>Inlier lower bound</w:t>
            </w:r>
          </w:p>
        </w:tc>
        <w:tc>
          <w:tcPr>
            <w:tcW w:w="5703" w:type="dxa"/>
            <w:shd w:val="clear" w:color="auto" w:fill="auto"/>
            <w:hideMark/>
          </w:tcPr>
          <w:p w14:paraId="188C6F9F" w14:textId="77777777" w:rsidR="00B325D8" w:rsidRPr="00822178" w:rsidRDefault="00B325D8">
            <w:pPr>
              <w:tabs>
                <w:tab w:val="left" w:pos="1162"/>
              </w:tabs>
              <w:rPr>
                <w:rFonts w:cs="Arial"/>
                <w:color w:val="000000"/>
                <w:sz w:val="18"/>
                <w:szCs w:val="18"/>
              </w:rPr>
            </w:pPr>
            <w:r>
              <w:rPr>
                <w:rFonts w:cs="Arial"/>
                <w:color w:val="000000"/>
                <w:sz w:val="18"/>
                <w:szCs w:val="18"/>
              </w:rPr>
              <w:t>I</w:t>
            </w:r>
            <w:r w:rsidRPr="00822178">
              <w:rPr>
                <w:rFonts w:cs="Arial"/>
                <w:color w:val="000000"/>
                <w:sz w:val="18"/>
                <w:szCs w:val="18"/>
              </w:rPr>
              <w:t>nlier lower bound from NWAU AR-DRG Price Weight table.</w:t>
            </w:r>
          </w:p>
        </w:tc>
      </w:tr>
      <w:tr w:rsidR="00B325D8" w:rsidRPr="00C525F3" w14:paraId="438B0C09" w14:textId="77777777" w:rsidTr="00B325D8">
        <w:trPr>
          <w:cantSplit/>
          <w:trHeight w:val="450"/>
        </w:trPr>
        <w:tc>
          <w:tcPr>
            <w:tcW w:w="992" w:type="dxa"/>
            <w:shd w:val="clear" w:color="auto" w:fill="auto"/>
            <w:noWrap/>
            <w:hideMark/>
          </w:tcPr>
          <w:p w14:paraId="5323E667" w14:textId="77777777" w:rsidR="00B325D8" w:rsidRPr="00822178" w:rsidRDefault="00B325D8" w:rsidP="002D606E">
            <w:pPr>
              <w:tabs>
                <w:tab w:val="left" w:pos="1162"/>
              </w:tabs>
              <w:rPr>
                <w:rFonts w:eastAsiaTheme="minorHAnsi" w:cs="Arial"/>
                <w:b/>
                <w:noProof/>
                <w:color w:val="000000"/>
                <w:sz w:val="18"/>
                <w:szCs w:val="18"/>
              </w:rPr>
            </w:pPr>
            <w:r>
              <w:rPr>
                <w:rFonts w:cs="Arial"/>
                <w:color w:val="000000"/>
                <w:sz w:val="18"/>
                <w:szCs w:val="18"/>
              </w:rPr>
              <w:t>A17</w:t>
            </w:r>
          </w:p>
        </w:tc>
        <w:tc>
          <w:tcPr>
            <w:tcW w:w="2694" w:type="dxa"/>
            <w:shd w:val="clear" w:color="auto" w:fill="auto"/>
            <w:noWrap/>
            <w:hideMark/>
          </w:tcPr>
          <w:p w14:paraId="234AD5D6"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drg_inlier_ub</w:t>
            </w:r>
            <w:proofErr w:type="spellEnd"/>
          </w:p>
        </w:tc>
        <w:tc>
          <w:tcPr>
            <w:tcW w:w="3969" w:type="dxa"/>
            <w:shd w:val="clear" w:color="auto" w:fill="auto"/>
            <w:hideMark/>
          </w:tcPr>
          <w:p w14:paraId="08FA331C" w14:textId="77777777" w:rsidR="00B325D8" w:rsidRPr="00822178" w:rsidRDefault="00B325D8">
            <w:pPr>
              <w:tabs>
                <w:tab w:val="left" w:pos="1162"/>
              </w:tabs>
              <w:rPr>
                <w:rFonts w:cs="Arial"/>
                <w:color w:val="000000"/>
                <w:sz w:val="18"/>
                <w:szCs w:val="18"/>
              </w:rPr>
            </w:pPr>
            <w:r w:rsidRPr="00822178">
              <w:rPr>
                <w:rFonts w:cs="Arial"/>
                <w:color w:val="000000"/>
                <w:sz w:val="18"/>
                <w:szCs w:val="18"/>
              </w:rPr>
              <w:t>Inlier upper bound</w:t>
            </w:r>
          </w:p>
        </w:tc>
        <w:tc>
          <w:tcPr>
            <w:tcW w:w="5703" w:type="dxa"/>
            <w:shd w:val="clear" w:color="auto" w:fill="auto"/>
            <w:hideMark/>
          </w:tcPr>
          <w:p w14:paraId="01876DC7" w14:textId="77777777" w:rsidR="00B325D8" w:rsidRPr="00822178" w:rsidRDefault="00B325D8">
            <w:pPr>
              <w:tabs>
                <w:tab w:val="left" w:pos="1162"/>
              </w:tabs>
              <w:rPr>
                <w:rFonts w:cs="Arial"/>
                <w:color w:val="000000"/>
                <w:sz w:val="18"/>
                <w:szCs w:val="18"/>
              </w:rPr>
            </w:pPr>
            <w:r>
              <w:rPr>
                <w:rFonts w:cs="Arial"/>
                <w:color w:val="000000"/>
                <w:sz w:val="18"/>
                <w:szCs w:val="18"/>
              </w:rPr>
              <w:t>I</w:t>
            </w:r>
            <w:r w:rsidRPr="00822178">
              <w:rPr>
                <w:rFonts w:cs="Arial"/>
                <w:color w:val="000000"/>
                <w:sz w:val="18"/>
                <w:szCs w:val="18"/>
              </w:rPr>
              <w:t>nlier upper bound from NWAU AR-DRG Price Weight table.</w:t>
            </w:r>
          </w:p>
        </w:tc>
      </w:tr>
      <w:tr w:rsidR="00B325D8" w:rsidRPr="00C525F3" w14:paraId="099F2A54" w14:textId="77777777" w:rsidTr="00B325D8">
        <w:trPr>
          <w:cantSplit/>
          <w:trHeight w:val="450"/>
        </w:trPr>
        <w:tc>
          <w:tcPr>
            <w:tcW w:w="992" w:type="dxa"/>
            <w:shd w:val="clear" w:color="auto" w:fill="auto"/>
            <w:noWrap/>
          </w:tcPr>
          <w:p w14:paraId="30FEC959"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A18</w:t>
            </w:r>
          </w:p>
        </w:tc>
        <w:tc>
          <w:tcPr>
            <w:tcW w:w="2694" w:type="dxa"/>
            <w:shd w:val="clear" w:color="auto" w:fill="auto"/>
            <w:noWrap/>
          </w:tcPr>
          <w:p w14:paraId="397F36F8"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drg_pw_sd</w:t>
            </w:r>
            <w:proofErr w:type="spellEnd"/>
          </w:p>
        </w:tc>
        <w:tc>
          <w:tcPr>
            <w:tcW w:w="3969" w:type="dxa"/>
            <w:shd w:val="clear" w:color="auto" w:fill="auto"/>
          </w:tcPr>
          <w:p w14:paraId="606CA78D" w14:textId="77777777" w:rsidR="00B325D8" w:rsidRPr="00822178" w:rsidRDefault="00B325D8">
            <w:pPr>
              <w:tabs>
                <w:tab w:val="left" w:pos="1162"/>
              </w:tabs>
              <w:rPr>
                <w:rFonts w:cs="Arial"/>
                <w:color w:val="000000"/>
                <w:sz w:val="18"/>
                <w:szCs w:val="18"/>
              </w:rPr>
            </w:pPr>
            <w:r w:rsidRPr="00822178">
              <w:rPr>
                <w:rFonts w:cs="Arial"/>
                <w:color w:val="000000"/>
                <w:sz w:val="18"/>
                <w:szCs w:val="18"/>
              </w:rPr>
              <w:t>Same-Day Price Weight</w:t>
            </w:r>
          </w:p>
        </w:tc>
        <w:tc>
          <w:tcPr>
            <w:tcW w:w="5703" w:type="dxa"/>
            <w:shd w:val="clear" w:color="auto" w:fill="auto"/>
          </w:tcPr>
          <w:p w14:paraId="4364B5CC" w14:textId="77777777" w:rsidR="00B325D8" w:rsidRPr="00822178" w:rsidRDefault="00B325D8">
            <w:pPr>
              <w:tabs>
                <w:tab w:val="left" w:pos="1162"/>
              </w:tabs>
              <w:rPr>
                <w:rFonts w:cs="Arial"/>
                <w:color w:val="000000"/>
                <w:sz w:val="18"/>
                <w:szCs w:val="18"/>
              </w:rPr>
            </w:pPr>
            <w:r>
              <w:rPr>
                <w:rFonts w:cs="Arial"/>
                <w:color w:val="000000"/>
                <w:sz w:val="18"/>
                <w:szCs w:val="18"/>
              </w:rPr>
              <w:t>S</w:t>
            </w:r>
            <w:r w:rsidRPr="00822178">
              <w:rPr>
                <w:rFonts w:cs="Arial"/>
                <w:color w:val="000000"/>
                <w:sz w:val="18"/>
                <w:szCs w:val="18"/>
              </w:rPr>
              <w:t>ame-day price weight from joined NWAU AR-DRG Price Weight table if not missing; else</w:t>
            </w:r>
            <w:r>
              <w:rPr>
                <w:rFonts w:cs="Arial"/>
                <w:color w:val="000000"/>
                <w:sz w:val="18"/>
                <w:szCs w:val="18"/>
              </w:rPr>
              <w:t xml:space="preserve"> </w:t>
            </w:r>
            <w:r w:rsidRPr="00822178">
              <w:rPr>
                <w:rFonts w:cs="Arial"/>
                <w:color w:val="000000"/>
                <w:sz w:val="18"/>
                <w:szCs w:val="18"/>
              </w:rPr>
              <w:t>0.</w:t>
            </w:r>
          </w:p>
        </w:tc>
      </w:tr>
      <w:tr w:rsidR="00B325D8" w:rsidRPr="00C525F3" w14:paraId="1B4C96A6" w14:textId="77777777" w:rsidTr="00B325D8">
        <w:trPr>
          <w:cantSplit/>
          <w:trHeight w:val="450"/>
        </w:trPr>
        <w:tc>
          <w:tcPr>
            <w:tcW w:w="992" w:type="dxa"/>
            <w:shd w:val="clear" w:color="auto" w:fill="auto"/>
            <w:noWrap/>
          </w:tcPr>
          <w:p w14:paraId="1CAAC47F"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lastRenderedPageBreak/>
              <w:t>A19</w:t>
            </w:r>
          </w:p>
        </w:tc>
        <w:tc>
          <w:tcPr>
            <w:tcW w:w="2694" w:type="dxa"/>
            <w:shd w:val="clear" w:color="auto" w:fill="auto"/>
            <w:noWrap/>
          </w:tcPr>
          <w:p w14:paraId="5E40FD3F"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drg_pw_sso_base</w:t>
            </w:r>
            <w:proofErr w:type="spellEnd"/>
          </w:p>
        </w:tc>
        <w:tc>
          <w:tcPr>
            <w:tcW w:w="3969" w:type="dxa"/>
            <w:shd w:val="clear" w:color="auto" w:fill="auto"/>
          </w:tcPr>
          <w:p w14:paraId="7E40542B" w14:textId="77777777" w:rsidR="00B325D8" w:rsidRPr="00822178" w:rsidRDefault="00B325D8">
            <w:pPr>
              <w:tabs>
                <w:tab w:val="left" w:pos="1162"/>
              </w:tabs>
              <w:rPr>
                <w:rFonts w:cs="Arial"/>
                <w:color w:val="000000"/>
                <w:sz w:val="18"/>
                <w:szCs w:val="18"/>
              </w:rPr>
            </w:pPr>
            <w:r w:rsidRPr="00822178">
              <w:rPr>
                <w:rFonts w:cs="Arial"/>
                <w:color w:val="000000"/>
                <w:sz w:val="18"/>
                <w:szCs w:val="18"/>
              </w:rPr>
              <w:t>Short-Stay Outlier Base Price Weight</w:t>
            </w:r>
          </w:p>
        </w:tc>
        <w:tc>
          <w:tcPr>
            <w:tcW w:w="5703" w:type="dxa"/>
            <w:shd w:val="clear" w:color="auto" w:fill="auto"/>
          </w:tcPr>
          <w:p w14:paraId="04E9E03F" w14:textId="77777777" w:rsidR="00B325D8" w:rsidRPr="00822178" w:rsidRDefault="00B325D8">
            <w:pPr>
              <w:tabs>
                <w:tab w:val="left" w:pos="1162"/>
              </w:tabs>
              <w:rPr>
                <w:rFonts w:cs="Arial"/>
                <w:color w:val="000000"/>
                <w:sz w:val="18"/>
                <w:szCs w:val="18"/>
              </w:rPr>
            </w:pPr>
            <w:r>
              <w:rPr>
                <w:rFonts w:cs="Arial"/>
                <w:color w:val="000000"/>
                <w:sz w:val="18"/>
                <w:szCs w:val="18"/>
              </w:rPr>
              <w:t>S</w:t>
            </w:r>
            <w:r w:rsidRPr="00822178">
              <w:rPr>
                <w:rFonts w:cs="Arial"/>
                <w:color w:val="000000"/>
                <w:sz w:val="18"/>
                <w:szCs w:val="18"/>
              </w:rPr>
              <w:t>hort-stay outlier base price weight from joined NWAU AR-DRG Price Weight table if not missing; else</w:t>
            </w:r>
            <w:r>
              <w:rPr>
                <w:rFonts w:cs="Arial"/>
                <w:color w:val="000000"/>
                <w:sz w:val="18"/>
                <w:szCs w:val="18"/>
              </w:rPr>
              <w:t xml:space="preserve"> </w:t>
            </w:r>
            <w:r w:rsidRPr="00822178">
              <w:rPr>
                <w:rFonts w:cs="Arial"/>
                <w:color w:val="000000"/>
                <w:sz w:val="18"/>
                <w:szCs w:val="18"/>
              </w:rPr>
              <w:t>0.</w:t>
            </w:r>
          </w:p>
        </w:tc>
      </w:tr>
      <w:tr w:rsidR="00B325D8" w:rsidRPr="00C525F3" w14:paraId="31EFAB2B" w14:textId="77777777" w:rsidTr="00B325D8">
        <w:trPr>
          <w:cantSplit/>
          <w:trHeight w:val="450"/>
        </w:trPr>
        <w:tc>
          <w:tcPr>
            <w:tcW w:w="992" w:type="dxa"/>
            <w:shd w:val="clear" w:color="auto" w:fill="auto"/>
            <w:noWrap/>
          </w:tcPr>
          <w:p w14:paraId="70211036"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A20</w:t>
            </w:r>
          </w:p>
        </w:tc>
        <w:tc>
          <w:tcPr>
            <w:tcW w:w="2694" w:type="dxa"/>
            <w:shd w:val="clear" w:color="auto" w:fill="auto"/>
            <w:noWrap/>
          </w:tcPr>
          <w:p w14:paraId="3F77EAE4"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drg_pw_sso_perdiem</w:t>
            </w:r>
            <w:proofErr w:type="spellEnd"/>
          </w:p>
        </w:tc>
        <w:tc>
          <w:tcPr>
            <w:tcW w:w="3969" w:type="dxa"/>
            <w:shd w:val="clear" w:color="auto" w:fill="auto"/>
          </w:tcPr>
          <w:p w14:paraId="767B0FA8" w14:textId="77777777" w:rsidR="00B325D8" w:rsidRPr="00822178" w:rsidRDefault="00B325D8">
            <w:pPr>
              <w:tabs>
                <w:tab w:val="left" w:pos="1162"/>
              </w:tabs>
              <w:rPr>
                <w:rFonts w:cs="Arial"/>
                <w:color w:val="000000"/>
                <w:sz w:val="18"/>
                <w:szCs w:val="18"/>
              </w:rPr>
            </w:pPr>
            <w:r w:rsidRPr="00822178">
              <w:rPr>
                <w:rFonts w:cs="Arial"/>
                <w:color w:val="000000"/>
                <w:sz w:val="18"/>
                <w:szCs w:val="18"/>
              </w:rPr>
              <w:t>Short-Stay Outlier Per Diem Price Weight</w:t>
            </w:r>
          </w:p>
        </w:tc>
        <w:tc>
          <w:tcPr>
            <w:tcW w:w="5703" w:type="dxa"/>
            <w:shd w:val="clear" w:color="auto" w:fill="auto"/>
          </w:tcPr>
          <w:p w14:paraId="6A149046" w14:textId="77777777" w:rsidR="00B325D8" w:rsidRPr="00822178" w:rsidRDefault="00B325D8">
            <w:pPr>
              <w:tabs>
                <w:tab w:val="left" w:pos="1162"/>
              </w:tabs>
              <w:rPr>
                <w:rFonts w:cs="Arial"/>
                <w:color w:val="000000"/>
                <w:sz w:val="18"/>
                <w:szCs w:val="18"/>
              </w:rPr>
            </w:pPr>
            <w:r>
              <w:rPr>
                <w:rFonts w:cs="Arial"/>
                <w:color w:val="000000"/>
                <w:sz w:val="18"/>
                <w:szCs w:val="18"/>
              </w:rPr>
              <w:t>S</w:t>
            </w:r>
            <w:r w:rsidRPr="00822178">
              <w:rPr>
                <w:rFonts w:cs="Arial"/>
                <w:color w:val="000000"/>
                <w:sz w:val="18"/>
                <w:szCs w:val="18"/>
              </w:rPr>
              <w:t>hort-stay outlier per diem price weight from joined NWAU AR-DRG Price Weight table if not missing; else</w:t>
            </w:r>
            <w:r>
              <w:rPr>
                <w:rFonts w:cs="Arial"/>
                <w:color w:val="000000"/>
                <w:sz w:val="18"/>
                <w:szCs w:val="18"/>
              </w:rPr>
              <w:t xml:space="preserve"> </w:t>
            </w:r>
            <w:r w:rsidRPr="00822178">
              <w:rPr>
                <w:rFonts w:cs="Arial"/>
                <w:color w:val="000000"/>
                <w:sz w:val="18"/>
                <w:szCs w:val="18"/>
              </w:rPr>
              <w:t>0.</w:t>
            </w:r>
          </w:p>
        </w:tc>
      </w:tr>
      <w:tr w:rsidR="00B325D8" w:rsidRPr="00C525F3" w14:paraId="27327604" w14:textId="77777777" w:rsidTr="00B325D8">
        <w:trPr>
          <w:cantSplit/>
          <w:trHeight w:val="450"/>
        </w:trPr>
        <w:tc>
          <w:tcPr>
            <w:tcW w:w="992" w:type="dxa"/>
            <w:shd w:val="clear" w:color="auto" w:fill="auto"/>
            <w:noWrap/>
          </w:tcPr>
          <w:p w14:paraId="0545555E"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A21</w:t>
            </w:r>
          </w:p>
        </w:tc>
        <w:tc>
          <w:tcPr>
            <w:tcW w:w="2694" w:type="dxa"/>
            <w:shd w:val="clear" w:color="auto" w:fill="auto"/>
            <w:noWrap/>
          </w:tcPr>
          <w:p w14:paraId="4FE8B27E"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drg_pw_inlier</w:t>
            </w:r>
            <w:proofErr w:type="spellEnd"/>
          </w:p>
        </w:tc>
        <w:tc>
          <w:tcPr>
            <w:tcW w:w="3969" w:type="dxa"/>
            <w:shd w:val="clear" w:color="auto" w:fill="auto"/>
          </w:tcPr>
          <w:p w14:paraId="2D146038" w14:textId="77777777" w:rsidR="00B325D8" w:rsidRPr="00822178" w:rsidRDefault="00B325D8">
            <w:pPr>
              <w:tabs>
                <w:tab w:val="left" w:pos="1162"/>
              </w:tabs>
              <w:rPr>
                <w:rFonts w:cs="Arial"/>
                <w:color w:val="000000"/>
                <w:sz w:val="18"/>
                <w:szCs w:val="18"/>
              </w:rPr>
            </w:pPr>
            <w:r w:rsidRPr="00822178">
              <w:rPr>
                <w:rFonts w:cs="Arial"/>
                <w:color w:val="000000"/>
                <w:sz w:val="18"/>
                <w:szCs w:val="18"/>
              </w:rPr>
              <w:t>Inlier Price Weight</w:t>
            </w:r>
          </w:p>
        </w:tc>
        <w:tc>
          <w:tcPr>
            <w:tcW w:w="5703" w:type="dxa"/>
            <w:shd w:val="clear" w:color="auto" w:fill="auto"/>
          </w:tcPr>
          <w:p w14:paraId="01BC1306" w14:textId="77777777" w:rsidR="00B325D8" w:rsidRPr="00822178" w:rsidRDefault="00B325D8">
            <w:pPr>
              <w:tabs>
                <w:tab w:val="left" w:pos="1162"/>
              </w:tabs>
              <w:rPr>
                <w:rFonts w:cs="Arial"/>
                <w:color w:val="000000"/>
                <w:sz w:val="18"/>
                <w:szCs w:val="18"/>
              </w:rPr>
            </w:pPr>
            <w:r>
              <w:rPr>
                <w:rFonts w:cs="Arial"/>
                <w:color w:val="000000"/>
                <w:sz w:val="18"/>
                <w:szCs w:val="18"/>
              </w:rPr>
              <w:t>I</w:t>
            </w:r>
            <w:r w:rsidRPr="00822178">
              <w:rPr>
                <w:rFonts w:cs="Arial"/>
                <w:color w:val="000000"/>
                <w:sz w:val="18"/>
                <w:szCs w:val="18"/>
              </w:rPr>
              <w:t>nlier price weight from joined NWAU AR-DRG Price Weight table.</w:t>
            </w:r>
          </w:p>
        </w:tc>
      </w:tr>
      <w:tr w:rsidR="00B325D8" w:rsidRPr="00C525F3" w14:paraId="5B3832E4" w14:textId="77777777" w:rsidTr="00B325D8">
        <w:trPr>
          <w:cantSplit/>
          <w:trHeight w:val="450"/>
        </w:trPr>
        <w:tc>
          <w:tcPr>
            <w:tcW w:w="992" w:type="dxa"/>
            <w:shd w:val="clear" w:color="auto" w:fill="auto"/>
            <w:noWrap/>
          </w:tcPr>
          <w:p w14:paraId="7FC0F34E"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A22</w:t>
            </w:r>
          </w:p>
        </w:tc>
        <w:tc>
          <w:tcPr>
            <w:tcW w:w="2694" w:type="dxa"/>
            <w:shd w:val="clear" w:color="auto" w:fill="auto"/>
            <w:noWrap/>
          </w:tcPr>
          <w:p w14:paraId="2842FA63"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drg_pw_lso_perdiem</w:t>
            </w:r>
            <w:proofErr w:type="spellEnd"/>
          </w:p>
        </w:tc>
        <w:tc>
          <w:tcPr>
            <w:tcW w:w="3969" w:type="dxa"/>
            <w:shd w:val="clear" w:color="auto" w:fill="auto"/>
          </w:tcPr>
          <w:p w14:paraId="2C8C75F7" w14:textId="77777777" w:rsidR="00B325D8" w:rsidRPr="00822178" w:rsidRDefault="00B325D8">
            <w:pPr>
              <w:tabs>
                <w:tab w:val="left" w:pos="1162"/>
              </w:tabs>
              <w:rPr>
                <w:rFonts w:cs="Arial"/>
                <w:color w:val="000000"/>
                <w:sz w:val="18"/>
                <w:szCs w:val="18"/>
              </w:rPr>
            </w:pPr>
            <w:r w:rsidRPr="00822178">
              <w:rPr>
                <w:rFonts w:cs="Arial"/>
                <w:color w:val="000000"/>
                <w:sz w:val="18"/>
                <w:szCs w:val="18"/>
              </w:rPr>
              <w:t>Long-Stay Outlier Per Diem Price Weight</w:t>
            </w:r>
          </w:p>
        </w:tc>
        <w:tc>
          <w:tcPr>
            <w:tcW w:w="5703" w:type="dxa"/>
            <w:shd w:val="clear" w:color="auto" w:fill="auto"/>
          </w:tcPr>
          <w:p w14:paraId="239661F1" w14:textId="77777777" w:rsidR="00B325D8" w:rsidRPr="00822178" w:rsidRDefault="00B325D8">
            <w:pPr>
              <w:tabs>
                <w:tab w:val="left" w:pos="1162"/>
              </w:tabs>
              <w:rPr>
                <w:rFonts w:cs="Arial"/>
                <w:color w:val="000000"/>
                <w:sz w:val="18"/>
                <w:szCs w:val="18"/>
              </w:rPr>
            </w:pPr>
            <w:r>
              <w:rPr>
                <w:rFonts w:cs="Arial"/>
                <w:color w:val="000000"/>
                <w:sz w:val="18"/>
                <w:szCs w:val="18"/>
              </w:rPr>
              <w:t>L</w:t>
            </w:r>
            <w:r w:rsidRPr="00822178">
              <w:rPr>
                <w:rFonts w:cs="Arial"/>
                <w:color w:val="000000"/>
                <w:sz w:val="18"/>
                <w:szCs w:val="18"/>
              </w:rPr>
              <w:t>ong-stay outlier per diem price weight from joined NWAU AR-DRG Price Weight table if not missing; else</w:t>
            </w:r>
            <w:r>
              <w:rPr>
                <w:rFonts w:cs="Arial"/>
                <w:color w:val="000000"/>
                <w:sz w:val="18"/>
                <w:szCs w:val="18"/>
              </w:rPr>
              <w:t xml:space="preserve"> </w:t>
            </w:r>
            <w:r w:rsidRPr="00822178">
              <w:rPr>
                <w:rFonts w:cs="Arial"/>
                <w:color w:val="000000"/>
                <w:sz w:val="18"/>
                <w:szCs w:val="18"/>
              </w:rPr>
              <w:t>0.</w:t>
            </w:r>
          </w:p>
        </w:tc>
      </w:tr>
      <w:tr w:rsidR="00B325D8" w:rsidRPr="00C525F3" w14:paraId="093662ED" w14:textId="77777777" w:rsidTr="00B325D8">
        <w:trPr>
          <w:cantSplit/>
          <w:trHeight w:val="450"/>
        </w:trPr>
        <w:tc>
          <w:tcPr>
            <w:tcW w:w="992" w:type="dxa"/>
            <w:shd w:val="clear" w:color="auto" w:fill="auto"/>
            <w:noWrap/>
          </w:tcPr>
          <w:p w14:paraId="60BF3D93"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A23</w:t>
            </w:r>
          </w:p>
        </w:tc>
        <w:tc>
          <w:tcPr>
            <w:tcW w:w="2694" w:type="dxa"/>
            <w:shd w:val="clear" w:color="auto" w:fill="auto"/>
            <w:noWrap/>
          </w:tcPr>
          <w:p w14:paraId="23AA1D80"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drg_adj_paed</w:t>
            </w:r>
            <w:proofErr w:type="spellEnd"/>
          </w:p>
        </w:tc>
        <w:tc>
          <w:tcPr>
            <w:tcW w:w="3969" w:type="dxa"/>
            <w:shd w:val="clear" w:color="auto" w:fill="auto"/>
          </w:tcPr>
          <w:p w14:paraId="503A7CF5" w14:textId="77777777" w:rsidR="00B325D8" w:rsidRPr="00822178" w:rsidRDefault="00B325D8">
            <w:pPr>
              <w:tabs>
                <w:tab w:val="left" w:pos="1162"/>
              </w:tabs>
              <w:rPr>
                <w:rFonts w:cs="Arial"/>
                <w:color w:val="000000"/>
                <w:sz w:val="18"/>
                <w:szCs w:val="18"/>
              </w:rPr>
            </w:pPr>
            <w:r w:rsidRPr="00822178">
              <w:rPr>
                <w:rFonts w:cs="Arial"/>
                <w:color w:val="000000"/>
                <w:sz w:val="18"/>
                <w:szCs w:val="18"/>
              </w:rPr>
              <w:t>Paediatric adjustment</w:t>
            </w:r>
          </w:p>
        </w:tc>
        <w:tc>
          <w:tcPr>
            <w:tcW w:w="5703" w:type="dxa"/>
            <w:shd w:val="clear" w:color="auto" w:fill="auto"/>
          </w:tcPr>
          <w:p w14:paraId="6ED8AB74" w14:textId="77777777" w:rsidR="00B325D8" w:rsidRPr="00822178" w:rsidRDefault="00B325D8">
            <w:pPr>
              <w:tabs>
                <w:tab w:val="left" w:pos="1162"/>
              </w:tabs>
              <w:rPr>
                <w:rFonts w:cs="Arial"/>
                <w:color w:val="000000"/>
                <w:sz w:val="18"/>
                <w:szCs w:val="18"/>
              </w:rPr>
            </w:pPr>
            <w:r>
              <w:rPr>
                <w:rFonts w:cs="Arial"/>
                <w:color w:val="000000"/>
                <w:sz w:val="18"/>
                <w:szCs w:val="18"/>
              </w:rPr>
              <w:t>P</w:t>
            </w:r>
            <w:r w:rsidRPr="00822178">
              <w:rPr>
                <w:rFonts w:cs="Arial"/>
                <w:color w:val="000000"/>
                <w:sz w:val="18"/>
                <w:szCs w:val="18"/>
              </w:rPr>
              <w:t>aediatric adjustment from joined NWAU AR-DRG Price Weight table.</w:t>
            </w:r>
          </w:p>
        </w:tc>
      </w:tr>
      <w:tr w:rsidR="00B325D8" w:rsidRPr="00C525F3" w14:paraId="4372AE09" w14:textId="77777777" w:rsidTr="00B325D8">
        <w:trPr>
          <w:cantSplit/>
          <w:trHeight w:val="450"/>
        </w:trPr>
        <w:tc>
          <w:tcPr>
            <w:tcW w:w="992" w:type="dxa"/>
            <w:shd w:val="clear" w:color="auto" w:fill="auto"/>
            <w:noWrap/>
          </w:tcPr>
          <w:p w14:paraId="241D033B"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A24</w:t>
            </w:r>
          </w:p>
        </w:tc>
        <w:tc>
          <w:tcPr>
            <w:tcW w:w="2694" w:type="dxa"/>
            <w:shd w:val="clear" w:color="auto" w:fill="auto"/>
            <w:noWrap/>
          </w:tcPr>
          <w:p w14:paraId="0811B9E4" w14:textId="77777777" w:rsidR="00B325D8" w:rsidRPr="00822178" w:rsidRDefault="00B325D8" w:rsidP="00560AC0">
            <w:pPr>
              <w:tabs>
                <w:tab w:val="left" w:pos="1162"/>
              </w:tabs>
              <w:rPr>
                <w:rFonts w:cs="Arial"/>
                <w:color w:val="000000"/>
                <w:sz w:val="18"/>
                <w:szCs w:val="18"/>
              </w:rPr>
            </w:pPr>
            <w:proofErr w:type="spellStart"/>
            <w:r w:rsidRPr="00822178">
              <w:rPr>
                <w:rFonts w:cs="Arial"/>
                <w:color w:val="000000"/>
                <w:sz w:val="18"/>
                <w:szCs w:val="18"/>
              </w:rPr>
              <w:t>drg_adj_privpat_serv</w:t>
            </w:r>
            <w:proofErr w:type="spellEnd"/>
          </w:p>
        </w:tc>
        <w:tc>
          <w:tcPr>
            <w:tcW w:w="3969" w:type="dxa"/>
            <w:shd w:val="clear" w:color="auto" w:fill="auto"/>
          </w:tcPr>
          <w:p w14:paraId="2B150FEF" w14:textId="77777777" w:rsidR="00B325D8" w:rsidRPr="00822178" w:rsidRDefault="00B325D8">
            <w:pPr>
              <w:tabs>
                <w:tab w:val="left" w:pos="1162"/>
              </w:tabs>
              <w:rPr>
                <w:rFonts w:cs="Arial"/>
                <w:color w:val="000000"/>
                <w:sz w:val="18"/>
                <w:szCs w:val="18"/>
              </w:rPr>
            </w:pPr>
            <w:r w:rsidRPr="00822178">
              <w:rPr>
                <w:rFonts w:cs="Arial"/>
                <w:color w:val="000000"/>
                <w:sz w:val="18"/>
                <w:szCs w:val="18"/>
              </w:rPr>
              <w:t>Private patient service adjustment</w:t>
            </w:r>
          </w:p>
        </w:tc>
        <w:tc>
          <w:tcPr>
            <w:tcW w:w="5703" w:type="dxa"/>
            <w:shd w:val="clear" w:color="auto" w:fill="auto"/>
          </w:tcPr>
          <w:p w14:paraId="62110ED3" w14:textId="77777777" w:rsidR="00B325D8" w:rsidRPr="00822178" w:rsidRDefault="00B325D8">
            <w:pPr>
              <w:tabs>
                <w:tab w:val="left" w:pos="1162"/>
              </w:tabs>
              <w:rPr>
                <w:rFonts w:cs="Arial"/>
                <w:color w:val="000000"/>
                <w:sz w:val="18"/>
                <w:szCs w:val="18"/>
              </w:rPr>
            </w:pPr>
            <w:r>
              <w:rPr>
                <w:rFonts w:cs="Arial"/>
                <w:color w:val="000000"/>
                <w:sz w:val="18"/>
                <w:szCs w:val="18"/>
              </w:rPr>
              <w:t>P</w:t>
            </w:r>
            <w:r w:rsidRPr="00822178">
              <w:rPr>
                <w:rFonts w:cs="Arial"/>
                <w:color w:val="000000"/>
                <w:sz w:val="18"/>
                <w:szCs w:val="18"/>
              </w:rPr>
              <w:t>rivate patient service adjustment from joined NWAU AR-DRG Price Weight table.</w:t>
            </w:r>
          </w:p>
        </w:tc>
      </w:tr>
      <w:tr w:rsidR="00B325D8" w:rsidRPr="00C525F3" w14:paraId="1CA89D57" w14:textId="77777777" w:rsidTr="00B325D8">
        <w:trPr>
          <w:cantSplit/>
          <w:trHeight w:val="450"/>
        </w:trPr>
        <w:tc>
          <w:tcPr>
            <w:tcW w:w="992" w:type="dxa"/>
            <w:shd w:val="clear" w:color="auto" w:fill="auto"/>
            <w:noWrap/>
          </w:tcPr>
          <w:p w14:paraId="7DC797C5"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A25</w:t>
            </w:r>
          </w:p>
        </w:tc>
        <w:tc>
          <w:tcPr>
            <w:tcW w:w="2694" w:type="dxa"/>
            <w:shd w:val="clear" w:color="auto" w:fill="auto"/>
            <w:noWrap/>
          </w:tcPr>
          <w:p w14:paraId="6D16596C" w14:textId="77777777" w:rsidR="00B325D8" w:rsidRPr="00822178" w:rsidRDefault="00B325D8" w:rsidP="00560AC0">
            <w:pPr>
              <w:tabs>
                <w:tab w:val="left" w:pos="1162"/>
              </w:tabs>
              <w:rPr>
                <w:rFonts w:cs="Arial"/>
                <w:color w:val="000000"/>
                <w:sz w:val="18"/>
                <w:szCs w:val="18"/>
              </w:rPr>
            </w:pPr>
            <w:r>
              <w:rPr>
                <w:rFonts w:cs="Arial"/>
                <w:color w:val="000000"/>
                <w:sz w:val="18"/>
                <w:szCs w:val="18"/>
              </w:rPr>
              <w:t>_</w:t>
            </w:r>
            <w:proofErr w:type="spellStart"/>
            <w:r>
              <w:rPr>
                <w:rFonts w:cs="Arial"/>
                <w:color w:val="000000"/>
                <w:sz w:val="18"/>
                <w:szCs w:val="18"/>
              </w:rPr>
              <w:t>drg_inscope_flag</w:t>
            </w:r>
            <w:proofErr w:type="spellEnd"/>
          </w:p>
        </w:tc>
        <w:tc>
          <w:tcPr>
            <w:tcW w:w="3969" w:type="dxa"/>
            <w:shd w:val="clear" w:color="auto" w:fill="auto"/>
          </w:tcPr>
          <w:p w14:paraId="0D7183FE" w14:textId="77777777" w:rsidR="00B325D8" w:rsidRPr="00822178" w:rsidRDefault="00B325D8">
            <w:pPr>
              <w:tabs>
                <w:tab w:val="left" w:pos="1162"/>
              </w:tabs>
              <w:rPr>
                <w:rFonts w:cs="Arial"/>
                <w:color w:val="000000"/>
                <w:sz w:val="18"/>
                <w:szCs w:val="18"/>
              </w:rPr>
            </w:pPr>
            <w:r>
              <w:rPr>
                <w:rFonts w:cs="Arial"/>
                <w:color w:val="000000"/>
                <w:sz w:val="18"/>
                <w:szCs w:val="18"/>
              </w:rPr>
              <w:t xml:space="preserve">DRG in-scope flag </w:t>
            </w:r>
          </w:p>
        </w:tc>
        <w:tc>
          <w:tcPr>
            <w:tcW w:w="5703" w:type="dxa"/>
            <w:shd w:val="clear" w:color="auto" w:fill="auto"/>
          </w:tcPr>
          <w:p w14:paraId="56E14F36" w14:textId="77777777" w:rsidR="00B325D8" w:rsidRPr="00822178" w:rsidRDefault="00B325D8">
            <w:pPr>
              <w:tabs>
                <w:tab w:val="left" w:pos="1162"/>
              </w:tabs>
              <w:rPr>
                <w:rFonts w:cs="Arial"/>
                <w:color w:val="000000"/>
                <w:sz w:val="18"/>
                <w:szCs w:val="18"/>
              </w:rPr>
            </w:pPr>
            <w:r>
              <w:rPr>
                <w:rFonts w:cs="Arial"/>
                <w:color w:val="000000"/>
                <w:sz w:val="18"/>
                <w:szCs w:val="18"/>
              </w:rPr>
              <w:t>1 if DRG is in scope; else 0.</w:t>
            </w:r>
          </w:p>
        </w:tc>
      </w:tr>
      <w:tr w:rsidR="00B325D8" w:rsidRPr="00C525F3" w14:paraId="7DFFD8FF" w14:textId="77777777" w:rsidTr="00B325D8">
        <w:trPr>
          <w:cantSplit/>
          <w:trHeight w:val="450"/>
        </w:trPr>
        <w:tc>
          <w:tcPr>
            <w:tcW w:w="992" w:type="dxa"/>
            <w:shd w:val="clear" w:color="auto" w:fill="auto"/>
            <w:noWrap/>
          </w:tcPr>
          <w:p w14:paraId="67D1C21F"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A26</w:t>
            </w:r>
          </w:p>
        </w:tc>
        <w:tc>
          <w:tcPr>
            <w:tcW w:w="2694" w:type="dxa"/>
            <w:shd w:val="clear" w:color="auto" w:fill="auto"/>
            <w:noWrap/>
          </w:tcPr>
          <w:p w14:paraId="7511169F" w14:textId="77777777" w:rsidR="00B325D8" w:rsidRDefault="00B325D8" w:rsidP="00560AC0">
            <w:pPr>
              <w:tabs>
                <w:tab w:val="left" w:pos="1162"/>
              </w:tabs>
              <w:rPr>
                <w:rFonts w:cs="Arial"/>
                <w:color w:val="000000"/>
                <w:sz w:val="18"/>
                <w:szCs w:val="18"/>
              </w:rPr>
            </w:pPr>
            <w:proofErr w:type="spellStart"/>
            <w:r>
              <w:rPr>
                <w:rFonts w:cs="Arial"/>
                <w:color w:val="000000"/>
                <w:sz w:val="18"/>
                <w:szCs w:val="18"/>
              </w:rPr>
              <w:t>adj_spa</w:t>
            </w:r>
            <w:proofErr w:type="spellEnd"/>
          </w:p>
        </w:tc>
        <w:tc>
          <w:tcPr>
            <w:tcW w:w="3969" w:type="dxa"/>
            <w:shd w:val="clear" w:color="auto" w:fill="auto"/>
          </w:tcPr>
          <w:p w14:paraId="2B9DB92A" w14:textId="77777777" w:rsidR="00B325D8" w:rsidRDefault="00B325D8">
            <w:pPr>
              <w:tabs>
                <w:tab w:val="left" w:pos="1162"/>
              </w:tabs>
              <w:rPr>
                <w:rFonts w:cs="Arial"/>
                <w:color w:val="000000"/>
                <w:sz w:val="18"/>
                <w:szCs w:val="18"/>
              </w:rPr>
            </w:pPr>
            <w:r>
              <w:rPr>
                <w:rFonts w:cs="Arial"/>
                <w:color w:val="000000"/>
                <w:sz w:val="18"/>
                <w:szCs w:val="18"/>
              </w:rPr>
              <w:t>See definition</w:t>
            </w:r>
          </w:p>
        </w:tc>
        <w:tc>
          <w:tcPr>
            <w:tcW w:w="5703" w:type="dxa"/>
            <w:shd w:val="clear" w:color="auto" w:fill="auto"/>
          </w:tcPr>
          <w:p w14:paraId="5CD54D35" w14:textId="77777777" w:rsidR="00B325D8" w:rsidRDefault="00B325D8">
            <w:pPr>
              <w:tabs>
                <w:tab w:val="left" w:pos="1162"/>
              </w:tabs>
              <w:rPr>
                <w:rFonts w:cs="Arial"/>
                <w:color w:val="000000"/>
                <w:sz w:val="18"/>
                <w:szCs w:val="18"/>
              </w:rPr>
            </w:pPr>
            <w:r>
              <w:rPr>
                <w:rFonts w:cs="Arial"/>
                <w:color w:val="000000"/>
                <w:sz w:val="18"/>
                <w:szCs w:val="18"/>
              </w:rPr>
              <w:t>S</w:t>
            </w:r>
            <w:r w:rsidRPr="00822178">
              <w:rPr>
                <w:rFonts w:cs="Arial"/>
                <w:color w:val="000000"/>
                <w:sz w:val="18"/>
                <w:szCs w:val="18"/>
              </w:rPr>
              <w:t xml:space="preserve">pecialist </w:t>
            </w:r>
            <w:r>
              <w:rPr>
                <w:rFonts w:cs="Arial"/>
                <w:color w:val="000000"/>
                <w:sz w:val="18"/>
                <w:szCs w:val="18"/>
              </w:rPr>
              <w:t>P</w:t>
            </w:r>
            <w:r w:rsidRPr="00822178">
              <w:rPr>
                <w:rFonts w:cs="Arial"/>
                <w:color w:val="000000"/>
                <w:sz w:val="18"/>
                <w:szCs w:val="18"/>
              </w:rPr>
              <w:t xml:space="preserve">sychiatric </w:t>
            </w:r>
            <w:r>
              <w:rPr>
                <w:rFonts w:cs="Arial"/>
                <w:color w:val="000000"/>
                <w:sz w:val="18"/>
                <w:szCs w:val="18"/>
              </w:rPr>
              <w:t>A</w:t>
            </w:r>
            <w:r w:rsidRPr="00822178">
              <w:rPr>
                <w:rFonts w:cs="Arial"/>
                <w:color w:val="000000"/>
                <w:sz w:val="18"/>
                <w:szCs w:val="18"/>
              </w:rPr>
              <w:t>ge adjustment</w:t>
            </w:r>
          </w:p>
        </w:tc>
      </w:tr>
      <w:tr w:rsidR="00B325D8" w:rsidRPr="00C525F3" w14:paraId="73D9D0EB" w14:textId="77777777" w:rsidTr="00B325D8">
        <w:trPr>
          <w:cantSplit/>
          <w:trHeight w:val="450"/>
        </w:trPr>
        <w:tc>
          <w:tcPr>
            <w:tcW w:w="992" w:type="dxa"/>
            <w:shd w:val="clear" w:color="auto" w:fill="auto"/>
            <w:noWrap/>
          </w:tcPr>
          <w:p w14:paraId="0C10A34B"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A27</w:t>
            </w:r>
          </w:p>
        </w:tc>
        <w:tc>
          <w:tcPr>
            <w:tcW w:w="2694" w:type="dxa"/>
            <w:shd w:val="clear" w:color="auto" w:fill="auto"/>
            <w:noWrap/>
          </w:tcPr>
          <w:p w14:paraId="75551882" w14:textId="77777777" w:rsidR="00B325D8" w:rsidRDefault="00B325D8" w:rsidP="00560AC0">
            <w:pPr>
              <w:tabs>
                <w:tab w:val="left" w:pos="1162"/>
              </w:tabs>
              <w:rPr>
                <w:rFonts w:cs="Arial"/>
                <w:color w:val="000000"/>
                <w:sz w:val="18"/>
                <w:szCs w:val="18"/>
              </w:rPr>
            </w:pPr>
            <w:proofErr w:type="spellStart"/>
            <w:r>
              <w:rPr>
                <w:rFonts w:cs="Arial"/>
                <w:color w:val="000000"/>
                <w:sz w:val="18"/>
                <w:szCs w:val="18"/>
              </w:rPr>
              <w:t>adj_indigenous</w:t>
            </w:r>
            <w:proofErr w:type="spellEnd"/>
          </w:p>
        </w:tc>
        <w:tc>
          <w:tcPr>
            <w:tcW w:w="3969" w:type="dxa"/>
            <w:shd w:val="clear" w:color="auto" w:fill="auto"/>
          </w:tcPr>
          <w:p w14:paraId="5C9A3021" w14:textId="77777777" w:rsidR="00B325D8" w:rsidRDefault="00B325D8">
            <w:pPr>
              <w:tabs>
                <w:tab w:val="left" w:pos="1162"/>
              </w:tabs>
              <w:rPr>
                <w:rFonts w:cs="Arial"/>
                <w:color w:val="000000"/>
                <w:sz w:val="18"/>
                <w:szCs w:val="18"/>
              </w:rPr>
            </w:pPr>
            <w:r w:rsidRPr="00822178">
              <w:rPr>
                <w:rFonts w:cs="Arial"/>
                <w:color w:val="000000"/>
                <w:sz w:val="18"/>
                <w:szCs w:val="18"/>
              </w:rPr>
              <w:t>See definition</w:t>
            </w:r>
          </w:p>
        </w:tc>
        <w:tc>
          <w:tcPr>
            <w:tcW w:w="5703" w:type="dxa"/>
            <w:shd w:val="clear" w:color="auto" w:fill="auto"/>
          </w:tcPr>
          <w:p w14:paraId="22355A66" w14:textId="77777777" w:rsidR="00B325D8" w:rsidRDefault="00B325D8">
            <w:pPr>
              <w:tabs>
                <w:tab w:val="left" w:pos="1162"/>
              </w:tabs>
              <w:rPr>
                <w:rFonts w:cs="Arial"/>
                <w:color w:val="000000"/>
                <w:sz w:val="18"/>
                <w:szCs w:val="18"/>
              </w:rPr>
            </w:pPr>
            <w:r>
              <w:rPr>
                <w:rFonts w:cs="Arial"/>
                <w:color w:val="000000"/>
                <w:sz w:val="18"/>
                <w:szCs w:val="18"/>
              </w:rPr>
              <w:t>I</w:t>
            </w:r>
            <w:r w:rsidRPr="00822178">
              <w:rPr>
                <w:rFonts w:cs="Arial"/>
                <w:color w:val="000000"/>
                <w:sz w:val="18"/>
                <w:szCs w:val="18"/>
              </w:rPr>
              <w:t>ndigenous adjustment.</w:t>
            </w:r>
          </w:p>
        </w:tc>
      </w:tr>
      <w:tr w:rsidR="00B325D8" w:rsidRPr="00C525F3" w14:paraId="1B60F1F2" w14:textId="77777777" w:rsidTr="00B325D8">
        <w:trPr>
          <w:cantSplit/>
          <w:trHeight w:val="450"/>
        </w:trPr>
        <w:tc>
          <w:tcPr>
            <w:tcW w:w="992" w:type="dxa"/>
            <w:shd w:val="clear" w:color="auto" w:fill="auto"/>
            <w:noWrap/>
          </w:tcPr>
          <w:p w14:paraId="1950D98C"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A28</w:t>
            </w:r>
          </w:p>
        </w:tc>
        <w:tc>
          <w:tcPr>
            <w:tcW w:w="2694" w:type="dxa"/>
            <w:shd w:val="clear" w:color="auto" w:fill="auto"/>
            <w:noWrap/>
          </w:tcPr>
          <w:p w14:paraId="4DB69132" w14:textId="77777777" w:rsidR="00B325D8" w:rsidRDefault="00B325D8" w:rsidP="00560AC0">
            <w:pPr>
              <w:tabs>
                <w:tab w:val="left" w:pos="1162"/>
              </w:tabs>
              <w:rPr>
                <w:rFonts w:cs="Arial"/>
                <w:color w:val="000000"/>
                <w:sz w:val="18"/>
                <w:szCs w:val="18"/>
              </w:rPr>
            </w:pPr>
            <w:proofErr w:type="spellStart"/>
            <w:r>
              <w:rPr>
                <w:rFonts w:cs="Arial"/>
                <w:color w:val="000000"/>
                <w:sz w:val="18"/>
                <w:szCs w:val="18"/>
              </w:rPr>
              <w:t>adj_remoteness</w:t>
            </w:r>
            <w:proofErr w:type="spellEnd"/>
          </w:p>
        </w:tc>
        <w:tc>
          <w:tcPr>
            <w:tcW w:w="3969" w:type="dxa"/>
            <w:shd w:val="clear" w:color="auto" w:fill="auto"/>
          </w:tcPr>
          <w:p w14:paraId="6FED13FC" w14:textId="77777777" w:rsidR="00B325D8" w:rsidRDefault="00B325D8">
            <w:pPr>
              <w:tabs>
                <w:tab w:val="left" w:pos="1162"/>
              </w:tabs>
              <w:rPr>
                <w:rFonts w:cs="Arial"/>
                <w:color w:val="000000"/>
                <w:sz w:val="18"/>
                <w:szCs w:val="18"/>
              </w:rPr>
            </w:pPr>
            <w:r w:rsidRPr="00822178">
              <w:rPr>
                <w:rFonts w:cs="Arial"/>
                <w:color w:val="000000"/>
                <w:sz w:val="18"/>
                <w:szCs w:val="18"/>
              </w:rPr>
              <w:t>See definition</w:t>
            </w:r>
          </w:p>
        </w:tc>
        <w:tc>
          <w:tcPr>
            <w:tcW w:w="5703" w:type="dxa"/>
            <w:shd w:val="clear" w:color="auto" w:fill="auto"/>
          </w:tcPr>
          <w:p w14:paraId="7524AF2B" w14:textId="77777777" w:rsidR="00B325D8" w:rsidRDefault="00B325D8">
            <w:pPr>
              <w:tabs>
                <w:tab w:val="left" w:pos="1162"/>
              </w:tabs>
              <w:rPr>
                <w:rFonts w:cs="Arial"/>
                <w:color w:val="000000"/>
                <w:sz w:val="18"/>
                <w:szCs w:val="18"/>
              </w:rPr>
            </w:pPr>
            <w:r>
              <w:rPr>
                <w:rFonts w:cs="Arial"/>
                <w:color w:val="000000"/>
                <w:sz w:val="18"/>
                <w:szCs w:val="18"/>
              </w:rPr>
              <w:t>Remoteness</w:t>
            </w:r>
            <w:r w:rsidRPr="00822178">
              <w:rPr>
                <w:rFonts w:cs="Arial"/>
                <w:color w:val="000000"/>
                <w:sz w:val="18"/>
                <w:szCs w:val="18"/>
              </w:rPr>
              <w:t xml:space="preserve"> adjustment.</w:t>
            </w:r>
          </w:p>
        </w:tc>
      </w:tr>
      <w:tr w:rsidR="00B325D8" w:rsidRPr="00C525F3" w14:paraId="7868AD3D" w14:textId="77777777" w:rsidTr="00B325D8">
        <w:trPr>
          <w:cantSplit/>
          <w:trHeight w:val="450"/>
        </w:trPr>
        <w:tc>
          <w:tcPr>
            <w:tcW w:w="992" w:type="dxa"/>
            <w:shd w:val="clear" w:color="auto" w:fill="auto"/>
            <w:noWrap/>
          </w:tcPr>
          <w:p w14:paraId="20B0C0F8"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A29</w:t>
            </w:r>
          </w:p>
        </w:tc>
        <w:tc>
          <w:tcPr>
            <w:tcW w:w="2694" w:type="dxa"/>
            <w:shd w:val="clear" w:color="auto" w:fill="auto"/>
            <w:noWrap/>
          </w:tcPr>
          <w:p w14:paraId="37E7A2AA" w14:textId="77777777" w:rsidR="00B325D8" w:rsidRPr="00C94607" w:rsidRDefault="00B325D8" w:rsidP="00560AC0">
            <w:pPr>
              <w:tabs>
                <w:tab w:val="left" w:pos="1162"/>
              </w:tabs>
              <w:rPr>
                <w:rFonts w:cs="Arial"/>
                <w:color w:val="000000"/>
                <w:sz w:val="18"/>
                <w:szCs w:val="18"/>
              </w:rPr>
            </w:pPr>
            <w:proofErr w:type="spellStart"/>
            <w:r>
              <w:rPr>
                <w:rFonts w:cs="Arial"/>
                <w:color w:val="000000"/>
                <w:sz w:val="18"/>
                <w:szCs w:val="18"/>
              </w:rPr>
              <w:t>adj_radiotherapy</w:t>
            </w:r>
            <w:proofErr w:type="spellEnd"/>
          </w:p>
        </w:tc>
        <w:tc>
          <w:tcPr>
            <w:tcW w:w="3969" w:type="dxa"/>
            <w:shd w:val="clear" w:color="auto" w:fill="auto"/>
          </w:tcPr>
          <w:p w14:paraId="4C5832EB" w14:textId="77777777" w:rsidR="00B325D8" w:rsidRDefault="00B325D8">
            <w:pPr>
              <w:tabs>
                <w:tab w:val="left" w:pos="1162"/>
              </w:tabs>
              <w:rPr>
                <w:rFonts w:cs="Arial"/>
                <w:color w:val="000000"/>
                <w:sz w:val="18"/>
                <w:szCs w:val="18"/>
              </w:rPr>
            </w:pPr>
            <w:r w:rsidRPr="00822178">
              <w:rPr>
                <w:rFonts w:cs="Arial"/>
                <w:color w:val="000000"/>
                <w:sz w:val="18"/>
                <w:szCs w:val="18"/>
              </w:rPr>
              <w:t>See definition</w:t>
            </w:r>
          </w:p>
        </w:tc>
        <w:tc>
          <w:tcPr>
            <w:tcW w:w="5703" w:type="dxa"/>
            <w:shd w:val="clear" w:color="auto" w:fill="auto"/>
          </w:tcPr>
          <w:p w14:paraId="6EA62F12" w14:textId="77777777" w:rsidR="00B325D8" w:rsidRDefault="00B325D8">
            <w:pPr>
              <w:tabs>
                <w:tab w:val="left" w:pos="1162"/>
              </w:tabs>
              <w:rPr>
                <w:rFonts w:cs="Arial"/>
                <w:color w:val="000000"/>
                <w:sz w:val="18"/>
                <w:szCs w:val="18"/>
              </w:rPr>
            </w:pPr>
            <w:r>
              <w:rPr>
                <w:rFonts w:cs="Arial"/>
                <w:color w:val="000000"/>
                <w:sz w:val="18"/>
                <w:szCs w:val="18"/>
              </w:rPr>
              <w:t>Radiotherapy</w:t>
            </w:r>
            <w:r w:rsidRPr="00822178">
              <w:rPr>
                <w:rFonts w:cs="Arial"/>
                <w:color w:val="000000"/>
                <w:sz w:val="18"/>
                <w:szCs w:val="18"/>
              </w:rPr>
              <w:t xml:space="preserve"> adjustment.</w:t>
            </w:r>
          </w:p>
        </w:tc>
      </w:tr>
      <w:tr w:rsidR="00B325D8" w:rsidRPr="00C525F3" w14:paraId="018E1CAA" w14:textId="77777777" w:rsidTr="00B325D8">
        <w:trPr>
          <w:cantSplit/>
          <w:trHeight w:val="450"/>
        </w:trPr>
        <w:tc>
          <w:tcPr>
            <w:tcW w:w="992" w:type="dxa"/>
            <w:shd w:val="clear" w:color="auto" w:fill="auto"/>
            <w:noWrap/>
          </w:tcPr>
          <w:p w14:paraId="1CE5D2E2"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A30</w:t>
            </w:r>
          </w:p>
        </w:tc>
        <w:tc>
          <w:tcPr>
            <w:tcW w:w="2694" w:type="dxa"/>
            <w:shd w:val="clear" w:color="auto" w:fill="auto"/>
            <w:noWrap/>
          </w:tcPr>
          <w:p w14:paraId="37D7F5E1" w14:textId="77777777" w:rsidR="00B325D8" w:rsidRDefault="00B325D8" w:rsidP="00560AC0">
            <w:pPr>
              <w:tabs>
                <w:tab w:val="left" w:pos="1162"/>
              </w:tabs>
              <w:rPr>
                <w:rFonts w:cs="Arial"/>
                <w:color w:val="000000"/>
                <w:sz w:val="18"/>
                <w:szCs w:val="18"/>
              </w:rPr>
            </w:pPr>
            <w:proofErr w:type="spellStart"/>
            <w:r>
              <w:rPr>
                <w:rFonts w:cs="Arial"/>
                <w:color w:val="000000"/>
                <w:sz w:val="18"/>
                <w:szCs w:val="18"/>
              </w:rPr>
              <w:t>adj_dialysis</w:t>
            </w:r>
            <w:proofErr w:type="spellEnd"/>
          </w:p>
        </w:tc>
        <w:tc>
          <w:tcPr>
            <w:tcW w:w="3969" w:type="dxa"/>
            <w:shd w:val="clear" w:color="auto" w:fill="auto"/>
          </w:tcPr>
          <w:p w14:paraId="7300810B" w14:textId="77777777" w:rsidR="00B325D8" w:rsidRDefault="00B325D8">
            <w:pPr>
              <w:tabs>
                <w:tab w:val="left" w:pos="1162"/>
              </w:tabs>
              <w:rPr>
                <w:rFonts w:cs="Arial"/>
                <w:color w:val="000000"/>
                <w:sz w:val="18"/>
                <w:szCs w:val="18"/>
              </w:rPr>
            </w:pPr>
            <w:r w:rsidRPr="00822178">
              <w:rPr>
                <w:rFonts w:cs="Arial"/>
                <w:color w:val="000000"/>
                <w:sz w:val="18"/>
                <w:szCs w:val="18"/>
              </w:rPr>
              <w:t>See definition</w:t>
            </w:r>
          </w:p>
        </w:tc>
        <w:tc>
          <w:tcPr>
            <w:tcW w:w="5703" w:type="dxa"/>
            <w:shd w:val="clear" w:color="auto" w:fill="auto"/>
          </w:tcPr>
          <w:p w14:paraId="756367B2" w14:textId="77777777" w:rsidR="00B325D8" w:rsidRDefault="00B325D8">
            <w:pPr>
              <w:tabs>
                <w:tab w:val="left" w:pos="1162"/>
              </w:tabs>
              <w:rPr>
                <w:rFonts w:cs="Arial"/>
                <w:color w:val="000000"/>
                <w:sz w:val="18"/>
                <w:szCs w:val="18"/>
              </w:rPr>
            </w:pPr>
            <w:r>
              <w:rPr>
                <w:rFonts w:cs="Arial"/>
                <w:color w:val="000000"/>
                <w:sz w:val="18"/>
                <w:szCs w:val="18"/>
              </w:rPr>
              <w:t>Dialysis</w:t>
            </w:r>
            <w:r w:rsidRPr="00822178">
              <w:rPr>
                <w:rFonts w:cs="Arial"/>
                <w:color w:val="000000"/>
                <w:sz w:val="18"/>
                <w:szCs w:val="18"/>
              </w:rPr>
              <w:t xml:space="preserve"> adjustment.</w:t>
            </w:r>
          </w:p>
        </w:tc>
      </w:tr>
      <w:tr w:rsidR="00B325D8" w:rsidRPr="00C525F3" w14:paraId="1A9FF8BE" w14:textId="77777777" w:rsidTr="00B325D8">
        <w:trPr>
          <w:cantSplit/>
          <w:trHeight w:val="450"/>
        </w:trPr>
        <w:tc>
          <w:tcPr>
            <w:tcW w:w="992" w:type="dxa"/>
            <w:shd w:val="clear" w:color="auto" w:fill="auto"/>
            <w:noWrap/>
          </w:tcPr>
          <w:p w14:paraId="2C43890E"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A31</w:t>
            </w:r>
          </w:p>
        </w:tc>
        <w:tc>
          <w:tcPr>
            <w:tcW w:w="2694" w:type="dxa"/>
            <w:shd w:val="clear" w:color="auto" w:fill="auto"/>
            <w:noWrap/>
          </w:tcPr>
          <w:p w14:paraId="35EDA545" w14:textId="77777777" w:rsidR="00B325D8" w:rsidRDefault="00B325D8" w:rsidP="00560AC0">
            <w:pPr>
              <w:tabs>
                <w:tab w:val="left" w:pos="1162"/>
              </w:tabs>
              <w:rPr>
                <w:rFonts w:cs="Arial"/>
                <w:color w:val="000000"/>
                <w:sz w:val="18"/>
                <w:szCs w:val="18"/>
              </w:rPr>
            </w:pPr>
            <w:proofErr w:type="spellStart"/>
            <w:r w:rsidRPr="00822178">
              <w:rPr>
                <w:rFonts w:cs="Arial"/>
                <w:color w:val="000000"/>
                <w:sz w:val="18"/>
                <w:szCs w:val="18"/>
              </w:rPr>
              <w:t>state_adj_privpat_accomm_sd</w:t>
            </w:r>
            <w:proofErr w:type="spellEnd"/>
          </w:p>
        </w:tc>
        <w:tc>
          <w:tcPr>
            <w:tcW w:w="3969" w:type="dxa"/>
            <w:shd w:val="clear" w:color="auto" w:fill="auto"/>
          </w:tcPr>
          <w:p w14:paraId="78EA10F8" w14:textId="77777777" w:rsidR="00B325D8" w:rsidRDefault="00B325D8">
            <w:pPr>
              <w:tabs>
                <w:tab w:val="left" w:pos="1162"/>
              </w:tabs>
              <w:rPr>
                <w:rFonts w:cs="Arial"/>
                <w:color w:val="000000"/>
                <w:sz w:val="18"/>
                <w:szCs w:val="18"/>
              </w:rPr>
            </w:pPr>
            <w:r w:rsidRPr="00822178">
              <w:rPr>
                <w:rFonts w:cs="Arial"/>
                <w:color w:val="000000"/>
                <w:sz w:val="18"/>
                <w:szCs w:val="18"/>
              </w:rPr>
              <w:t>See definition</w:t>
            </w:r>
          </w:p>
        </w:tc>
        <w:tc>
          <w:tcPr>
            <w:tcW w:w="5703" w:type="dxa"/>
            <w:shd w:val="clear" w:color="auto" w:fill="auto"/>
          </w:tcPr>
          <w:p w14:paraId="4699F02E" w14:textId="77777777" w:rsidR="00B325D8" w:rsidRDefault="00B325D8">
            <w:pPr>
              <w:tabs>
                <w:tab w:val="left" w:pos="1162"/>
              </w:tabs>
              <w:rPr>
                <w:rFonts w:cs="Arial"/>
                <w:color w:val="000000"/>
                <w:sz w:val="18"/>
                <w:szCs w:val="18"/>
              </w:rPr>
            </w:pPr>
            <w:r>
              <w:rPr>
                <w:rFonts w:cs="Arial"/>
                <w:color w:val="000000"/>
                <w:sz w:val="18"/>
                <w:szCs w:val="18"/>
              </w:rPr>
              <w:t>P</w:t>
            </w:r>
            <w:r w:rsidRPr="00822178">
              <w:rPr>
                <w:rFonts w:cs="Arial"/>
                <w:color w:val="000000"/>
                <w:sz w:val="18"/>
                <w:szCs w:val="18"/>
              </w:rPr>
              <w:t>rivate patient accommodation adjustment: same-day rate (state-specific adjustment).</w:t>
            </w:r>
          </w:p>
        </w:tc>
      </w:tr>
      <w:tr w:rsidR="00B325D8" w:rsidRPr="00C525F3" w14:paraId="658AF905" w14:textId="77777777" w:rsidTr="00B325D8">
        <w:trPr>
          <w:cantSplit/>
          <w:trHeight w:val="450"/>
        </w:trPr>
        <w:tc>
          <w:tcPr>
            <w:tcW w:w="992" w:type="dxa"/>
            <w:shd w:val="clear" w:color="auto" w:fill="auto"/>
            <w:noWrap/>
          </w:tcPr>
          <w:p w14:paraId="222033B7"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A32</w:t>
            </w:r>
          </w:p>
        </w:tc>
        <w:tc>
          <w:tcPr>
            <w:tcW w:w="2694" w:type="dxa"/>
            <w:shd w:val="clear" w:color="auto" w:fill="auto"/>
            <w:noWrap/>
          </w:tcPr>
          <w:p w14:paraId="486CA7EE" w14:textId="77777777" w:rsidR="00B325D8" w:rsidRDefault="00B325D8" w:rsidP="00560AC0">
            <w:pPr>
              <w:tabs>
                <w:tab w:val="left" w:pos="1162"/>
              </w:tabs>
              <w:rPr>
                <w:rFonts w:cs="Arial"/>
                <w:color w:val="000000"/>
                <w:sz w:val="18"/>
                <w:szCs w:val="18"/>
              </w:rPr>
            </w:pPr>
            <w:proofErr w:type="spellStart"/>
            <w:r w:rsidRPr="00822178">
              <w:rPr>
                <w:rFonts w:cs="Arial"/>
                <w:color w:val="000000"/>
                <w:sz w:val="18"/>
                <w:szCs w:val="18"/>
              </w:rPr>
              <w:t>state_adj_privpat_accomm_on</w:t>
            </w:r>
            <w:proofErr w:type="spellEnd"/>
          </w:p>
        </w:tc>
        <w:tc>
          <w:tcPr>
            <w:tcW w:w="3969" w:type="dxa"/>
            <w:shd w:val="clear" w:color="auto" w:fill="auto"/>
          </w:tcPr>
          <w:p w14:paraId="0B7334FF" w14:textId="77777777" w:rsidR="00B325D8" w:rsidRDefault="00B325D8">
            <w:pPr>
              <w:tabs>
                <w:tab w:val="left" w:pos="1162"/>
              </w:tabs>
              <w:rPr>
                <w:rFonts w:cs="Arial"/>
                <w:color w:val="000000"/>
                <w:sz w:val="18"/>
                <w:szCs w:val="18"/>
              </w:rPr>
            </w:pPr>
            <w:r w:rsidRPr="00822178">
              <w:rPr>
                <w:rFonts w:cs="Arial"/>
                <w:color w:val="000000"/>
                <w:sz w:val="18"/>
                <w:szCs w:val="18"/>
              </w:rPr>
              <w:t>See definition</w:t>
            </w:r>
          </w:p>
        </w:tc>
        <w:tc>
          <w:tcPr>
            <w:tcW w:w="5703" w:type="dxa"/>
            <w:shd w:val="clear" w:color="auto" w:fill="auto"/>
          </w:tcPr>
          <w:p w14:paraId="5DC4E4D0" w14:textId="77777777" w:rsidR="00B325D8" w:rsidRDefault="00B325D8">
            <w:pPr>
              <w:tabs>
                <w:tab w:val="left" w:pos="1162"/>
              </w:tabs>
              <w:rPr>
                <w:rFonts w:cs="Arial"/>
                <w:color w:val="000000"/>
                <w:sz w:val="18"/>
                <w:szCs w:val="18"/>
              </w:rPr>
            </w:pPr>
            <w:r>
              <w:rPr>
                <w:rFonts w:cs="Arial"/>
                <w:color w:val="000000"/>
                <w:sz w:val="18"/>
                <w:szCs w:val="18"/>
              </w:rPr>
              <w:t>P</w:t>
            </w:r>
            <w:r w:rsidRPr="00822178">
              <w:rPr>
                <w:rFonts w:cs="Arial"/>
                <w:color w:val="000000"/>
                <w:sz w:val="18"/>
                <w:szCs w:val="18"/>
              </w:rPr>
              <w:t>rivate patient accommodation adjustment: overnight per diem rate (state-specific adjustment).</w:t>
            </w:r>
          </w:p>
        </w:tc>
      </w:tr>
      <w:tr w:rsidR="00B325D8" w:rsidRPr="00C525F3" w14:paraId="51BDB47C" w14:textId="77777777" w:rsidTr="00B325D8">
        <w:trPr>
          <w:cantSplit/>
          <w:trHeight w:val="450"/>
        </w:trPr>
        <w:tc>
          <w:tcPr>
            <w:tcW w:w="992" w:type="dxa"/>
            <w:shd w:val="clear" w:color="auto" w:fill="auto"/>
            <w:noWrap/>
          </w:tcPr>
          <w:p w14:paraId="1145D79C"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A33</w:t>
            </w:r>
          </w:p>
        </w:tc>
        <w:tc>
          <w:tcPr>
            <w:tcW w:w="2694" w:type="dxa"/>
            <w:shd w:val="clear" w:color="auto" w:fill="auto"/>
            <w:noWrap/>
          </w:tcPr>
          <w:p w14:paraId="3F6D282E" w14:textId="77777777" w:rsidR="00B325D8" w:rsidRDefault="00B325D8" w:rsidP="00560AC0">
            <w:pPr>
              <w:tabs>
                <w:tab w:val="left" w:pos="1162"/>
              </w:tabs>
              <w:rPr>
                <w:rFonts w:cs="Arial"/>
                <w:color w:val="000000"/>
                <w:sz w:val="18"/>
                <w:szCs w:val="18"/>
              </w:rPr>
            </w:pPr>
            <w:proofErr w:type="spellStart"/>
            <w:r>
              <w:rPr>
                <w:rFonts w:cs="Arial"/>
                <w:color w:val="000000"/>
                <w:sz w:val="18"/>
                <w:szCs w:val="18"/>
              </w:rPr>
              <w:t>Error_Code</w:t>
            </w:r>
            <w:proofErr w:type="spellEnd"/>
          </w:p>
        </w:tc>
        <w:tc>
          <w:tcPr>
            <w:tcW w:w="3969" w:type="dxa"/>
            <w:shd w:val="clear" w:color="auto" w:fill="auto"/>
          </w:tcPr>
          <w:p w14:paraId="59AB4281" w14:textId="77777777" w:rsidR="00B325D8" w:rsidRDefault="00B325D8">
            <w:pPr>
              <w:tabs>
                <w:tab w:val="left" w:pos="1162"/>
              </w:tabs>
              <w:rPr>
                <w:rFonts w:cs="Arial"/>
                <w:color w:val="000000"/>
                <w:sz w:val="18"/>
                <w:szCs w:val="18"/>
              </w:rPr>
            </w:pPr>
            <w:r>
              <w:rPr>
                <w:rFonts w:cs="Arial"/>
                <w:color w:val="000000"/>
                <w:sz w:val="18"/>
                <w:szCs w:val="18"/>
              </w:rPr>
              <w:t>See definition</w:t>
            </w:r>
          </w:p>
        </w:tc>
        <w:tc>
          <w:tcPr>
            <w:tcW w:w="5703" w:type="dxa"/>
            <w:shd w:val="clear" w:color="auto" w:fill="auto"/>
          </w:tcPr>
          <w:p w14:paraId="1A2327E1" w14:textId="77777777" w:rsidR="00B325D8" w:rsidRDefault="00B325D8">
            <w:pPr>
              <w:tabs>
                <w:tab w:val="left" w:pos="1162"/>
              </w:tabs>
              <w:rPr>
                <w:rFonts w:cs="Arial"/>
                <w:color w:val="000000"/>
                <w:sz w:val="18"/>
                <w:szCs w:val="18"/>
              </w:rPr>
            </w:pPr>
            <w:r>
              <w:rPr>
                <w:rFonts w:cs="Arial"/>
                <w:color w:val="000000"/>
                <w:sz w:val="18"/>
                <w:szCs w:val="18"/>
              </w:rPr>
              <w:t>Outlines Errors in calculations</w:t>
            </w:r>
          </w:p>
        </w:tc>
      </w:tr>
      <w:tr w:rsidR="00B325D8" w:rsidRPr="00C525F3" w14:paraId="5001F238" w14:textId="77777777" w:rsidTr="00B325D8">
        <w:trPr>
          <w:cantSplit/>
          <w:trHeight w:val="450"/>
        </w:trPr>
        <w:tc>
          <w:tcPr>
            <w:tcW w:w="992" w:type="dxa"/>
            <w:shd w:val="clear" w:color="auto" w:fill="auto"/>
            <w:noWrap/>
          </w:tcPr>
          <w:p w14:paraId="28BE34E3"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lastRenderedPageBreak/>
              <w:t>A34</w:t>
            </w:r>
          </w:p>
        </w:tc>
        <w:tc>
          <w:tcPr>
            <w:tcW w:w="2694" w:type="dxa"/>
            <w:shd w:val="clear" w:color="auto" w:fill="auto"/>
            <w:noWrap/>
          </w:tcPr>
          <w:p w14:paraId="23FFB4AB" w14:textId="77777777" w:rsidR="00B325D8" w:rsidRDefault="00B325D8"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w:t>
            </w:r>
            <w:r>
              <w:rPr>
                <w:rFonts w:cs="Arial"/>
                <w:color w:val="000000"/>
                <w:sz w:val="18"/>
                <w:szCs w:val="18"/>
              </w:rPr>
              <w:t>eligible_</w:t>
            </w:r>
            <w:r w:rsidRPr="00822178">
              <w:rPr>
                <w:rFonts w:cs="Arial"/>
                <w:color w:val="000000"/>
                <w:sz w:val="18"/>
                <w:szCs w:val="18"/>
              </w:rPr>
              <w:t>icu_hours</w:t>
            </w:r>
            <w:proofErr w:type="spellEnd"/>
          </w:p>
        </w:tc>
        <w:tc>
          <w:tcPr>
            <w:tcW w:w="3969" w:type="dxa"/>
            <w:shd w:val="clear" w:color="auto" w:fill="auto"/>
          </w:tcPr>
          <w:p w14:paraId="23C2D38C" w14:textId="77777777" w:rsidR="00B325D8" w:rsidRDefault="00B325D8">
            <w:pPr>
              <w:tabs>
                <w:tab w:val="left" w:pos="1162"/>
              </w:tabs>
              <w:rPr>
                <w:rFonts w:cs="Arial"/>
                <w:color w:val="000000"/>
                <w:sz w:val="18"/>
                <w:szCs w:val="18"/>
              </w:rPr>
            </w:pPr>
            <w:r w:rsidRPr="00822178">
              <w:rPr>
                <w:rFonts w:cs="Arial"/>
                <w:color w:val="000000"/>
                <w:sz w:val="18"/>
                <w:szCs w:val="18"/>
              </w:rPr>
              <w:t xml:space="preserve">Whole </w:t>
            </w:r>
            <w:r>
              <w:rPr>
                <w:rFonts w:cs="Arial"/>
                <w:color w:val="000000"/>
                <w:sz w:val="18"/>
                <w:szCs w:val="18"/>
              </w:rPr>
              <w:t xml:space="preserve">eligible </w:t>
            </w:r>
            <w:r w:rsidRPr="00822178">
              <w:rPr>
                <w:rFonts w:cs="Arial"/>
                <w:color w:val="000000"/>
                <w:sz w:val="18"/>
                <w:szCs w:val="18"/>
              </w:rPr>
              <w:t>hours spent in ICU</w:t>
            </w:r>
          </w:p>
        </w:tc>
        <w:tc>
          <w:tcPr>
            <w:tcW w:w="5703" w:type="dxa"/>
            <w:shd w:val="clear" w:color="auto" w:fill="auto"/>
          </w:tcPr>
          <w:p w14:paraId="043A6A05" w14:textId="77777777" w:rsidR="00B325D8" w:rsidRDefault="00B325D8">
            <w:pPr>
              <w:tabs>
                <w:tab w:val="left" w:pos="1162"/>
              </w:tabs>
              <w:rPr>
                <w:rFonts w:cs="Arial"/>
                <w:color w:val="000000"/>
                <w:sz w:val="18"/>
                <w:szCs w:val="18"/>
              </w:rPr>
            </w:pPr>
            <w:r>
              <w:rPr>
                <w:rFonts w:cs="Arial"/>
                <w:color w:val="000000"/>
                <w:sz w:val="18"/>
                <w:szCs w:val="18"/>
              </w:rPr>
              <w:t>T</w:t>
            </w:r>
            <w:r w:rsidRPr="00822178">
              <w:rPr>
                <w:rFonts w:cs="Arial"/>
                <w:color w:val="000000"/>
                <w:sz w:val="18"/>
                <w:szCs w:val="18"/>
              </w:rPr>
              <w:t>otal whole Hours Spent in Intensive Care Unit if hours are gre</w:t>
            </w:r>
            <w:r>
              <w:rPr>
                <w:rFonts w:cs="Arial"/>
                <w:color w:val="000000"/>
                <w:sz w:val="18"/>
                <w:szCs w:val="18"/>
              </w:rPr>
              <w:t>ater than or equal to 1; else</w:t>
            </w:r>
            <w:r>
              <w:rPr>
                <w:rFonts w:cs="Arial"/>
                <w:color w:val="000000"/>
                <w:sz w:val="18"/>
                <w:szCs w:val="18"/>
              </w:rPr>
              <w:br/>
              <w:t>0, for unbundled DRGs and eligible establishments</w:t>
            </w:r>
          </w:p>
        </w:tc>
      </w:tr>
      <w:tr w:rsidR="00B325D8" w:rsidRPr="00C525F3" w14:paraId="10F5263E" w14:textId="77777777" w:rsidTr="00B325D8">
        <w:trPr>
          <w:cantSplit/>
          <w:trHeight w:val="450"/>
        </w:trPr>
        <w:tc>
          <w:tcPr>
            <w:tcW w:w="992" w:type="dxa"/>
            <w:shd w:val="clear" w:color="auto" w:fill="auto"/>
            <w:noWrap/>
          </w:tcPr>
          <w:p w14:paraId="6A248E3E"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A35</w:t>
            </w:r>
          </w:p>
        </w:tc>
        <w:tc>
          <w:tcPr>
            <w:tcW w:w="2694" w:type="dxa"/>
            <w:shd w:val="clear" w:color="auto" w:fill="auto"/>
            <w:noWrap/>
          </w:tcPr>
          <w:p w14:paraId="1771C5C1" w14:textId="77777777" w:rsidR="00B325D8" w:rsidRDefault="00B325D8" w:rsidP="00560AC0">
            <w:pPr>
              <w:tabs>
                <w:tab w:val="left" w:pos="1162"/>
              </w:tabs>
              <w:rPr>
                <w:rFonts w:cs="Arial"/>
                <w:color w:val="000000"/>
                <w:sz w:val="18"/>
                <w:szCs w:val="18"/>
              </w:rPr>
            </w:pPr>
            <w:r>
              <w:rPr>
                <w:rFonts w:cs="Arial"/>
                <w:color w:val="000000"/>
                <w:sz w:val="18"/>
                <w:szCs w:val="18"/>
              </w:rPr>
              <w:t>_</w:t>
            </w:r>
            <w:proofErr w:type="spellStart"/>
            <w:r>
              <w:rPr>
                <w:rFonts w:cs="Arial"/>
                <w:color w:val="000000"/>
                <w:sz w:val="18"/>
                <w:szCs w:val="18"/>
              </w:rPr>
              <w:t>pat_lost_icu_removed</w:t>
            </w:r>
            <w:proofErr w:type="spellEnd"/>
          </w:p>
        </w:tc>
        <w:tc>
          <w:tcPr>
            <w:tcW w:w="3969" w:type="dxa"/>
            <w:shd w:val="clear" w:color="auto" w:fill="auto"/>
          </w:tcPr>
          <w:p w14:paraId="02BC3FCE" w14:textId="77777777" w:rsidR="00B325D8" w:rsidRDefault="00B325D8">
            <w:pPr>
              <w:tabs>
                <w:tab w:val="left" w:pos="1162"/>
              </w:tabs>
              <w:rPr>
                <w:rFonts w:cs="Arial"/>
                <w:color w:val="000000"/>
                <w:sz w:val="18"/>
                <w:szCs w:val="18"/>
              </w:rPr>
            </w:pPr>
            <w:r>
              <w:rPr>
                <w:rFonts w:cs="Arial"/>
                <w:color w:val="000000"/>
                <w:sz w:val="18"/>
                <w:szCs w:val="18"/>
              </w:rPr>
              <w:t>See Definition</w:t>
            </w:r>
          </w:p>
        </w:tc>
        <w:tc>
          <w:tcPr>
            <w:tcW w:w="5703" w:type="dxa"/>
            <w:shd w:val="clear" w:color="auto" w:fill="auto"/>
          </w:tcPr>
          <w:p w14:paraId="0AE86847" w14:textId="77777777" w:rsidR="00B325D8" w:rsidRDefault="00B325D8">
            <w:pPr>
              <w:tabs>
                <w:tab w:val="left" w:pos="1162"/>
              </w:tabs>
              <w:rPr>
                <w:rFonts w:cs="Arial"/>
                <w:color w:val="000000"/>
                <w:sz w:val="18"/>
                <w:szCs w:val="18"/>
              </w:rPr>
            </w:pPr>
            <w:r>
              <w:rPr>
                <w:rFonts w:cs="Arial"/>
                <w:color w:val="000000"/>
                <w:sz w:val="18"/>
                <w:szCs w:val="18"/>
              </w:rPr>
              <w:t xml:space="preserve">Patient length of stay with ICU hours removed </w:t>
            </w:r>
          </w:p>
        </w:tc>
      </w:tr>
      <w:tr w:rsidR="00B325D8" w:rsidRPr="00C525F3" w14:paraId="0C2BABE8" w14:textId="77777777" w:rsidTr="00B325D8">
        <w:trPr>
          <w:cantSplit/>
          <w:trHeight w:val="450"/>
        </w:trPr>
        <w:tc>
          <w:tcPr>
            <w:tcW w:w="992" w:type="dxa"/>
            <w:shd w:val="clear" w:color="auto" w:fill="auto"/>
            <w:noWrap/>
          </w:tcPr>
          <w:p w14:paraId="5EE19F34" w14:textId="7777777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A36</w:t>
            </w:r>
          </w:p>
        </w:tc>
        <w:tc>
          <w:tcPr>
            <w:tcW w:w="2694" w:type="dxa"/>
            <w:shd w:val="clear" w:color="auto" w:fill="auto"/>
            <w:noWrap/>
          </w:tcPr>
          <w:p w14:paraId="10A56DFD" w14:textId="77777777" w:rsidR="00B325D8" w:rsidRDefault="00B325D8" w:rsidP="00560AC0">
            <w:pPr>
              <w:tabs>
                <w:tab w:val="left" w:pos="1162"/>
              </w:tabs>
              <w:rPr>
                <w:rFonts w:cs="Arial"/>
                <w:color w:val="000000"/>
                <w:sz w:val="18"/>
                <w:szCs w:val="18"/>
              </w:rPr>
            </w:pPr>
            <w:r>
              <w:rPr>
                <w:rFonts w:cs="Arial"/>
                <w:color w:val="000000"/>
                <w:sz w:val="18"/>
                <w:szCs w:val="18"/>
              </w:rPr>
              <w:t>_</w:t>
            </w:r>
            <w:proofErr w:type="spellStart"/>
            <w:r>
              <w:rPr>
                <w:rFonts w:cs="Arial"/>
                <w:color w:val="000000"/>
                <w:sz w:val="18"/>
                <w:szCs w:val="18"/>
              </w:rPr>
              <w:t>pat_separation_category</w:t>
            </w:r>
            <w:proofErr w:type="spellEnd"/>
          </w:p>
        </w:tc>
        <w:tc>
          <w:tcPr>
            <w:tcW w:w="3969" w:type="dxa"/>
            <w:shd w:val="clear" w:color="auto" w:fill="auto"/>
          </w:tcPr>
          <w:p w14:paraId="357947D8" w14:textId="77777777" w:rsidR="00B325D8" w:rsidRDefault="00B325D8">
            <w:pPr>
              <w:tabs>
                <w:tab w:val="left" w:pos="1162"/>
              </w:tabs>
              <w:rPr>
                <w:rFonts w:cs="Arial"/>
                <w:color w:val="000000"/>
                <w:sz w:val="18"/>
                <w:szCs w:val="18"/>
              </w:rPr>
            </w:pPr>
            <w:r>
              <w:rPr>
                <w:rFonts w:cs="Arial"/>
                <w:color w:val="000000"/>
                <w:sz w:val="18"/>
                <w:szCs w:val="18"/>
              </w:rPr>
              <w:t>See definition</w:t>
            </w:r>
          </w:p>
        </w:tc>
        <w:tc>
          <w:tcPr>
            <w:tcW w:w="5703" w:type="dxa"/>
            <w:shd w:val="clear" w:color="auto" w:fill="auto"/>
          </w:tcPr>
          <w:p w14:paraId="08C60782" w14:textId="77777777" w:rsidR="00B325D8" w:rsidRDefault="00B325D8">
            <w:pPr>
              <w:tabs>
                <w:tab w:val="left" w:pos="1162"/>
              </w:tabs>
              <w:rPr>
                <w:rFonts w:cs="Arial"/>
                <w:color w:val="000000"/>
                <w:sz w:val="18"/>
                <w:szCs w:val="18"/>
              </w:rPr>
            </w:pPr>
            <w:r>
              <w:rPr>
                <w:rFonts w:cs="Arial"/>
                <w:color w:val="000000"/>
                <w:sz w:val="18"/>
                <w:szCs w:val="18"/>
              </w:rPr>
              <w:t xml:space="preserve">Patient separation category: </w:t>
            </w:r>
          </w:p>
          <w:p w14:paraId="301AB821" w14:textId="77777777" w:rsidR="00B325D8" w:rsidRPr="00FA3851" w:rsidRDefault="00B325D8">
            <w:pPr>
              <w:tabs>
                <w:tab w:val="left" w:pos="1162"/>
              </w:tabs>
              <w:rPr>
                <w:rFonts w:cs="Arial"/>
                <w:color w:val="000000"/>
                <w:sz w:val="18"/>
                <w:szCs w:val="18"/>
              </w:rPr>
            </w:pPr>
            <w:r w:rsidRPr="006547D9">
              <w:rPr>
                <w:rFonts w:cs="Arial"/>
                <w:color w:val="000000"/>
                <w:sz w:val="18"/>
                <w:szCs w:val="18"/>
              </w:rPr>
              <w:t>1</w:t>
            </w:r>
            <w:r>
              <w:rPr>
                <w:rFonts w:cs="Arial"/>
                <w:color w:val="000000"/>
                <w:sz w:val="18"/>
                <w:szCs w:val="18"/>
              </w:rPr>
              <w:t>:</w:t>
            </w:r>
            <w:r w:rsidRPr="00FA3851">
              <w:rPr>
                <w:rFonts w:cs="Arial"/>
                <w:color w:val="000000"/>
                <w:sz w:val="18"/>
                <w:szCs w:val="18"/>
              </w:rPr>
              <w:t xml:space="preserve"> </w:t>
            </w:r>
            <w:proofErr w:type="spellStart"/>
            <w:r w:rsidRPr="00FA3851">
              <w:rPr>
                <w:rFonts w:cs="Arial"/>
                <w:color w:val="000000"/>
                <w:sz w:val="18"/>
                <w:szCs w:val="18"/>
              </w:rPr>
              <w:t>Sameday</w:t>
            </w:r>
            <w:proofErr w:type="spellEnd"/>
            <w:r>
              <w:rPr>
                <w:rFonts w:cs="Arial"/>
                <w:color w:val="000000"/>
                <w:sz w:val="18"/>
                <w:szCs w:val="18"/>
              </w:rPr>
              <w:t xml:space="preserve"> patients</w:t>
            </w:r>
          </w:p>
          <w:p w14:paraId="0C16A2C8" w14:textId="77777777" w:rsidR="00B325D8" w:rsidRDefault="00B325D8">
            <w:pPr>
              <w:tabs>
                <w:tab w:val="left" w:pos="1162"/>
              </w:tabs>
              <w:rPr>
                <w:rFonts w:cs="Arial"/>
                <w:color w:val="000000"/>
                <w:sz w:val="18"/>
                <w:szCs w:val="18"/>
              </w:rPr>
            </w:pPr>
            <w:r w:rsidRPr="00FA3851">
              <w:rPr>
                <w:rFonts w:cs="Arial"/>
                <w:color w:val="000000"/>
                <w:sz w:val="18"/>
                <w:szCs w:val="18"/>
              </w:rPr>
              <w:t>2</w:t>
            </w:r>
            <w:r>
              <w:rPr>
                <w:rFonts w:cs="Arial"/>
                <w:color w:val="000000"/>
                <w:sz w:val="18"/>
                <w:szCs w:val="18"/>
              </w:rPr>
              <w:t>:</w:t>
            </w:r>
            <w:r w:rsidRPr="00FA3851">
              <w:rPr>
                <w:rFonts w:cs="Arial"/>
                <w:color w:val="000000"/>
                <w:sz w:val="18"/>
                <w:szCs w:val="18"/>
              </w:rPr>
              <w:t xml:space="preserve"> </w:t>
            </w:r>
            <w:r>
              <w:rPr>
                <w:rFonts w:cs="Arial"/>
                <w:color w:val="000000"/>
                <w:sz w:val="18"/>
                <w:szCs w:val="18"/>
              </w:rPr>
              <w:t xml:space="preserve">Short Stay outlier patients </w:t>
            </w:r>
          </w:p>
          <w:p w14:paraId="5B6F8F7F" w14:textId="77777777" w:rsidR="00B325D8" w:rsidRPr="00FA3851" w:rsidRDefault="00B325D8">
            <w:pPr>
              <w:tabs>
                <w:tab w:val="left" w:pos="1162"/>
              </w:tabs>
              <w:rPr>
                <w:rFonts w:cs="Arial"/>
                <w:color w:val="000000"/>
                <w:sz w:val="18"/>
                <w:szCs w:val="18"/>
              </w:rPr>
            </w:pPr>
            <w:r w:rsidRPr="006547D9">
              <w:rPr>
                <w:rFonts w:cs="Arial"/>
                <w:color w:val="000000"/>
                <w:sz w:val="18"/>
                <w:szCs w:val="18"/>
              </w:rPr>
              <w:t>3</w:t>
            </w:r>
            <w:r>
              <w:rPr>
                <w:rFonts w:cs="Arial"/>
                <w:color w:val="000000"/>
                <w:sz w:val="18"/>
                <w:szCs w:val="18"/>
              </w:rPr>
              <w:t>:</w:t>
            </w:r>
            <w:r w:rsidRPr="00FA3851">
              <w:rPr>
                <w:rFonts w:cs="Arial"/>
                <w:color w:val="000000"/>
                <w:sz w:val="18"/>
                <w:szCs w:val="18"/>
              </w:rPr>
              <w:t xml:space="preserve"> Inlier patients</w:t>
            </w:r>
          </w:p>
          <w:p w14:paraId="61E0E7DB" w14:textId="77777777" w:rsidR="00B325D8" w:rsidRPr="006547D9" w:rsidRDefault="00B325D8">
            <w:pPr>
              <w:tabs>
                <w:tab w:val="left" w:pos="1162"/>
              </w:tabs>
            </w:pPr>
            <w:r>
              <w:rPr>
                <w:rFonts w:cs="Arial"/>
                <w:color w:val="000000"/>
                <w:sz w:val="18"/>
                <w:szCs w:val="18"/>
              </w:rPr>
              <w:t>4:</w:t>
            </w:r>
            <w:r w:rsidRPr="00FA3851">
              <w:rPr>
                <w:rFonts w:cs="Arial"/>
                <w:color w:val="000000"/>
                <w:sz w:val="18"/>
                <w:szCs w:val="18"/>
              </w:rPr>
              <w:t xml:space="preserve"> Long stay outlier patients </w:t>
            </w:r>
          </w:p>
        </w:tc>
      </w:tr>
      <w:tr w:rsidR="00B325D8" w:rsidRPr="00C525F3" w14:paraId="39E0E120" w14:textId="77777777" w:rsidTr="00B325D8">
        <w:trPr>
          <w:cantSplit/>
          <w:trHeight w:val="450"/>
        </w:trPr>
        <w:tc>
          <w:tcPr>
            <w:tcW w:w="992" w:type="dxa"/>
            <w:shd w:val="clear" w:color="auto" w:fill="auto"/>
            <w:noWrap/>
          </w:tcPr>
          <w:p w14:paraId="325B967E" w14:textId="117ADB8C" w:rsidR="00B325D8" w:rsidRDefault="00B325D8" w:rsidP="002D606E">
            <w:pPr>
              <w:tabs>
                <w:tab w:val="left" w:pos="1162"/>
              </w:tabs>
              <w:rPr>
                <w:rFonts w:eastAsiaTheme="minorHAnsi" w:cs="Arial"/>
                <w:b/>
                <w:noProof/>
                <w:color w:val="000000"/>
                <w:sz w:val="18"/>
                <w:szCs w:val="18"/>
              </w:rPr>
            </w:pPr>
            <w:r>
              <w:rPr>
                <w:rFonts w:cs="Arial"/>
                <w:color w:val="000000"/>
                <w:sz w:val="18"/>
                <w:szCs w:val="18"/>
              </w:rPr>
              <w:t>A37</w:t>
            </w:r>
          </w:p>
        </w:tc>
        <w:tc>
          <w:tcPr>
            <w:tcW w:w="2694" w:type="dxa"/>
            <w:shd w:val="clear" w:color="auto" w:fill="auto"/>
            <w:noWrap/>
          </w:tcPr>
          <w:p w14:paraId="7EA93EA1" w14:textId="314552B1" w:rsidR="00B325D8" w:rsidRDefault="00B325D8" w:rsidP="00560AC0">
            <w:pPr>
              <w:tabs>
                <w:tab w:val="left" w:pos="1162"/>
              </w:tabs>
              <w:rPr>
                <w:rFonts w:cs="Arial"/>
                <w:color w:val="000000"/>
                <w:sz w:val="18"/>
                <w:szCs w:val="18"/>
              </w:rPr>
            </w:pPr>
            <w:r w:rsidRPr="00FA3851">
              <w:rPr>
                <w:rFonts w:cs="Arial"/>
                <w:color w:val="000000"/>
                <w:sz w:val="18"/>
                <w:szCs w:val="18"/>
              </w:rPr>
              <w:t>_w01</w:t>
            </w:r>
          </w:p>
        </w:tc>
        <w:tc>
          <w:tcPr>
            <w:tcW w:w="3969" w:type="dxa"/>
            <w:shd w:val="clear" w:color="auto" w:fill="auto"/>
          </w:tcPr>
          <w:p w14:paraId="3DD4A50B" w14:textId="4B82190E" w:rsidR="00B325D8" w:rsidRDefault="00B325D8">
            <w:pPr>
              <w:tabs>
                <w:tab w:val="left" w:pos="1162"/>
              </w:tabs>
              <w:rPr>
                <w:rFonts w:cs="Arial"/>
                <w:color w:val="000000"/>
                <w:sz w:val="18"/>
                <w:szCs w:val="18"/>
              </w:rPr>
            </w:pPr>
            <w:r w:rsidRPr="00FA3851">
              <w:rPr>
                <w:rFonts w:cs="Arial"/>
                <w:color w:val="000000"/>
                <w:sz w:val="18"/>
                <w:szCs w:val="18"/>
              </w:rPr>
              <w:t>DRG by inlier/outlier weight</w:t>
            </w:r>
          </w:p>
        </w:tc>
        <w:tc>
          <w:tcPr>
            <w:tcW w:w="5703" w:type="dxa"/>
            <w:shd w:val="clear" w:color="auto" w:fill="auto"/>
          </w:tcPr>
          <w:p w14:paraId="5908163C" w14:textId="77777777" w:rsidR="00B325D8" w:rsidRPr="00833D55" w:rsidRDefault="00B325D8">
            <w:pPr>
              <w:tabs>
                <w:tab w:val="left" w:pos="1162"/>
              </w:tabs>
              <w:spacing w:before="80" w:after="80"/>
              <w:rPr>
                <w:rFonts w:cs="Arial"/>
                <w:color w:val="000000"/>
                <w:sz w:val="18"/>
                <w:szCs w:val="18"/>
              </w:rPr>
            </w:pPr>
            <w:r w:rsidRPr="00FA3851">
              <w:rPr>
                <w:rFonts w:cs="Arial"/>
                <w:color w:val="000000"/>
                <w:sz w:val="18"/>
                <w:szCs w:val="18"/>
              </w:rPr>
              <w:t xml:space="preserve">Based off </w:t>
            </w:r>
            <w:r w:rsidRPr="00833D55">
              <w:rPr>
                <w:rFonts w:cs="Arial"/>
                <w:color w:val="000000"/>
                <w:sz w:val="18"/>
                <w:szCs w:val="18"/>
              </w:rPr>
              <w:t>_</w:t>
            </w:r>
            <w:proofErr w:type="spellStart"/>
            <w:r w:rsidRPr="00833D55">
              <w:rPr>
                <w:rFonts w:cs="Arial"/>
                <w:color w:val="000000"/>
                <w:sz w:val="18"/>
                <w:szCs w:val="18"/>
              </w:rPr>
              <w:t>pat_separation_category</w:t>
            </w:r>
            <w:proofErr w:type="spellEnd"/>
            <w:r w:rsidRPr="00833D55">
              <w:rPr>
                <w:rFonts w:cs="Arial"/>
                <w:color w:val="000000"/>
                <w:sz w:val="18"/>
                <w:szCs w:val="18"/>
              </w:rPr>
              <w:t>:</w:t>
            </w:r>
          </w:p>
          <w:p w14:paraId="2649E812" w14:textId="77777777" w:rsidR="00B325D8" w:rsidRPr="00FA3851" w:rsidRDefault="00B325D8">
            <w:pPr>
              <w:tabs>
                <w:tab w:val="left" w:pos="1162"/>
              </w:tabs>
              <w:spacing w:before="80" w:after="80"/>
              <w:rPr>
                <w:rFonts w:cs="Arial"/>
                <w:color w:val="000000"/>
                <w:sz w:val="18"/>
                <w:szCs w:val="18"/>
              </w:rPr>
            </w:pPr>
            <w:r w:rsidRPr="00833D55">
              <w:rPr>
                <w:rFonts w:cs="Arial"/>
                <w:color w:val="000000"/>
                <w:sz w:val="18"/>
                <w:szCs w:val="18"/>
              </w:rPr>
              <w:t xml:space="preserve">1: </w:t>
            </w:r>
            <w:proofErr w:type="spellStart"/>
            <w:r w:rsidRPr="00FA3851">
              <w:rPr>
                <w:rFonts w:cs="Arial"/>
                <w:color w:val="000000"/>
                <w:sz w:val="18"/>
                <w:szCs w:val="18"/>
              </w:rPr>
              <w:t>drg_pw_sd</w:t>
            </w:r>
            <w:proofErr w:type="spellEnd"/>
          </w:p>
          <w:p w14:paraId="7C58C012" w14:textId="77777777" w:rsidR="00B325D8" w:rsidRPr="00FA3851" w:rsidRDefault="00B325D8">
            <w:pPr>
              <w:tabs>
                <w:tab w:val="left" w:pos="1162"/>
              </w:tabs>
              <w:spacing w:before="80" w:after="80"/>
              <w:rPr>
                <w:rFonts w:cs="Arial"/>
                <w:color w:val="000000"/>
                <w:sz w:val="18"/>
                <w:szCs w:val="18"/>
              </w:rPr>
            </w:pPr>
            <w:r w:rsidRPr="00FA3851">
              <w:rPr>
                <w:rFonts w:cs="Arial"/>
                <w:color w:val="000000"/>
                <w:sz w:val="18"/>
                <w:szCs w:val="18"/>
              </w:rPr>
              <w:t xml:space="preserve">2: </w:t>
            </w:r>
            <w:proofErr w:type="spellStart"/>
            <w:r w:rsidRPr="00FA3851">
              <w:rPr>
                <w:rFonts w:cs="Arial"/>
                <w:color w:val="000000"/>
                <w:sz w:val="18"/>
                <w:szCs w:val="18"/>
              </w:rPr>
              <w:t>drg_pw_sso_base</w:t>
            </w:r>
            <w:proofErr w:type="spellEnd"/>
            <w:r w:rsidRPr="00FA3851">
              <w:rPr>
                <w:rFonts w:cs="Arial"/>
                <w:color w:val="000000"/>
                <w:sz w:val="18"/>
                <w:szCs w:val="18"/>
              </w:rPr>
              <w:t xml:space="preserve"> + </w:t>
            </w:r>
            <w:proofErr w:type="spellStart"/>
            <w:r w:rsidRPr="00FA3851">
              <w:rPr>
                <w:rFonts w:cs="Arial"/>
                <w:color w:val="000000"/>
                <w:sz w:val="18"/>
                <w:szCs w:val="18"/>
              </w:rPr>
              <w:t>drg_pw_sso_perdiem</w:t>
            </w:r>
            <w:proofErr w:type="spellEnd"/>
            <w:r w:rsidRPr="00FA3851">
              <w:rPr>
                <w:rFonts w:cs="Arial"/>
                <w:color w:val="000000"/>
                <w:sz w:val="18"/>
                <w:szCs w:val="18"/>
              </w:rPr>
              <w:t xml:space="preserve"> * </w:t>
            </w:r>
            <w:proofErr w:type="spellStart"/>
            <w:r w:rsidRPr="00FA3851">
              <w:rPr>
                <w:rFonts w:cs="Arial"/>
                <w:color w:val="000000"/>
                <w:sz w:val="18"/>
                <w:szCs w:val="18"/>
              </w:rPr>
              <w:t>pat_los_icu_removed</w:t>
            </w:r>
            <w:proofErr w:type="spellEnd"/>
            <w:r w:rsidRPr="00FA3851">
              <w:rPr>
                <w:rFonts w:cs="Arial"/>
                <w:color w:val="000000"/>
                <w:sz w:val="18"/>
                <w:szCs w:val="18"/>
              </w:rPr>
              <w:t xml:space="preserve"> </w:t>
            </w:r>
          </w:p>
          <w:p w14:paraId="73CD61F4" w14:textId="77777777" w:rsidR="00B325D8" w:rsidRPr="00FA3851" w:rsidRDefault="00B325D8">
            <w:pPr>
              <w:tabs>
                <w:tab w:val="left" w:pos="1162"/>
              </w:tabs>
              <w:spacing w:before="80" w:after="80"/>
              <w:rPr>
                <w:rFonts w:cs="Arial"/>
                <w:color w:val="000000"/>
                <w:sz w:val="18"/>
                <w:szCs w:val="18"/>
              </w:rPr>
            </w:pPr>
            <w:r w:rsidRPr="00FA3851">
              <w:rPr>
                <w:rFonts w:cs="Arial"/>
                <w:color w:val="000000"/>
                <w:sz w:val="18"/>
                <w:szCs w:val="18"/>
              </w:rPr>
              <w:t xml:space="preserve">3: </w:t>
            </w:r>
            <w:proofErr w:type="spellStart"/>
            <w:r w:rsidRPr="00FA3851">
              <w:rPr>
                <w:rFonts w:cs="Arial"/>
                <w:color w:val="000000"/>
                <w:sz w:val="18"/>
                <w:szCs w:val="18"/>
              </w:rPr>
              <w:t>drg_pw_inlier</w:t>
            </w:r>
            <w:proofErr w:type="spellEnd"/>
          </w:p>
          <w:p w14:paraId="21CC68E5" w14:textId="2933D1BE" w:rsidR="00B325D8" w:rsidRDefault="00B325D8">
            <w:pPr>
              <w:tabs>
                <w:tab w:val="left" w:pos="1162"/>
              </w:tabs>
              <w:rPr>
                <w:rFonts w:cs="Arial"/>
                <w:color w:val="000000"/>
                <w:sz w:val="18"/>
                <w:szCs w:val="18"/>
              </w:rPr>
            </w:pPr>
            <w:r w:rsidRPr="00FA3851">
              <w:rPr>
                <w:rFonts w:cs="Arial"/>
                <w:color w:val="000000"/>
                <w:sz w:val="18"/>
                <w:szCs w:val="18"/>
              </w:rPr>
              <w:t xml:space="preserve">4: </w:t>
            </w:r>
            <w:proofErr w:type="spellStart"/>
            <w:r w:rsidRPr="00FA3851">
              <w:rPr>
                <w:rFonts w:cs="Arial"/>
                <w:color w:val="000000"/>
                <w:sz w:val="18"/>
                <w:szCs w:val="18"/>
              </w:rPr>
              <w:t>drg_pw_inlier</w:t>
            </w:r>
            <w:proofErr w:type="spellEnd"/>
            <w:r w:rsidRPr="00FA3851">
              <w:rPr>
                <w:rFonts w:cs="Arial"/>
                <w:color w:val="000000"/>
                <w:sz w:val="18"/>
                <w:szCs w:val="18"/>
              </w:rPr>
              <w:t xml:space="preserve"> + ( </w:t>
            </w:r>
            <w:proofErr w:type="spellStart"/>
            <w:r w:rsidRPr="00FA3851">
              <w:rPr>
                <w:rFonts w:cs="Arial"/>
                <w:color w:val="000000"/>
                <w:sz w:val="18"/>
                <w:szCs w:val="18"/>
              </w:rPr>
              <w:t>pat_los_icu_removed</w:t>
            </w:r>
            <w:proofErr w:type="spellEnd"/>
            <w:r w:rsidRPr="00FA3851">
              <w:rPr>
                <w:rFonts w:cs="Arial"/>
                <w:color w:val="000000"/>
                <w:sz w:val="18"/>
                <w:szCs w:val="18"/>
              </w:rPr>
              <w:t xml:space="preserve"> - </w:t>
            </w:r>
            <w:proofErr w:type="spellStart"/>
            <w:r w:rsidRPr="00FA3851">
              <w:rPr>
                <w:rFonts w:cs="Arial"/>
                <w:color w:val="000000"/>
                <w:sz w:val="18"/>
                <w:szCs w:val="18"/>
              </w:rPr>
              <w:t>drg_inlier_ub</w:t>
            </w:r>
            <w:proofErr w:type="spellEnd"/>
            <w:r w:rsidRPr="00FA3851">
              <w:rPr>
                <w:rFonts w:cs="Arial"/>
                <w:color w:val="000000"/>
                <w:sz w:val="18"/>
                <w:szCs w:val="18"/>
              </w:rPr>
              <w:t xml:space="preserve"> ) * </w:t>
            </w:r>
            <w:proofErr w:type="spellStart"/>
            <w:r w:rsidRPr="00FA3851">
              <w:rPr>
                <w:rFonts w:cs="Arial"/>
                <w:color w:val="000000"/>
                <w:sz w:val="18"/>
                <w:szCs w:val="18"/>
              </w:rPr>
              <w:t>drg_pw_lso_perdiem</w:t>
            </w:r>
            <w:proofErr w:type="spellEnd"/>
            <w:r w:rsidRPr="00FA3851">
              <w:rPr>
                <w:rFonts w:cs="Arial"/>
                <w:color w:val="000000"/>
                <w:sz w:val="18"/>
                <w:szCs w:val="18"/>
              </w:rPr>
              <w:t xml:space="preserve"> </w:t>
            </w:r>
          </w:p>
        </w:tc>
      </w:tr>
      <w:tr w:rsidR="00B325D8" w:rsidRPr="00C525F3" w14:paraId="43C61014" w14:textId="77777777" w:rsidTr="00B325D8">
        <w:trPr>
          <w:cantSplit/>
          <w:trHeight w:val="450"/>
        </w:trPr>
        <w:tc>
          <w:tcPr>
            <w:tcW w:w="992" w:type="dxa"/>
            <w:shd w:val="clear" w:color="auto" w:fill="auto"/>
            <w:noWrap/>
          </w:tcPr>
          <w:p w14:paraId="75F99847" w14:textId="20639939" w:rsidR="00B325D8" w:rsidRDefault="00B325D8" w:rsidP="002D606E">
            <w:pPr>
              <w:tabs>
                <w:tab w:val="left" w:pos="1162"/>
              </w:tabs>
              <w:rPr>
                <w:rFonts w:eastAsiaTheme="minorHAnsi" w:cs="Arial"/>
                <w:b/>
                <w:noProof/>
                <w:color w:val="000000"/>
                <w:sz w:val="18"/>
                <w:szCs w:val="18"/>
              </w:rPr>
            </w:pPr>
            <w:r>
              <w:rPr>
                <w:rFonts w:cs="Arial"/>
                <w:color w:val="000000"/>
                <w:sz w:val="18"/>
                <w:szCs w:val="18"/>
              </w:rPr>
              <w:t>A38</w:t>
            </w:r>
          </w:p>
        </w:tc>
        <w:tc>
          <w:tcPr>
            <w:tcW w:w="2694" w:type="dxa"/>
            <w:shd w:val="clear" w:color="auto" w:fill="auto"/>
            <w:noWrap/>
          </w:tcPr>
          <w:p w14:paraId="0353D3AF" w14:textId="27F9DDE6" w:rsidR="00B325D8" w:rsidRPr="00FA3851" w:rsidRDefault="00B325D8" w:rsidP="00560AC0">
            <w:pPr>
              <w:tabs>
                <w:tab w:val="left" w:pos="1162"/>
              </w:tabs>
              <w:rPr>
                <w:rFonts w:cs="Arial"/>
                <w:color w:val="000000"/>
                <w:sz w:val="18"/>
                <w:szCs w:val="18"/>
              </w:rPr>
            </w:pPr>
            <w:r w:rsidRPr="00FA3851">
              <w:rPr>
                <w:rFonts w:cs="Arial"/>
                <w:color w:val="000000"/>
                <w:sz w:val="18"/>
                <w:szCs w:val="18"/>
              </w:rPr>
              <w:t>_w02</w:t>
            </w:r>
          </w:p>
        </w:tc>
        <w:tc>
          <w:tcPr>
            <w:tcW w:w="3969" w:type="dxa"/>
            <w:shd w:val="clear" w:color="auto" w:fill="auto"/>
          </w:tcPr>
          <w:p w14:paraId="41EC85AA" w14:textId="37C29141" w:rsidR="00B325D8" w:rsidRPr="00FA3851" w:rsidRDefault="00B325D8">
            <w:pPr>
              <w:tabs>
                <w:tab w:val="left" w:pos="1162"/>
              </w:tabs>
              <w:rPr>
                <w:rFonts w:cs="Arial"/>
                <w:color w:val="000000"/>
                <w:sz w:val="18"/>
                <w:szCs w:val="18"/>
              </w:rPr>
            </w:pPr>
            <w:r w:rsidRPr="00FA3851">
              <w:rPr>
                <w:rFonts w:cs="Arial"/>
                <w:color w:val="000000"/>
                <w:sz w:val="18"/>
                <w:szCs w:val="18"/>
              </w:rPr>
              <w:t>Application of the paediatric adjustment</w:t>
            </w:r>
          </w:p>
        </w:tc>
        <w:tc>
          <w:tcPr>
            <w:tcW w:w="5703" w:type="dxa"/>
            <w:shd w:val="clear" w:color="auto" w:fill="auto"/>
          </w:tcPr>
          <w:p w14:paraId="29D0A13B" w14:textId="3E4B3624" w:rsidR="00B325D8" w:rsidRPr="00FA3851" w:rsidRDefault="00B325D8">
            <w:pPr>
              <w:tabs>
                <w:tab w:val="left" w:pos="1162"/>
              </w:tabs>
              <w:spacing w:before="80" w:after="80"/>
              <w:rPr>
                <w:rFonts w:cs="Arial"/>
                <w:color w:val="000000"/>
                <w:sz w:val="18"/>
                <w:szCs w:val="18"/>
              </w:rPr>
            </w:pPr>
            <w:r>
              <w:rPr>
                <w:rFonts w:cs="Arial"/>
                <w:color w:val="000000"/>
                <w:sz w:val="18"/>
                <w:szCs w:val="18"/>
              </w:rPr>
              <w:t>_</w:t>
            </w:r>
            <w:r w:rsidRPr="00FA3851">
              <w:rPr>
                <w:rFonts w:cs="Arial"/>
                <w:color w:val="000000"/>
                <w:sz w:val="18"/>
                <w:szCs w:val="18"/>
              </w:rPr>
              <w:t xml:space="preserve">w01 * </w:t>
            </w:r>
            <w:proofErr w:type="gramStart"/>
            <w:r w:rsidRPr="00FA3851">
              <w:rPr>
                <w:rFonts w:cs="Arial"/>
                <w:color w:val="000000"/>
                <w:sz w:val="18"/>
                <w:szCs w:val="18"/>
              </w:rPr>
              <w:t>( 1</w:t>
            </w:r>
            <w:proofErr w:type="gramEnd"/>
            <w:r w:rsidRPr="00FA3851">
              <w:rPr>
                <w:rFonts w:cs="Arial"/>
                <w:color w:val="000000"/>
                <w:sz w:val="18"/>
                <w:szCs w:val="18"/>
              </w:rPr>
              <w:t xml:space="preserve"> + _</w:t>
            </w:r>
            <w:proofErr w:type="spellStart"/>
            <w:r w:rsidRPr="00FA3851">
              <w:rPr>
                <w:rFonts w:cs="Arial"/>
                <w:color w:val="000000"/>
                <w:sz w:val="18"/>
                <w:szCs w:val="18"/>
              </w:rPr>
              <w:t>pat_eligible_paed_flag</w:t>
            </w:r>
            <w:proofErr w:type="spellEnd"/>
            <w:r w:rsidRPr="00FA3851">
              <w:rPr>
                <w:rFonts w:cs="Arial"/>
                <w:color w:val="000000"/>
                <w:sz w:val="18"/>
                <w:szCs w:val="18"/>
              </w:rPr>
              <w:t xml:space="preserve"> * ( </w:t>
            </w:r>
            <w:proofErr w:type="spellStart"/>
            <w:r w:rsidRPr="00FA3851">
              <w:rPr>
                <w:rFonts w:cs="Arial"/>
                <w:color w:val="000000"/>
                <w:sz w:val="18"/>
                <w:szCs w:val="18"/>
              </w:rPr>
              <w:t>drg_adj_paed</w:t>
            </w:r>
            <w:proofErr w:type="spellEnd"/>
            <w:r w:rsidRPr="00FA3851">
              <w:rPr>
                <w:rFonts w:cs="Arial"/>
                <w:color w:val="000000"/>
                <w:sz w:val="18"/>
                <w:szCs w:val="18"/>
              </w:rPr>
              <w:t xml:space="preserve"> - 1 ) ).</w:t>
            </w:r>
          </w:p>
        </w:tc>
      </w:tr>
      <w:tr w:rsidR="00B325D8" w:rsidRPr="00C525F3" w14:paraId="202E5551" w14:textId="77777777" w:rsidTr="00B325D8">
        <w:trPr>
          <w:cantSplit/>
          <w:trHeight w:val="450"/>
        </w:trPr>
        <w:tc>
          <w:tcPr>
            <w:tcW w:w="992" w:type="dxa"/>
            <w:shd w:val="clear" w:color="auto" w:fill="auto"/>
            <w:noWrap/>
          </w:tcPr>
          <w:p w14:paraId="7D8D727A" w14:textId="2C8BD1E7" w:rsidR="00B325D8" w:rsidRDefault="00B325D8" w:rsidP="002D606E">
            <w:pPr>
              <w:tabs>
                <w:tab w:val="left" w:pos="1162"/>
              </w:tabs>
              <w:rPr>
                <w:rFonts w:eastAsiaTheme="minorHAnsi" w:cs="Arial"/>
                <w:b/>
                <w:noProof/>
                <w:color w:val="000000"/>
                <w:sz w:val="18"/>
                <w:szCs w:val="18"/>
              </w:rPr>
            </w:pPr>
            <w:r>
              <w:rPr>
                <w:rFonts w:cs="Arial"/>
                <w:color w:val="000000"/>
                <w:sz w:val="18"/>
                <w:szCs w:val="18"/>
              </w:rPr>
              <w:t>A39</w:t>
            </w:r>
          </w:p>
        </w:tc>
        <w:tc>
          <w:tcPr>
            <w:tcW w:w="2694" w:type="dxa"/>
            <w:shd w:val="clear" w:color="auto" w:fill="auto"/>
            <w:noWrap/>
          </w:tcPr>
          <w:p w14:paraId="366DA7E2" w14:textId="0B005DB8" w:rsidR="00B325D8" w:rsidRPr="00FA3851" w:rsidRDefault="00B325D8" w:rsidP="00560AC0">
            <w:pPr>
              <w:tabs>
                <w:tab w:val="left" w:pos="1162"/>
              </w:tabs>
              <w:rPr>
                <w:rFonts w:cs="Arial"/>
                <w:color w:val="000000"/>
                <w:sz w:val="18"/>
                <w:szCs w:val="18"/>
              </w:rPr>
            </w:pPr>
            <w:r w:rsidRPr="00FA3851">
              <w:rPr>
                <w:rFonts w:cs="Arial"/>
                <w:color w:val="000000"/>
                <w:sz w:val="18"/>
                <w:szCs w:val="18"/>
              </w:rPr>
              <w:t>_w03</w:t>
            </w:r>
          </w:p>
        </w:tc>
        <w:tc>
          <w:tcPr>
            <w:tcW w:w="3969" w:type="dxa"/>
            <w:shd w:val="clear" w:color="auto" w:fill="auto"/>
          </w:tcPr>
          <w:p w14:paraId="27CE62CB" w14:textId="2818044F" w:rsidR="00B325D8" w:rsidRPr="00FA3851" w:rsidRDefault="00B325D8">
            <w:pPr>
              <w:tabs>
                <w:tab w:val="left" w:pos="1162"/>
              </w:tabs>
              <w:rPr>
                <w:rFonts w:cs="Arial"/>
                <w:color w:val="000000"/>
                <w:sz w:val="18"/>
                <w:szCs w:val="18"/>
              </w:rPr>
            </w:pPr>
            <w:r w:rsidRPr="00FA3851">
              <w:rPr>
                <w:rFonts w:cs="Arial"/>
                <w:color w:val="000000"/>
                <w:sz w:val="18"/>
                <w:szCs w:val="18"/>
              </w:rPr>
              <w:t>Application of the specialist psychiatric age adjustment</w:t>
            </w:r>
          </w:p>
        </w:tc>
        <w:tc>
          <w:tcPr>
            <w:tcW w:w="5703" w:type="dxa"/>
            <w:shd w:val="clear" w:color="auto" w:fill="auto"/>
          </w:tcPr>
          <w:p w14:paraId="33B0C97B" w14:textId="3C6A0179" w:rsidR="00B325D8" w:rsidRDefault="00B325D8">
            <w:pPr>
              <w:tabs>
                <w:tab w:val="left" w:pos="1162"/>
              </w:tabs>
              <w:spacing w:before="80" w:after="80"/>
              <w:rPr>
                <w:rFonts w:cs="Arial"/>
                <w:color w:val="000000"/>
                <w:sz w:val="18"/>
                <w:szCs w:val="18"/>
              </w:rPr>
            </w:pPr>
            <w:r>
              <w:rPr>
                <w:rFonts w:cs="Arial"/>
                <w:color w:val="000000"/>
                <w:sz w:val="18"/>
                <w:szCs w:val="18"/>
              </w:rPr>
              <w:t>_</w:t>
            </w:r>
            <w:r w:rsidRPr="00FA3851">
              <w:rPr>
                <w:rFonts w:cs="Arial"/>
                <w:color w:val="000000"/>
                <w:sz w:val="18"/>
                <w:szCs w:val="18"/>
              </w:rPr>
              <w:t>w02 *</w:t>
            </w:r>
            <w:proofErr w:type="gramStart"/>
            <w:r w:rsidRPr="00FA3851">
              <w:rPr>
                <w:rFonts w:cs="Arial"/>
                <w:color w:val="000000"/>
                <w:sz w:val="18"/>
                <w:szCs w:val="18"/>
              </w:rPr>
              <w:t>( 1</w:t>
            </w:r>
            <w:proofErr w:type="gramEnd"/>
            <w:r w:rsidRPr="00FA3851">
              <w:rPr>
                <w:rFonts w:cs="Arial"/>
                <w:color w:val="000000"/>
                <w:sz w:val="18"/>
                <w:szCs w:val="18"/>
              </w:rPr>
              <w:t xml:space="preserve"> +</w:t>
            </w:r>
            <w:proofErr w:type="spellStart"/>
            <w:r w:rsidRPr="00FA3851">
              <w:rPr>
                <w:rFonts w:cs="Arial"/>
                <w:color w:val="000000"/>
                <w:sz w:val="18"/>
                <w:szCs w:val="18"/>
              </w:rPr>
              <w:t>adj_spa</w:t>
            </w:r>
            <w:proofErr w:type="spellEnd"/>
            <w:r w:rsidRPr="00FA3851">
              <w:rPr>
                <w:rFonts w:cs="Arial"/>
                <w:color w:val="000000"/>
                <w:sz w:val="18"/>
                <w:szCs w:val="18"/>
              </w:rPr>
              <w:t>).</w:t>
            </w:r>
          </w:p>
        </w:tc>
      </w:tr>
      <w:tr w:rsidR="00B325D8" w:rsidRPr="00C525F3" w14:paraId="133AD0F9" w14:textId="77777777" w:rsidTr="00B325D8">
        <w:trPr>
          <w:cantSplit/>
          <w:trHeight w:val="450"/>
        </w:trPr>
        <w:tc>
          <w:tcPr>
            <w:tcW w:w="992" w:type="dxa"/>
            <w:shd w:val="clear" w:color="auto" w:fill="auto"/>
            <w:noWrap/>
          </w:tcPr>
          <w:p w14:paraId="248A0C9B" w14:textId="526F94E8" w:rsidR="00B325D8" w:rsidRDefault="00B325D8" w:rsidP="002D606E">
            <w:pPr>
              <w:tabs>
                <w:tab w:val="left" w:pos="1162"/>
              </w:tabs>
              <w:rPr>
                <w:rFonts w:eastAsiaTheme="minorHAnsi" w:cs="Arial"/>
                <w:b/>
                <w:noProof/>
                <w:color w:val="000000"/>
                <w:sz w:val="18"/>
                <w:szCs w:val="18"/>
              </w:rPr>
            </w:pPr>
            <w:r>
              <w:rPr>
                <w:rFonts w:cs="Arial"/>
                <w:color w:val="000000"/>
                <w:sz w:val="18"/>
                <w:szCs w:val="18"/>
              </w:rPr>
              <w:t>A40</w:t>
            </w:r>
          </w:p>
        </w:tc>
        <w:tc>
          <w:tcPr>
            <w:tcW w:w="2694" w:type="dxa"/>
            <w:shd w:val="clear" w:color="auto" w:fill="auto"/>
            <w:noWrap/>
          </w:tcPr>
          <w:p w14:paraId="5F126608" w14:textId="1DB067D1" w:rsidR="00B325D8" w:rsidRPr="00FA3851" w:rsidRDefault="00B325D8" w:rsidP="00560AC0">
            <w:pPr>
              <w:tabs>
                <w:tab w:val="left" w:pos="1162"/>
              </w:tabs>
              <w:rPr>
                <w:rFonts w:cs="Arial"/>
                <w:color w:val="000000"/>
                <w:sz w:val="18"/>
                <w:szCs w:val="18"/>
              </w:rPr>
            </w:pPr>
            <w:r w:rsidRPr="00FA3851">
              <w:rPr>
                <w:rFonts w:cs="Arial"/>
                <w:color w:val="000000"/>
                <w:sz w:val="18"/>
                <w:szCs w:val="18"/>
              </w:rPr>
              <w:t>_w04</w:t>
            </w:r>
          </w:p>
        </w:tc>
        <w:tc>
          <w:tcPr>
            <w:tcW w:w="3969" w:type="dxa"/>
            <w:shd w:val="clear" w:color="auto" w:fill="auto"/>
          </w:tcPr>
          <w:p w14:paraId="5FE124EF" w14:textId="138B871C" w:rsidR="00B325D8" w:rsidRPr="00FA3851" w:rsidRDefault="00B325D8">
            <w:pPr>
              <w:tabs>
                <w:tab w:val="left" w:pos="1162"/>
              </w:tabs>
              <w:rPr>
                <w:rFonts w:cs="Arial"/>
                <w:color w:val="000000"/>
                <w:sz w:val="18"/>
                <w:szCs w:val="18"/>
              </w:rPr>
            </w:pPr>
            <w:r w:rsidRPr="00FA3851">
              <w:rPr>
                <w:rFonts w:cs="Arial"/>
                <w:color w:val="000000"/>
                <w:sz w:val="18"/>
                <w:szCs w:val="18"/>
              </w:rPr>
              <w:t xml:space="preserve">Application of the </w:t>
            </w:r>
            <w:r>
              <w:rPr>
                <w:rFonts w:cs="Arial"/>
                <w:color w:val="000000"/>
                <w:sz w:val="18"/>
                <w:szCs w:val="18"/>
              </w:rPr>
              <w:t>Indigenous</w:t>
            </w:r>
            <w:r w:rsidRPr="00FA3851">
              <w:rPr>
                <w:rFonts w:cs="Arial"/>
                <w:color w:val="000000"/>
                <w:sz w:val="18"/>
                <w:szCs w:val="18"/>
              </w:rPr>
              <w:t>, remoteness</w:t>
            </w:r>
            <w:r>
              <w:rPr>
                <w:rFonts w:cs="Arial"/>
                <w:color w:val="000000"/>
                <w:sz w:val="18"/>
                <w:szCs w:val="18"/>
              </w:rPr>
              <w:t>, dialysis</w:t>
            </w:r>
            <w:r w:rsidRPr="00FA3851">
              <w:rPr>
                <w:rFonts w:cs="Arial"/>
                <w:color w:val="000000"/>
                <w:sz w:val="18"/>
                <w:szCs w:val="18"/>
              </w:rPr>
              <w:t xml:space="preserve"> and radiotherapy adjustments</w:t>
            </w:r>
          </w:p>
        </w:tc>
        <w:tc>
          <w:tcPr>
            <w:tcW w:w="5703" w:type="dxa"/>
            <w:shd w:val="clear" w:color="auto" w:fill="auto"/>
          </w:tcPr>
          <w:p w14:paraId="5B52D178" w14:textId="05574ED5" w:rsidR="00B325D8" w:rsidRDefault="00B325D8">
            <w:pPr>
              <w:tabs>
                <w:tab w:val="left" w:pos="1162"/>
              </w:tabs>
              <w:spacing w:before="80" w:after="80"/>
              <w:rPr>
                <w:rFonts w:cs="Arial"/>
                <w:color w:val="000000"/>
                <w:sz w:val="18"/>
                <w:szCs w:val="18"/>
              </w:rPr>
            </w:pPr>
            <w:r>
              <w:rPr>
                <w:rFonts w:cs="Arial"/>
                <w:color w:val="000000"/>
                <w:sz w:val="18"/>
                <w:szCs w:val="18"/>
              </w:rPr>
              <w:t>_w03x</w:t>
            </w:r>
            <w:r w:rsidRPr="00FA3851">
              <w:rPr>
                <w:rFonts w:cs="Arial"/>
                <w:color w:val="000000"/>
                <w:sz w:val="18"/>
                <w:szCs w:val="18"/>
              </w:rPr>
              <w:t>(1+adj_indigenous+adj_remoteness+adj+adj_radiotherapy+adj_dialysis)</w:t>
            </w:r>
          </w:p>
        </w:tc>
      </w:tr>
      <w:tr w:rsidR="00B325D8" w:rsidRPr="00C525F3" w14:paraId="1C3D36F2" w14:textId="77777777" w:rsidTr="00B325D8">
        <w:trPr>
          <w:cantSplit/>
          <w:trHeight w:val="450"/>
        </w:trPr>
        <w:tc>
          <w:tcPr>
            <w:tcW w:w="992" w:type="dxa"/>
            <w:shd w:val="clear" w:color="auto" w:fill="auto"/>
            <w:noWrap/>
          </w:tcPr>
          <w:p w14:paraId="309CC3D6" w14:textId="7371A6B2" w:rsidR="00B325D8" w:rsidRDefault="00B325D8" w:rsidP="002D606E">
            <w:pPr>
              <w:tabs>
                <w:tab w:val="left" w:pos="1162"/>
              </w:tabs>
              <w:rPr>
                <w:rFonts w:eastAsiaTheme="minorHAnsi" w:cs="Arial"/>
                <w:b/>
                <w:noProof/>
                <w:color w:val="000000"/>
                <w:sz w:val="18"/>
                <w:szCs w:val="18"/>
              </w:rPr>
            </w:pPr>
            <w:r>
              <w:rPr>
                <w:rFonts w:cs="Arial"/>
                <w:color w:val="000000"/>
                <w:sz w:val="18"/>
                <w:szCs w:val="18"/>
              </w:rPr>
              <w:t>A41</w:t>
            </w:r>
          </w:p>
        </w:tc>
        <w:tc>
          <w:tcPr>
            <w:tcW w:w="2694" w:type="dxa"/>
            <w:shd w:val="clear" w:color="auto" w:fill="auto"/>
            <w:noWrap/>
          </w:tcPr>
          <w:p w14:paraId="0911B339" w14:textId="6A14F120" w:rsidR="00B325D8" w:rsidRPr="00FA3851" w:rsidRDefault="00B325D8" w:rsidP="00560AC0">
            <w:pPr>
              <w:tabs>
                <w:tab w:val="left" w:pos="1162"/>
              </w:tabs>
              <w:rPr>
                <w:rFonts w:cs="Arial"/>
                <w:color w:val="000000"/>
                <w:sz w:val="18"/>
                <w:szCs w:val="18"/>
              </w:rPr>
            </w:pPr>
            <w:r w:rsidRPr="00FA3851">
              <w:rPr>
                <w:rFonts w:cs="Arial"/>
                <w:color w:val="000000"/>
                <w:sz w:val="18"/>
                <w:szCs w:val="18"/>
              </w:rPr>
              <w:t>_</w:t>
            </w:r>
            <w:proofErr w:type="spellStart"/>
            <w:r w:rsidRPr="00FA3851">
              <w:rPr>
                <w:rFonts w:cs="Arial"/>
                <w:color w:val="000000"/>
                <w:sz w:val="18"/>
                <w:szCs w:val="18"/>
              </w:rPr>
              <w:t>adj_icu</w:t>
            </w:r>
            <w:proofErr w:type="spellEnd"/>
          </w:p>
        </w:tc>
        <w:tc>
          <w:tcPr>
            <w:tcW w:w="3969" w:type="dxa"/>
            <w:shd w:val="clear" w:color="auto" w:fill="auto"/>
          </w:tcPr>
          <w:p w14:paraId="07155A51" w14:textId="40733935" w:rsidR="00B325D8" w:rsidRPr="00FA3851" w:rsidRDefault="00B325D8">
            <w:pPr>
              <w:tabs>
                <w:tab w:val="left" w:pos="1162"/>
              </w:tabs>
              <w:rPr>
                <w:rFonts w:cs="Arial"/>
                <w:color w:val="000000"/>
                <w:sz w:val="18"/>
                <w:szCs w:val="18"/>
              </w:rPr>
            </w:pPr>
            <w:r w:rsidRPr="00FA3851">
              <w:rPr>
                <w:rFonts w:cs="Arial"/>
                <w:color w:val="000000"/>
                <w:sz w:val="18"/>
                <w:szCs w:val="18"/>
              </w:rPr>
              <w:t>Application of the ICU rate adjustment</w:t>
            </w:r>
          </w:p>
        </w:tc>
        <w:tc>
          <w:tcPr>
            <w:tcW w:w="5703" w:type="dxa"/>
            <w:shd w:val="clear" w:color="auto" w:fill="auto"/>
          </w:tcPr>
          <w:p w14:paraId="59368946" w14:textId="1F668544" w:rsidR="00B325D8" w:rsidRDefault="00B325D8">
            <w:pPr>
              <w:tabs>
                <w:tab w:val="left" w:pos="1162"/>
              </w:tabs>
              <w:spacing w:before="80" w:after="80"/>
              <w:rPr>
                <w:rFonts w:cs="Arial"/>
                <w:color w:val="000000"/>
                <w:sz w:val="18"/>
                <w:szCs w:val="18"/>
              </w:rPr>
            </w:pPr>
            <w:r w:rsidRPr="00FA3851">
              <w:rPr>
                <w:rFonts w:cs="Arial"/>
                <w:color w:val="000000"/>
                <w:sz w:val="18"/>
                <w:szCs w:val="18"/>
              </w:rPr>
              <w:t xml:space="preserve"> _</w:t>
            </w:r>
            <w:proofErr w:type="spellStart"/>
            <w:r w:rsidRPr="00FA3851">
              <w:rPr>
                <w:rFonts w:cs="Arial"/>
                <w:color w:val="000000"/>
                <w:sz w:val="18"/>
                <w:szCs w:val="18"/>
              </w:rPr>
              <w:t>pat_eligible_icu_hours</w:t>
            </w:r>
            <w:proofErr w:type="spellEnd"/>
            <w:r w:rsidRPr="00FA3851">
              <w:rPr>
                <w:rFonts w:cs="Arial"/>
                <w:color w:val="000000"/>
                <w:sz w:val="18"/>
                <w:szCs w:val="18"/>
              </w:rPr>
              <w:t xml:space="preserve"> * </w:t>
            </w:r>
            <w:proofErr w:type="spellStart"/>
            <w:r w:rsidRPr="00FA3851">
              <w:rPr>
                <w:rFonts w:cs="Arial"/>
                <w:color w:val="000000"/>
                <w:sz w:val="18"/>
                <w:szCs w:val="18"/>
              </w:rPr>
              <w:t>icu_rate</w:t>
            </w:r>
            <w:proofErr w:type="spellEnd"/>
            <w:r w:rsidRPr="00FA3851">
              <w:rPr>
                <w:rFonts w:cs="Arial"/>
                <w:color w:val="000000"/>
                <w:sz w:val="18"/>
                <w:szCs w:val="18"/>
              </w:rPr>
              <w:t>.</w:t>
            </w:r>
          </w:p>
        </w:tc>
      </w:tr>
      <w:tr w:rsidR="00B325D8" w:rsidRPr="00C525F3" w14:paraId="304376A3" w14:textId="77777777" w:rsidTr="00B325D8">
        <w:trPr>
          <w:cantSplit/>
          <w:trHeight w:val="450"/>
        </w:trPr>
        <w:tc>
          <w:tcPr>
            <w:tcW w:w="992" w:type="dxa"/>
            <w:shd w:val="clear" w:color="auto" w:fill="auto"/>
            <w:noWrap/>
          </w:tcPr>
          <w:p w14:paraId="31660346" w14:textId="272B0AD5" w:rsidR="00B325D8" w:rsidRDefault="00B325D8" w:rsidP="002D606E">
            <w:pPr>
              <w:tabs>
                <w:tab w:val="left" w:pos="1162"/>
              </w:tabs>
              <w:rPr>
                <w:rFonts w:eastAsiaTheme="minorHAnsi" w:cs="Arial"/>
                <w:b/>
                <w:noProof/>
                <w:color w:val="000000"/>
                <w:sz w:val="18"/>
                <w:szCs w:val="18"/>
              </w:rPr>
            </w:pPr>
            <w:r>
              <w:rPr>
                <w:rFonts w:cs="Arial"/>
                <w:color w:val="000000"/>
                <w:sz w:val="18"/>
                <w:szCs w:val="18"/>
              </w:rPr>
              <w:t>A42</w:t>
            </w:r>
          </w:p>
        </w:tc>
        <w:tc>
          <w:tcPr>
            <w:tcW w:w="2694" w:type="dxa"/>
            <w:shd w:val="clear" w:color="auto" w:fill="auto"/>
            <w:noWrap/>
          </w:tcPr>
          <w:p w14:paraId="31985AF0" w14:textId="43DECEAE" w:rsidR="00B325D8" w:rsidRPr="00FA3851" w:rsidRDefault="00B325D8" w:rsidP="00560AC0">
            <w:pPr>
              <w:tabs>
                <w:tab w:val="left" w:pos="1162"/>
              </w:tabs>
              <w:rPr>
                <w:rFonts w:cs="Arial"/>
                <w:color w:val="000000"/>
                <w:sz w:val="18"/>
                <w:szCs w:val="18"/>
              </w:rPr>
            </w:pPr>
            <w:r w:rsidRPr="00FA3851">
              <w:rPr>
                <w:rFonts w:cs="Arial"/>
                <w:color w:val="000000"/>
                <w:sz w:val="18"/>
                <w:szCs w:val="18"/>
              </w:rPr>
              <w:t>GWAU</w:t>
            </w:r>
            <w:r w:rsidR="003E130F">
              <w:rPr>
                <w:rFonts w:cs="Arial"/>
                <w:color w:val="000000"/>
                <w:sz w:val="18"/>
                <w:szCs w:val="18"/>
              </w:rPr>
              <w:t>17</w:t>
            </w:r>
          </w:p>
        </w:tc>
        <w:tc>
          <w:tcPr>
            <w:tcW w:w="3969" w:type="dxa"/>
            <w:shd w:val="clear" w:color="auto" w:fill="auto"/>
          </w:tcPr>
          <w:p w14:paraId="3CE5801B" w14:textId="5B4753FF" w:rsidR="00B325D8" w:rsidRPr="00FA3851" w:rsidRDefault="00B325D8">
            <w:pPr>
              <w:tabs>
                <w:tab w:val="left" w:pos="1162"/>
              </w:tabs>
              <w:rPr>
                <w:rFonts w:cs="Arial"/>
                <w:color w:val="000000"/>
                <w:sz w:val="18"/>
                <w:szCs w:val="18"/>
              </w:rPr>
            </w:pPr>
            <w:r w:rsidRPr="00FA3851">
              <w:rPr>
                <w:rFonts w:cs="Arial"/>
                <w:color w:val="000000"/>
                <w:sz w:val="18"/>
                <w:szCs w:val="18"/>
              </w:rPr>
              <w:t xml:space="preserve">Gross Weighted </w:t>
            </w:r>
            <w:r w:rsidR="003E130F">
              <w:rPr>
                <w:rFonts w:cs="Arial"/>
                <w:color w:val="000000"/>
                <w:sz w:val="18"/>
                <w:szCs w:val="18"/>
              </w:rPr>
              <w:t>Activity Unit</w:t>
            </w:r>
          </w:p>
        </w:tc>
        <w:tc>
          <w:tcPr>
            <w:tcW w:w="5703" w:type="dxa"/>
            <w:shd w:val="clear" w:color="auto" w:fill="auto"/>
          </w:tcPr>
          <w:p w14:paraId="4B705A42" w14:textId="7F2C3DE7" w:rsidR="00B325D8" w:rsidRPr="00FA3851" w:rsidRDefault="00B325D8">
            <w:pPr>
              <w:tabs>
                <w:tab w:val="left" w:pos="1162"/>
              </w:tabs>
              <w:spacing w:before="80" w:after="80"/>
              <w:rPr>
                <w:rFonts w:cs="Arial"/>
                <w:color w:val="000000"/>
                <w:sz w:val="18"/>
                <w:szCs w:val="18"/>
              </w:rPr>
            </w:pPr>
            <w:r>
              <w:rPr>
                <w:rFonts w:cs="Arial"/>
                <w:color w:val="000000"/>
                <w:sz w:val="18"/>
                <w:szCs w:val="18"/>
              </w:rPr>
              <w:t>_</w:t>
            </w:r>
            <w:r w:rsidRPr="00FA3851">
              <w:rPr>
                <w:rFonts w:cs="Arial"/>
                <w:color w:val="000000"/>
                <w:sz w:val="18"/>
                <w:szCs w:val="18"/>
              </w:rPr>
              <w:t>w04 + _</w:t>
            </w:r>
            <w:proofErr w:type="spellStart"/>
            <w:r w:rsidRPr="00FA3851">
              <w:rPr>
                <w:rFonts w:cs="Arial"/>
                <w:color w:val="000000"/>
                <w:sz w:val="18"/>
                <w:szCs w:val="18"/>
              </w:rPr>
              <w:t>adj_icu</w:t>
            </w:r>
            <w:proofErr w:type="spellEnd"/>
            <w:r w:rsidRPr="00FA3851">
              <w:rPr>
                <w:rFonts w:cs="Arial"/>
                <w:color w:val="000000"/>
                <w:sz w:val="18"/>
                <w:szCs w:val="18"/>
              </w:rPr>
              <w:t xml:space="preserve"> </w:t>
            </w:r>
          </w:p>
        </w:tc>
      </w:tr>
      <w:tr w:rsidR="00B325D8" w:rsidRPr="00C525F3" w14:paraId="1E8EEB80" w14:textId="77777777" w:rsidTr="00B325D8">
        <w:trPr>
          <w:cantSplit/>
          <w:trHeight w:val="450"/>
        </w:trPr>
        <w:tc>
          <w:tcPr>
            <w:tcW w:w="992" w:type="dxa"/>
            <w:shd w:val="clear" w:color="auto" w:fill="auto"/>
            <w:noWrap/>
          </w:tcPr>
          <w:p w14:paraId="140A1A14" w14:textId="6BED3F2D" w:rsidR="00B325D8" w:rsidRDefault="00B325D8" w:rsidP="002D606E">
            <w:pPr>
              <w:tabs>
                <w:tab w:val="left" w:pos="1162"/>
              </w:tabs>
              <w:rPr>
                <w:rFonts w:eastAsiaTheme="minorHAnsi" w:cs="Arial"/>
                <w:b/>
                <w:noProof/>
                <w:color w:val="000000"/>
                <w:sz w:val="18"/>
                <w:szCs w:val="18"/>
              </w:rPr>
            </w:pPr>
            <w:r>
              <w:rPr>
                <w:rFonts w:cs="Arial"/>
                <w:color w:val="000000"/>
                <w:sz w:val="18"/>
                <w:szCs w:val="18"/>
              </w:rPr>
              <w:t>A43</w:t>
            </w:r>
          </w:p>
        </w:tc>
        <w:tc>
          <w:tcPr>
            <w:tcW w:w="2694" w:type="dxa"/>
            <w:shd w:val="clear" w:color="auto" w:fill="auto"/>
            <w:noWrap/>
          </w:tcPr>
          <w:p w14:paraId="62973F6A" w14:textId="079D8B9A" w:rsidR="00B325D8" w:rsidRPr="00FA3851" w:rsidRDefault="00B325D8" w:rsidP="00560AC0">
            <w:pPr>
              <w:tabs>
                <w:tab w:val="left" w:pos="1162"/>
              </w:tabs>
              <w:rPr>
                <w:rFonts w:cs="Arial"/>
                <w:color w:val="000000"/>
                <w:sz w:val="18"/>
                <w:szCs w:val="18"/>
              </w:rPr>
            </w:pPr>
            <w:r w:rsidRPr="00FA3851">
              <w:rPr>
                <w:rFonts w:cs="Arial"/>
                <w:color w:val="000000"/>
                <w:sz w:val="18"/>
                <w:szCs w:val="18"/>
              </w:rPr>
              <w:t>_</w:t>
            </w:r>
            <w:proofErr w:type="spellStart"/>
            <w:r w:rsidRPr="00FA3851">
              <w:rPr>
                <w:rFonts w:cs="Arial"/>
                <w:color w:val="000000"/>
                <w:sz w:val="18"/>
                <w:szCs w:val="18"/>
              </w:rPr>
              <w:t>adj_privpat_serv</w:t>
            </w:r>
            <w:proofErr w:type="spellEnd"/>
          </w:p>
        </w:tc>
        <w:tc>
          <w:tcPr>
            <w:tcW w:w="3969" w:type="dxa"/>
            <w:shd w:val="clear" w:color="auto" w:fill="auto"/>
          </w:tcPr>
          <w:p w14:paraId="5F68B0A7" w14:textId="420135F0" w:rsidR="00B325D8" w:rsidRPr="00FA3851" w:rsidRDefault="00B325D8">
            <w:pPr>
              <w:tabs>
                <w:tab w:val="left" w:pos="1162"/>
              </w:tabs>
              <w:rPr>
                <w:rFonts w:cs="Arial"/>
                <w:color w:val="000000"/>
                <w:sz w:val="18"/>
                <w:szCs w:val="18"/>
              </w:rPr>
            </w:pPr>
            <w:r w:rsidRPr="00FA3851">
              <w:rPr>
                <w:rFonts w:cs="Arial"/>
                <w:color w:val="000000"/>
                <w:sz w:val="18"/>
                <w:szCs w:val="18"/>
              </w:rPr>
              <w:t>Private Patient Service adjustment</w:t>
            </w:r>
          </w:p>
        </w:tc>
        <w:tc>
          <w:tcPr>
            <w:tcW w:w="5703" w:type="dxa"/>
            <w:shd w:val="clear" w:color="auto" w:fill="auto"/>
          </w:tcPr>
          <w:p w14:paraId="4E4DED21" w14:textId="437F0B5C" w:rsidR="00B325D8" w:rsidRDefault="00B325D8">
            <w:pPr>
              <w:tabs>
                <w:tab w:val="left" w:pos="1162"/>
              </w:tabs>
              <w:spacing w:before="80" w:after="80"/>
              <w:rPr>
                <w:rFonts w:cs="Arial"/>
                <w:color w:val="000000"/>
                <w:sz w:val="18"/>
                <w:szCs w:val="18"/>
              </w:rPr>
            </w:pPr>
            <w:r w:rsidRPr="00FA3851">
              <w:rPr>
                <w:rFonts w:cs="Arial"/>
                <w:color w:val="000000"/>
                <w:sz w:val="18"/>
                <w:szCs w:val="18"/>
              </w:rPr>
              <w:t>_</w:t>
            </w:r>
            <w:proofErr w:type="spellStart"/>
            <w:r w:rsidRPr="00FA3851">
              <w:rPr>
                <w:rFonts w:cs="Arial"/>
                <w:color w:val="000000"/>
                <w:sz w:val="18"/>
                <w:szCs w:val="18"/>
              </w:rPr>
              <w:t>pat_private_flag</w:t>
            </w:r>
            <w:proofErr w:type="spellEnd"/>
            <w:r w:rsidRPr="00FA3851">
              <w:rPr>
                <w:rFonts w:cs="Arial"/>
                <w:color w:val="000000"/>
                <w:sz w:val="18"/>
                <w:szCs w:val="18"/>
              </w:rPr>
              <w:t xml:space="preserve"> * </w:t>
            </w:r>
            <w:proofErr w:type="spellStart"/>
            <w:r w:rsidRPr="00FA3851">
              <w:rPr>
                <w:rFonts w:cs="Arial"/>
                <w:color w:val="000000"/>
                <w:sz w:val="18"/>
                <w:szCs w:val="18"/>
              </w:rPr>
              <w:t>drg_adj_privapat_serv</w:t>
            </w:r>
            <w:proofErr w:type="spellEnd"/>
            <w:r w:rsidRPr="00FA3851">
              <w:rPr>
                <w:rFonts w:cs="Arial"/>
                <w:color w:val="000000"/>
                <w:sz w:val="18"/>
                <w:szCs w:val="18"/>
              </w:rPr>
              <w:t>*(_w01+_adj_icu)</w:t>
            </w:r>
            <w:r w:rsidRPr="00FA3851" w:rsidDel="00712BAD">
              <w:rPr>
                <w:rFonts w:cs="Arial"/>
                <w:color w:val="000000"/>
                <w:sz w:val="18"/>
                <w:szCs w:val="18"/>
              </w:rPr>
              <w:t xml:space="preserve"> </w:t>
            </w:r>
          </w:p>
        </w:tc>
      </w:tr>
      <w:tr w:rsidR="00B325D8" w:rsidRPr="00C525F3" w14:paraId="082DFD7E" w14:textId="77777777" w:rsidTr="00B325D8">
        <w:trPr>
          <w:cantSplit/>
          <w:trHeight w:val="450"/>
        </w:trPr>
        <w:tc>
          <w:tcPr>
            <w:tcW w:w="992" w:type="dxa"/>
            <w:shd w:val="clear" w:color="auto" w:fill="auto"/>
            <w:noWrap/>
          </w:tcPr>
          <w:p w14:paraId="0089667B" w14:textId="676288AA" w:rsidR="00B325D8" w:rsidRDefault="00B325D8" w:rsidP="002D606E">
            <w:pPr>
              <w:tabs>
                <w:tab w:val="left" w:pos="1162"/>
              </w:tabs>
              <w:rPr>
                <w:rFonts w:eastAsiaTheme="minorHAnsi" w:cs="Arial"/>
                <w:b/>
                <w:noProof/>
                <w:color w:val="000000"/>
                <w:sz w:val="18"/>
                <w:szCs w:val="18"/>
              </w:rPr>
            </w:pPr>
            <w:r>
              <w:rPr>
                <w:rFonts w:cs="Arial"/>
                <w:color w:val="000000"/>
                <w:sz w:val="18"/>
                <w:szCs w:val="18"/>
              </w:rPr>
              <w:lastRenderedPageBreak/>
              <w:t>A44</w:t>
            </w:r>
          </w:p>
        </w:tc>
        <w:tc>
          <w:tcPr>
            <w:tcW w:w="2694" w:type="dxa"/>
            <w:shd w:val="clear" w:color="auto" w:fill="auto"/>
            <w:noWrap/>
          </w:tcPr>
          <w:p w14:paraId="322D291E" w14:textId="4A21BCF2" w:rsidR="00B325D8" w:rsidRPr="00FA3851" w:rsidRDefault="00B325D8" w:rsidP="00560AC0">
            <w:pPr>
              <w:tabs>
                <w:tab w:val="left" w:pos="1162"/>
              </w:tabs>
              <w:rPr>
                <w:rFonts w:cs="Arial"/>
                <w:color w:val="000000"/>
                <w:sz w:val="18"/>
                <w:szCs w:val="18"/>
              </w:rPr>
            </w:pPr>
            <w:r w:rsidRPr="00FA3851">
              <w:rPr>
                <w:rFonts w:cs="Arial"/>
                <w:color w:val="000000"/>
                <w:sz w:val="18"/>
                <w:szCs w:val="18"/>
              </w:rPr>
              <w:t>_</w:t>
            </w:r>
            <w:proofErr w:type="spellStart"/>
            <w:r w:rsidRPr="00FA3851">
              <w:rPr>
                <w:rFonts w:cs="Arial"/>
                <w:color w:val="000000"/>
                <w:sz w:val="18"/>
                <w:szCs w:val="18"/>
              </w:rPr>
              <w:t>adj_privpat_accom</w:t>
            </w:r>
            <w:proofErr w:type="spellEnd"/>
          </w:p>
        </w:tc>
        <w:tc>
          <w:tcPr>
            <w:tcW w:w="3969" w:type="dxa"/>
            <w:shd w:val="clear" w:color="auto" w:fill="auto"/>
          </w:tcPr>
          <w:p w14:paraId="098F32BA" w14:textId="0B5A6BEE" w:rsidR="00B325D8" w:rsidRPr="00FA3851" w:rsidRDefault="00B325D8">
            <w:pPr>
              <w:tabs>
                <w:tab w:val="left" w:pos="1162"/>
              </w:tabs>
              <w:rPr>
                <w:rFonts w:cs="Arial"/>
                <w:color w:val="000000"/>
                <w:sz w:val="18"/>
                <w:szCs w:val="18"/>
              </w:rPr>
            </w:pPr>
            <w:r w:rsidRPr="00FA3851">
              <w:rPr>
                <w:rFonts w:cs="Arial"/>
                <w:color w:val="000000"/>
                <w:sz w:val="18"/>
                <w:szCs w:val="18"/>
              </w:rPr>
              <w:t>Private Patient Accommodation adjustment</w:t>
            </w:r>
          </w:p>
        </w:tc>
        <w:tc>
          <w:tcPr>
            <w:tcW w:w="5703" w:type="dxa"/>
            <w:shd w:val="clear" w:color="auto" w:fill="auto"/>
          </w:tcPr>
          <w:p w14:paraId="5599CBD8" w14:textId="3EA97DA9" w:rsidR="00B325D8" w:rsidRPr="00FA3851" w:rsidRDefault="00B325D8">
            <w:pPr>
              <w:tabs>
                <w:tab w:val="left" w:pos="1162"/>
              </w:tabs>
              <w:spacing w:before="80" w:after="80"/>
              <w:rPr>
                <w:rFonts w:cs="Arial"/>
                <w:color w:val="000000"/>
                <w:sz w:val="18"/>
                <w:szCs w:val="18"/>
              </w:rPr>
            </w:pPr>
            <w:r w:rsidRPr="00FA3851">
              <w:rPr>
                <w:rFonts w:cs="Arial"/>
                <w:color w:val="000000"/>
                <w:sz w:val="18"/>
                <w:szCs w:val="18"/>
              </w:rPr>
              <w:t>_</w:t>
            </w:r>
            <w:proofErr w:type="spellStart"/>
            <w:r w:rsidRPr="00FA3851">
              <w:rPr>
                <w:rFonts w:cs="Arial"/>
                <w:color w:val="000000"/>
                <w:sz w:val="18"/>
                <w:szCs w:val="18"/>
              </w:rPr>
              <w:t>pat_private_flag</w:t>
            </w:r>
            <w:proofErr w:type="spellEnd"/>
            <w:r w:rsidRPr="00FA3851">
              <w:rPr>
                <w:rFonts w:cs="Arial"/>
                <w:color w:val="000000"/>
                <w:sz w:val="18"/>
                <w:szCs w:val="18"/>
              </w:rPr>
              <w:t>*(_</w:t>
            </w:r>
            <w:proofErr w:type="spellStart"/>
            <w:r w:rsidRPr="00FA3851">
              <w:rPr>
                <w:rFonts w:cs="Arial"/>
                <w:color w:val="000000"/>
                <w:sz w:val="18"/>
                <w:szCs w:val="18"/>
              </w:rPr>
              <w:t>pat_sameday_flag</w:t>
            </w:r>
            <w:proofErr w:type="spellEnd"/>
            <w:r w:rsidRPr="00FA3851">
              <w:rPr>
                <w:rFonts w:cs="Arial"/>
                <w:color w:val="000000"/>
                <w:sz w:val="18"/>
                <w:szCs w:val="18"/>
              </w:rPr>
              <w:t>*</w:t>
            </w:r>
            <w:proofErr w:type="spellStart"/>
            <w:r w:rsidRPr="00FA3851">
              <w:rPr>
                <w:rFonts w:cs="Arial"/>
                <w:color w:val="000000"/>
                <w:sz w:val="18"/>
                <w:szCs w:val="18"/>
              </w:rPr>
              <w:t>state_adj_private_accom_sd</w:t>
            </w:r>
            <w:proofErr w:type="spellEnd"/>
            <w:r w:rsidRPr="00FA3851">
              <w:rPr>
                <w:rFonts w:cs="Arial"/>
                <w:color w:val="000000"/>
                <w:sz w:val="18"/>
                <w:szCs w:val="18"/>
              </w:rPr>
              <w:t>+</w:t>
            </w:r>
            <w:r>
              <w:rPr>
                <w:rFonts w:cs="Arial"/>
                <w:color w:val="000000"/>
                <w:sz w:val="18"/>
                <w:szCs w:val="18"/>
              </w:rPr>
              <w:t xml:space="preserve"> </w:t>
            </w:r>
            <w:r w:rsidRPr="00FA3851">
              <w:rPr>
                <w:rFonts w:cs="Arial"/>
                <w:color w:val="000000"/>
                <w:sz w:val="18"/>
                <w:szCs w:val="18"/>
              </w:rPr>
              <w:t>(1-_pat_sameday_flag)*_</w:t>
            </w:r>
            <w:proofErr w:type="spellStart"/>
            <w:r w:rsidRPr="00FA3851">
              <w:rPr>
                <w:rFonts w:cs="Arial"/>
                <w:color w:val="000000"/>
                <w:sz w:val="18"/>
                <w:szCs w:val="18"/>
              </w:rPr>
              <w:t>pat_los</w:t>
            </w:r>
            <w:proofErr w:type="spellEnd"/>
            <w:r w:rsidRPr="00FA3851">
              <w:rPr>
                <w:rFonts w:cs="Arial"/>
                <w:color w:val="000000"/>
                <w:sz w:val="18"/>
                <w:szCs w:val="18"/>
              </w:rPr>
              <w:t>*</w:t>
            </w:r>
            <w:proofErr w:type="spellStart"/>
            <w:r w:rsidRPr="00FA3851">
              <w:rPr>
                <w:rFonts w:cs="Arial"/>
                <w:color w:val="000000"/>
                <w:sz w:val="18"/>
                <w:szCs w:val="18"/>
              </w:rPr>
              <w:t>state_adj_privpat_accomm_on</w:t>
            </w:r>
            <w:proofErr w:type="spellEnd"/>
            <w:r w:rsidRPr="00FA3851">
              <w:rPr>
                <w:rFonts w:cs="Arial"/>
                <w:color w:val="000000"/>
                <w:sz w:val="18"/>
                <w:szCs w:val="18"/>
              </w:rPr>
              <w:t>)</w:t>
            </w:r>
          </w:p>
        </w:tc>
      </w:tr>
      <w:tr w:rsidR="00B325D8" w:rsidRPr="00C525F3" w14:paraId="69166DEB" w14:textId="77777777" w:rsidTr="00B325D8">
        <w:trPr>
          <w:cantSplit/>
          <w:trHeight w:val="450"/>
        </w:trPr>
        <w:tc>
          <w:tcPr>
            <w:tcW w:w="992" w:type="dxa"/>
            <w:shd w:val="clear" w:color="auto" w:fill="auto"/>
            <w:noWrap/>
          </w:tcPr>
          <w:p w14:paraId="4D0299A5" w14:textId="1C83CA22" w:rsidR="00B325D8" w:rsidRPr="00B325D8" w:rsidRDefault="00B325D8" w:rsidP="002D606E">
            <w:pPr>
              <w:tabs>
                <w:tab w:val="left" w:pos="1162"/>
              </w:tabs>
              <w:rPr>
                <w:rFonts w:eastAsiaTheme="minorHAnsi" w:cs="Arial"/>
                <w:b/>
                <w:noProof/>
                <w:color w:val="000000"/>
                <w:sz w:val="18"/>
                <w:szCs w:val="18"/>
              </w:rPr>
            </w:pPr>
            <w:r w:rsidRPr="00B325D8">
              <w:rPr>
                <w:rFonts w:cs="Arial"/>
                <w:color w:val="000000"/>
                <w:sz w:val="18"/>
                <w:szCs w:val="18"/>
              </w:rPr>
              <w:t>A45</w:t>
            </w:r>
          </w:p>
        </w:tc>
        <w:tc>
          <w:tcPr>
            <w:tcW w:w="2694" w:type="dxa"/>
            <w:shd w:val="clear" w:color="auto" w:fill="auto"/>
            <w:noWrap/>
          </w:tcPr>
          <w:p w14:paraId="77CD3CEF" w14:textId="06EE3433" w:rsidR="00B325D8" w:rsidRPr="00B325D8" w:rsidRDefault="00B325D8" w:rsidP="00560AC0">
            <w:pPr>
              <w:tabs>
                <w:tab w:val="left" w:pos="1162"/>
              </w:tabs>
              <w:rPr>
                <w:rFonts w:cs="Arial"/>
                <w:color w:val="000000"/>
                <w:sz w:val="18"/>
                <w:szCs w:val="18"/>
              </w:rPr>
            </w:pPr>
            <w:r w:rsidRPr="00B325D8">
              <w:rPr>
                <w:rFonts w:cs="Arial"/>
                <w:color w:val="000000"/>
                <w:sz w:val="18"/>
                <w:szCs w:val="18"/>
              </w:rPr>
              <w:t>NWAU17</w:t>
            </w:r>
          </w:p>
        </w:tc>
        <w:tc>
          <w:tcPr>
            <w:tcW w:w="3969" w:type="dxa"/>
            <w:shd w:val="clear" w:color="auto" w:fill="auto"/>
          </w:tcPr>
          <w:p w14:paraId="17A78F8B" w14:textId="7B5544B1" w:rsidR="00B325D8" w:rsidRPr="00B325D8" w:rsidRDefault="00B325D8">
            <w:pPr>
              <w:tabs>
                <w:tab w:val="left" w:pos="1162"/>
              </w:tabs>
              <w:rPr>
                <w:rFonts w:cs="Arial"/>
                <w:color w:val="000000"/>
                <w:sz w:val="18"/>
                <w:szCs w:val="18"/>
              </w:rPr>
            </w:pPr>
            <w:r w:rsidRPr="00B325D8">
              <w:rPr>
                <w:rFonts w:cs="Arial"/>
                <w:color w:val="000000"/>
                <w:sz w:val="18"/>
                <w:szCs w:val="18"/>
              </w:rPr>
              <w:t>National Weighted Activity Unit</w:t>
            </w:r>
          </w:p>
        </w:tc>
        <w:tc>
          <w:tcPr>
            <w:tcW w:w="5703" w:type="dxa"/>
            <w:shd w:val="clear" w:color="auto" w:fill="auto"/>
          </w:tcPr>
          <w:p w14:paraId="123A7E92" w14:textId="11393509" w:rsidR="00B325D8" w:rsidRPr="00B325D8" w:rsidRDefault="00B325D8">
            <w:pPr>
              <w:tabs>
                <w:tab w:val="left" w:pos="1162"/>
              </w:tabs>
              <w:spacing w:before="80" w:after="80"/>
              <w:rPr>
                <w:rFonts w:cs="Arial"/>
                <w:color w:val="000000"/>
                <w:sz w:val="18"/>
                <w:szCs w:val="18"/>
              </w:rPr>
            </w:pPr>
            <w:r w:rsidRPr="00B325D8">
              <w:rPr>
                <w:rFonts w:cs="Arial"/>
                <w:color w:val="000000"/>
                <w:sz w:val="18"/>
                <w:szCs w:val="18"/>
              </w:rPr>
              <w:t>Max(0,GWAU17-_adj_privpat_serv-_adj_privpat_accomm ) for only in-scope funding sources</w:t>
            </w:r>
          </w:p>
        </w:tc>
      </w:tr>
    </w:tbl>
    <w:p w14:paraId="026E939D" w14:textId="77777777" w:rsidR="00CE670F" w:rsidRDefault="00CE670F" w:rsidP="00560AC0">
      <w:pPr>
        <w:spacing w:after="0" w:line="240" w:lineRule="auto"/>
        <w:ind w:right="-28"/>
      </w:pPr>
    </w:p>
    <w:p w14:paraId="6721A794" w14:textId="77777777" w:rsidR="002F7410" w:rsidRDefault="002F7410">
      <w:pPr>
        <w:spacing w:after="0" w:line="240" w:lineRule="auto"/>
      </w:pPr>
    </w:p>
    <w:p w14:paraId="19914A92" w14:textId="77777777" w:rsidR="00B777B6" w:rsidRDefault="00B777B6">
      <w:pPr>
        <w:spacing w:after="0" w:line="240" w:lineRule="auto"/>
        <w:rPr>
          <w:b/>
        </w:rPr>
      </w:pPr>
      <w:bookmarkStart w:id="947" w:name="_Ref466978113"/>
      <w:r>
        <w:rPr>
          <w:b/>
        </w:rPr>
        <w:br w:type="page"/>
      </w:r>
    </w:p>
    <w:p w14:paraId="31614769" w14:textId="25AD6E74" w:rsidR="00B777B6" w:rsidRPr="00B325D8" w:rsidRDefault="00B777B6">
      <w:pPr>
        <w:spacing w:before="120" w:after="0" w:line="240" w:lineRule="auto"/>
        <w:rPr>
          <w:b/>
        </w:rPr>
      </w:pPr>
      <w:r w:rsidRPr="00B325D8">
        <w:rPr>
          <w:b/>
        </w:rPr>
        <w:lastRenderedPageBreak/>
        <w:t xml:space="preserve">Table </w:t>
      </w:r>
      <w:r w:rsidRPr="00B325D8">
        <w:rPr>
          <w:b/>
        </w:rPr>
        <w:fldChar w:fldCharType="begin"/>
      </w:r>
      <w:r w:rsidRPr="00B325D8">
        <w:rPr>
          <w:b/>
        </w:rPr>
        <w:instrText xml:space="preserve"> SEQ Table \* ARABIC </w:instrText>
      </w:r>
      <w:r w:rsidRPr="00B325D8">
        <w:rPr>
          <w:b/>
        </w:rPr>
        <w:fldChar w:fldCharType="separate"/>
      </w:r>
      <w:r w:rsidR="00F84458">
        <w:rPr>
          <w:b/>
          <w:noProof/>
        </w:rPr>
        <w:t>23</w:t>
      </w:r>
      <w:r w:rsidRPr="00B325D8">
        <w:rPr>
          <w:b/>
        </w:rPr>
        <w:fldChar w:fldCharType="end"/>
      </w:r>
      <w:r w:rsidRPr="00B325D8">
        <w:rPr>
          <w:b/>
        </w:rPr>
        <w:t xml:space="preserve">: </w:t>
      </w:r>
      <w:r>
        <w:rPr>
          <w:b/>
        </w:rPr>
        <w:t>Sub-acute Admitted Patients: Variable Definitions</w:t>
      </w: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Table 12 assigns the National Weighted Activity Unit (NWAU) to subacute and non-acute admitted patient data"/>
      </w:tblPr>
      <w:tblGrid>
        <w:gridCol w:w="917"/>
        <w:gridCol w:w="2707"/>
        <w:gridCol w:w="4307"/>
        <w:gridCol w:w="6244"/>
      </w:tblGrid>
      <w:tr w:rsidR="00B777B6" w:rsidRPr="00496274" w14:paraId="4D70124A" w14:textId="77777777" w:rsidTr="00BA577C">
        <w:trPr>
          <w:cantSplit/>
          <w:trHeight w:val="225"/>
          <w:tblHeader/>
          <w:jc w:val="center"/>
        </w:trPr>
        <w:tc>
          <w:tcPr>
            <w:tcW w:w="0" w:type="auto"/>
            <w:shd w:val="clear" w:color="auto" w:fill="288A32"/>
            <w:noWrap/>
            <w:vAlign w:val="center"/>
            <w:hideMark/>
          </w:tcPr>
          <w:p w14:paraId="7FAE230E" w14:textId="77777777" w:rsidR="00B777B6" w:rsidRPr="00BA577C" w:rsidRDefault="00B777B6" w:rsidP="002D606E">
            <w:pPr>
              <w:tabs>
                <w:tab w:val="left" w:pos="1162"/>
              </w:tabs>
              <w:spacing w:before="80" w:after="80"/>
              <w:rPr>
                <w:rFonts w:cs="Arial"/>
                <w:b/>
                <w:bCs/>
                <w:color w:val="FFFFFF" w:themeColor="background1"/>
                <w:sz w:val="18"/>
                <w:szCs w:val="18"/>
              </w:rPr>
            </w:pPr>
            <w:bookmarkStart w:id="948" w:name="_Ref466625040"/>
            <w:bookmarkEnd w:id="947"/>
            <w:r w:rsidRPr="00BA577C">
              <w:rPr>
                <w:rFonts w:cs="Arial"/>
                <w:b/>
                <w:bCs/>
                <w:color w:val="FFFFFF" w:themeColor="background1"/>
                <w:sz w:val="18"/>
                <w:szCs w:val="18"/>
              </w:rPr>
              <w:t>Variable</w:t>
            </w:r>
          </w:p>
        </w:tc>
        <w:tc>
          <w:tcPr>
            <w:tcW w:w="2707" w:type="dxa"/>
            <w:shd w:val="clear" w:color="auto" w:fill="288A32"/>
            <w:noWrap/>
            <w:vAlign w:val="center"/>
            <w:hideMark/>
          </w:tcPr>
          <w:p w14:paraId="5683D47C" w14:textId="77777777" w:rsidR="00B777B6" w:rsidRPr="00BA577C" w:rsidRDefault="00B777B6" w:rsidP="00560AC0">
            <w:pPr>
              <w:tabs>
                <w:tab w:val="left" w:pos="1162"/>
              </w:tabs>
              <w:spacing w:before="80" w:after="80"/>
              <w:rPr>
                <w:rFonts w:cs="Arial"/>
                <w:b/>
                <w:bCs/>
                <w:color w:val="FFFFFF" w:themeColor="background1"/>
                <w:sz w:val="18"/>
                <w:szCs w:val="18"/>
              </w:rPr>
            </w:pPr>
            <w:r w:rsidRPr="00BA577C">
              <w:rPr>
                <w:rFonts w:cs="Arial"/>
                <w:b/>
                <w:bCs/>
                <w:color w:val="FFFFFF" w:themeColor="background1"/>
                <w:sz w:val="18"/>
                <w:szCs w:val="18"/>
              </w:rPr>
              <w:t>Name</w:t>
            </w:r>
          </w:p>
        </w:tc>
        <w:tc>
          <w:tcPr>
            <w:tcW w:w="4307" w:type="dxa"/>
            <w:shd w:val="clear" w:color="auto" w:fill="288A32"/>
            <w:vAlign w:val="center"/>
            <w:hideMark/>
          </w:tcPr>
          <w:p w14:paraId="1A7B7164" w14:textId="77777777" w:rsidR="00B777B6" w:rsidRPr="00BA577C" w:rsidRDefault="00B777B6">
            <w:pPr>
              <w:tabs>
                <w:tab w:val="left" w:pos="1162"/>
              </w:tabs>
              <w:spacing w:before="80" w:after="80"/>
              <w:rPr>
                <w:rFonts w:cs="Arial"/>
                <w:b/>
                <w:bCs/>
                <w:color w:val="FFFFFF" w:themeColor="background1"/>
                <w:sz w:val="18"/>
                <w:szCs w:val="18"/>
              </w:rPr>
            </w:pPr>
            <w:r w:rsidRPr="00BA577C">
              <w:rPr>
                <w:rFonts w:cs="Arial"/>
                <w:b/>
                <w:bCs/>
                <w:color w:val="FFFFFF" w:themeColor="background1"/>
                <w:sz w:val="18"/>
                <w:szCs w:val="18"/>
              </w:rPr>
              <w:t>Description</w:t>
            </w:r>
          </w:p>
        </w:tc>
        <w:tc>
          <w:tcPr>
            <w:tcW w:w="0" w:type="auto"/>
            <w:shd w:val="clear" w:color="auto" w:fill="288A32"/>
            <w:vAlign w:val="center"/>
            <w:hideMark/>
          </w:tcPr>
          <w:p w14:paraId="0CB9C2BA" w14:textId="77777777" w:rsidR="00B777B6" w:rsidRPr="00BA577C" w:rsidRDefault="00B777B6">
            <w:pPr>
              <w:tabs>
                <w:tab w:val="left" w:pos="1162"/>
              </w:tabs>
              <w:spacing w:before="80" w:after="80"/>
              <w:rPr>
                <w:rFonts w:cs="Arial"/>
                <w:b/>
                <w:bCs/>
                <w:color w:val="FFFFFF" w:themeColor="background1"/>
                <w:sz w:val="18"/>
                <w:szCs w:val="18"/>
              </w:rPr>
            </w:pPr>
            <w:r w:rsidRPr="00BA577C">
              <w:rPr>
                <w:rFonts w:cs="Arial"/>
                <w:b/>
                <w:bCs/>
                <w:color w:val="FFFFFF" w:themeColor="background1"/>
                <w:sz w:val="18"/>
                <w:szCs w:val="18"/>
              </w:rPr>
              <w:t>Definition</w:t>
            </w:r>
          </w:p>
        </w:tc>
      </w:tr>
      <w:tr w:rsidR="00B777B6" w:rsidRPr="00496274" w14:paraId="21D36D03" w14:textId="77777777" w:rsidTr="006C42C4">
        <w:trPr>
          <w:cantSplit/>
          <w:trHeight w:val="450"/>
          <w:jc w:val="center"/>
        </w:trPr>
        <w:tc>
          <w:tcPr>
            <w:tcW w:w="0" w:type="auto"/>
            <w:shd w:val="clear" w:color="auto" w:fill="auto"/>
            <w:noWrap/>
            <w:hideMark/>
          </w:tcPr>
          <w:p w14:paraId="7BA59BA4" w14:textId="77777777" w:rsidR="00B777B6" w:rsidRPr="001729CF" w:rsidRDefault="00B777B6" w:rsidP="002D606E">
            <w:pPr>
              <w:tabs>
                <w:tab w:val="left" w:pos="1162"/>
              </w:tabs>
              <w:rPr>
                <w:rFonts w:cs="Arial"/>
                <w:color w:val="000000"/>
                <w:sz w:val="18"/>
                <w:szCs w:val="18"/>
              </w:rPr>
            </w:pPr>
            <w:r w:rsidRPr="001729CF">
              <w:rPr>
                <w:rFonts w:cs="Arial"/>
                <w:color w:val="000000"/>
                <w:sz w:val="18"/>
                <w:szCs w:val="18"/>
              </w:rPr>
              <w:t>S01</w:t>
            </w:r>
          </w:p>
        </w:tc>
        <w:tc>
          <w:tcPr>
            <w:tcW w:w="2707" w:type="dxa"/>
            <w:shd w:val="clear" w:color="auto" w:fill="auto"/>
            <w:noWrap/>
            <w:hideMark/>
          </w:tcPr>
          <w:p w14:paraId="1B50CB08" w14:textId="77777777" w:rsidR="00B777B6" w:rsidRPr="001729CF" w:rsidRDefault="00B777B6" w:rsidP="00560AC0">
            <w:pPr>
              <w:tabs>
                <w:tab w:val="left" w:pos="1162"/>
              </w:tabs>
              <w:rPr>
                <w:rFonts w:cs="Arial"/>
                <w:color w:val="000000"/>
                <w:sz w:val="18"/>
                <w:szCs w:val="18"/>
              </w:rPr>
            </w:pPr>
            <w:r>
              <w:rPr>
                <w:rFonts w:cs="Arial"/>
                <w:color w:val="000000"/>
                <w:sz w:val="18"/>
                <w:szCs w:val="18"/>
              </w:rPr>
              <w:t>_</w:t>
            </w:r>
            <w:proofErr w:type="spellStart"/>
            <w:r>
              <w:rPr>
                <w:rFonts w:cs="Arial"/>
                <w:color w:val="000000"/>
                <w:sz w:val="18"/>
                <w:szCs w:val="18"/>
              </w:rPr>
              <w:t>pat</w:t>
            </w:r>
            <w:r w:rsidRPr="00822178">
              <w:rPr>
                <w:rFonts w:cs="Arial"/>
                <w:color w:val="000000"/>
                <w:sz w:val="18"/>
                <w:szCs w:val="18"/>
              </w:rPr>
              <w:t>_remoteness</w:t>
            </w:r>
            <w:proofErr w:type="spellEnd"/>
          </w:p>
        </w:tc>
        <w:tc>
          <w:tcPr>
            <w:tcW w:w="4307" w:type="dxa"/>
            <w:shd w:val="clear" w:color="auto" w:fill="auto"/>
            <w:hideMark/>
          </w:tcPr>
          <w:p w14:paraId="0589AD7A" w14:textId="77777777" w:rsidR="00B777B6" w:rsidRPr="001729CF" w:rsidRDefault="00B777B6">
            <w:pPr>
              <w:tabs>
                <w:tab w:val="left" w:pos="1162"/>
              </w:tabs>
              <w:rPr>
                <w:rFonts w:cs="Arial"/>
                <w:color w:val="000000"/>
                <w:sz w:val="18"/>
                <w:szCs w:val="18"/>
              </w:rPr>
            </w:pPr>
            <w:r>
              <w:rPr>
                <w:rFonts w:cs="Arial"/>
                <w:color w:val="000000"/>
                <w:sz w:val="18"/>
                <w:szCs w:val="18"/>
              </w:rPr>
              <w:t>Patient</w:t>
            </w:r>
            <w:r w:rsidRPr="00822178">
              <w:rPr>
                <w:rFonts w:cs="Arial"/>
                <w:color w:val="000000"/>
                <w:sz w:val="18"/>
                <w:szCs w:val="18"/>
              </w:rPr>
              <w:t xml:space="preserve"> Remoteness Area</w:t>
            </w:r>
          </w:p>
        </w:tc>
        <w:tc>
          <w:tcPr>
            <w:tcW w:w="0" w:type="auto"/>
            <w:shd w:val="clear" w:color="auto" w:fill="auto"/>
            <w:hideMark/>
          </w:tcPr>
          <w:p w14:paraId="0DD0E44F" w14:textId="77777777" w:rsidR="00B777B6" w:rsidRPr="001729CF" w:rsidRDefault="00B777B6">
            <w:pPr>
              <w:tabs>
                <w:tab w:val="left" w:pos="1162"/>
              </w:tabs>
              <w:rPr>
                <w:rFonts w:cs="Arial"/>
                <w:color w:val="000000"/>
                <w:sz w:val="18"/>
                <w:szCs w:val="18"/>
              </w:rPr>
            </w:pPr>
            <w:r w:rsidRPr="00822178">
              <w:rPr>
                <w:rFonts w:cs="Arial"/>
                <w:color w:val="000000"/>
                <w:sz w:val="18"/>
                <w:szCs w:val="18"/>
              </w:rPr>
              <w:t xml:space="preserve">2011 ASGS Remoteness Area category of the establishment location taken from </w:t>
            </w:r>
            <w:r>
              <w:rPr>
                <w:rFonts w:cs="Arial"/>
                <w:color w:val="000000"/>
                <w:sz w:val="18"/>
                <w:szCs w:val="18"/>
              </w:rPr>
              <w:t xml:space="preserve">patient postcode, ASGS, SLA, or </w:t>
            </w:r>
            <w:r w:rsidRPr="00822178">
              <w:rPr>
                <w:rFonts w:cs="Arial"/>
                <w:color w:val="000000"/>
                <w:sz w:val="18"/>
                <w:szCs w:val="18"/>
              </w:rPr>
              <w:t>the hospital geographical indicator variable, where</w:t>
            </w:r>
            <w:proofErr w:type="gramStart"/>
            <w:r w:rsidRPr="00822178">
              <w:rPr>
                <w:rFonts w:cs="Arial"/>
                <w:color w:val="000000"/>
                <w:sz w:val="18"/>
                <w:szCs w:val="18"/>
              </w:rPr>
              <w:t>:</w:t>
            </w:r>
            <w:proofErr w:type="gramEnd"/>
            <w:r w:rsidRPr="00822178">
              <w:rPr>
                <w:rFonts w:cs="Arial"/>
                <w:color w:val="000000"/>
                <w:sz w:val="18"/>
                <w:szCs w:val="18"/>
              </w:rPr>
              <w:br/>
              <w:t>0 = Major City; 1 = Inner Regional; 2 = Outer Regional; 3</w:t>
            </w:r>
            <w:r>
              <w:rPr>
                <w:rFonts w:cs="Arial"/>
                <w:color w:val="000000"/>
                <w:sz w:val="18"/>
                <w:szCs w:val="18"/>
              </w:rPr>
              <w:t> </w:t>
            </w:r>
            <w:r w:rsidRPr="00822178">
              <w:rPr>
                <w:rFonts w:cs="Arial"/>
                <w:color w:val="000000"/>
                <w:sz w:val="18"/>
                <w:szCs w:val="18"/>
              </w:rPr>
              <w:t>=</w:t>
            </w:r>
            <w:r>
              <w:rPr>
                <w:rFonts w:cs="Arial"/>
                <w:color w:val="000000"/>
                <w:sz w:val="18"/>
                <w:szCs w:val="18"/>
              </w:rPr>
              <w:t> </w:t>
            </w:r>
            <w:r w:rsidRPr="00822178">
              <w:rPr>
                <w:rFonts w:cs="Arial"/>
                <w:color w:val="000000"/>
                <w:sz w:val="18"/>
                <w:szCs w:val="18"/>
              </w:rPr>
              <w:t>Remote; and 4 = Very Remote.</w:t>
            </w:r>
          </w:p>
        </w:tc>
      </w:tr>
      <w:tr w:rsidR="00B777B6" w:rsidRPr="00496274" w14:paraId="31696939" w14:textId="77777777" w:rsidTr="006C42C4">
        <w:trPr>
          <w:cantSplit/>
          <w:trHeight w:val="225"/>
          <w:jc w:val="center"/>
        </w:trPr>
        <w:tc>
          <w:tcPr>
            <w:tcW w:w="0" w:type="auto"/>
            <w:shd w:val="clear" w:color="auto" w:fill="auto"/>
            <w:noWrap/>
            <w:hideMark/>
          </w:tcPr>
          <w:p w14:paraId="60599D8E" w14:textId="77777777" w:rsidR="00B777B6" w:rsidRPr="001729CF" w:rsidRDefault="00B777B6" w:rsidP="002D606E">
            <w:pPr>
              <w:tabs>
                <w:tab w:val="left" w:pos="1162"/>
              </w:tabs>
              <w:rPr>
                <w:rFonts w:eastAsiaTheme="minorHAnsi" w:cs="Arial"/>
                <w:b/>
                <w:noProof/>
                <w:color w:val="000000"/>
                <w:sz w:val="18"/>
                <w:szCs w:val="18"/>
              </w:rPr>
            </w:pPr>
            <w:r w:rsidRPr="001729CF">
              <w:rPr>
                <w:rFonts w:cs="Arial"/>
                <w:color w:val="000000"/>
                <w:sz w:val="18"/>
                <w:szCs w:val="18"/>
              </w:rPr>
              <w:t>S02</w:t>
            </w:r>
          </w:p>
        </w:tc>
        <w:tc>
          <w:tcPr>
            <w:tcW w:w="2707" w:type="dxa"/>
            <w:shd w:val="clear" w:color="auto" w:fill="auto"/>
            <w:noWrap/>
            <w:hideMark/>
          </w:tcPr>
          <w:p w14:paraId="68FE42A0" w14:textId="77777777" w:rsidR="00B777B6" w:rsidRPr="001729CF" w:rsidRDefault="00B777B6" w:rsidP="00560AC0">
            <w:pPr>
              <w:tabs>
                <w:tab w:val="left" w:pos="1162"/>
              </w:tabs>
              <w:rPr>
                <w:rFonts w:cs="Arial"/>
                <w:color w:val="000000"/>
                <w:sz w:val="18"/>
                <w:szCs w:val="18"/>
              </w:rPr>
            </w:pPr>
            <w:r>
              <w:rPr>
                <w:rFonts w:cs="Arial"/>
                <w:color w:val="000000"/>
                <w:sz w:val="18"/>
                <w:szCs w:val="18"/>
              </w:rPr>
              <w:t>_</w:t>
            </w:r>
            <w:proofErr w:type="spellStart"/>
            <w:r w:rsidRPr="001729CF">
              <w:rPr>
                <w:rFonts w:cs="Arial"/>
                <w:color w:val="000000"/>
                <w:sz w:val="18"/>
                <w:szCs w:val="18"/>
              </w:rPr>
              <w:t>pat_subacute_flag</w:t>
            </w:r>
            <w:proofErr w:type="spellEnd"/>
          </w:p>
        </w:tc>
        <w:tc>
          <w:tcPr>
            <w:tcW w:w="4307" w:type="dxa"/>
            <w:shd w:val="clear" w:color="auto" w:fill="auto"/>
            <w:hideMark/>
          </w:tcPr>
          <w:p w14:paraId="7D4EDF7E" w14:textId="77777777" w:rsidR="00B777B6" w:rsidRPr="001729CF" w:rsidRDefault="00B777B6">
            <w:pPr>
              <w:tabs>
                <w:tab w:val="left" w:pos="1162"/>
              </w:tabs>
              <w:rPr>
                <w:rFonts w:cs="Arial"/>
                <w:color w:val="000000"/>
                <w:sz w:val="18"/>
                <w:szCs w:val="18"/>
              </w:rPr>
            </w:pPr>
            <w:r w:rsidRPr="001729CF">
              <w:rPr>
                <w:rFonts w:cs="Arial"/>
                <w:color w:val="000000"/>
                <w:sz w:val="18"/>
                <w:szCs w:val="18"/>
              </w:rPr>
              <w:t>Subacute and non-acute patient flag</w:t>
            </w:r>
          </w:p>
        </w:tc>
        <w:tc>
          <w:tcPr>
            <w:tcW w:w="0" w:type="auto"/>
            <w:shd w:val="clear" w:color="auto" w:fill="auto"/>
            <w:hideMark/>
          </w:tcPr>
          <w:p w14:paraId="55E0F024" w14:textId="14D3B471" w:rsidR="00B777B6" w:rsidRPr="001729CF" w:rsidRDefault="00B777B6">
            <w:pPr>
              <w:tabs>
                <w:tab w:val="left" w:pos="1162"/>
              </w:tabs>
              <w:rPr>
                <w:rFonts w:cs="Arial"/>
                <w:color w:val="000000"/>
                <w:sz w:val="18"/>
                <w:szCs w:val="18"/>
              </w:rPr>
            </w:pPr>
            <w:r w:rsidRPr="001729CF">
              <w:rPr>
                <w:rFonts w:cs="Arial"/>
                <w:color w:val="000000"/>
                <w:sz w:val="18"/>
                <w:szCs w:val="18"/>
              </w:rPr>
              <w:t>1 if Care Type = 2, 3, 4, 5</w:t>
            </w:r>
            <w:r w:rsidR="00441DDD">
              <w:rPr>
                <w:rFonts w:cs="Arial"/>
                <w:color w:val="000000"/>
                <w:sz w:val="18"/>
                <w:szCs w:val="18"/>
              </w:rPr>
              <w:t xml:space="preserve"> or </w:t>
            </w:r>
            <w:r w:rsidRPr="001729CF">
              <w:rPr>
                <w:rFonts w:cs="Arial"/>
                <w:color w:val="000000"/>
                <w:sz w:val="18"/>
                <w:szCs w:val="18"/>
              </w:rPr>
              <w:t>6</w:t>
            </w:r>
            <w:r w:rsidR="00441DDD">
              <w:rPr>
                <w:rFonts w:cs="Arial"/>
                <w:color w:val="000000"/>
                <w:sz w:val="18"/>
                <w:szCs w:val="18"/>
              </w:rPr>
              <w:t>,</w:t>
            </w:r>
            <w:r w:rsidRPr="001729CF">
              <w:rPr>
                <w:rFonts w:cs="Arial"/>
                <w:color w:val="000000"/>
                <w:sz w:val="18"/>
                <w:szCs w:val="18"/>
              </w:rPr>
              <w:t xml:space="preserve"> else</w:t>
            </w:r>
            <w:r>
              <w:rPr>
                <w:rFonts w:cs="Arial"/>
                <w:color w:val="000000"/>
                <w:sz w:val="18"/>
                <w:szCs w:val="18"/>
              </w:rPr>
              <w:t xml:space="preserve"> </w:t>
            </w:r>
            <w:r w:rsidRPr="001729CF">
              <w:rPr>
                <w:rFonts w:cs="Arial"/>
                <w:color w:val="000000"/>
                <w:sz w:val="18"/>
                <w:szCs w:val="18"/>
              </w:rPr>
              <w:t>0.</w:t>
            </w:r>
          </w:p>
        </w:tc>
      </w:tr>
      <w:tr w:rsidR="00B777B6" w:rsidRPr="00496274" w14:paraId="032BC176" w14:textId="77777777" w:rsidTr="006C42C4">
        <w:trPr>
          <w:cantSplit/>
          <w:trHeight w:val="450"/>
          <w:jc w:val="center"/>
        </w:trPr>
        <w:tc>
          <w:tcPr>
            <w:tcW w:w="0" w:type="auto"/>
            <w:shd w:val="clear" w:color="auto" w:fill="auto"/>
            <w:noWrap/>
          </w:tcPr>
          <w:p w14:paraId="13EDB2B3"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S03</w:t>
            </w:r>
          </w:p>
        </w:tc>
        <w:tc>
          <w:tcPr>
            <w:tcW w:w="2707" w:type="dxa"/>
            <w:shd w:val="clear" w:color="auto" w:fill="auto"/>
            <w:noWrap/>
          </w:tcPr>
          <w:p w14:paraId="20ED2EC8" w14:textId="77777777" w:rsidR="00B777B6" w:rsidRDefault="00B777B6"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pat_los</w:t>
            </w:r>
            <w:proofErr w:type="spellEnd"/>
          </w:p>
        </w:tc>
        <w:tc>
          <w:tcPr>
            <w:tcW w:w="4307" w:type="dxa"/>
            <w:shd w:val="clear" w:color="auto" w:fill="auto"/>
          </w:tcPr>
          <w:p w14:paraId="46287982" w14:textId="77777777" w:rsidR="00B777B6" w:rsidRPr="001729CF" w:rsidRDefault="00B777B6">
            <w:pPr>
              <w:tabs>
                <w:tab w:val="left" w:pos="1162"/>
              </w:tabs>
              <w:rPr>
                <w:rFonts w:cs="Arial"/>
                <w:color w:val="000000"/>
                <w:sz w:val="18"/>
                <w:szCs w:val="18"/>
              </w:rPr>
            </w:pPr>
            <w:r w:rsidRPr="00822178">
              <w:rPr>
                <w:rFonts w:cs="Arial"/>
                <w:color w:val="000000"/>
                <w:sz w:val="18"/>
                <w:szCs w:val="18"/>
              </w:rPr>
              <w:t>Length of stay</w:t>
            </w:r>
          </w:p>
        </w:tc>
        <w:tc>
          <w:tcPr>
            <w:tcW w:w="0" w:type="auto"/>
            <w:shd w:val="clear" w:color="auto" w:fill="auto"/>
          </w:tcPr>
          <w:p w14:paraId="19CA5BAD" w14:textId="77777777" w:rsidR="00B777B6" w:rsidRPr="00822178" w:rsidRDefault="00B777B6">
            <w:pPr>
              <w:tabs>
                <w:tab w:val="left" w:pos="1162"/>
              </w:tabs>
              <w:rPr>
                <w:rFonts w:cs="Arial"/>
                <w:color w:val="000000"/>
                <w:sz w:val="18"/>
                <w:szCs w:val="18"/>
              </w:rPr>
            </w:pPr>
            <w:r w:rsidRPr="00822178">
              <w:rPr>
                <w:rFonts w:cs="Arial"/>
                <w:color w:val="000000"/>
                <w:sz w:val="18"/>
                <w:szCs w:val="18"/>
              </w:rPr>
              <w:t>Max</w:t>
            </w:r>
            <w:r>
              <w:rPr>
                <w:rFonts w:cs="Arial"/>
                <w:color w:val="000000"/>
                <w:sz w:val="18"/>
                <w:szCs w:val="18"/>
              </w:rPr>
              <w:t xml:space="preserve"> (</w:t>
            </w:r>
            <w:r w:rsidRPr="00822178">
              <w:rPr>
                <w:rFonts w:cs="Arial"/>
                <w:color w:val="000000"/>
                <w:sz w:val="18"/>
                <w:szCs w:val="18"/>
              </w:rPr>
              <w:t xml:space="preserve">1, </w:t>
            </w:r>
            <w:proofErr w:type="gramStart"/>
            <w:r w:rsidRPr="00822178">
              <w:rPr>
                <w:rFonts w:cs="Arial"/>
                <w:color w:val="000000"/>
                <w:sz w:val="18"/>
                <w:szCs w:val="18"/>
              </w:rPr>
              <w:t>( Date</w:t>
            </w:r>
            <w:proofErr w:type="gramEnd"/>
            <w:r w:rsidRPr="00822178">
              <w:rPr>
                <w:rFonts w:cs="Arial"/>
                <w:color w:val="000000"/>
                <w:sz w:val="18"/>
                <w:szCs w:val="18"/>
              </w:rPr>
              <w:t xml:space="preserve"> of Separation ) - ( Date of Admissio</w:t>
            </w:r>
            <w:r>
              <w:rPr>
                <w:rFonts w:cs="Arial"/>
                <w:color w:val="000000"/>
                <w:sz w:val="18"/>
                <w:szCs w:val="18"/>
              </w:rPr>
              <w:t xml:space="preserve">n ) - ( Total Leave Days ) ). </w:t>
            </w:r>
          </w:p>
        </w:tc>
      </w:tr>
      <w:tr w:rsidR="00B777B6" w:rsidRPr="00496274" w14:paraId="01CB6B0F" w14:textId="77777777" w:rsidTr="006C42C4">
        <w:trPr>
          <w:cantSplit/>
          <w:trHeight w:val="450"/>
          <w:jc w:val="center"/>
        </w:trPr>
        <w:tc>
          <w:tcPr>
            <w:tcW w:w="0" w:type="auto"/>
            <w:shd w:val="clear" w:color="auto" w:fill="auto"/>
            <w:noWrap/>
            <w:hideMark/>
          </w:tcPr>
          <w:p w14:paraId="400E9596" w14:textId="77777777" w:rsidR="00B777B6" w:rsidRPr="001729CF" w:rsidRDefault="00B777B6" w:rsidP="002D606E">
            <w:pPr>
              <w:tabs>
                <w:tab w:val="left" w:pos="1162"/>
              </w:tabs>
              <w:rPr>
                <w:rFonts w:eastAsiaTheme="minorHAnsi" w:cs="Arial"/>
                <w:b/>
                <w:noProof/>
                <w:color w:val="000000"/>
                <w:sz w:val="18"/>
                <w:szCs w:val="18"/>
              </w:rPr>
            </w:pPr>
            <w:r w:rsidRPr="001729CF">
              <w:rPr>
                <w:rFonts w:cs="Arial"/>
                <w:color w:val="000000"/>
                <w:sz w:val="18"/>
                <w:szCs w:val="18"/>
              </w:rPr>
              <w:t>S0</w:t>
            </w:r>
            <w:r>
              <w:rPr>
                <w:rFonts w:cs="Arial"/>
                <w:color w:val="000000"/>
                <w:sz w:val="18"/>
                <w:szCs w:val="18"/>
              </w:rPr>
              <w:t>4</w:t>
            </w:r>
          </w:p>
        </w:tc>
        <w:tc>
          <w:tcPr>
            <w:tcW w:w="2707" w:type="dxa"/>
            <w:shd w:val="clear" w:color="auto" w:fill="auto"/>
            <w:noWrap/>
            <w:hideMark/>
          </w:tcPr>
          <w:p w14:paraId="0A8D684C" w14:textId="77777777" w:rsidR="00B777B6" w:rsidRPr="001729CF" w:rsidRDefault="00B777B6" w:rsidP="00560AC0">
            <w:pPr>
              <w:tabs>
                <w:tab w:val="left" w:pos="1162"/>
              </w:tabs>
              <w:rPr>
                <w:rFonts w:cs="Arial"/>
                <w:color w:val="000000"/>
                <w:sz w:val="18"/>
                <w:szCs w:val="18"/>
              </w:rPr>
            </w:pPr>
            <w:r>
              <w:rPr>
                <w:rFonts w:cs="Arial"/>
                <w:color w:val="000000"/>
                <w:sz w:val="18"/>
                <w:szCs w:val="18"/>
              </w:rPr>
              <w:t>_</w:t>
            </w:r>
            <w:proofErr w:type="spellStart"/>
            <w:r w:rsidRPr="001729CF">
              <w:rPr>
                <w:rFonts w:cs="Arial"/>
                <w:color w:val="000000"/>
                <w:sz w:val="18"/>
                <w:szCs w:val="18"/>
              </w:rPr>
              <w:t>pat_sameday_flag</w:t>
            </w:r>
            <w:proofErr w:type="spellEnd"/>
          </w:p>
        </w:tc>
        <w:tc>
          <w:tcPr>
            <w:tcW w:w="4307" w:type="dxa"/>
            <w:shd w:val="clear" w:color="auto" w:fill="auto"/>
            <w:hideMark/>
          </w:tcPr>
          <w:p w14:paraId="6DE6E60D" w14:textId="77777777" w:rsidR="00B777B6" w:rsidRPr="001729CF" w:rsidRDefault="00B777B6">
            <w:pPr>
              <w:tabs>
                <w:tab w:val="left" w:pos="1162"/>
              </w:tabs>
              <w:rPr>
                <w:rFonts w:cs="Arial"/>
                <w:color w:val="000000"/>
                <w:sz w:val="18"/>
                <w:szCs w:val="18"/>
              </w:rPr>
            </w:pPr>
            <w:r w:rsidRPr="001729CF">
              <w:rPr>
                <w:rFonts w:cs="Arial"/>
                <w:color w:val="000000"/>
                <w:sz w:val="18"/>
                <w:szCs w:val="18"/>
              </w:rPr>
              <w:t>Patient same-day flag</w:t>
            </w:r>
          </w:p>
        </w:tc>
        <w:tc>
          <w:tcPr>
            <w:tcW w:w="0" w:type="auto"/>
            <w:shd w:val="clear" w:color="auto" w:fill="auto"/>
            <w:hideMark/>
          </w:tcPr>
          <w:p w14:paraId="4E1474A3" w14:textId="77777777" w:rsidR="00B777B6" w:rsidRPr="001729CF" w:rsidRDefault="00B777B6">
            <w:pPr>
              <w:tabs>
                <w:tab w:val="left" w:pos="1162"/>
              </w:tabs>
              <w:rPr>
                <w:rFonts w:cs="Arial"/>
                <w:color w:val="000000"/>
                <w:sz w:val="18"/>
                <w:szCs w:val="18"/>
              </w:rPr>
            </w:pPr>
            <w:r w:rsidRPr="00822178">
              <w:rPr>
                <w:rFonts w:cs="Arial"/>
                <w:color w:val="000000"/>
                <w:sz w:val="18"/>
                <w:szCs w:val="18"/>
              </w:rPr>
              <w:t>1 if Date of Admission = Date of Separation; else</w:t>
            </w:r>
            <w:r>
              <w:rPr>
                <w:rFonts w:cs="Arial"/>
                <w:color w:val="000000"/>
                <w:sz w:val="18"/>
                <w:szCs w:val="18"/>
              </w:rPr>
              <w:t xml:space="preserve"> </w:t>
            </w:r>
            <w:r w:rsidRPr="00822178">
              <w:rPr>
                <w:rFonts w:cs="Arial"/>
                <w:color w:val="000000"/>
                <w:sz w:val="18"/>
                <w:szCs w:val="18"/>
              </w:rPr>
              <w:t>0.</w:t>
            </w:r>
          </w:p>
        </w:tc>
      </w:tr>
      <w:tr w:rsidR="00B777B6" w:rsidRPr="00496274" w14:paraId="5A760ADC" w14:textId="77777777" w:rsidTr="006C42C4">
        <w:trPr>
          <w:cantSplit/>
          <w:trHeight w:val="450"/>
          <w:jc w:val="center"/>
        </w:trPr>
        <w:tc>
          <w:tcPr>
            <w:tcW w:w="917" w:type="dxa"/>
            <w:shd w:val="clear" w:color="auto" w:fill="auto"/>
            <w:noWrap/>
            <w:hideMark/>
          </w:tcPr>
          <w:p w14:paraId="1206F0DF" w14:textId="77777777" w:rsidR="00B777B6" w:rsidRPr="001729CF" w:rsidRDefault="00B777B6" w:rsidP="002D606E">
            <w:pPr>
              <w:tabs>
                <w:tab w:val="left" w:pos="1162"/>
              </w:tabs>
              <w:rPr>
                <w:rFonts w:eastAsiaTheme="minorHAnsi" w:cs="Arial"/>
                <w:b/>
                <w:noProof/>
                <w:color w:val="000000"/>
                <w:sz w:val="18"/>
                <w:szCs w:val="18"/>
              </w:rPr>
            </w:pPr>
            <w:r w:rsidRPr="001729CF">
              <w:rPr>
                <w:rFonts w:cs="Arial"/>
                <w:color w:val="000000"/>
                <w:sz w:val="18"/>
                <w:szCs w:val="18"/>
              </w:rPr>
              <w:t>S0</w:t>
            </w:r>
            <w:r>
              <w:rPr>
                <w:rFonts w:cs="Arial"/>
                <w:color w:val="000000"/>
                <w:sz w:val="18"/>
                <w:szCs w:val="18"/>
              </w:rPr>
              <w:t>5</w:t>
            </w:r>
          </w:p>
        </w:tc>
        <w:tc>
          <w:tcPr>
            <w:tcW w:w="2707" w:type="dxa"/>
            <w:shd w:val="clear" w:color="auto" w:fill="auto"/>
            <w:noWrap/>
            <w:hideMark/>
          </w:tcPr>
          <w:p w14:paraId="2F5359E1" w14:textId="77777777" w:rsidR="00B777B6" w:rsidRPr="001729CF" w:rsidRDefault="00B777B6"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pat_age_years</w:t>
            </w:r>
            <w:proofErr w:type="spellEnd"/>
          </w:p>
        </w:tc>
        <w:tc>
          <w:tcPr>
            <w:tcW w:w="4307" w:type="dxa"/>
            <w:shd w:val="clear" w:color="auto" w:fill="auto"/>
            <w:hideMark/>
          </w:tcPr>
          <w:p w14:paraId="2BABCF6D" w14:textId="77777777" w:rsidR="00B777B6" w:rsidRPr="001729CF" w:rsidRDefault="00B777B6">
            <w:pPr>
              <w:tabs>
                <w:tab w:val="left" w:pos="1162"/>
              </w:tabs>
              <w:rPr>
                <w:rFonts w:cs="Arial"/>
                <w:color w:val="000000"/>
                <w:sz w:val="18"/>
                <w:szCs w:val="18"/>
              </w:rPr>
            </w:pPr>
            <w:r w:rsidRPr="00822178">
              <w:rPr>
                <w:rFonts w:cs="Arial"/>
                <w:color w:val="000000"/>
                <w:sz w:val="18"/>
                <w:szCs w:val="18"/>
              </w:rPr>
              <w:t>Age at admission (in years)</w:t>
            </w:r>
          </w:p>
        </w:tc>
        <w:tc>
          <w:tcPr>
            <w:tcW w:w="0" w:type="auto"/>
            <w:shd w:val="clear" w:color="auto" w:fill="auto"/>
            <w:hideMark/>
          </w:tcPr>
          <w:p w14:paraId="79415565" w14:textId="77777777" w:rsidR="00B777B6" w:rsidRPr="001729CF" w:rsidRDefault="00B777B6">
            <w:pPr>
              <w:tabs>
                <w:tab w:val="left" w:pos="1162"/>
              </w:tabs>
              <w:rPr>
                <w:rFonts w:cs="Arial"/>
                <w:color w:val="000000"/>
                <w:sz w:val="18"/>
                <w:szCs w:val="18"/>
              </w:rPr>
            </w:pPr>
            <w:r>
              <w:rPr>
                <w:rFonts w:cs="Arial"/>
                <w:color w:val="000000"/>
                <w:sz w:val="18"/>
                <w:szCs w:val="18"/>
              </w:rPr>
              <w:t>T</w:t>
            </w:r>
            <w:r w:rsidRPr="00822178">
              <w:rPr>
                <w:rFonts w:cs="Arial"/>
                <w:color w:val="000000"/>
                <w:sz w:val="18"/>
                <w:szCs w:val="18"/>
              </w:rPr>
              <w:t>otal whole years from Date of Birth to Date of Admission.</w:t>
            </w:r>
          </w:p>
        </w:tc>
      </w:tr>
      <w:tr w:rsidR="00B777B6" w:rsidRPr="00496274" w14:paraId="11E83225" w14:textId="77777777" w:rsidTr="006C42C4">
        <w:trPr>
          <w:cantSplit/>
          <w:trHeight w:val="450"/>
          <w:jc w:val="center"/>
        </w:trPr>
        <w:tc>
          <w:tcPr>
            <w:tcW w:w="0" w:type="auto"/>
            <w:shd w:val="clear" w:color="auto" w:fill="auto"/>
            <w:noWrap/>
            <w:hideMark/>
          </w:tcPr>
          <w:p w14:paraId="6DCD2481" w14:textId="77777777" w:rsidR="00B777B6" w:rsidRPr="001729CF" w:rsidRDefault="00B777B6" w:rsidP="002D606E">
            <w:pPr>
              <w:tabs>
                <w:tab w:val="left" w:pos="1162"/>
              </w:tabs>
              <w:rPr>
                <w:rFonts w:eastAsiaTheme="minorHAnsi" w:cs="Arial"/>
                <w:b/>
                <w:noProof/>
                <w:color w:val="000000"/>
                <w:sz w:val="18"/>
                <w:szCs w:val="18"/>
              </w:rPr>
            </w:pPr>
            <w:r w:rsidRPr="001729CF">
              <w:rPr>
                <w:rFonts w:cs="Arial"/>
                <w:color w:val="000000"/>
                <w:sz w:val="18"/>
                <w:szCs w:val="18"/>
              </w:rPr>
              <w:t>S0</w:t>
            </w:r>
            <w:r>
              <w:rPr>
                <w:rFonts w:cs="Arial"/>
                <w:color w:val="000000"/>
                <w:sz w:val="18"/>
                <w:szCs w:val="18"/>
              </w:rPr>
              <w:t>6</w:t>
            </w:r>
          </w:p>
        </w:tc>
        <w:tc>
          <w:tcPr>
            <w:tcW w:w="2707" w:type="dxa"/>
            <w:shd w:val="clear" w:color="auto" w:fill="auto"/>
            <w:noWrap/>
            <w:hideMark/>
          </w:tcPr>
          <w:p w14:paraId="71FE5A14" w14:textId="77777777" w:rsidR="00B777B6" w:rsidRPr="001729CF" w:rsidRDefault="00B777B6"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pat_eligible_paed_flag</w:t>
            </w:r>
            <w:proofErr w:type="spellEnd"/>
          </w:p>
        </w:tc>
        <w:tc>
          <w:tcPr>
            <w:tcW w:w="4307" w:type="dxa"/>
            <w:shd w:val="clear" w:color="auto" w:fill="auto"/>
            <w:hideMark/>
          </w:tcPr>
          <w:p w14:paraId="45D29CCA" w14:textId="77777777" w:rsidR="00B777B6" w:rsidRPr="001729CF" w:rsidRDefault="00B777B6">
            <w:pPr>
              <w:tabs>
                <w:tab w:val="left" w:pos="1162"/>
              </w:tabs>
              <w:rPr>
                <w:rFonts w:cs="Arial"/>
                <w:color w:val="000000"/>
                <w:sz w:val="18"/>
                <w:szCs w:val="18"/>
              </w:rPr>
            </w:pPr>
            <w:r w:rsidRPr="00822178">
              <w:rPr>
                <w:rFonts w:cs="Arial"/>
                <w:color w:val="000000"/>
                <w:sz w:val="18"/>
                <w:szCs w:val="18"/>
              </w:rPr>
              <w:t>Paediatric Adjustment eligible patient</w:t>
            </w:r>
          </w:p>
        </w:tc>
        <w:tc>
          <w:tcPr>
            <w:tcW w:w="0" w:type="auto"/>
            <w:shd w:val="clear" w:color="auto" w:fill="auto"/>
            <w:hideMark/>
          </w:tcPr>
          <w:p w14:paraId="3BD5BE09" w14:textId="18BE22C7" w:rsidR="00B777B6" w:rsidRPr="001729CF" w:rsidRDefault="00B777B6">
            <w:pPr>
              <w:tabs>
                <w:tab w:val="left" w:pos="1162"/>
              </w:tabs>
              <w:rPr>
                <w:rFonts w:cs="Arial"/>
                <w:color w:val="000000"/>
                <w:sz w:val="18"/>
                <w:szCs w:val="18"/>
              </w:rPr>
            </w:pPr>
            <w:r>
              <w:rPr>
                <w:rFonts w:cs="Arial"/>
                <w:color w:val="000000"/>
                <w:sz w:val="18"/>
                <w:szCs w:val="18"/>
              </w:rPr>
              <w:t>Patients with age less than or equal to 17 and in a Palliative care type.</w:t>
            </w:r>
          </w:p>
        </w:tc>
      </w:tr>
      <w:tr w:rsidR="00B777B6" w:rsidRPr="00496274" w14:paraId="4D2FF781" w14:textId="77777777" w:rsidTr="006C42C4">
        <w:trPr>
          <w:cantSplit/>
          <w:trHeight w:val="450"/>
          <w:jc w:val="center"/>
        </w:trPr>
        <w:tc>
          <w:tcPr>
            <w:tcW w:w="0" w:type="auto"/>
            <w:shd w:val="clear" w:color="auto" w:fill="auto"/>
            <w:noWrap/>
            <w:hideMark/>
          </w:tcPr>
          <w:p w14:paraId="6FA29806" w14:textId="77777777" w:rsidR="00B777B6" w:rsidRPr="001729CF" w:rsidRDefault="00B777B6" w:rsidP="002D606E">
            <w:pPr>
              <w:tabs>
                <w:tab w:val="left" w:pos="1162"/>
              </w:tabs>
              <w:rPr>
                <w:rFonts w:eastAsiaTheme="minorHAnsi" w:cs="Arial"/>
                <w:b/>
                <w:noProof/>
                <w:color w:val="000000"/>
                <w:sz w:val="18"/>
                <w:szCs w:val="18"/>
              </w:rPr>
            </w:pPr>
            <w:r w:rsidRPr="001729CF">
              <w:rPr>
                <w:rFonts w:cs="Arial"/>
                <w:color w:val="000000"/>
                <w:sz w:val="18"/>
                <w:szCs w:val="18"/>
              </w:rPr>
              <w:t>S0</w:t>
            </w:r>
            <w:r>
              <w:rPr>
                <w:rFonts w:cs="Arial"/>
                <w:color w:val="000000"/>
                <w:sz w:val="18"/>
                <w:szCs w:val="18"/>
              </w:rPr>
              <w:t>7</w:t>
            </w:r>
          </w:p>
        </w:tc>
        <w:tc>
          <w:tcPr>
            <w:tcW w:w="2707" w:type="dxa"/>
            <w:shd w:val="clear" w:color="auto" w:fill="auto"/>
            <w:noWrap/>
            <w:hideMark/>
          </w:tcPr>
          <w:p w14:paraId="4BAF164A" w14:textId="77777777" w:rsidR="00B777B6" w:rsidRPr="001729CF" w:rsidRDefault="00B777B6" w:rsidP="00560AC0">
            <w:pPr>
              <w:tabs>
                <w:tab w:val="left" w:pos="1162"/>
              </w:tabs>
              <w:rPr>
                <w:rFonts w:cs="Arial"/>
                <w:color w:val="000000"/>
                <w:sz w:val="18"/>
                <w:szCs w:val="18"/>
              </w:rPr>
            </w:pPr>
            <w:r>
              <w:rPr>
                <w:rFonts w:cs="Arial"/>
                <w:color w:val="000000"/>
                <w:sz w:val="18"/>
                <w:szCs w:val="18"/>
              </w:rPr>
              <w:t>_</w:t>
            </w:r>
            <w:proofErr w:type="spellStart"/>
            <w:r w:rsidRPr="00822178">
              <w:rPr>
                <w:rFonts w:cs="Arial"/>
                <w:color w:val="000000"/>
                <w:sz w:val="18"/>
                <w:szCs w:val="18"/>
              </w:rPr>
              <w:t>pat_ind_flag</w:t>
            </w:r>
            <w:proofErr w:type="spellEnd"/>
          </w:p>
        </w:tc>
        <w:tc>
          <w:tcPr>
            <w:tcW w:w="4307" w:type="dxa"/>
            <w:shd w:val="clear" w:color="auto" w:fill="auto"/>
            <w:hideMark/>
          </w:tcPr>
          <w:p w14:paraId="16F6F551" w14:textId="77777777" w:rsidR="00B777B6" w:rsidRPr="001729CF" w:rsidRDefault="00B777B6">
            <w:pPr>
              <w:tabs>
                <w:tab w:val="left" w:pos="1162"/>
              </w:tabs>
              <w:rPr>
                <w:rFonts w:cs="Arial"/>
                <w:color w:val="000000"/>
                <w:sz w:val="18"/>
                <w:szCs w:val="18"/>
              </w:rPr>
            </w:pPr>
            <w:r w:rsidRPr="00822178">
              <w:rPr>
                <w:rFonts w:cs="Arial"/>
                <w:color w:val="000000"/>
                <w:sz w:val="18"/>
                <w:szCs w:val="18"/>
              </w:rPr>
              <w:t>Indigenous patient flag</w:t>
            </w:r>
          </w:p>
        </w:tc>
        <w:tc>
          <w:tcPr>
            <w:tcW w:w="0" w:type="auto"/>
            <w:shd w:val="clear" w:color="auto" w:fill="auto"/>
            <w:hideMark/>
          </w:tcPr>
          <w:p w14:paraId="1B2DF580" w14:textId="77777777" w:rsidR="00B777B6" w:rsidRPr="001729CF" w:rsidRDefault="00B777B6">
            <w:pPr>
              <w:tabs>
                <w:tab w:val="left" w:pos="1162"/>
              </w:tabs>
              <w:rPr>
                <w:rFonts w:cs="Arial"/>
                <w:color w:val="000000"/>
                <w:sz w:val="18"/>
                <w:szCs w:val="18"/>
              </w:rPr>
            </w:pPr>
            <w:r w:rsidRPr="00822178">
              <w:rPr>
                <w:rFonts w:cs="Arial"/>
                <w:color w:val="000000"/>
                <w:sz w:val="18"/>
                <w:szCs w:val="18"/>
              </w:rPr>
              <w:t>1 if Patient Indigenous Status = 1, 2 or 3; else</w:t>
            </w:r>
            <w:r>
              <w:rPr>
                <w:rFonts w:cs="Arial"/>
                <w:color w:val="000000"/>
                <w:sz w:val="18"/>
                <w:szCs w:val="18"/>
              </w:rPr>
              <w:t xml:space="preserve"> </w:t>
            </w:r>
            <w:r w:rsidRPr="00822178">
              <w:rPr>
                <w:rFonts w:cs="Arial"/>
                <w:color w:val="000000"/>
                <w:sz w:val="18"/>
                <w:szCs w:val="18"/>
              </w:rPr>
              <w:t>0.</w:t>
            </w:r>
          </w:p>
        </w:tc>
      </w:tr>
      <w:tr w:rsidR="00B777B6" w:rsidRPr="00496274" w14:paraId="7E02FCFA" w14:textId="77777777" w:rsidTr="006C42C4">
        <w:trPr>
          <w:cantSplit/>
          <w:trHeight w:val="450"/>
          <w:jc w:val="center"/>
        </w:trPr>
        <w:tc>
          <w:tcPr>
            <w:tcW w:w="0" w:type="auto"/>
            <w:shd w:val="clear" w:color="auto" w:fill="auto"/>
            <w:noWrap/>
            <w:hideMark/>
          </w:tcPr>
          <w:p w14:paraId="0CE3AB35" w14:textId="77777777" w:rsidR="00B777B6" w:rsidRPr="001729CF" w:rsidRDefault="00B777B6" w:rsidP="002D606E">
            <w:pPr>
              <w:tabs>
                <w:tab w:val="left" w:pos="1162"/>
              </w:tabs>
              <w:rPr>
                <w:rFonts w:eastAsiaTheme="minorHAnsi" w:cs="Arial"/>
                <w:b/>
                <w:noProof/>
                <w:color w:val="000000"/>
                <w:sz w:val="18"/>
                <w:szCs w:val="18"/>
              </w:rPr>
            </w:pPr>
            <w:r w:rsidRPr="001729CF">
              <w:rPr>
                <w:rFonts w:cs="Arial"/>
                <w:color w:val="000000"/>
                <w:sz w:val="18"/>
                <w:szCs w:val="18"/>
              </w:rPr>
              <w:t>S0</w:t>
            </w:r>
            <w:r>
              <w:rPr>
                <w:rFonts w:cs="Arial"/>
                <w:color w:val="000000"/>
                <w:sz w:val="18"/>
                <w:szCs w:val="18"/>
              </w:rPr>
              <w:t>8</w:t>
            </w:r>
          </w:p>
        </w:tc>
        <w:tc>
          <w:tcPr>
            <w:tcW w:w="2707" w:type="dxa"/>
            <w:shd w:val="clear" w:color="auto" w:fill="auto"/>
            <w:noWrap/>
            <w:hideMark/>
          </w:tcPr>
          <w:p w14:paraId="152BD20B" w14:textId="77777777" w:rsidR="00B777B6" w:rsidRPr="001729CF" w:rsidRDefault="00B777B6" w:rsidP="00560AC0">
            <w:pPr>
              <w:tabs>
                <w:tab w:val="left" w:pos="1162"/>
              </w:tabs>
              <w:rPr>
                <w:rFonts w:cs="Arial"/>
                <w:color w:val="000000"/>
                <w:sz w:val="18"/>
                <w:szCs w:val="18"/>
              </w:rPr>
            </w:pPr>
            <w:proofErr w:type="spellStart"/>
            <w:r w:rsidRPr="00822178">
              <w:rPr>
                <w:rFonts w:cs="Arial"/>
                <w:color w:val="000000"/>
                <w:sz w:val="18"/>
                <w:szCs w:val="18"/>
              </w:rPr>
              <w:t>pat_private_flag</w:t>
            </w:r>
            <w:proofErr w:type="spellEnd"/>
          </w:p>
        </w:tc>
        <w:tc>
          <w:tcPr>
            <w:tcW w:w="4307" w:type="dxa"/>
            <w:shd w:val="clear" w:color="auto" w:fill="auto"/>
            <w:hideMark/>
          </w:tcPr>
          <w:p w14:paraId="4D25B5E7" w14:textId="77777777" w:rsidR="00B777B6" w:rsidRPr="001729CF" w:rsidRDefault="00B777B6">
            <w:pPr>
              <w:tabs>
                <w:tab w:val="left" w:pos="1162"/>
              </w:tabs>
              <w:rPr>
                <w:rFonts w:cs="Arial"/>
                <w:color w:val="000000"/>
                <w:sz w:val="18"/>
                <w:szCs w:val="18"/>
              </w:rPr>
            </w:pPr>
            <w:r w:rsidRPr="00822178">
              <w:rPr>
                <w:rFonts w:cs="Arial"/>
                <w:color w:val="000000"/>
                <w:sz w:val="18"/>
                <w:szCs w:val="18"/>
              </w:rPr>
              <w:t>Private patient flag</w:t>
            </w:r>
          </w:p>
        </w:tc>
        <w:tc>
          <w:tcPr>
            <w:tcW w:w="0" w:type="auto"/>
            <w:shd w:val="clear" w:color="auto" w:fill="auto"/>
            <w:hideMark/>
          </w:tcPr>
          <w:p w14:paraId="3AC04AD1" w14:textId="77777777" w:rsidR="00B777B6" w:rsidRPr="001729CF" w:rsidRDefault="00B777B6">
            <w:pPr>
              <w:tabs>
                <w:tab w:val="left" w:pos="1162"/>
              </w:tabs>
              <w:rPr>
                <w:rFonts w:cs="Arial"/>
                <w:color w:val="000000"/>
                <w:sz w:val="18"/>
                <w:szCs w:val="18"/>
              </w:rPr>
            </w:pPr>
            <w:r w:rsidRPr="006E13C4">
              <w:rPr>
                <w:rFonts w:cs="Arial"/>
                <w:color w:val="000000"/>
                <w:sz w:val="18"/>
                <w:szCs w:val="18"/>
              </w:rPr>
              <w:t xml:space="preserve">1 if Funding Source = 9 or 13 for </w:t>
            </w:r>
            <w:r>
              <w:rPr>
                <w:rFonts w:cs="Arial"/>
                <w:color w:val="000000"/>
                <w:sz w:val="18"/>
                <w:szCs w:val="18"/>
              </w:rPr>
              <w:t>2013-14</w:t>
            </w:r>
            <w:r w:rsidRPr="006E13C4">
              <w:rPr>
                <w:rFonts w:cs="Arial"/>
                <w:color w:val="000000"/>
                <w:sz w:val="18"/>
                <w:szCs w:val="18"/>
              </w:rPr>
              <w:t xml:space="preserve"> data and later.</w:t>
            </w:r>
            <w:r w:rsidRPr="006E13C4">
              <w:rPr>
                <w:rStyle w:val="FootnoteReference"/>
                <w:rFonts w:cs="Arial"/>
                <w:color w:val="000000"/>
                <w:sz w:val="18"/>
                <w:szCs w:val="18"/>
              </w:rPr>
              <w:footnoteReference w:id="23"/>
            </w:r>
          </w:p>
        </w:tc>
      </w:tr>
      <w:tr w:rsidR="00B777B6" w:rsidRPr="00496274" w14:paraId="4A850185" w14:textId="77777777" w:rsidTr="006C42C4">
        <w:trPr>
          <w:cantSplit/>
          <w:trHeight w:val="388"/>
          <w:jc w:val="center"/>
        </w:trPr>
        <w:tc>
          <w:tcPr>
            <w:tcW w:w="0" w:type="auto"/>
            <w:shd w:val="clear" w:color="auto" w:fill="auto"/>
            <w:noWrap/>
            <w:hideMark/>
          </w:tcPr>
          <w:p w14:paraId="23036868" w14:textId="77777777" w:rsidR="00B777B6" w:rsidRPr="001729CF" w:rsidRDefault="00B777B6" w:rsidP="002D606E">
            <w:pPr>
              <w:tabs>
                <w:tab w:val="left" w:pos="1162"/>
              </w:tabs>
              <w:rPr>
                <w:rFonts w:eastAsiaTheme="minorHAnsi" w:cs="Arial"/>
                <w:b/>
                <w:noProof/>
                <w:color w:val="000000"/>
                <w:sz w:val="18"/>
                <w:szCs w:val="18"/>
              </w:rPr>
            </w:pPr>
            <w:r w:rsidRPr="001729CF">
              <w:rPr>
                <w:rFonts w:cs="Arial"/>
                <w:color w:val="000000"/>
                <w:sz w:val="18"/>
                <w:szCs w:val="18"/>
              </w:rPr>
              <w:t>S0</w:t>
            </w:r>
            <w:r>
              <w:rPr>
                <w:rFonts w:cs="Arial"/>
                <w:color w:val="000000"/>
                <w:sz w:val="18"/>
                <w:szCs w:val="18"/>
              </w:rPr>
              <w:t>9</w:t>
            </w:r>
          </w:p>
        </w:tc>
        <w:tc>
          <w:tcPr>
            <w:tcW w:w="2707" w:type="dxa"/>
            <w:shd w:val="clear" w:color="auto" w:fill="auto"/>
            <w:noWrap/>
            <w:hideMark/>
          </w:tcPr>
          <w:p w14:paraId="54C932C0" w14:textId="77777777" w:rsidR="00B777B6" w:rsidRPr="001729CF" w:rsidRDefault="00B777B6" w:rsidP="00560AC0">
            <w:pPr>
              <w:tabs>
                <w:tab w:val="left" w:pos="1162"/>
              </w:tabs>
              <w:rPr>
                <w:rFonts w:cs="Arial"/>
                <w:color w:val="000000"/>
                <w:sz w:val="18"/>
                <w:szCs w:val="18"/>
              </w:rPr>
            </w:pPr>
            <w:proofErr w:type="spellStart"/>
            <w:r w:rsidRPr="00822178">
              <w:rPr>
                <w:rFonts w:cs="Arial"/>
                <w:color w:val="000000"/>
                <w:sz w:val="18"/>
                <w:szCs w:val="18"/>
              </w:rPr>
              <w:t>pat_public_flag</w:t>
            </w:r>
            <w:proofErr w:type="spellEnd"/>
          </w:p>
        </w:tc>
        <w:tc>
          <w:tcPr>
            <w:tcW w:w="4307" w:type="dxa"/>
            <w:shd w:val="clear" w:color="auto" w:fill="auto"/>
            <w:hideMark/>
          </w:tcPr>
          <w:p w14:paraId="45ACC8D7" w14:textId="77777777" w:rsidR="00B777B6" w:rsidRPr="001729CF" w:rsidRDefault="00B777B6">
            <w:pPr>
              <w:tabs>
                <w:tab w:val="left" w:pos="1162"/>
              </w:tabs>
              <w:rPr>
                <w:rFonts w:cs="Arial"/>
                <w:color w:val="000000"/>
                <w:sz w:val="18"/>
                <w:szCs w:val="18"/>
              </w:rPr>
            </w:pPr>
            <w:r w:rsidRPr="00822178">
              <w:rPr>
                <w:rFonts w:cs="Arial"/>
                <w:color w:val="000000"/>
                <w:sz w:val="18"/>
                <w:szCs w:val="18"/>
              </w:rPr>
              <w:t>Public patient flag</w:t>
            </w:r>
          </w:p>
        </w:tc>
        <w:tc>
          <w:tcPr>
            <w:tcW w:w="0" w:type="auto"/>
            <w:shd w:val="clear" w:color="auto" w:fill="auto"/>
            <w:hideMark/>
          </w:tcPr>
          <w:p w14:paraId="273C2C87" w14:textId="5148E9F5" w:rsidR="00B777B6" w:rsidRPr="001729CF" w:rsidRDefault="00B777B6">
            <w:pPr>
              <w:tabs>
                <w:tab w:val="left" w:pos="1162"/>
              </w:tabs>
              <w:rPr>
                <w:rFonts w:cs="Arial"/>
                <w:color w:val="000000"/>
                <w:sz w:val="18"/>
                <w:szCs w:val="18"/>
              </w:rPr>
            </w:pPr>
            <w:r w:rsidRPr="006E13C4">
              <w:rPr>
                <w:rFonts w:cs="Arial"/>
                <w:color w:val="000000"/>
                <w:sz w:val="18"/>
                <w:szCs w:val="18"/>
              </w:rPr>
              <w:t xml:space="preserve">1 if Funding Source = 1, 2, 3 or 8 for </w:t>
            </w:r>
            <w:r>
              <w:rPr>
                <w:rFonts w:cs="Arial"/>
                <w:color w:val="000000"/>
                <w:sz w:val="18"/>
                <w:szCs w:val="18"/>
              </w:rPr>
              <w:t>2013-14</w:t>
            </w:r>
            <w:r w:rsidRPr="006E13C4">
              <w:rPr>
                <w:rFonts w:cs="Arial"/>
                <w:color w:val="000000"/>
                <w:sz w:val="18"/>
                <w:szCs w:val="18"/>
              </w:rPr>
              <w:t xml:space="preserve"> data and later.</w:t>
            </w:r>
            <w:r w:rsidRPr="006E13C4">
              <w:rPr>
                <w:rStyle w:val="FootnoteReference"/>
                <w:rFonts w:cs="Arial"/>
                <w:color w:val="000000"/>
                <w:sz w:val="18"/>
                <w:szCs w:val="18"/>
              </w:rPr>
              <w:footnoteReference w:id="24"/>
            </w:r>
          </w:p>
        </w:tc>
      </w:tr>
      <w:tr w:rsidR="00B777B6" w:rsidRPr="00496274" w14:paraId="5E556EBA" w14:textId="77777777" w:rsidTr="006C42C4">
        <w:trPr>
          <w:cantSplit/>
          <w:trHeight w:val="450"/>
          <w:jc w:val="center"/>
        </w:trPr>
        <w:tc>
          <w:tcPr>
            <w:tcW w:w="0" w:type="auto"/>
            <w:shd w:val="clear" w:color="auto" w:fill="auto"/>
            <w:noWrap/>
          </w:tcPr>
          <w:p w14:paraId="4A00DCBC"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S10</w:t>
            </w:r>
          </w:p>
        </w:tc>
        <w:tc>
          <w:tcPr>
            <w:tcW w:w="2707" w:type="dxa"/>
            <w:shd w:val="clear" w:color="auto" w:fill="auto"/>
            <w:noWrap/>
          </w:tcPr>
          <w:p w14:paraId="1E20E673" w14:textId="77777777" w:rsidR="00B777B6" w:rsidRPr="001729CF" w:rsidRDefault="00B777B6" w:rsidP="00560AC0">
            <w:pPr>
              <w:tabs>
                <w:tab w:val="left" w:pos="1162"/>
              </w:tabs>
              <w:rPr>
                <w:rFonts w:cs="Arial"/>
                <w:color w:val="000000"/>
                <w:sz w:val="18"/>
                <w:szCs w:val="18"/>
              </w:rPr>
            </w:pPr>
            <w:proofErr w:type="spellStart"/>
            <w:r>
              <w:rPr>
                <w:rFonts w:cs="Arial"/>
                <w:color w:val="000000"/>
                <w:sz w:val="18"/>
                <w:szCs w:val="18"/>
              </w:rPr>
              <w:t>ansnap_type</w:t>
            </w:r>
            <w:proofErr w:type="spellEnd"/>
          </w:p>
        </w:tc>
        <w:tc>
          <w:tcPr>
            <w:tcW w:w="4307" w:type="dxa"/>
            <w:shd w:val="clear" w:color="auto" w:fill="auto"/>
          </w:tcPr>
          <w:p w14:paraId="6F358E8F" w14:textId="77777777" w:rsidR="00B777B6" w:rsidRPr="001729CF" w:rsidRDefault="00B777B6">
            <w:pPr>
              <w:tabs>
                <w:tab w:val="left" w:pos="1162"/>
              </w:tabs>
              <w:rPr>
                <w:rFonts w:cs="Arial"/>
                <w:color w:val="000000"/>
                <w:sz w:val="18"/>
                <w:szCs w:val="18"/>
              </w:rPr>
            </w:pPr>
            <w:r>
              <w:rPr>
                <w:rFonts w:cs="Arial"/>
                <w:color w:val="000000"/>
                <w:sz w:val="18"/>
                <w:szCs w:val="18"/>
              </w:rPr>
              <w:t>See definition</w:t>
            </w:r>
          </w:p>
        </w:tc>
        <w:tc>
          <w:tcPr>
            <w:tcW w:w="0" w:type="auto"/>
            <w:shd w:val="clear" w:color="auto" w:fill="auto"/>
          </w:tcPr>
          <w:p w14:paraId="74AAFA68" w14:textId="77777777" w:rsidR="00B777B6" w:rsidRPr="001729CF" w:rsidRDefault="00B777B6">
            <w:pPr>
              <w:tabs>
                <w:tab w:val="left" w:pos="1162"/>
              </w:tabs>
              <w:rPr>
                <w:rFonts w:cs="Arial"/>
                <w:color w:val="000000"/>
                <w:sz w:val="18"/>
                <w:szCs w:val="18"/>
              </w:rPr>
            </w:pPr>
            <w:r>
              <w:rPr>
                <w:rFonts w:cs="Arial"/>
                <w:color w:val="000000"/>
                <w:sz w:val="18"/>
                <w:szCs w:val="18"/>
              </w:rPr>
              <w:t>AN-SNAP class type, as set out in Appendix I of the NEP17 Determination</w:t>
            </w:r>
          </w:p>
        </w:tc>
      </w:tr>
      <w:tr w:rsidR="00B777B6" w:rsidRPr="00496274" w14:paraId="2A44D7AB" w14:textId="77777777" w:rsidTr="006C42C4">
        <w:trPr>
          <w:cantSplit/>
          <w:trHeight w:val="450"/>
          <w:jc w:val="center"/>
        </w:trPr>
        <w:tc>
          <w:tcPr>
            <w:tcW w:w="0" w:type="auto"/>
            <w:shd w:val="clear" w:color="auto" w:fill="auto"/>
            <w:noWrap/>
          </w:tcPr>
          <w:p w14:paraId="3A7057C4"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S11</w:t>
            </w:r>
          </w:p>
        </w:tc>
        <w:tc>
          <w:tcPr>
            <w:tcW w:w="2707" w:type="dxa"/>
            <w:shd w:val="clear" w:color="auto" w:fill="auto"/>
            <w:noWrap/>
          </w:tcPr>
          <w:p w14:paraId="02E3BFAA" w14:textId="77777777" w:rsidR="00B777B6" w:rsidRPr="001729CF" w:rsidRDefault="00B777B6" w:rsidP="00560AC0">
            <w:pPr>
              <w:tabs>
                <w:tab w:val="left" w:pos="1162"/>
              </w:tabs>
              <w:rPr>
                <w:rFonts w:cs="Arial"/>
                <w:color w:val="000000"/>
                <w:sz w:val="18"/>
                <w:szCs w:val="18"/>
              </w:rPr>
            </w:pPr>
            <w:proofErr w:type="spellStart"/>
            <w:r>
              <w:rPr>
                <w:rFonts w:cs="Arial"/>
                <w:color w:val="000000"/>
                <w:sz w:val="18"/>
                <w:szCs w:val="18"/>
              </w:rPr>
              <w:t>ansnap_samedaylist_flag</w:t>
            </w:r>
            <w:proofErr w:type="spellEnd"/>
          </w:p>
        </w:tc>
        <w:tc>
          <w:tcPr>
            <w:tcW w:w="4307" w:type="dxa"/>
            <w:shd w:val="clear" w:color="auto" w:fill="auto"/>
          </w:tcPr>
          <w:p w14:paraId="763C9ED7" w14:textId="77777777" w:rsidR="00B777B6" w:rsidRPr="001729CF" w:rsidRDefault="00B777B6">
            <w:pPr>
              <w:tabs>
                <w:tab w:val="left" w:pos="1162"/>
              </w:tabs>
              <w:rPr>
                <w:rFonts w:cs="Arial"/>
                <w:color w:val="000000"/>
                <w:sz w:val="18"/>
                <w:szCs w:val="18"/>
              </w:rPr>
            </w:pPr>
            <w:r w:rsidRPr="00822178">
              <w:rPr>
                <w:rFonts w:cs="Arial"/>
                <w:color w:val="000000"/>
                <w:sz w:val="18"/>
                <w:szCs w:val="18"/>
              </w:rPr>
              <w:t>Same-day price list flag</w:t>
            </w:r>
            <w:r w:rsidRPr="00822178" w:rsidDel="00B62E07">
              <w:rPr>
                <w:rFonts w:cs="Arial"/>
                <w:color w:val="000000"/>
                <w:sz w:val="18"/>
                <w:szCs w:val="18"/>
              </w:rPr>
              <w:t xml:space="preserve"> </w:t>
            </w:r>
          </w:p>
        </w:tc>
        <w:tc>
          <w:tcPr>
            <w:tcW w:w="0" w:type="auto"/>
            <w:shd w:val="clear" w:color="auto" w:fill="auto"/>
          </w:tcPr>
          <w:p w14:paraId="0EA6A641" w14:textId="77777777" w:rsidR="00B777B6" w:rsidRPr="001729CF" w:rsidRDefault="00B777B6">
            <w:pPr>
              <w:tabs>
                <w:tab w:val="left" w:pos="1162"/>
              </w:tabs>
              <w:rPr>
                <w:rFonts w:cs="Arial"/>
                <w:color w:val="000000"/>
                <w:sz w:val="18"/>
                <w:szCs w:val="18"/>
              </w:rPr>
            </w:pPr>
            <w:r w:rsidRPr="00822178">
              <w:rPr>
                <w:rFonts w:cs="Arial"/>
                <w:color w:val="000000"/>
                <w:sz w:val="18"/>
                <w:szCs w:val="18"/>
              </w:rPr>
              <w:t>1 if Same-Day Price List variable from joined NWAU A</w:t>
            </w:r>
            <w:r>
              <w:rPr>
                <w:rFonts w:cs="Arial"/>
                <w:color w:val="000000"/>
                <w:sz w:val="18"/>
                <w:szCs w:val="18"/>
              </w:rPr>
              <w:t>N-SNAP</w:t>
            </w:r>
            <w:r w:rsidRPr="00822178">
              <w:rPr>
                <w:rFonts w:cs="Arial"/>
                <w:color w:val="000000"/>
                <w:sz w:val="18"/>
                <w:szCs w:val="18"/>
              </w:rPr>
              <w:t xml:space="preserve"> Price Weight table equals 'Yes'; else</w:t>
            </w:r>
            <w:r>
              <w:rPr>
                <w:rFonts w:cs="Arial"/>
                <w:color w:val="000000"/>
                <w:sz w:val="18"/>
                <w:szCs w:val="18"/>
              </w:rPr>
              <w:t xml:space="preserve"> </w:t>
            </w:r>
            <w:r w:rsidRPr="00822178">
              <w:rPr>
                <w:rFonts w:cs="Arial"/>
                <w:color w:val="000000"/>
                <w:sz w:val="18"/>
                <w:szCs w:val="18"/>
              </w:rPr>
              <w:t>0.</w:t>
            </w:r>
          </w:p>
        </w:tc>
      </w:tr>
      <w:tr w:rsidR="00B777B6" w:rsidRPr="00496274" w14:paraId="75559427" w14:textId="77777777" w:rsidTr="006C42C4">
        <w:trPr>
          <w:cantSplit/>
          <w:trHeight w:val="450"/>
          <w:jc w:val="center"/>
        </w:trPr>
        <w:tc>
          <w:tcPr>
            <w:tcW w:w="0" w:type="auto"/>
            <w:shd w:val="clear" w:color="auto" w:fill="auto"/>
            <w:noWrap/>
          </w:tcPr>
          <w:p w14:paraId="16433D13"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S12</w:t>
            </w:r>
          </w:p>
        </w:tc>
        <w:tc>
          <w:tcPr>
            <w:tcW w:w="2707" w:type="dxa"/>
            <w:shd w:val="clear" w:color="auto" w:fill="auto"/>
            <w:noWrap/>
          </w:tcPr>
          <w:p w14:paraId="2C8AB18F" w14:textId="77777777" w:rsidR="00B777B6" w:rsidRPr="001729CF" w:rsidRDefault="00B777B6" w:rsidP="00560AC0">
            <w:pPr>
              <w:tabs>
                <w:tab w:val="left" w:pos="1162"/>
              </w:tabs>
              <w:rPr>
                <w:rFonts w:cs="Arial"/>
                <w:color w:val="000000"/>
                <w:sz w:val="18"/>
                <w:szCs w:val="18"/>
              </w:rPr>
            </w:pPr>
            <w:proofErr w:type="spellStart"/>
            <w:r>
              <w:rPr>
                <w:rFonts w:cs="Arial"/>
                <w:color w:val="000000"/>
                <w:sz w:val="18"/>
                <w:szCs w:val="18"/>
              </w:rPr>
              <w:t>ansnap_inlier_lb</w:t>
            </w:r>
            <w:proofErr w:type="spellEnd"/>
          </w:p>
        </w:tc>
        <w:tc>
          <w:tcPr>
            <w:tcW w:w="4307" w:type="dxa"/>
            <w:shd w:val="clear" w:color="auto" w:fill="auto"/>
          </w:tcPr>
          <w:p w14:paraId="5FCA8281" w14:textId="77777777" w:rsidR="00B777B6" w:rsidRPr="001729CF" w:rsidRDefault="00B777B6">
            <w:pPr>
              <w:tabs>
                <w:tab w:val="left" w:pos="1162"/>
              </w:tabs>
              <w:rPr>
                <w:rFonts w:cs="Arial"/>
                <w:color w:val="000000"/>
                <w:sz w:val="18"/>
                <w:szCs w:val="18"/>
              </w:rPr>
            </w:pPr>
            <w:r w:rsidRPr="00822178">
              <w:rPr>
                <w:rFonts w:cs="Arial"/>
                <w:color w:val="000000"/>
                <w:sz w:val="18"/>
                <w:szCs w:val="18"/>
              </w:rPr>
              <w:t>Inlier lower bound</w:t>
            </w:r>
          </w:p>
        </w:tc>
        <w:tc>
          <w:tcPr>
            <w:tcW w:w="0" w:type="auto"/>
            <w:shd w:val="clear" w:color="auto" w:fill="auto"/>
          </w:tcPr>
          <w:p w14:paraId="76FD7A9B" w14:textId="77777777" w:rsidR="00B777B6" w:rsidRPr="001729CF" w:rsidRDefault="00B777B6">
            <w:pPr>
              <w:tabs>
                <w:tab w:val="left" w:pos="1162"/>
              </w:tabs>
              <w:rPr>
                <w:rFonts w:cs="Arial"/>
                <w:color w:val="000000"/>
                <w:sz w:val="18"/>
                <w:szCs w:val="18"/>
              </w:rPr>
            </w:pPr>
            <w:r>
              <w:rPr>
                <w:rFonts w:cs="Arial"/>
                <w:color w:val="000000"/>
                <w:sz w:val="18"/>
                <w:szCs w:val="18"/>
              </w:rPr>
              <w:t>I</w:t>
            </w:r>
            <w:r w:rsidRPr="00822178">
              <w:rPr>
                <w:rFonts w:cs="Arial"/>
                <w:color w:val="000000"/>
                <w:sz w:val="18"/>
                <w:szCs w:val="18"/>
              </w:rPr>
              <w:t xml:space="preserve">nlier lower bound from NWAU </w:t>
            </w:r>
            <w:r>
              <w:rPr>
                <w:rFonts w:cs="Arial"/>
                <w:color w:val="000000"/>
                <w:sz w:val="18"/>
                <w:szCs w:val="18"/>
              </w:rPr>
              <w:t xml:space="preserve">AN-SNAP </w:t>
            </w:r>
            <w:r w:rsidRPr="00822178">
              <w:rPr>
                <w:rFonts w:cs="Arial"/>
                <w:color w:val="000000"/>
                <w:sz w:val="18"/>
                <w:szCs w:val="18"/>
              </w:rPr>
              <w:t>Price Weight table.</w:t>
            </w:r>
          </w:p>
        </w:tc>
      </w:tr>
      <w:tr w:rsidR="00B777B6" w:rsidRPr="00496274" w14:paraId="52459529" w14:textId="77777777" w:rsidTr="006C42C4">
        <w:trPr>
          <w:cantSplit/>
          <w:trHeight w:val="450"/>
          <w:jc w:val="center"/>
        </w:trPr>
        <w:tc>
          <w:tcPr>
            <w:tcW w:w="0" w:type="auto"/>
            <w:shd w:val="clear" w:color="auto" w:fill="auto"/>
            <w:noWrap/>
          </w:tcPr>
          <w:p w14:paraId="738AA785"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lastRenderedPageBreak/>
              <w:t>S13</w:t>
            </w:r>
          </w:p>
        </w:tc>
        <w:tc>
          <w:tcPr>
            <w:tcW w:w="2707" w:type="dxa"/>
            <w:shd w:val="clear" w:color="auto" w:fill="auto"/>
            <w:noWrap/>
          </w:tcPr>
          <w:p w14:paraId="294990AE" w14:textId="77777777" w:rsidR="00B777B6" w:rsidRPr="001729CF" w:rsidRDefault="00B777B6" w:rsidP="00560AC0">
            <w:pPr>
              <w:tabs>
                <w:tab w:val="left" w:pos="1162"/>
              </w:tabs>
              <w:rPr>
                <w:rFonts w:cs="Arial"/>
                <w:color w:val="000000"/>
                <w:sz w:val="18"/>
                <w:szCs w:val="18"/>
              </w:rPr>
            </w:pPr>
            <w:proofErr w:type="spellStart"/>
            <w:r>
              <w:rPr>
                <w:rFonts w:cs="Arial"/>
                <w:color w:val="000000"/>
                <w:sz w:val="18"/>
                <w:szCs w:val="18"/>
              </w:rPr>
              <w:t>ansnap_inlier_ub</w:t>
            </w:r>
            <w:proofErr w:type="spellEnd"/>
          </w:p>
        </w:tc>
        <w:tc>
          <w:tcPr>
            <w:tcW w:w="4307" w:type="dxa"/>
            <w:shd w:val="clear" w:color="auto" w:fill="auto"/>
          </w:tcPr>
          <w:p w14:paraId="06402454" w14:textId="77777777" w:rsidR="00B777B6" w:rsidRPr="001729CF" w:rsidRDefault="00B777B6">
            <w:pPr>
              <w:tabs>
                <w:tab w:val="left" w:pos="1162"/>
              </w:tabs>
              <w:rPr>
                <w:rFonts w:cs="Arial"/>
                <w:color w:val="000000"/>
                <w:sz w:val="18"/>
                <w:szCs w:val="18"/>
              </w:rPr>
            </w:pPr>
            <w:r w:rsidRPr="00822178">
              <w:rPr>
                <w:rFonts w:cs="Arial"/>
                <w:color w:val="000000"/>
                <w:sz w:val="18"/>
                <w:szCs w:val="18"/>
              </w:rPr>
              <w:t>Inlier upper bound</w:t>
            </w:r>
          </w:p>
        </w:tc>
        <w:tc>
          <w:tcPr>
            <w:tcW w:w="0" w:type="auto"/>
            <w:shd w:val="clear" w:color="auto" w:fill="auto"/>
          </w:tcPr>
          <w:p w14:paraId="65BE5812" w14:textId="77777777" w:rsidR="00B777B6" w:rsidRPr="001729CF" w:rsidRDefault="00B777B6">
            <w:pPr>
              <w:tabs>
                <w:tab w:val="left" w:pos="1162"/>
              </w:tabs>
              <w:rPr>
                <w:rFonts w:cs="Arial"/>
                <w:color w:val="000000"/>
                <w:sz w:val="18"/>
                <w:szCs w:val="18"/>
              </w:rPr>
            </w:pPr>
            <w:r>
              <w:rPr>
                <w:rFonts w:cs="Arial"/>
                <w:color w:val="000000"/>
                <w:sz w:val="18"/>
                <w:szCs w:val="18"/>
              </w:rPr>
              <w:t>Inlier upper bound from NWAU AN-SNAP</w:t>
            </w:r>
            <w:r w:rsidRPr="00822178">
              <w:rPr>
                <w:rFonts w:cs="Arial"/>
                <w:color w:val="000000"/>
                <w:sz w:val="18"/>
                <w:szCs w:val="18"/>
              </w:rPr>
              <w:t xml:space="preserve"> Price Weight table.</w:t>
            </w:r>
          </w:p>
        </w:tc>
      </w:tr>
      <w:tr w:rsidR="00B777B6" w:rsidRPr="00496274" w14:paraId="74B8E850" w14:textId="77777777" w:rsidTr="006C42C4">
        <w:trPr>
          <w:cantSplit/>
          <w:trHeight w:val="675"/>
          <w:jc w:val="center"/>
        </w:trPr>
        <w:tc>
          <w:tcPr>
            <w:tcW w:w="0" w:type="auto"/>
            <w:shd w:val="clear" w:color="auto" w:fill="auto"/>
            <w:noWrap/>
          </w:tcPr>
          <w:p w14:paraId="6820C18A"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S14</w:t>
            </w:r>
          </w:p>
        </w:tc>
        <w:tc>
          <w:tcPr>
            <w:tcW w:w="2707" w:type="dxa"/>
            <w:shd w:val="clear" w:color="auto" w:fill="auto"/>
            <w:noWrap/>
          </w:tcPr>
          <w:p w14:paraId="4BADC6EA" w14:textId="77777777" w:rsidR="00B777B6" w:rsidRPr="001729CF" w:rsidRDefault="00B777B6" w:rsidP="00560AC0">
            <w:pPr>
              <w:tabs>
                <w:tab w:val="left" w:pos="1162"/>
              </w:tabs>
              <w:rPr>
                <w:rFonts w:cs="Arial"/>
                <w:color w:val="000000"/>
                <w:sz w:val="18"/>
                <w:szCs w:val="18"/>
              </w:rPr>
            </w:pPr>
            <w:proofErr w:type="spellStart"/>
            <w:r w:rsidRPr="001729CF">
              <w:rPr>
                <w:rFonts w:cs="Arial"/>
                <w:color w:val="000000"/>
                <w:sz w:val="18"/>
                <w:szCs w:val="18"/>
              </w:rPr>
              <w:t>ansnap_pw_sd</w:t>
            </w:r>
            <w:proofErr w:type="spellEnd"/>
          </w:p>
        </w:tc>
        <w:tc>
          <w:tcPr>
            <w:tcW w:w="4307" w:type="dxa"/>
            <w:shd w:val="clear" w:color="auto" w:fill="auto"/>
          </w:tcPr>
          <w:p w14:paraId="64B4DB8B" w14:textId="77777777" w:rsidR="00B777B6" w:rsidRPr="001729CF" w:rsidRDefault="00B777B6">
            <w:pPr>
              <w:tabs>
                <w:tab w:val="left" w:pos="1162"/>
              </w:tabs>
              <w:rPr>
                <w:rFonts w:cs="Arial"/>
                <w:color w:val="000000"/>
                <w:sz w:val="18"/>
                <w:szCs w:val="18"/>
              </w:rPr>
            </w:pPr>
            <w:r w:rsidRPr="001729CF">
              <w:rPr>
                <w:rFonts w:cs="Arial"/>
                <w:color w:val="000000"/>
                <w:sz w:val="18"/>
                <w:szCs w:val="18"/>
              </w:rPr>
              <w:t>Same Day Price Weight</w:t>
            </w:r>
          </w:p>
        </w:tc>
        <w:tc>
          <w:tcPr>
            <w:tcW w:w="0" w:type="auto"/>
            <w:shd w:val="clear" w:color="auto" w:fill="auto"/>
          </w:tcPr>
          <w:p w14:paraId="095749DA" w14:textId="77777777" w:rsidR="00B777B6" w:rsidRPr="001729CF" w:rsidRDefault="00B777B6">
            <w:pPr>
              <w:tabs>
                <w:tab w:val="left" w:pos="1162"/>
              </w:tabs>
              <w:rPr>
                <w:rFonts w:cs="Arial"/>
                <w:color w:val="000000"/>
                <w:sz w:val="18"/>
                <w:szCs w:val="18"/>
              </w:rPr>
            </w:pPr>
            <w:r w:rsidRPr="001729CF">
              <w:rPr>
                <w:rFonts w:cs="Arial"/>
                <w:color w:val="000000"/>
                <w:sz w:val="18"/>
                <w:szCs w:val="18"/>
              </w:rPr>
              <w:t>(</w:t>
            </w:r>
            <w:proofErr w:type="gramStart"/>
            <w:r w:rsidRPr="001729CF">
              <w:rPr>
                <w:rFonts w:cs="Arial"/>
                <w:color w:val="000000"/>
                <w:sz w:val="18"/>
                <w:szCs w:val="18"/>
              </w:rPr>
              <w:t>same</w:t>
            </w:r>
            <w:proofErr w:type="gramEnd"/>
            <w:r w:rsidRPr="001729CF">
              <w:rPr>
                <w:rFonts w:cs="Arial"/>
                <w:color w:val="000000"/>
                <w:sz w:val="18"/>
                <w:szCs w:val="18"/>
              </w:rPr>
              <w:t xml:space="preserve"> day price weight from joined NWAU AN-SNAP Price Weight table) if not missing; else</w:t>
            </w:r>
            <w:r>
              <w:rPr>
                <w:rFonts w:cs="Arial"/>
                <w:color w:val="000000"/>
                <w:sz w:val="18"/>
                <w:szCs w:val="18"/>
              </w:rPr>
              <w:t xml:space="preserve"> missing. </w:t>
            </w:r>
          </w:p>
        </w:tc>
      </w:tr>
      <w:tr w:rsidR="00B777B6" w:rsidRPr="00496274" w14:paraId="758BDDD2" w14:textId="77777777" w:rsidTr="006C42C4">
        <w:trPr>
          <w:cantSplit/>
          <w:trHeight w:val="450"/>
          <w:jc w:val="center"/>
        </w:trPr>
        <w:tc>
          <w:tcPr>
            <w:tcW w:w="0" w:type="auto"/>
            <w:shd w:val="clear" w:color="auto" w:fill="auto"/>
            <w:noWrap/>
          </w:tcPr>
          <w:p w14:paraId="6976F024"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S15</w:t>
            </w:r>
          </w:p>
        </w:tc>
        <w:tc>
          <w:tcPr>
            <w:tcW w:w="2707" w:type="dxa"/>
            <w:shd w:val="clear" w:color="auto" w:fill="auto"/>
            <w:noWrap/>
          </w:tcPr>
          <w:p w14:paraId="12E77A9C" w14:textId="77777777" w:rsidR="00B777B6" w:rsidRPr="001729CF" w:rsidRDefault="00B777B6" w:rsidP="00560AC0">
            <w:pPr>
              <w:tabs>
                <w:tab w:val="left" w:pos="1162"/>
              </w:tabs>
              <w:rPr>
                <w:rFonts w:cs="Arial"/>
                <w:color w:val="000000"/>
                <w:sz w:val="18"/>
                <w:szCs w:val="18"/>
              </w:rPr>
            </w:pPr>
            <w:proofErr w:type="spellStart"/>
            <w:r w:rsidRPr="001729CF">
              <w:rPr>
                <w:rFonts w:cs="Arial"/>
                <w:color w:val="000000"/>
                <w:sz w:val="18"/>
                <w:szCs w:val="18"/>
              </w:rPr>
              <w:t>ansnap_</w:t>
            </w:r>
            <w:r>
              <w:rPr>
                <w:rFonts w:cs="Arial"/>
                <w:color w:val="000000"/>
                <w:sz w:val="18"/>
                <w:szCs w:val="18"/>
              </w:rPr>
              <w:t>sso</w:t>
            </w:r>
            <w:r w:rsidRPr="001729CF">
              <w:rPr>
                <w:rFonts w:cs="Arial"/>
                <w:color w:val="000000"/>
                <w:sz w:val="18"/>
                <w:szCs w:val="18"/>
              </w:rPr>
              <w:t>_</w:t>
            </w:r>
            <w:r>
              <w:rPr>
                <w:rFonts w:cs="Arial"/>
                <w:color w:val="000000"/>
                <w:sz w:val="18"/>
                <w:szCs w:val="18"/>
              </w:rPr>
              <w:t>perdiem</w:t>
            </w:r>
            <w:proofErr w:type="spellEnd"/>
          </w:p>
        </w:tc>
        <w:tc>
          <w:tcPr>
            <w:tcW w:w="4307" w:type="dxa"/>
            <w:shd w:val="clear" w:color="auto" w:fill="auto"/>
          </w:tcPr>
          <w:p w14:paraId="55576ADE" w14:textId="77777777" w:rsidR="00B777B6" w:rsidRPr="001729CF" w:rsidRDefault="00B777B6">
            <w:pPr>
              <w:tabs>
                <w:tab w:val="left" w:pos="1162"/>
              </w:tabs>
              <w:rPr>
                <w:rFonts w:cs="Arial"/>
                <w:color w:val="000000"/>
                <w:sz w:val="18"/>
                <w:szCs w:val="18"/>
              </w:rPr>
            </w:pPr>
            <w:r>
              <w:rPr>
                <w:rFonts w:cs="Arial"/>
                <w:color w:val="000000"/>
                <w:sz w:val="18"/>
                <w:szCs w:val="18"/>
              </w:rPr>
              <w:t>Short Stay Outlier Per Diem Price Weight</w:t>
            </w:r>
          </w:p>
        </w:tc>
        <w:tc>
          <w:tcPr>
            <w:tcW w:w="0" w:type="auto"/>
            <w:shd w:val="clear" w:color="auto" w:fill="auto"/>
          </w:tcPr>
          <w:p w14:paraId="15ABA955" w14:textId="77777777" w:rsidR="00B777B6" w:rsidRPr="001729CF" w:rsidRDefault="00B777B6">
            <w:pPr>
              <w:tabs>
                <w:tab w:val="left" w:pos="1162"/>
              </w:tabs>
              <w:rPr>
                <w:rFonts w:cs="Arial"/>
                <w:color w:val="000000"/>
                <w:sz w:val="18"/>
                <w:szCs w:val="18"/>
              </w:rPr>
            </w:pPr>
            <w:r>
              <w:rPr>
                <w:rFonts w:cs="Arial"/>
                <w:color w:val="000000"/>
                <w:sz w:val="18"/>
                <w:szCs w:val="18"/>
              </w:rPr>
              <w:t>(</w:t>
            </w:r>
            <w:proofErr w:type="gramStart"/>
            <w:r>
              <w:rPr>
                <w:rFonts w:cs="Arial"/>
                <w:color w:val="000000"/>
                <w:sz w:val="18"/>
                <w:szCs w:val="18"/>
              </w:rPr>
              <w:t>short</w:t>
            </w:r>
            <w:proofErr w:type="gramEnd"/>
            <w:r>
              <w:rPr>
                <w:rFonts w:cs="Arial"/>
                <w:color w:val="000000"/>
                <w:sz w:val="18"/>
                <w:szCs w:val="18"/>
              </w:rPr>
              <w:t xml:space="preserve"> stay outlier</w:t>
            </w:r>
            <w:r w:rsidRPr="001729CF">
              <w:rPr>
                <w:rFonts w:cs="Arial"/>
                <w:color w:val="000000"/>
                <w:sz w:val="18"/>
                <w:szCs w:val="18"/>
              </w:rPr>
              <w:t xml:space="preserve"> price weight from joined NWAU AN-SNAP Price Weight table ) if not missing; else</w:t>
            </w:r>
            <w:r>
              <w:rPr>
                <w:rFonts w:cs="Arial"/>
                <w:color w:val="000000"/>
                <w:sz w:val="18"/>
                <w:szCs w:val="18"/>
              </w:rPr>
              <w:t xml:space="preserve"> missing</w:t>
            </w:r>
            <w:r w:rsidRPr="001729CF">
              <w:rPr>
                <w:rFonts w:cs="Arial"/>
                <w:color w:val="000000"/>
                <w:sz w:val="18"/>
                <w:szCs w:val="18"/>
              </w:rPr>
              <w:t>.</w:t>
            </w:r>
          </w:p>
        </w:tc>
      </w:tr>
      <w:tr w:rsidR="00B777B6" w:rsidRPr="00496274" w14:paraId="7D103DFE" w14:textId="77777777" w:rsidTr="006C42C4">
        <w:trPr>
          <w:cantSplit/>
          <w:trHeight w:val="450"/>
          <w:jc w:val="center"/>
        </w:trPr>
        <w:tc>
          <w:tcPr>
            <w:tcW w:w="0" w:type="auto"/>
            <w:shd w:val="clear" w:color="auto" w:fill="auto"/>
            <w:noWrap/>
          </w:tcPr>
          <w:p w14:paraId="001CFE0C"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S16</w:t>
            </w:r>
          </w:p>
        </w:tc>
        <w:tc>
          <w:tcPr>
            <w:tcW w:w="2707" w:type="dxa"/>
            <w:shd w:val="clear" w:color="auto" w:fill="auto"/>
            <w:noWrap/>
          </w:tcPr>
          <w:p w14:paraId="734AC528" w14:textId="77777777" w:rsidR="00B777B6" w:rsidRPr="001729CF" w:rsidRDefault="00B777B6" w:rsidP="00560AC0">
            <w:pPr>
              <w:tabs>
                <w:tab w:val="left" w:pos="1162"/>
              </w:tabs>
              <w:rPr>
                <w:rFonts w:cs="Arial"/>
                <w:color w:val="000000"/>
                <w:sz w:val="18"/>
                <w:szCs w:val="18"/>
              </w:rPr>
            </w:pPr>
            <w:proofErr w:type="spellStart"/>
            <w:r w:rsidRPr="001729CF">
              <w:rPr>
                <w:rFonts w:cs="Arial"/>
                <w:color w:val="000000"/>
                <w:sz w:val="18"/>
                <w:szCs w:val="18"/>
              </w:rPr>
              <w:t>ansnap_pw_inlier</w:t>
            </w:r>
            <w:proofErr w:type="spellEnd"/>
          </w:p>
        </w:tc>
        <w:tc>
          <w:tcPr>
            <w:tcW w:w="4307" w:type="dxa"/>
            <w:shd w:val="clear" w:color="auto" w:fill="auto"/>
          </w:tcPr>
          <w:p w14:paraId="167A9595" w14:textId="77777777" w:rsidR="00B777B6" w:rsidRPr="001729CF" w:rsidRDefault="00B777B6">
            <w:pPr>
              <w:tabs>
                <w:tab w:val="left" w:pos="1162"/>
              </w:tabs>
              <w:rPr>
                <w:rFonts w:cs="Arial"/>
                <w:color w:val="000000"/>
                <w:sz w:val="18"/>
                <w:szCs w:val="18"/>
              </w:rPr>
            </w:pPr>
            <w:r w:rsidRPr="001729CF">
              <w:rPr>
                <w:rFonts w:cs="Arial"/>
                <w:color w:val="000000"/>
                <w:sz w:val="18"/>
                <w:szCs w:val="18"/>
              </w:rPr>
              <w:t>Inlier Price Weight</w:t>
            </w:r>
          </w:p>
        </w:tc>
        <w:tc>
          <w:tcPr>
            <w:tcW w:w="0" w:type="auto"/>
            <w:shd w:val="clear" w:color="auto" w:fill="auto"/>
          </w:tcPr>
          <w:p w14:paraId="77C93557" w14:textId="77777777" w:rsidR="00B777B6" w:rsidRPr="001729CF" w:rsidRDefault="00B777B6">
            <w:pPr>
              <w:tabs>
                <w:tab w:val="left" w:pos="1162"/>
              </w:tabs>
              <w:rPr>
                <w:rFonts w:cs="Arial"/>
                <w:color w:val="000000"/>
                <w:sz w:val="18"/>
                <w:szCs w:val="18"/>
              </w:rPr>
            </w:pPr>
            <w:r>
              <w:rPr>
                <w:rFonts w:cs="Arial"/>
                <w:color w:val="000000"/>
                <w:sz w:val="18"/>
                <w:szCs w:val="18"/>
              </w:rPr>
              <w:t>(</w:t>
            </w:r>
            <w:proofErr w:type="gramStart"/>
            <w:r w:rsidRPr="001729CF">
              <w:rPr>
                <w:rFonts w:cs="Arial"/>
                <w:color w:val="000000"/>
                <w:sz w:val="18"/>
                <w:szCs w:val="18"/>
              </w:rPr>
              <w:t>inlier</w:t>
            </w:r>
            <w:proofErr w:type="gramEnd"/>
            <w:r w:rsidRPr="001729CF">
              <w:rPr>
                <w:rFonts w:cs="Arial"/>
                <w:color w:val="000000"/>
                <w:sz w:val="18"/>
                <w:szCs w:val="18"/>
              </w:rPr>
              <w:t xml:space="preserve"> price weight from joined NWAU AN-SNAP Price Weight table ) if not missing; else</w:t>
            </w:r>
            <w:r>
              <w:rPr>
                <w:rFonts w:cs="Arial"/>
                <w:color w:val="000000"/>
                <w:sz w:val="18"/>
                <w:szCs w:val="18"/>
              </w:rPr>
              <w:t xml:space="preserve"> missing</w:t>
            </w:r>
            <w:r w:rsidRPr="001729CF">
              <w:rPr>
                <w:rFonts w:cs="Arial"/>
                <w:color w:val="000000"/>
                <w:sz w:val="18"/>
                <w:szCs w:val="18"/>
              </w:rPr>
              <w:t>.</w:t>
            </w:r>
          </w:p>
        </w:tc>
      </w:tr>
      <w:tr w:rsidR="00B777B6" w:rsidRPr="00496274" w14:paraId="43CE53B2" w14:textId="77777777" w:rsidTr="006C42C4">
        <w:trPr>
          <w:cantSplit/>
          <w:trHeight w:val="450"/>
          <w:jc w:val="center"/>
        </w:trPr>
        <w:tc>
          <w:tcPr>
            <w:tcW w:w="0" w:type="auto"/>
            <w:shd w:val="clear" w:color="auto" w:fill="auto"/>
            <w:noWrap/>
          </w:tcPr>
          <w:p w14:paraId="4142612C"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S17</w:t>
            </w:r>
          </w:p>
        </w:tc>
        <w:tc>
          <w:tcPr>
            <w:tcW w:w="2707" w:type="dxa"/>
            <w:shd w:val="clear" w:color="auto" w:fill="auto"/>
            <w:noWrap/>
          </w:tcPr>
          <w:p w14:paraId="2A96B6EB" w14:textId="77777777" w:rsidR="00B777B6" w:rsidRPr="001729CF" w:rsidRDefault="00B777B6" w:rsidP="00560AC0">
            <w:pPr>
              <w:tabs>
                <w:tab w:val="left" w:pos="1162"/>
              </w:tabs>
              <w:rPr>
                <w:rFonts w:cs="Arial"/>
                <w:color w:val="000000"/>
                <w:sz w:val="18"/>
                <w:szCs w:val="18"/>
              </w:rPr>
            </w:pPr>
            <w:proofErr w:type="spellStart"/>
            <w:r>
              <w:rPr>
                <w:rFonts w:cs="Arial"/>
                <w:color w:val="000000"/>
                <w:sz w:val="18"/>
                <w:szCs w:val="18"/>
              </w:rPr>
              <w:t>ansnap_pw_lso_perdiem</w:t>
            </w:r>
            <w:proofErr w:type="spellEnd"/>
          </w:p>
        </w:tc>
        <w:tc>
          <w:tcPr>
            <w:tcW w:w="4307" w:type="dxa"/>
            <w:shd w:val="clear" w:color="auto" w:fill="auto"/>
          </w:tcPr>
          <w:p w14:paraId="72F4185B" w14:textId="77777777" w:rsidR="00B777B6" w:rsidRPr="001729CF" w:rsidRDefault="00B777B6">
            <w:pPr>
              <w:tabs>
                <w:tab w:val="left" w:pos="1162"/>
              </w:tabs>
              <w:rPr>
                <w:rFonts w:cs="Arial"/>
                <w:color w:val="000000"/>
                <w:sz w:val="18"/>
                <w:szCs w:val="18"/>
              </w:rPr>
            </w:pPr>
            <w:r>
              <w:rPr>
                <w:rFonts w:cs="Arial"/>
                <w:color w:val="000000"/>
                <w:sz w:val="18"/>
                <w:szCs w:val="18"/>
              </w:rPr>
              <w:t>Long Stay Outlier Per Diem Price Weight</w:t>
            </w:r>
          </w:p>
        </w:tc>
        <w:tc>
          <w:tcPr>
            <w:tcW w:w="0" w:type="auto"/>
            <w:shd w:val="clear" w:color="auto" w:fill="auto"/>
          </w:tcPr>
          <w:p w14:paraId="195743BC" w14:textId="77777777" w:rsidR="00B777B6" w:rsidRPr="001729CF" w:rsidRDefault="00B777B6">
            <w:pPr>
              <w:tabs>
                <w:tab w:val="left" w:pos="1162"/>
              </w:tabs>
              <w:rPr>
                <w:rFonts w:cs="Arial"/>
                <w:color w:val="000000"/>
                <w:sz w:val="18"/>
                <w:szCs w:val="18"/>
              </w:rPr>
            </w:pPr>
            <w:r>
              <w:rPr>
                <w:rFonts w:cs="Arial"/>
                <w:color w:val="000000"/>
                <w:sz w:val="18"/>
                <w:szCs w:val="18"/>
              </w:rPr>
              <w:t>(</w:t>
            </w:r>
            <w:proofErr w:type="gramStart"/>
            <w:r>
              <w:rPr>
                <w:rFonts w:cs="Arial"/>
                <w:color w:val="000000"/>
                <w:sz w:val="18"/>
                <w:szCs w:val="18"/>
              </w:rPr>
              <w:t>long</w:t>
            </w:r>
            <w:proofErr w:type="gramEnd"/>
            <w:r>
              <w:rPr>
                <w:rFonts w:cs="Arial"/>
                <w:color w:val="000000"/>
                <w:sz w:val="18"/>
                <w:szCs w:val="18"/>
              </w:rPr>
              <w:t xml:space="preserve"> stay outlier</w:t>
            </w:r>
            <w:r w:rsidRPr="001729CF">
              <w:rPr>
                <w:rFonts w:cs="Arial"/>
                <w:color w:val="000000"/>
                <w:sz w:val="18"/>
                <w:szCs w:val="18"/>
              </w:rPr>
              <w:t xml:space="preserve"> price weight from joined NWAU AN-SNAP Price Weight table</w:t>
            </w:r>
            <w:r>
              <w:rPr>
                <w:rFonts w:cs="Arial"/>
                <w:color w:val="000000"/>
                <w:sz w:val="18"/>
                <w:szCs w:val="18"/>
              </w:rPr>
              <w:t xml:space="preserve"> ) if not missing; else missing</w:t>
            </w:r>
            <w:r w:rsidRPr="001729CF">
              <w:rPr>
                <w:rFonts w:cs="Arial"/>
                <w:color w:val="000000"/>
                <w:sz w:val="18"/>
                <w:szCs w:val="18"/>
              </w:rPr>
              <w:t>.</w:t>
            </w:r>
          </w:p>
        </w:tc>
      </w:tr>
      <w:tr w:rsidR="00B777B6" w:rsidRPr="00496274" w14:paraId="299EFD34" w14:textId="77777777" w:rsidTr="006C42C4">
        <w:trPr>
          <w:cantSplit/>
          <w:trHeight w:val="450"/>
          <w:jc w:val="center"/>
        </w:trPr>
        <w:tc>
          <w:tcPr>
            <w:tcW w:w="0" w:type="auto"/>
            <w:shd w:val="clear" w:color="auto" w:fill="auto"/>
            <w:noWrap/>
          </w:tcPr>
          <w:p w14:paraId="53136621"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S18</w:t>
            </w:r>
          </w:p>
        </w:tc>
        <w:tc>
          <w:tcPr>
            <w:tcW w:w="2707" w:type="dxa"/>
            <w:shd w:val="clear" w:color="auto" w:fill="auto"/>
            <w:noWrap/>
          </w:tcPr>
          <w:p w14:paraId="2A41EBBD" w14:textId="77777777" w:rsidR="00B777B6" w:rsidRPr="001729CF" w:rsidRDefault="00B777B6" w:rsidP="00560AC0">
            <w:pPr>
              <w:tabs>
                <w:tab w:val="left" w:pos="1162"/>
              </w:tabs>
              <w:rPr>
                <w:rFonts w:cs="Arial"/>
                <w:color w:val="000000"/>
                <w:sz w:val="18"/>
                <w:szCs w:val="18"/>
              </w:rPr>
            </w:pPr>
            <w:proofErr w:type="spellStart"/>
            <w:r>
              <w:rPr>
                <w:rFonts w:cs="Arial"/>
                <w:color w:val="000000"/>
                <w:sz w:val="18"/>
                <w:szCs w:val="18"/>
              </w:rPr>
              <w:t>paed_pw_sameday</w:t>
            </w:r>
            <w:proofErr w:type="spellEnd"/>
          </w:p>
        </w:tc>
        <w:tc>
          <w:tcPr>
            <w:tcW w:w="4307" w:type="dxa"/>
            <w:shd w:val="clear" w:color="auto" w:fill="auto"/>
          </w:tcPr>
          <w:p w14:paraId="3DFD6CC7" w14:textId="77777777" w:rsidR="00B777B6" w:rsidRPr="001729CF" w:rsidRDefault="00B777B6">
            <w:pPr>
              <w:tabs>
                <w:tab w:val="left" w:pos="1162"/>
              </w:tabs>
              <w:rPr>
                <w:rFonts w:cs="Arial"/>
                <w:color w:val="000000"/>
                <w:sz w:val="18"/>
                <w:szCs w:val="18"/>
              </w:rPr>
            </w:pPr>
            <w:r>
              <w:rPr>
                <w:rFonts w:cs="Arial"/>
                <w:color w:val="000000"/>
                <w:sz w:val="18"/>
                <w:szCs w:val="18"/>
              </w:rPr>
              <w:t>Same day price weight for paediatric patients</w:t>
            </w:r>
          </w:p>
        </w:tc>
        <w:tc>
          <w:tcPr>
            <w:tcW w:w="0" w:type="auto"/>
            <w:shd w:val="clear" w:color="auto" w:fill="auto"/>
          </w:tcPr>
          <w:p w14:paraId="3E42F432" w14:textId="77777777" w:rsidR="00B777B6" w:rsidRPr="001729CF" w:rsidRDefault="00B777B6">
            <w:pPr>
              <w:tabs>
                <w:tab w:val="left" w:pos="1162"/>
              </w:tabs>
              <w:rPr>
                <w:rFonts w:cs="Arial"/>
                <w:color w:val="000000"/>
                <w:sz w:val="18"/>
                <w:szCs w:val="18"/>
              </w:rPr>
            </w:pPr>
            <w:r w:rsidRPr="001729CF">
              <w:rPr>
                <w:rFonts w:cs="Arial"/>
                <w:color w:val="000000"/>
                <w:sz w:val="18"/>
                <w:szCs w:val="18"/>
              </w:rPr>
              <w:t>(</w:t>
            </w:r>
            <w:proofErr w:type="gramStart"/>
            <w:r>
              <w:rPr>
                <w:rFonts w:cs="Arial"/>
                <w:color w:val="000000"/>
                <w:sz w:val="18"/>
                <w:szCs w:val="18"/>
              </w:rPr>
              <w:t>paediatric</w:t>
            </w:r>
            <w:proofErr w:type="gramEnd"/>
            <w:r>
              <w:rPr>
                <w:rFonts w:cs="Arial"/>
                <w:color w:val="000000"/>
                <w:sz w:val="18"/>
                <w:szCs w:val="18"/>
              </w:rPr>
              <w:t xml:space="preserve"> same day </w:t>
            </w:r>
            <w:r w:rsidRPr="001729CF">
              <w:rPr>
                <w:rFonts w:cs="Arial"/>
                <w:color w:val="000000"/>
                <w:sz w:val="18"/>
                <w:szCs w:val="18"/>
              </w:rPr>
              <w:t xml:space="preserve">price weight from joined </w:t>
            </w:r>
            <w:r>
              <w:rPr>
                <w:rFonts w:cs="Arial"/>
                <w:color w:val="000000"/>
                <w:sz w:val="18"/>
                <w:szCs w:val="18"/>
              </w:rPr>
              <w:t>care type</w:t>
            </w:r>
            <w:r w:rsidRPr="001729CF">
              <w:rPr>
                <w:rFonts w:cs="Arial"/>
                <w:color w:val="000000"/>
                <w:sz w:val="18"/>
                <w:szCs w:val="18"/>
              </w:rPr>
              <w:t xml:space="preserve"> Price Wei</w:t>
            </w:r>
            <w:r>
              <w:rPr>
                <w:rFonts w:cs="Arial"/>
                <w:color w:val="000000"/>
                <w:sz w:val="18"/>
                <w:szCs w:val="18"/>
              </w:rPr>
              <w:t>ght table ) if not missing; else missing</w:t>
            </w:r>
            <w:r w:rsidRPr="001729CF">
              <w:rPr>
                <w:rFonts w:cs="Arial"/>
                <w:color w:val="000000"/>
                <w:sz w:val="18"/>
                <w:szCs w:val="18"/>
              </w:rPr>
              <w:t>.</w:t>
            </w:r>
            <w:r w:rsidRPr="001729CF" w:rsidDel="00EB5229">
              <w:rPr>
                <w:rFonts w:cs="Arial"/>
                <w:color w:val="000000"/>
                <w:sz w:val="18"/>
                <w:szCs w:val="18"/>
              </w:rPr>
              <w:t xml:space="preserve"> </w:t>
            </w:r>
          </w:p>
        </w:tc>
      </w:tr>
      <w:tr w:rsidR="00B777B6" w:rsidRPr="00496274" w14:paraId="52EB76D0" w14:textId="77777777" w:rsidTr="006C42C4">
        <w:trPr>
          <w:cantSplit/>
          <w:trHeight w:val="450"/>
          <w:jc w:val="center"/>
        </w:trPr>
        <w:tc>
          <w:tcPr>
            <w:tcW w:w="0" w:type="auto"/>
            <w:shd w:val="clear" w:color="auto" w:fill="auto"/>
            <w:noWrap/>
          </w:tcPr>
          <w:p w14:paraId="51DAC4E9"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S19</w:t>
            </w:r>
          </w:p>
        </w:tc>
        <w:tc>
          <w:tcPr>
            <w:tcW w:w="2707" w:type="dxa"/>
            <w:shd w:val="clear" w:color="auto" w:fill="auto"/>
            <w:noWrap/>
          </w:tcPr>
          <w:p w14:paraId="50C0F2DD" w14:textId="77777777" w:rsidR="00B777B6" w:rsidRPr="001729CF" w:rsidRDefault="00B777B6" w:rsidP="00560AC0">
            <w:pPr>
              <w:tabs>
                <w:tab w:val="left" w:pos="1162"/>
              </w:tabs>
              <w:rPr>
                <w:rFonts w:cs="Arial"/>
                <w:color w:val="000000"/>
                <w:sz w:val="18"/>
                <w:szCs w:val="18"/>
              </w:rPr>
            </w:pPr>
            <w:proofErr w:type="spellStart"/>
            <w:r>
              <w:rPr>
                <w:rFonts w:cs="Arial"/>
                <w:color w:val="000000"/>
                <w:sz w:val="18"/>
                <w:szCs w:val="18"/>
              </w:rPr>
              <w:t>paed_overnight_perdiem</w:t>
            </w:r>
            <w:proofErr w:type="spellEnd"/>
          </w:p>
        </w:tc>
        <w:tc>
          <w:tcPr>
            <w:tcW w:w="4307" w:type="dxa"/>
            <w:shd w:val="clear" w:color="auto" w:fill="auto"/>
          </w:tcPr>
          <w:p w14:paraId="1531E86C" w14:textId="77777777" w:rsidR="00B777B6" w:rsidRPr="001729CF" w:rsidRDefault="00B777B6">
            <w:pPr>
              <w:tabs>
                <w:tab w:val="left" w:pos="1162"/>
              </w:tabs>
              <w:rPr>
                <w:rFonts w:cs="Arial"/>
                <w:color w:val="000000"/>
                <w:sz w:val="18"/>
                <w:szCs w:val="18"/>
              </w:rPr>
            </w:pPr>
            <w:r>
              <w:rPr>
                <w:rFonts w:cs="Arial"/>
                <w:color w:val="000000"/>
                <w:sz w:val="18"/>
                <w:szCs w:val="18"/>
              </w:rPr>
              <w:t>Overnight price weight for paediatric patients</w:t>
            </w:r>
          </w:p>
        </w:tc>
        <w:tc>
          <w:tcPr>
            <w:tcW w:w="0" w:type="auto"/>
            <w:shd w:val="clear" w:color="auto" w:fill="auto"/>
          </w:tcPr>
          <w:p w14:paraId="36AE2C6F" w14:textId="77777777" w:rsidR="00B777B6" w:rsidRPr="001729CF" w:rsidRDefault="00B777B6">
            <w:pPr>
              <w:tabs>
                <w:tab w:val="left" w:pos="1162"/>
              </w:tabs>
              <w:rPr>
                <w:rFonts w:cs="Arial"/>
                <w:color w:val="000000"/>
                <w:sz w:val="18"/>
                <w:szCs w:val="18"/>
              </w:rPr>
            </w:pPr>
            <w:r w:rsidRPr="001729CF">
              <w:rPr>
                <w:rFonts w:cs="Arial"/>
                <w:color w:val="000000"/>
                <w:sz w:val="18"/>
                <w:szCs w:val="18"/>
              </w:rPr>
              <w:t>(</w:t>
            </w:r>
            <w:proofErr w:type="gramStart"/>
            <w:r>
              <w:rPr>
                <w:rFonts w:cs="Arial"/>
                <w:color w:val="000000"/>
                <w:sz w:val="18"/>
                <w:szCs w:val="18"/>
              </w:rPr>
              <w:t>paediatric</w:t>
            </w:r>
            <w:proofErr w:type="gramEnd"/>
            <w:r>
              <w:rPr>
                <w:rFonts w:cs="Arial"/>
                <w:color w:val="000000"/>
                <w:sz w:val="18"/>
                <w:szCs w:val="18"/>
              </w:rPr>
              <w:t xml:space="preserve"> overnight </w:t>
            </w:r>
            <w:r w:rsidRPr="001729CF">
              <w:rPr>
                <w:rFonts w:cs="Arial"/>
                <w:color w:val="000000"/>
                <w:sz w:val="18"/>
                <w:szCs w:val="18"/>
              </w:rPr>
              <w:t xml:space="preserve">price weight from joined </w:t>
            </w:r>
            <w:r>
              <w:rPr>
                <w:rFonts w:cs="Arial"/>
                <w:color w:val="000000"/>
                <w:sz w:val="18"/>
                <w:szCs w:val="18"/>
              </w:rPr>
              <w:t>care type</w:t>
            </w:r>
            <w:r w:rsidRPr="001729CF">
              <w:rPr>
                <w:rFonts w:cs="Arial"/>
                <w:color w:val="000000"/>
                <w:sz w:val="18"/>
                <w:szCs w:val="18"/>
              </w:rPr>
              <w:t xml:space="preserve"> Price Weight table ) if not missing; else</w:t>
            </w:r>
            <w:r>
              <w:rPr>
                <w:rFonts w:cs="Arial"/>
                <w:color w:val="000000"/>
                <w:sz w:val="18"/>
                <w:szCs w:val="18"/>
              </w:rPr>
              <w:t xml:space="preserve"> </w:t>
            </w:r>
            <w:r w:rsidRPr="001729CF">
              <w:rPr>
                <w:rFonts w:cs="Arial"/>
                <w:color w:val="000000"/>
                <w:sz w:val="18"/>
                <w:szCs w:val="18"/>
              </w:rPr>
              <w:t>0.</w:t>
            </w:r>
            <w:r w:rsidRPr="001729CF" w:rsidDel="00EB5229">
              <w:rPr>
                <w:rFonts w:cs="Arial"/>
                <w:color w:val="000000"/>
                <w:sz w:val="18"/>
                <w:szCs w:val="18"/>
              </w:rPr>
              <w:t xml:space="preserve"> </w:t>
            </w:r>
          </w:p>
        </w:tc>
      </w:tr>
      <w:tr w:rsidR="00B777B6" w:rsidRPr="00496274" w14:paraId="56899DB7" w14:textId="77777777" w:rsidTr="006C42C4">
        <w:trPr>
          <w:cantSplit/>
          <w:trHeight w:val="450"/>
          <w:jc w:val="center"/>
        </w:trPr>
        <w:tc>
          <w:tcPr>
            <w:tcW w:w="0" w:type="auto"/>
            <w:shd w:val="clear" w:color="auto" w:fill="auto"/>
            <w:noWrap/>
          </w:tcPr>
          <w:p w14:paraId="00CF75D3"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S20</w:t>
            </w:r>
          </w:p>
        </w:tc>
        <w:tc>
          <w:tcPr>
            <w:tcW w:w="2707" w:type="dxa"/>
            <w:shd w:val="clear" w:color="auto" w:fill="auto"/>
            <w:noWrap/>
          </w:tcPr>
          <w:p w14:paraId="31E7C0C6" w14:textId="77777777" w:rsidR="00B777B6" w:rsidRPr="001729CF" w:rsidRDefault="00B777B6" w:rsidP="00560AC0">
            <w:pPr>
              <w:tabs>
                <w:tab w:val="left" w:pos="1162"/>
              </w:tabs>
              <w:rPr>
                <w:rFonts w:cs="Arial"/>
                <w:color w:val="000000"/>
                <w:sz w:val="18"/>
                <w:szCs w:val="18"/>
              </w:rPr>
            </w:pPr>
            <w:proofErr w:type="spellStart"/>
            <w:r w:rsidRPr="001729CF">
              <w:rPr>
                <w:rFonts w:cs="Arial"/>
                <w:color w:val="000000"/>
                <w:sz w:val="18"/>
                <w:szCs w:val="18"/>
              </w:rPr>
              <w:t>adj_indigenous</w:t>
            </w:r>
            <w:proofErr w:type="spellEnd"/>
          </w:p>
        </w:tc>
        <w:tc>
          <w:tcPr>
            <w:tcW w:w="4307" w:type="dxa"/>
            <w:shd w:val="clear" w:color="auto" w:fill="auto"/>
          </w:tcPr>
          <w:p w14:paraId="22DB2A59" w14:textId="77777777" w:rsidR="00B777B6" w:rsidRPr="001729CF" w:rsidRDefault="00B777B6">
            <w:pPr>
              <w:tabs>
                <w:tab w:val="left" w:pos="1162"/>
              </w:tabs>
              <w:rPr>
                <w:rFonts w:cs="Arial"/>
                <w:color w:val="000000"/>
                <w:sz w:val="18"/>
                <w:szCs w:val="18"/>
              </w:rPr>
            </w:pPr>
            <w:r w:rsidRPr="001729CF">
              <w:rPr>
                <w:rFonts w:cs="Arial"/>
                <w:color w:val="000000"/>
                <w:sz w:val="18"/>
                <w:szCs w:val="18"/>
              </w:rPr>
              <w:t>See definition</w:t>
            </w:r>
          </w:p>
        </w:tc>
        <w:tc>
          <w:tcPr>
            <w:tcW w:w="0" w:type="auto"/>
            <w:shd w:val="clear" w:color="auto" w:fill="auto"/>
          </w:tcPr>
          <w:p w14:paraId="4CF46313" w14:textId="77777777" w:rsidR="00B777B6" w:rsidRPr="001729CF" w:rsidRDefault="00B777B6">
            <w:pPr>
              <w:tabs>
                <w:tab w:val="left" w:pos="1162"/>
              </w:tabs>
              <w:rPr>
                <w:rFonts w:cs="Arial"/>
                <w:color w:val="000000"/>
                <w:sz w:val="18"/>
                <w:szCs w:val="18"/>
              </w:rPr>
            </w:pPr>
            <w:r>
              <w:rPr>
                <w:rFonts w:cs="Arial"/>
                <w:color w:val="000000"/>
                <w:sz w:val="18"/>
                <w:szCs w:val="18"/>
              </w:rPr>
              <w:t>I</w:t>
            </w:r>
            <w:r w:rsidRPr="001729CF">
              <w:rPr>
                <w:rFonts w:cs="Arial"/>
                <w:color w:val="000000"/>
                <w:sz w:val="18"/>
                <w:szCs w:val="18"/>
              </w:rPr>
              <w:t>ndigenous adjustment.</w:t>
            </w:r>
          </w:p>
        </w:tc>
      </w:tr>
      <w:tr w:rsidR="00B777B6" w:rsidRPr="00496274" w14:paraId="0DE1F4AB" w14:textId="77777777" w:rsidTr="006C42C4">
        <w:trPr>
          <w:cantSplit/>
          <w:trHeight w:val="450"/>
          <w:jc w:val="center"/>
        </w:trPr>
        <w:tc>
          <w:tcPr>
            <w:tcW w:w="0" w:type="auto"/>
            <w:shd w:val="clear" w:color="auto" w:fill="auto"/>
            <w:noWrap/>
          </w:tcPr>
          <w:p w14:paraId="21DA258A"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S21</w:t>
            </w:r>
          </w:p>
        </w:tc>
        <w:tc>
          <w:tcPr>
            <w:tcW w:w="2707" w:type="dxa"/>
            <w:shd w:val="clear" w:color="auto" w:fill="auto"/>
            <w:noWrap/>
          </w:tcPr>
          <w:p w14:paraId="48DEE8CA" w14:textId="77777777" w:rsidR="00B777B6" w:rsidRPr="001729CF" w:rsidRDefault="00B777B6" w:rsidP="00560AC0">
            <w:pPr>
              <w:tabs>
                <w:tab w:val="left" w:pos="1162"/>
              </w:tabs>
              <w:rPr>
                <w:rFonts w:cs="Arial"/>
                <w:color w:val="000000"/>
                <w:sz w:val="18"/>
                <w:szCs w:val="18"/>
              </w:rPr>
            </w:pPr>
            <w:proofErr w:type="spellStart"/>
            <w:r>
              <w:rPr>
                <w:rFonts w:cs="Arial"/>
                <w:color w:val="000000"/>
                <w:sz w:val="18"/>
                <w:szCs w:val="18"/>
              </w:rPr>
              <w:t>adj_remoteness</w:t>
            </w:r>
            <w:proofErr w:type="spellEnd"/>
          </w:p>
        </w:tc>
        <w:tc>
          <w:tcPr>
            <w:tcW w:w="4307" w:type="dxa"/>
            <w:shd w:val="clear" w:color="auto" w:fill="auto"/>
          </w:tcPr>
          <w:p w14:paraId="2A955611" w14:textId="77777777" w:rsidR="00B777B6" w:rsidRPr="001729CF" w:rsidRDefault="00B777B6">
            <w:pPr>
              <w:tabs>
                <w:tab w:val="left" w:pos="1162"/>
              </w:tabs>
              <w:rPr>
                <w:rFonts w:cs="Arial"/>
                <w:color w:val="000000"/>
                <w:sz w:val="18"/>
                <w:szCs w:val="18"/>
              </w:rPr>
            </w:pPr>
            <w:r w:rsidRPr="001729CF">
              <w:rPr>
                <w:rFonts w:cs="Arial"/>
                <w:color w:val="000000"/>
                <w:sz w:val="18"/>
                <w:szCs w:val="18"/>
              </w:rPr>
              <w:t>See definition</w:t>
            </w:r>
          </w:p>
        </w:tc>
        <w:tc>
          <w:tcPr>
            <w:tcW w:w="0" w:type="auto"/>
            <w:shd w:val="clear" w:color="auto" w:fill="auto"/>
          </w:tcPr>
          <w:p w14:paraId="3E1384FF" w14:textId="77777777" w:rsidR="00B777B6" w:rsidRPr="001729CF" w:rsidRDefault="00B777B6">
            <w:pPr>
              <w:tabs>
                <w:tab w:val="left" w:pos="1162"/>
              </w:tabs>
              <w:rPr>
                <w:rFonts w:cs="Arial"/>
                <w:color w:val="000000"/>
                <w:sz w:val="18"/>
                <w:szCs w:val="18"/>
              </w:rPr>
            </w:pPr>
            <w:r>
              <w:rPr>
                <w:rFonts w:cs="Arial"/>
                <w:color w:val="000000"/>
                <w:sz w:val="18"/>
                <w:szCs w:val="18"/>
              </w:rPr>
              <w:t>Remoteness adjustment.</w:t>
            </w:r>
          </w:p>
        </w:tc>
      </w:tr>
      <w:tr w:rsidR="00B777B6" w:rsidRPr="00496274" w14:paraId="3216A176" w14:textId="77777777" w:rsidTr="006C42C4">
        <w:trPr>
          <w:cantSplit/>
          <w:trHeight w:val="450"/>
          <w:jc w:val="center"/>
        </w:trPr>
        <w:tc>
          <w:tcPr>
            <w:tcW w:w="0" w:type="auto"/>
            <w:shd w:val="clear" w:color="auto" w:fill="auto"/>
            <w:noWrap/>
          </w:tcPr>
          <w:p w14:paraId="6E94DBBB"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S22</w:t>
            </w:r>
          </w:p>
        </w:tc>
        <w:tc>
          <w:tcPr>
            <w:tcW w:w="2707" w:type="dxa"/>
            <w:shd w:val="clear" w:color="auto" w:fill="auto"/>
            <w:noWrap/>
          </w:tcPr>
          <w:p w14:paraId="5FBE8733" w14:textId="77777777" w:rsidR="00B777B6" w:rsidRPr="001729CF" w:rsidRDefault="00B777B6" w:rsidP="00560AC0">
            <w:pPr>
              <w:tabs>
                <w:tab w:val="left" w:pos="1162"/>
              </w:tabs>
              <w:rPr>
                <w:rFonts w:cs="Arial"/>
                <w:color w:val="000000"/>
                <w:sz w:val="18"/>
                <w:szCs w:val="18"/>
              </w:rPr>
            </w:pPr>
            <w:proofErr w:type="spellStart"/>
            <w:r w:rsidRPr="001729CF">
              <w:rPr>
                <w:rFonts w:cs="Arial"/>
                <w:color w:val="000000"/>
                <w:sz w:val="18"/>
                <w:szCs w:val="18"/>
              </w:rPr>
              <w:t>caretype_adj_privpat_serv</w:t>
            </w:r>
            <w:proofErr w:type="spellEnd"/>
          </w:p>
        </w:tc>
        <w:tc>
          <w:tcPr>
            <w:tcW w:w="4307" w:type="dxa"/>
            <w:shd w:val="clear" w:color="auto" w:fill="auto"/>
          </w:tcPr>
          <w:p w14:paraId="2B558985" w14:textId="77777777" w:rsidR="00B777B6" w:rsidRPr="001729CF" w:rsidRDefault="00B777B6">
            <w:pPr>
              <w:tabs>
                <w:tab w:val="left" w:pos="1162"/>
              </w:tabs>
              <w:rPr>
                <w:rFonts w:cs="Arial"/>
                <w:color w:val="000000"/>
                <w:sz w:val="18"/>
                <w:szCs w:val="18"/>
              </w:rPr>
            </w:pPr>
            <w:r w:rsidRPr="001729CF">
              <w:rPr>
                <w:rFonts w:cs="Arial"/>
                <w:color w:val="000000"/>
                <w:sz w:val="18"/>
                <w:szCs w:val="18"/>
              </w:rPr>
              <w:t>See definition</w:t>
            </w:r>
          </w:p>
        </w:tc>
        <w:tc>
          <w:tcPr>
            <w:tcW w:w="0" w:type="auto"/>
            <w:shd w:val="clear" w:color="auto" w:fill="auto"/>
          </w:tcPr>
          <w:p w14:paraId="0B896C91" w14:textId="77777777" w:rsidR="00B777B6" w:rsidRPr="001729CF" w:rsidRDefault="00B777B6">
            <w:pPr>
              <w:tabs>
                <w:tab w:val="left" w:pos="1162"/>
              </w:tabs>
              <w:rPr>
                <w:rFonts w:cs="Arial"/>
                <w:color w:val="000000"/>
                <w:sz w:val="18"/>
                <w:szCs w:val="18"/>
              </w:rPr>
            </w:pPr>
            <w:r>
              <w:rPr>
                <w:rFonts w:cs="Arial"/>
                <w:color w:val="000000"/>
                <w:sz w:val="18"/>
                <w:szCs w:val="18"/>
              </w:rPr>
              <w:t>P</w:t>
            </w:r>
            <w:r w:rsidRPr="001729CF">
              <w:rPr>
                <w:rFonts w:cs="Arial"/>
                <w:color w:val="000000"/>
                <w:sz w:val="18"/>
                <w:szCs w:val="18"/>
              </w:rPr>
              <w:t>rivate patient service adjustment (care type specific adjustment).</w:t>
            </w:r>
          </w:p>
        </w:tc>
      </w:tr>
      <w:tr w:rsidR="00B777B6" w:rsidRPr="00496274" w14:paraId="2F254423" w14:textId="77777777" w:rsidTr="006C42C4">
        <w:trPr>
          <w:cantSplit/>
          <w:trHeight w:val="450"/>
          <w:jc w:val="center"/>
        </w:trPr>
        <w:tc>
          <w:tcPr>
            <w:tcW w:w="0" w:type="auto"/>
            <w:shd w:val="clear" w:color="auto" w:fill="auto"/>
            <w:noWrap/>
          </w:tcPr>
          <w:p w14:paraId="236FF52E"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S23</w:t>
            </w:r>
          </w:p>
        </w:tc>
        <w:tc>
          <w:tcPr>
            <w:tcW w:w="2707" w:type="dxa"/>
            <w:shd w:val="clear" w:color="auto" w:fill="auto"/>
            <w:noWrap/>
          </w:tcPr>
          <w:p w14:paraId="191DAED8" w14:textId="77777777" w:rsidR="00B777B6" w:rsidRPr="001729CF" w:rsidRDefault="00B777B6" w:rsidP="00560AC0">
            <w:pPr>
              <w:tabs>
                <w:tab w:val="left" w:pos="1162"/>
              </w:tabs>
              <w:rPr>
                <w:rFonts w:cs="Arial"/>
                <w:color w:val="000000"/>
                <w:sz w:val="18"/>
                <w:szCs w:val="18"/>
              </w:rPr>
            </w:pPr>
            <w:proofErr w:type="spellStart"/>
            <w:r w:rsidRPr="001729CF">
              <w:rPr>
                <w:rFonts w:cs="Arial"/>
                <w:color w:val="000000"/>
                <w:sz w:val="18"/>
                <w:szCs w:val="18"/>
              </w:rPr>
              <w:t>state_adj_privpat_accomm_sd</w:t>
            </w:r>
            <w:proofErr w:type="spellEnd"/>
          </w:p>
        </w:tc>
        <w:tc>
          <w:tcPr>
            <w:tcW w:w="4307" w:type="dxa"/>
            <w:shd w:val="clear" w:color="auto" w:fill="auto"/>
          </w:tcPr>
          <w:p w14:paraId="22C952BC" w14:textId="77777777" w:rsidR="00B777B6" w:rsidRPr="001729CF" w:rsidRDefault="00B777B6">
            <w:pPr>
              <w:tabs>
                <w:tab w:val="left" w:pos="1162"/>
              </w:tabs>
              <w:rPr>
                <w:rFonts w:cs="Arial"/>
                <w:color w:val="000000"/>
                <w:sz w:val="18"/>
                <w:szCs w:val="18"/>
              </w:rPr>
            </w:pPr>
            <w:r w:rsidRPr="001729CF">
              <w:rPr>
                <w:rFonts w:cs="Arial"/>
                <w:color w:val="000000"/>
                <w:sz w:val="18"/>
                <w:szCs w:val="18"/>
              </w:rPr>
              <w:t>See definition</w:t>
            </w:r>
          </w:p>
        </w:tc>
        <w:tc>
          <w:tcPr>
            <w:tcW w:w="0" w:type="auto"/>
            <w:shd w:val="clear" w:color="auto" w:fill="auto"/>
          </w:tcPr>
          <w:p w14:paraId="2077CDF7" w14:textId="77777777" w:rsidR="00B777B6" w:rsidRPr="001729CF" w:rsidRDefault="00B777B6">
            <w:pPr>
              <w:tabs>
                <w:tab w:val="left" w:pos="1162"/>
              </w:tabs>
              <w:rPr>
                <w:rFonts w:cs="Arial"/>
                <w:color w:val="000000"/>
                <w:sz w:val="18"/>
                <w:szCs w:val="18"/>
              </w:rPr>
            </w:pPr>
            <w:r>
              <w:rPr>
                <w:rFonts w:cs="Arial"/>
                <w:color w:val="000000"/>
                <w:sz w:val="18"/>
                <w:szCs w:val="18"/>
              </w:rPr>
              <w:t>P</w:t>
            </w:r>
            <w:r w:rsidRPr="001729CF">
              <w:rPr>
                <w:rFonts w:cs="Arial"/>
                <w:color w:val="000000"/>
                <w:sz w:val="18"/>
                <w:szCs w:val="18"/>
              </w:rPr>
              <w:t>rivate patient accommodation adjustment: same-day rate (state-specific adjustment).</w:t>
            </w:r>
          </w:p>
        </w:tc>
      </w:tr>
      <w:tr w:rsidR="00B777B6" w:rsidRPr="00496274" w14:paraId="28BB5661" w14:textId="77777777" w:rsidTr="006C42C4">
        <w:trPr>
          <w:cantSplit/>
          <w:trHeight w:val="450"/>
          <w:jc w:val="center"/>
        </w:trPr>
        <w:tc>
          <w:tcPr>
            <w:tcW w:w="0" w:type="auto"/>
            <w:tcBorders>
              <w:bottom w:val="single" w:sz="4" w:space="0" w:color="auto"/>
            </w:tcBorders>
            <w:shd w:val="clear" w:color="auto" w:fill="auto"/>
            <w:noWrap/>
            <w:hideMark/>
          </w:tcPr>
          <w:p w14:paraId="64538E67" w14:textId="77777777" w:rsidR="00B777B6" w:rsidRPr="001729CF" w:rsidRDefault="00B777B6" w:rsidP="002D606E">
            <w:pPr>
              <w:tabs>
                <w:tab w:val="left" w:pos="1162"/>
              </w:tabs>
              <w:rPr>
                <w:rFonts w:eastAsiaTheme="minorHAnsi" w:cs="Arial"/>
                <w:b/>
                <w:noProof/>
                <w:color w:val="000000"/>
                <w:sz w:val="18"/>
                <w:szCs w:val="18"/>
              </w:rPr>
            </w:pPr>
            <w:r w:rsidRPr="001729CF">
              <w:rPr>
                <w:rFonts w:cs="Arial"/>
                <w:color w:val="000000"/>
                <w:sz w:val="18"/>
                <w:szCs w:val="18"/>
              </w:rPr>
              <w:t>S2</w:t>
            </w:r>
            <w:r>
              <w:rPr>
                <w:rFonts w:cs="Arial"/>
                <w:color w:val="000000"/>
                <w:sz w:val="18"/>
                <w:szCs w:val="18"/>
              </w:rPr>
              <w:t>4</w:t>
            </w:r>
          </w:p>
        </w:tc>
        <w:tc>
          <w:tcPr>
            <w:tcW w:w="2707" w:type="dxa"/>
            <w:shd w:val="clear" w:color="auto" w:fill="auto"/>
            <w:noWrap/>
            <w:hideMark/>
          </w:tcPr>
          <w:p w14:paraId="748AEA91" w14:textId="77777777" w:rsidR="00B777B6" w:rsidRPr="001729CF" w:rsidRDefault="00B777B6" w:rsidP="00560AC0">
            <w:pPr>
              <w:tabs>
                <w:tab w:val="left" w:pos="1162"/>
              </w:tabs>
              <w:rPr>
                <w:rFonts w:cs="Arial"/>
                <w:color w:val="000000"/>
                <w:sz w:val="18"/>
                <w:szCs w:val="18"/>
              </w:rPr>
            </w:pPr>
            <w:proofErr w:type="spellStart"/>
            <w:r w:rsidRPr="001729CF">
              <w:rPr>
                <w:rFonts w:cs="Arial"/>
                <w:color w:val="000000"/>
                <w:sz w:val="18"/>
                <w:szCs w:val="18"/>
              </w:rPr>
              <w:t>state_adj_privpat_accomm_on</w:t>
            </w:r>
            <w:proofErr w:type="spellEnd"/>
          </w:p>
        </w:tc>
        <w:tc>
          <w:tcPr>
            <w:tcW w:w="4307" w:type="dxa"/>
            <w:shd w:val="clear" w:color="auto" w:fill="auto"/>
            <w:hideMark/>
          </w:tcPr>
          <w:p w14:paraId="1055C520" w14:textId="77777777" w:rsidR="00B777B6" w:rsidRPr="001729CF" w:rsidRDefault="00B777B6">
            <w:pPr>
              <w:tabs>
                <w:tab w:val="left" w:pos="1162"/>
              </w:tabs>
              <w:rPr>
                <w:rFonts w:cs="Arial"/>
                <w:color w:val="000000"/>
                <w:sz w:val="18"/>
                <w:szCs w:val="18"/>
              </w:rPr>
            </w:pPr>
            <w:r w:rsidRPr="001729CF">
              <w:rPr>
                <w:rFonts w:cs="Arial"/>
                <w:color w:val="000000"/>
                <w:sz w:val="18"/>
                <w:szCs w:val="18"/>
              </w:rPr>
              <w:t>See definition</w:t>
            </w:r>
          </w:p>
        </w:tc>
        <w:tc>
          <w:tcPr>
            <w:tcW w:w="0" w:type="auto"/>
            <w:shd w:val="clear" w:color="auto" w:fill="auto"/>
            <w:hideMark/>
          </w:tcPr>
          <w:p w14:paraId="45780742" w14:textId="77777777" w:rsidR="00B777B6" w:rsidRPr="001729CF" w:rsidRDefault="00B777B6">
            <w:pPr>
              <w:tabs>
                <w:tab w:val="left" w:pos="1162"/>
              </w:tabs>
              <w:rPr>
                <w:rFonts w:cs="Arial"/>
                <w:color w:val="000000"/>
                <w:sz w:val="18"/>
                <w:szCs w:val="18"/>
              </w:rPr>
            </w:pPr>
            <w:r>
              <w:rPr>
                <w:rFonts w:cs="Arial"/>
                <w:color w:val="000000"/>
                <w:sz w:val="18"/>
                <w:szCs w:val="18"/>
              </w:rPr>
              <w:t>P</w:t>
            </w:r>
            <w:r w:rsidRPr="001729CF">
              <w:rPr>
                <w:rFonts w:cs="Arial"/>
                <w:color w:val="000000"/>
                <w:sz w:val="18"/>
                <w:szCs w:val="18"/>
              </w:rPr>
              <w:t>rivate patient accommodation adjustment: overnight per diem rate (state-specific adjustment).</w:t>
            </w:r>
          </w:p>
        </w:tc>
      </w:tr>
      <w:tr w:rsidR="00B777B6" w:rsidRPr="00496274" w14:paraId="25CE3A81" w14:textId="77777777" w:rsidTr="006C42C4">
        <w:trPr>
          <w:cantSplit/>
          <w:trHeight w:val="450"/>
          <w:jc w:val="center"/>
        </w:trPr>
        <w:tc>
          <w:tcPr>
            <w:tcW w:w="0" w:type="auto"/>
            <w:tcBorders>
              <w:top w:val="single" w:sz="4" w:space="0" w:color="auto"/>
              <w:bottom w:val="single" w:sz="4" w:space="0" w:color="auto"/>
            </w:tcBorders>
            <w:shd w:val="clear" w:color="auto" w:fill="auto"/>
            <w:noWrap/>
          </w:tcPr>
          <w:p w14:paraId="765AE42E"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t>S25</w:t>
            </w:r>
          </w:p>
        </w:tc>
        <w:tc>
          <w:tcPr>
            <w:tcW w:w="2707" w:type="dxa"/>
            <w:shd w:val="clear" w:color="auto" w:fill="auto"/>
            <w:noWrap/>
          </w:tcPr>
          <w:p w14:paraId="17F0A463" w14:textId="77777777" w:rsidR="00B777B6" w:rsidRPr="001729CF" w:rsidRDefault="00B777B6" w:rsidP="00560AC0">
            <w:pPr>
              <w:tabs>
                <w:tab w:val="left" w:pos="1162"/>
              </w:tabs>
              <w:rPr>
                <w:rFonts w:cs="Arial"/>
                <w:color w:val="000000"/>
                <w:sz w:val="18"/>
                <w:szCs w:val="18"/>
              </w:rPr>
            </w:pPr>
            <w:proofErr w:type="spellStart"/>
            <w:r>
              <w:rPr>
                <w:rFonts w:cs="Arial"/>
                <w:color w:val="000000"/>
                <w:sz w:val="18"/>
                <w:szCs w:val="18"/>
              </w:rPr>
              <w:t>Error_code</w:t>
            </w:r>
            <w:proofErr w:type="spellEnd"/>
          </w:p>
        </w:tc>
        <w:tc>
          <w:tcPr>
            <w:tcW w:w="4307" w:type="dxa"/>
            <w:shd w:val="clear" w:color="auto" w:fill="auto"/>
          </w:tcPr>
          <w:p w14:paraId="05DF1E32" w14:textId="77777777" w:rsidR="00B777B6" w:rsidRPr="001729CF" w:rsidRDefault="00B777B6">
            <w:pPr>
              <w:tabs>
                <w:tab w:val="left" w:pos="1162"/>
              </w:tabs>
              <w:rPr>
                <w:rFonts w:cs="Arial"/>
                <w:color w:val="000000"/>
                <w:sz w:val="18"/>
                <w:szCs w:val="18"/>
              </w:rPr>
            </w:pPr>
            <w:r>
              <w:rPr>
                <w:rFonts w:cs="Arial"/>
                <w:color w:val="000000"/>
                <w:sz w:val="18"/>
                <w:szCs w:val="18"/>
              </w:rPr>
              <w:t>See definition</w:t>
            </w:r>
          </w:p>
        </w:tc>
        <w:tc>
          <w:tcPr>
            <w:tcW w:w="0" w:type="auto"/>
            <w:shd w:val="clear" w:color="auto" w:fill="auto"/>
          </w:tcPr>
          <w:p w14:paraId="5B96086E" w14:textId="77777777" w:rsidR="00B777B6" w:rsidRPr="001729CF" w:rsidRDefault="00B777B6">
            <w:pPr>
              <w:tabs>
                <w:tab w:val="left" w:pos="1162"/>
              </w:tabs>
              <w:rPr>
                <w:rFonts w:cs="Arial"/>
                <w:color w:val="000000"/>
                <w:sz w:val="18"/>
                <w:szCs w:val="18"/>
              </w:rPr>
            </w:pPr>
            <w:r>
              <w:rPr>
                <w:rFonts w:cs="Arial"/>
                <w:color w:val="000000"/>
                <w:sz w:val="18"/>
                <w:szCs w:val="18"/>
              </w:rPr>
              <w:t>Outlines Errors in calculations</w:t>
            </w:r>
          </w:p>
        </w:tc>
      </w:tr>
      <w:tr w:rsidR="00B777B6" w:rsidRPr="00496274" w14:paraId="632B2BA1" w14:textId="77777777" w:rsidTr="00B777B6">
        <w:trPr>
          <w:cantSplit/>
          <w:trHeight w:val="450"/>
          <w:jc w:val="center"/>
        </w:trPr>
        <w:tc>
          <w:tcPr>
            <w:tcW w:w="0" w:type="auto"/>
            <w:tcBorders>
              <w:top w:val="single" w:sz="4" w:space="0" w:color="auto"/>
              <w:bottom w:val="single" w:sz="4" w:space="0" w:color="auto"/>
            </w:tcBorders>
            <w:shd w:val="clear" w:color="auto" w:fill="auto"/>
            <w:noWrap/>
          </w:tcPr>
          <w:p w14:paraId="713C38A4" w14:textId="77777777" w:rsidR="00B777B6" w:rsidRPr="001729CF" w:rsidRDefault="00B777B6" w:rsidP="002D606E">
            <w:pPr>
              <w:tabs>
                <w:tab w:val="left" w:pos="1162"/>
              </w:tabs>
              <w:rPr>
                <w:rFonts w:eastAsiaTheme="minorHAnsi" w:cs="Arial"/>
                <w:b/>
                <w:noProof/>
                <w:color w:val="000000"/>
                <w:sz w:val="18"/>
                <w:szCs w:val="18"/>
              </w:rPr>
            </w:pPr>
            <w:r>
              <w:rPr>
                <w:rFonts w:cs="Arial"/>
                <w:color w:val="000000"/>
                <w:sz w:val="18"/>
                <w:szCs w:val="18"/>
              </w:rPr>
              <w:lastRenderedPageBreak/>
              <w:t>S26</w:t>
            </w:r>
          </w:p>
        </w:tc>
        <w:tc>
          <w:tcPr>
            <w:tcW w:w="2707" w:type="dxa"/>
            <w:shd w:val="clear" w:color="auto" w:fill="auto"/>
            <w:noWrap/>
          </w:tcPr>
          <w:p w14:paraId="2E55CFC2" w14:textId="77777777" w:rsidR="00B777B6" w:rsidRPr="001729CF" w:rsidRDefault="00B777B6" w:rsidP="00560AC0">
            <w:pPr>
              <w:tabs>
                <w:tab w:val="left" w:pos="1162"/>
              </w:tabs>
              <w:rPr>
                <w:rFonts w:cs="Arial"/>
                <w:color w:val="000000"/>
                <w:sz w:val="18"/>
                <w:szCs w:val="18"/>
              </w:rPr>
            </w:pPr>
            <w:r>
              <w:rPr>
                <w:rFonts w:cs="Arial"/>
                <w:color w:val="000000"/>
                <w:sz w:val="18"/>
                <w:szCs w:val="18"/>
              </w:rPr>
              <w:t>_</w:t>
            </w:r>
            <w:proofErr w:type="spellStart"/>
            <w:r>
              <w:rPr>
                <w:rFonts w:cs="Arial"/>
                <w:color w:val="000000"/>
                <w:sz w:val="18"/>
                <w:szCs w:val="18"/>
              </w:rPr>
              <w:t>pat_separation_category</w:t>
            </w:r>
            <w:proofErr w:type="spellEnd"/>
          </w:p>
        </w:tc>
        <w:tc>
          <w:tcPr>
            <w:tcW w:w="4307" w:type="dxa"/>
            <w:shd w:val="clear" w:color="auto" w:fill="auto"/>
          </w:tcPr>
          <w:p w14:paraId="2D1019C6" w14:textId="77777777" w:rsidR="00B777B6" w:rsidRPr="001729CF" w:rsidRDefault="00B777B6">
            <w:pPr>
              <w:tabs>
                <w:tab w:val="left" w:pos="1162"/>
              </w:tabs>
              <w:rPr>
                <w:rFonts w:cs="Arial"/>
                <w:color w:val="000000"/>
                <w:sz w:val="18"/>
                <w:szCs w:val="18"/>
              </w:rPr>
            </w:pPr>
            <w:r>
              <w:rPr>
                <w:rFonts w:cs="Arial"/>
                <w:color w:val="000000"/>
                <w:sz w:val="18"/>
                <w:szCs w:val="18"/>
              </w:rPr>
              <w:t>See definition</w:t>
            </w:r>
          </w:p>
        </w:tc>
        <w:tc>
          <w:tcPr>
            <w:tcW w:w="0" w:type="auto"/>
            <w:shd w:val="clear" w:color="auto" w:fill="auto"/>
          </w:tcPr>
          <w:p w14:paraId="5DB981AB" w14:textId="77777777" w:rsidR="00B777B6" w:rsidRDefault="00B777B6">
            <w:pPr>
              <w:tabs>
                <w:tab w:val="left" w:pos="1162"/>
              </w:tabs>
              <w:rPr>
                <w:rFonts w:cs="Arial"/>
                <w:color w:val="000000"/>
                <w:sz w:val="18"/>
                <w:szCs w:val="18"/>
              </w:rPr>
            </w:pPr>
            <w:r>
              <w:rPr>
                <w:rFonts w:cs="Arial"/>
                <w:color w:val="000000"/>
                <w:sz w:val="18"/>
                <w:szCs w:val="18"/>
              </w:rPr>
              <w:t xml:space="preserve">Patient separation category: </w:t>
            </w:r>
          </w:p>
          <w:p w14:paraId="30B05490" w14:textId="77777777" w:rsidR="00B777B6" w:rsidRDefault="00B777B6">
            <w:pPr>
              <w:tabs>
                <w:tab w:val="left" w:pos="1162"/>
              </w:tabs>
              <w:rPr>
                <w:rFonts w:cs="Arial"/>
                <w:color w:val="000000"/>
                <w:sz w:val="18"/>
                <w:szCs w:val="18"/>
              </w:rPr>
            </w:pPr>
            <w:r>
              <w:rPr>
                <w:rFonts w:cs="Arial"/>
                <w:color w:val="000000"/>
                <w:sz w:val="18"/>
                <w:szCs w:val="18"/>
              </w:rPr>
              <w:t>0:</w:t>
            </w:r>
            <w:r w:rsidRPr="00F60424">
              <w:rPr>
                <w:rFonts w:cs="Arial"/>
                <w:color w:val="000000"/>
                <w:sz w:val="18"/>
                <w:szCs w:val="18"/>
              </w:rPr>
              <w:t xml:space="preserve"> </w:t>
            </w:r>
            <w:r>
              <w:rPr>
                <w:rFonts w:cs="Arial"/>
                <w:color w:val="000000"/>
                <w:sz w:val="18"/>
                <w:szCs w:val="18"/>
              </w:rPr>
              <w:t>Valid Paediatric patients</w:t>
            </w:r>
          </w:p>
          <w:p w14:paraId="77A8F12D" w14:textId="77777777" w:rsidR="00B777B6" w:rsidRPr="00F60424" w:rsidRDefault="00B777B6">
            <w:pPr>
              <w:tabs>
                <w:tab w:val="left" w:pos="1162"/>
              </w:tabs>
              <w:rPr>
                <w:rFonts w:cs="Arial"/>
                <w:color w:val="000000"/>
                <w:sz w:val="18"/>
                <w:szCs w:val="18"/>
              </w:rPr>
            </w:pPr>
            <w:r>
              <w:rPr>
                <w:rFonts w:cs="Arial"/>
                <w:color w:val="000000"/>
                <w:sz w:val="18"/>
                <w:szCs w:val="18"/>
              </w:rPr>
              <w:t>1: Same day patients</w:t>
            </w:r>
          </w:p>
          <w:p w14:paraId="27393586" w14:textId="77777777" w:rsidR="00B777B6" w:rsidRDefault="00B777B6">
            <w:pPr>
              <w:tabs>
                <w:tab w:val="left" w:pos="1162"/>
              </w:tabs>
              <w:rPr>
                <w:rFonts w:cs="Arial"/>
                <w:color w:val="000000"/>
                <w:sz w:val="18"/>
                <w:szCs w:val="18"/>
              </w:rPr>
            </w:pPr>
            <w:r w:rsidRPr="00F60424">
              <w:rPr>
                <w:rFonts w:cs="Arial"/>
                <w:color w:val="000000"/>
                <w:sz w:val="18"/>
                <w:szCs w:val="18"/>
              </w:rPr>
              <w:t>2</w:t>
            </w:r>
            <w:r>
              <w:rPr>
                <w:rFonts w:cs="Arial"/>
                <w:color w:val="000000"/>
                <w:sz w:val="18"/>
                <w:szCs w:val="18"/>
              </w:rPr>
              <w:t>:</w:t>
            </w:r>
            <w:r w:rsidRPr="00F60424">
              <w:rPr>
                <w:rFonts w:cs="Arial"/>
                <w:color w:val="000000"/>
                <w:sz w:val="18"/>
                <w:szCs w:val="18"/>
              </w:rPr>
              <w:t xml:space="preserve"> </w:t>
            </w:r>
            <w:r>
              <w:rPr>
                <w:rFonts w:cs="Arial"/>
                <w:color w:val="000000"/>
                <w:sz w:val="18"/>
                <w:szCs w:val="18"/>
              </w:rPr>
              <w:t xml:space="preserve">Short Stay outlier patients </w:t>
            </w:r>
          </w:p>
          <w:p w14:paraId="58C717FD" w14:textId="77777777" w:rsidR="00B777B6" w:rsidRPr="00F60424" w:rsidRDefault="00B777B6">
            <w:pPr>
              <w:tabs>
                <w:tab w:val="left" w:pos="1162"/>
              </w:tabs>
              <w:rPr>
                <w:rFonts w:cs="Arial"/>
                <w:color w:val="000000"/>
                <w:sz w:val="18"/>
                <w:szCs w:val="18"/>
              </w:rPr>
            </w:pPr>
            <w:r w:rsidRPr="00F60424">
              <w:rPr>
                <w:rFonts w:cs="Arial"/>
                <w:color w:val="000000"/>
                <w:sz w:val="18"/>
                <w:szCs w:val="18"/>
              </w:rPr>
              <w:t>3</w:t>
            </w:r>
            <w:r>
              <w:rPr>
                <w:rFonts w:cs="Arial"/>
                <w:color w:val="000000"/>
                <w:sz w:val="18"/>
                <w:szCs w:val="18"/>
              </w:rPr>
              <w:t>:</w:t>
            </w:r>
            <w:r w:rsidRPr="00F60424">
              <w:rPr>
                <w:rFonts w:cs="Arial"/>
                <w:color w:val="000000"/>
                <w:sz w:val="18"/>
                <w:szCs w:val="18"/>
              </w:rPr>
              <w:t xml:space="preserve"> Inlier patients</w:t>
            </w:r>
          </w:p>
          <w:p w14:paraId="68F03B98" w14:textId="5557C457" w:rsidR="00B777B6" w:rsidRPr="001729CF" w:rsidRDefault="00B777B6">
            <w:pPr>
              <w:tabs>
                <w:tab w:val="left" w:pos="1162"/>
              </w:tabs>
              <w:rPr>
                <w:rFonts w:cs="Arial"/>
                <w:color w:val="000000"/>
                <w:sz w:val="18"/>
                <w:szCs w:val="18"/>
              </w:rPr>
            </w:pPr>
            <w:r w:rsidRPr="00F60424">
              <w:rPr>
                <w:rFonts w:cs="Arial"/>
                <w:color w:val="000000"/>
                <w:sz w:val="18"/>
                <w:szCs w:val="18"/>
              </w:rPr>
              <w:t>4</w:t>
            </w:r>
            <w:r>
              <w:rPr>
                <w:rFonts w:cs="Arial"/>
                <w:color w:val="000000"/>
                <w:sz w:val="18"/>
                <w:szCs w:val="18"/>
              </w:rPr>
              <w:t>:</w:t>
            </w:r>
            <w:r w:rsidRPr="00F60424">
              <w:rPr>
                <w:rFonts w:cs="Arial"/>
                <w:color w:val="000000"/>
                <w:sz w:val="18"/>
                <w:szCs w:val="18"/>
              </w:rPr>
              <w:t xml:space="preserve"> Long stay outlier patients </w:t>
            </w:r>
          </w:p>
        </w:tc>
      </w:tr>
      <w:tr w:rsidR="00B777B6" w:rsidRPr="00496274" w14:paraId="6FC1581D" w14:textId="77777777" w:rsidTr="006C42C4">
        <w:trPr>
          <w:cantSplit/>
          <w:trHeight w:val="450"/>
          <w:jc w:val="center"/>
        </w:trPr>
        <w:tc>
          <w:tcPr>
            <w:tcW w:w="0" w:type="auto"/>
            <w:tcBorders>
              <w:top w:val="single" w:sz="4" w:space="0" w:color="auto"/>
              <w:bottom w:val="single" w:sz="4" w:space="0" w:color="auto"/>
            </w:tcBorders>
            <w:shd w:val="clear" w:color="auto" w:fill="auto"/>
            <w:noWrap/>
          </w:tcPr>
          <w:p w14:paraId="77694249" w14:textId="6F1F42E3" w:rsidR="00B777B6" w:rsidRDefault="00B777B6" w:rsidP="002D606E">
            <w:pPr>
              <w:tabs>
                <w:tab w:val="left" w:pos="1162"/>
              </w:tabs>
              <w:rPr>
                <w:rFonts w:eastAsiaTheme="minorHAnsi" w:cs="Arial"/>
                <w:b/>
                <w:noProof/>
                <w:color w:val="000000"/>
                <w:sz w:val="18"/>
                <w:szCs w:val="18"/>
              </w:rPr>
            </w:pPr>
            <w:r w:rsidRPr="00D873B6">
              <w:rPr>
                <w:rFonts w:cs="Arial"/>
                <w:color w:val="000000"/>
                <w:sz w:val="18"/>
                <w:szCs w:val="18"/>
              </w:rPr>
              <w:t>S</w:t>
            </w:r>
            <w:r>
              <w:rPr>
                <w:rFonts w:cs="Arial"/>
                <w:color w:val="000000"/>
                <w:sz w:val="18"/>
                <w:szCs w:val="18"/>
              </w:rPr>
              <w:t>27</w:t>
            </w:r>
          </w:p>
        </w:tc>
        <w:tc>
          <w:tcPr>
            <w:tcW w:w="2707" w:type="dxa"/>
            <w:tcBorders>
              <w:bottom w:val="single" w:sz="4" w:space="0" w:color="auto"/>
            </w:tcBorders>
            <w:shd w:val="clear" w:color="auto" w:fill="auto"/>
            <w:noWrap/>
          </w:tcPr>
          <w:p w14:paraId="1C20DAD7" w14:textId="1D55ECD6" w:rsidR="00B777B6" w:rsidRDefault="00B777B6" w:rsidP="00560AC0">
            <w:pPr>
              <w:tabs>
                <w:tab w:val="left" w:pos="1162"/>
              </w:tabs>
              <w:rPr>
                <w:rFonts w:cs="Arial"/>
                <w:color w:val="000000"/>
                <w:sz w:val="18"/>
                <w:szCs w:val="18"/>
              </w:rPr>
            </w:pPr>
            <w:r>
              <w:rPr>
                <w:rFonts w:cs="Arial"/>
                <w:color w:val="000000"/>
                <w:sz w:val="18"/>
                <w:szCs w:val="18"/>
              </w:rPr>
              <w:t>_</w:t>
            </w:r>
            <w:r w:rsidRPr="00D873B6">
              <w:rPr>
                <w:rFonts w:cs="Arial"/>
                <w:color w:val="000000"/>
                <w:sz w:val="18"/>
                <w:szCs w:val="18"/>
              </w:rPr>
              <w:t>w01</w:t>
            </w:r>
          </w:p>
        </w:tc>
        <w:tc>
          <w:tcPr>
            <w:tcW w:w="4307" w:type="dxa"/>
            <w:tcBorders>
              <w:bottom w:val="single" w:sz="4" w:space="0" w:color="auto"/>
            </w:tcBorders>
            <w:shd w:val="clear" w:color="auto" w:fill="auto"/>
          </w:tcPr>
          <w:p w14:paraId="3378285F" w14:textId="046B96A7" w:rsidR="00B777B6" w:rsidRDefault="00B777B6">
            <w:pPr>
              <w:tabs>
                <w:tab w:val="left" w:pos="1162"/>
              </w:tabs>
              <w:rPr>
                <w:rFonts w:cs="Arial"/>
                <w:color w:val="000000"/>
                <w:sz w:val="18"/>
                <w:szCs w:val="18"/>
              </w:rPr>
            </w:pPr>
            <w:r w:rsidRPr="00D873B6">
              <w:rPr>
                <w:rFonts w:cs="Arial"/>
                <w:color w:val="000000"/>
                <w:sz w:val="18"/>
                <w:szCs w:val="18"/>
              </w:rPr>
              <w:t>AN-SNAP inlier/outlier weight</w:t>
            </w:r>
          </w:p>
        </w:tc>
        <w:tc>
          <w:tcPr>
            <w:tcW w:w="0" w:type="auto"/>
            <w:tcBorders>
              <w:bottom w:val="single" w:sz="4" w:space="0" w:color="auto"/>
            </w:tcBorders>
            <w:shd w:val="clear" w:color="auto" w:fill="auto"/>
          </w:tcPr>
          <w:p w14:paraId="2E7F2E08" w14:textId="77777777" w:rsidR="00B777B6" w:rsidRPr="00FA3851" w:rsidRDefault="00B777B6">
            <w:pPr>
              <w:tabs>
                <w:tab w:val="left" w:pos="1162"/>
              </w:tabs>
              <w:spacing w:before="80" w:after="80"/>
              <w:rPr>
                <w:rFonts w:cs="Arial"/>
                <w:color w:val="000000"/>
                <w:sz w:val="18"/>
                <w:szCs w:val="18"/>
              </w:rPr>
            </w:pPr>
            <w:r w:rsidRPr="00FA3851">
              <w:rPr>
                <w:rFonts w:cs="Arial"/>
                <w:color w:val="000000"/>
                <w:sz w:val="18"/>
                <w:szCs w:val="18"/>
              </w:rPr>
              <w:t>Based off _</w:t>
            </w:r>
            <w:proofErr w:type="spellStart"/>
            <w:r w:rsidRPr="00FA3851">
              <w:rPr>
                <w:rFonts w:cs="Arial"/>
                <w:color w:val="000000"/>
                <w:sz w:val="18"/>
                <w:szCs w:val="18"/>
              </w:rPr>
              <w:t>pat_separation_category</w:t>
            </w:r>
            <w:proofErr w:type="spellEnd"/>
            <w:r w:rsidRPr="00FA3851">
              <w:rPr>
                <w:rFonts w:cs="Arial"/>
                <w:color w:val="000000"/>
                <w:sz w:val="18"/>
                <w:szCs w:val="18"/>
              </w:rPr>
              <w:t>:</w:t>
            </w:r>
          </w:p>
          <w:p w14:paraId="6015A692" w14:textId="77777777" w:rsidR="00B777B6" w:rsidRPr="00FA3851" w:rsidRDefault="00B777B6">
            <w:pPr>
              <w:tabs>
                <w:tab w:val="left" w:pos="1162"/>
              </w:tabs>
              <w:spacing w:before="80" w:after="80"/>
              <w:rPr>
                <w:rFonts w:cs="Arial"/>
                <w:color w:val="000000"/>
                <w:sz w:val="18"/>
                <w:szCs w:val="18"/>
              </w:rPr>
            </w:pPr>
            <w:r w:rsidRPr="00FA3851">
              <w:rPr>
                <w:rFonts w:cs="Arial"/>
                <w:color w:val="000000"/>
                <w:sz w:val="18"/>
                <w:szCs w:val="18"/>
              </w:rPr>
              <w:t>0: _pat_sameday_flag*paed_pw_sameday+(1-_pat_sameday_flag)*_pat_los*paed_</w:t>
            </w:r>
            <w:r w:rsidRPr="00FA3851" w:rsidDel="00501235">
              <w:rPr>
                <w:rFonts w:cs="Arial"/>
                <w:color w:val="000000"/>
                <w:sz w:val="18"/>
                <w:szCs w:val="18"/>
              </w:rPr>
              <w:t xml:space="preserve"> </w:t>
            </w:r>
            <w:proofErr w:type="spellStart"/>
            <w:r w:rsidRPr="00FA3851">
              <w:rPr>
                <w:rFonts w:cs="Arial"/>
                <w:color w:val="000000"/>
                <w:sz w:val="18"/>
                <w:szCs w:val="18"/>
              </w:rPr>
              <w:t>overnight</w:t>
            </w:r>
            <w:r>
              <w:rPr>
                <w:rFonts w:cs="Arial"/>
                <w:color w:val="000000"/>
                <w:sz w:val="18"/>
                <w:szCs w:val="18"/>
              </w:rPr>
              <w:t>_perdiem</w:t>
            </w:r>
            <w:proofErr w:type="spellEnd"/>
          </w:p>
          <w:p w14:paraId="39A41BB0" w14:textId="77777777" w:rsidR="00B777B6" w:rsidRPr="00FA3851" w:rsidRDefault="00B777B6">
            <w:pPr>
              <w:tabs>
                <w:tab w:val="left" w:pos="1162"/>
              </w:tabs>
              <w:spacing w:before="80" w:after="80"/>
              <w:rPr>
                <w:rFonts w:cs="Arial"/>
                <w:color w:val="000000"/>
                <w:sz w:val="18"/>
                <w:szCs w:val="18"/>
              </w:rPr>
            </w:pPr>
            <w:r w:rsidRPr="00FA3851">
              <w:rPr>
                <w:rFonts w:cs="Arial"/>
                <w:color w:val="000000"/>
                <w:sz w:val="18"/>
                <w:szCs w:val="18"/>
              </w:rPr>
              <w:t xml:space="preserve">1: </w:t>
            </w:r>
            <w:proofErr w:type="spellStart"/>
            <w:r w:rsidRPr="00FA3851">
              <w:rPr>
                <w:rFonts w:cs="Arial"/>
                <w:color w:val="000000"/>
                <w:sz w:val="18"/>
                <w:szCs w:val="18"/>
              </w:rPr>
              <w:t>ansnap_pw_sd</w:t>
            </w:r>
            <w:proofErr w:type="spellEnd"/>
          </w:p>
          <w:p w14:paraId="67C6F0F2" w14:textId="77777777" w:rsidR="00B777B6" w:rsidRPr="00FA3851" w:rsidRDefault="00B777B6">
            <w:pPr>
              <w:tabs>
                <w:tab w:val="left" w:pos="1162"/>
              </w:tabs>
              <w:spacing w:before="80" w:after="80"/>
              <w:rPr>
                <w:rFonts w:cs="Arial"/>
                <w:color w:val="000000"/>
                <w:sz w:val="18"/>
                <w:szCs w:val="18"/>
              </w:rPr>
            </w:pPr>
            <w:r w:rsidRPr="00FA3851">
              <w:rPr>
                <w:rFonts w:cs="Arial"/>
                <w:color w:val="000000"/>
                <w:sz w:val="18"/>
                <w:szCs w:val="18"/>
              </w:rPr>
              <w:t xml:space="preserve">2: </w:t>
            </w:r>
            <w:proofErr w:type="spellStart"/>
            <w:r w:rsidRPr="00FA3851">
              <w:rPr>
                <w:rFonts w:cs="Arial"/>
                <w:color w:val="000000"/>
                <w:sz w:val="18"/>
                <w:szCs w:val="18"/>
              </w:rPr>
              <w:t>ansnap_pw_sso_perdiem</w:t>
            </w:r>
            <w:proofErr w:type="spellEnd"/>
            <w:r w:rsidRPr="00FA3851">
              <w:rPr>
                <w:rFonts w:cs="Arial"/>
                <w:color w:val="000000"/>
                <w:sz w:val="18"/>
                <w:szCs w:val="18"/>
              </w:rPr>
              <w:t xml:space="preserve"> * </w:t>
            </w:r>
            <w:proofErr w:type="spellStart"/>
            <w:r w:rsidRPr="00FA3851">
              <w:rPr>
                <w:rFonts w:cs="Arial"/>
                <w:color w:val="000000"/>
                <w:sz w:val="18"/>
                <w:szCs w:val="18"/>
              </w:rPr>
              <w:t>pat_los</w:t>
            </w:r>
            <w:proofErr w:type="spellEnd"/>
            <w:r w:rsidRPr="00FA3851">
              <w:rPr>
                <w:rFonts w:cs="Arial"/>
                <w:color w:val="000000"/>
                <w:sz w:val="18"/>
                <w:szCs w:val="18"/>
              </w:rPr>
              <w:t xml:space="preserve"> </w:t>
            </w:r>
          </w:p>
          <w:p w14:paraId="56167517" w14:textId="77777777" w:rsidR="00B777B6" w:rsidRPr="00FA3851" w:rsidRDefault="00B777B6">
            <w:pPr>
              <w:tabs>
                <w:tab w:val="left" w:pos="1162"/>
              </w:tabs>
              <w:spacing w:before="80" w:after="80"/>
              <w:rPr>
                <w:rFonts w:cs="Arial"/>
                <w:color w:val="000000"/>
                <w:sz w:val="18"/>
                <w:szCs w:val="18"/>
              </w:rPr>
            </w:pPr>
            <w:r w:rsidRPr="00FA3851">
              <w:rPr>
                <w:rFonts w:cs="Arial"/>
                <w:color w:val="000000"/>
                <w:sz w:val="18"/>
                <w:szCs w:val="18"/>
              </w:rPr>
              <w:t xml:space="preserve">3: </w:t>
            </w:r>
            <w:proofErr w:type="spellStart"/>
            <w:r w:rsidRPr="00FA3851">
              <w:rPr>
                <w:rFonts w:cs="Arial"/>
                <w:color w:val="000000"/>
                <w:sz w:val="18"/>
                <w:szCs w:val="18"/>
              </w:rPr>
              <w:t>ansnap_pw_inlier</w:t>
            </w:r>
            <w:proofErr w:type="spellEnd"/>
          </w:p>
          <w:p w14:paraId="23B19C2E" w14:textId="3696D2E4" w:rsidR="00B777B6" w:rsidRDefault="00B777B6">
            <w:pPr>
              <w:tabs>
                <w:tab w:val="left" w:pos="1162"/>
              </w:tabs>
              <w:rPr>
                <w:rFonts w:cs="Arial"/>
                <w:color w:val="000000"/>
                <w:sz w:val="18"/>
                <w:szCs w:val="18"/>
              </w:rPr>
            </w:pPr>
            <w:r w:rsidRPr="00FA3851">
              <w:rPr>
                <w:rFonts w:cs="Arial"/>
                <w:color w:val="000000"/>
                <w:sz w:val="18"/>
                <w:szCs w:val="18"/>
              </w:rPr>
              <w:t xml:space="preserve">4: </w:t>
            </w:r>
            <w:proofErr w:type="spellStart"/>
            <w:r w:rsidRPr="00FA3851">
              <w:rPr>
                <w:rFonts w:cs="Arial"/>
                <w:color w:val="000000"/>
                <w:sz w:val="18"/>
                <w:szCs w:val="18"/>
              </w:rPr>
              <w:t>ansnap_pw_inlier</w:t>
            </w:r>
            <w:proofErr w:type="spellEnd"/>
            <w:r w:rsidRPr="00FA3851">
              <w:rPr>
                <w:rFonts w:cs="Arial"/>
                <w:color w:val="000000"/>
                <w:sz w:val="18"/>
                <w:szCs w:val="18"/>
              </w:rPr>
              <w:t xml:space="preserve"> + ( </w:t>
            </w:r>
            <w:proofErr w:type="spellStart"/>
            <w:r w:rsidRPr="00FA3851">
              <w:rPr>
                <w:rFonts w:cs="Arial"/>
                <w:color w:val="000000"/>
                <w:sz w:val="18"/>
                <w:szCs w:val="18"/>
              </w:rPr>
              <w:t>pat_los</w:t>
            </w:r>
            <w:proofErr w:type="spellEnd"/>
            <w:r w:rsidRPr="00FA3851">
              <w:rPr>
                <w:rFonts w:cs="Arial"/>
                <w:color w:val="000000"/>
                <w:sz w:val="18"/>
                <w:szCs w:val="18"/>
              </w:rPr>
              <w:t xml:space="preserve"> - </w:t>
            </w:r>
            <w:proofErr w:type="spellStart"/>
            <w:r w:rsidRPr="00FA3851">
              <w:rPr>
                <w:rFonts w:cs="Arial"/>
                <w:color w:val="000000"/>
                <w:sz w:val="18"/>
                <w:szCs w:val="18"/>
              </w:rPr>
              <w:t>ansnap_inlier_ub</w:t>
            </w:r>
            <w:proofErr w:type="spellEnd"/>
            <w:r w:rsidRPr="00FA3851">
              <w:rPr>
                <w:rFonts w:cs="Arial"/>
                <w:color w:val="000000"/>
                <w:sz w:val="18"/>
                <w:szCs w:val="18"/>
              </w:rPr>
              <w:t xml:space="preserve"> ) * </w:t>
            </w:r>
            <w:proofErr w:type="spellStart"/>
            <w:r w:rsidRPr="00FA3851">
              <w:rPr>
                <w:rFonts w:cs="Arial"/>
                <w:color w:val="000000"/>
                <w:sz w:val="18"/>
                <w:szCs w:val="18"/>
              </w:rPr>
              <w:t>ansnap_pw_lso_perdiem</w:t>
            </w:r>
            <w:proofErr w:type="spellEnd"/>
          </w:p>
        </w:tc>
      </w:tr>
      <w:tr w:rsidR="00B777B6" w:rsidRPr="00496274" w14:paraId="5D7CEA38" w14:textId="77777777" w:rsidTr="006C42C4">
        <w:trPr>
          <w:cantSplit/>
          <w:trHeight w:val="450"/>
          <w:jc w:val="center"/>
        </w:trPr>
        <w:tc>
          <w:tcPr>
            <w:tcW w:w="0" w:type="auto"/>
            <w:tcBorders>
              <w:top w:val="single" w:sz="4" w:space="0" w:color="auto"/>
              <w:bottom w:val="single" w:sz="4" w:space="0" w:color="auto"/>
            </w:tcBorders>
            <w:shd w:val="clear" w:color="auto" w:fill="auto"/>
            <w:noWrap/>
          </w:tcPr>
          <w:p w14:paraId="4E00812F" w14:textId="1C3256D0" w:rsidR="00B777B6" w:rsidRPr="00D873B6" w:rsidRDefault="00B777B6" w:rsidP="002D606E">
            <w:pPr>
              <w:tabs>
                <w:tab w:val="left" w:pos="1162"/>
              </w:tabs>
              <w:rPr>
                <w:rFonts w:eastAsiaTheme="minorHAnsi" w:cs="Arial"/>
                <w:b/>
                <w:noProof/>
                <w:color w:val="000000"/>
                <w:sz w:val="18"/>
                <w:szCs w:val="18"/>
              </w:rPr>
            </w:pPr>
            <w:r>
              <w:rPr>
                <w:rFonts w:cs="Arial"/>
                <w:color w:val="000000"/>
                <w:sz w:val="18"/>
                <w:szCs w:val="18"/>
              </w:rPr>
              <w:t>S28</w:t>
            </w:r>
          </w:p>
        </w:tc>
        <w:tc>
          <w:tcPr>
            <w:tcW w:w="2707" w:type="dxa"/>
            <w:tcBorders>
              <w:bottom w:val="single" w:sz="4" w:space="0" w:color="auto"/>
            </w:tcBorders>
            <w:shd w:val="clear" w:color="auto" w:fill="auto"/>
            <w:noWrap/>
          </w:tcPr>
          <w:p w14:paraId="0468BDDF" w14:textId="69964C37" w:rsidR="00B777B6" w:rsidRDefault="004517FF" w:rsidP="00560AC0">
            <w:pPr>
              <w:tabs>
                <w:tab w:val="left" w:pos="1162"/>
              </w:tabs>
              <w:rPr>
                <w:rFonts w:cs="Arial"/>
                <w:color w:val="000000"/>
                <w:sz w:val="18"/>
                <w:szCs w:val="18"/>
              </w:rPr>
            </w:pPr>
            <w:r>
              <w:rPr>
                <w:rFonts w:cs="Arial"/>
                <w:color w:val="000000"/>
                <w:sz w:val="18"/>
                <w:szCs w:val="18"/>
              </w:rPr>
              <w:t>GWAU17</w:t>
            </w:r>
          </w:p>
        </w:tc>
        <w:tc>
          <w:tcPr>
            <w:tcW w:w="4307" w:type="dxa"/>
            <w:tcBorders>
              <w:bottom w:val="single" w:sz="4" w:space="0" w:color="auto"/>
            </w:tcBorders>
            <w:shd w:val="clear" w:color="auto" w:fill="auto"/>
          </w:tcPr>
          <w:p w14:paraId="4148C6AA" w14:textId="77CD8FC1" w:rsidR="00B777B6" w:rsidRPr="00D873B6" w:rsidRDefault="00B777B6">
            <w:pPr>
              <w:tabs>
                <w:tab w:val="left" w:pos="1162"/>
              </w:tabs>
              <w:rPr>
                <w:rFonts w:cs="Arial"/>
                <w:color w:val="000000"/>
                <w:sz w:val="18"/>
                <w:szCs w:val="18"/>
              </w:rPr>
            </w:pPr>
            <w:r>
              <w:rPr>
                <w:rFonts w:cs="Arial"/>
                <w:color w:val="000000"/>
                <w:sz w:val="18"/>
                <w:szCs w:val="18"/>
              </w:rPr>
              <w:t>Gross weighted activity Unit</w:t>
            </w:r>
          </w:p>
        </w:tc>
        <w:tc>
          <w:tcPr>
            <w:tcW w:w="0" w:type="auto"/>
            <w:tcBorders>
              <w:bottom w:val="single" w:sz="4" w:space="0" w:color="auto"/>
            </w:tcBorders>
            <w:shd w:val="clear" w:color="auto" w:fill="auto"/>
          </w:tcPr>
          <w:p w14:paraId="1FFA3982" w14:textId="2410D1C1" w:rsidR="00B777B6" w:rsidRPr="00FA3851" w:rsidRDefault="00B777B6">
            <w:pPr>
              <w:tabs>
                <w:tab w:val="left" w:pos="1162"/>
              </w:tabs>
              <w:spacing w:before="80" w:after="80"/>
              <w:rPr>
                <w:rFonts w:cs="Arial"/>
                <w:color w:val="000000"/>
                <w:sz w:val="18"/>
                <w:szCs w:val="18"/>
              </w:rPr>
            </w:pPr>
            <w:r>
              <w:rPr>
                <w:rFonts w:cs="Arial"/>
                <w:color w:val="000000"/>
                <w:sz w:val="18"/>
                <w:szCs w:val="18"/>
              </w:rPr>
              <w:t>_w01*(1+adj_indigenous+adj_remoteness)</w:t>
            </w:r>
          </w:p>
        </w:tc>
      </w:tr>
      <w:tr w:rsidR="00B777B6" w:rsidRPr="00496274" w14:paraId="4380C7C4" w14:textId="77777777" w:rsidTr="006C42C4">
        <w:trPr>
          <w:cantSplit/>
          <w:trHeight w:val="450"/>
          <w:jc w:val="center"/>
        </w:trPr>
        <w:tc>
          <w:tcPr>
            <w:tcW w:w="0" w:type="auto"/>
            <w:tcBorders>
              <w:top w:val="single" w:sz="4" w:space="0" w:color="auto"/>
              <w:bottom w:val="single" w:sz="4" w:space="0" w:color="auto"/>
            </w:tcBorders>
            <w:shd w:val="clear" w:color="auto" w:fill="auto"/>
            <w:noWrap/>
          </w:tcPr>
          <w:p w14:paraId="5BFC8FAA" w14:textId="3E7C8D39" w:rsidR="00B777B6" w:rsidRDefault="00B777B6" w:rsidP="002D606E">
            <w:pPr>
              <w:tabs>
                <w:tab w:val="left" w:pos="1162"/>
              </w:tabs>
              <w:rPr>
                <w:rFonts w:eastAsiaTheme="minorHAnsi" w:cs="Arial"/>
                <w:b/>
                <w:noProof/>
                <w:color w:val="000000"/>
                <w:sz w:val="18"/>
                <w:szCs w:val="18"/>
              </w:rPr>
            </w:pPr>
            <w:r w:rsidRPr="00D873B6">
              <w:rPr>
                <w:rFonts w:cs="Arial"/>
                <w:color w:val="000000"/>
                <w:sz w:val="18"/>
                <w:szCs w:val="18"/>
              </w:rPr>
              <w:t>S</w:t>
            </w:r>
            <w:r>
              <w:rPr>
                <w:rFonts w:cs="Arial"/>
                <w:color w:val="000000"/>
                <w:sz w:val="18"/>
                <w:szCs w:val="18"/>
              </w:rPr>
              <w:t>29</w:t>
            </w:r>
          </w:p>
        </w:tc>
        <w:tc>
          <w:tcPr>
            <w:tcW w:w="2707" w:type="dxa"/>
            <w:tcBorders>
              <w:bottom w:val="single" w:sz="4" w:space="0" w:color="auto"/>
            </w:tcBorders>
            <w:shd w:val="clear" w:color="auto" w:fill="auto"/>
            <w:noWrap/>
          </w:tcPr>
          <w:p w14:paraId="03205104" w14:textId="4B428BCA" w:rsidR="00B777B6" w:rsidRDefault="00B777B6" w:rsidP="00560AC0">
            <w:pPr>
              <w:tabs>
                <w:tab w:val="left" w:pos="1162"/>
              </w:tabs>
              <w:rPr>
                <w:rFonts w:cs="Arial"/>
                <w:color w:val="000000"/>
                <w:sz w:val="18"/>
                <w:szCs w:val="18"/>
              </w:rPr>
            </w:pPr>
            <w:r w:rsidRPr="00FA3851">
              <w:rPr>
                <w:rFonts w:cs="Arial"/>
                <w:color w:val="000000"/>
                <w:sz w:val="18"/>
                <w:szCs w:val="18"/>
              </w:rPr>
              <w:t>_</w:t>
            </w:r>
            <w:proofErr w:type="spellStart"/>
            <w:r w:rsidRPr="00FA3851">
              <w:rPr>
                <w:rFonts w:cs="Arial"/>
                <w:color w:val="000000"/>
                <w:sz w:val="18"/>
                <w:szCs w:val="18"/>
              </w:rPr>
              <w:t>adj_privpat_serv</w:t>
            </w:r>
            <w:proofErr w:type="spellEnd"/>
          </w:p>
        </w:tc>
        <w:tc>
          <w:tcPr>
            <w:tcW w:w="4307" w:type="dxa"/>
            <w:tcBorders>
              <w:bottom w:val="single" w:sz="4" w:space="0" w:color="auto"/>
            </w:tcBorders>
            <w:shd w:val="clear" w:color="auto" w:fill="auto"/>
          </w:tcPr>
          <w:p w14:paraId="09D0BB48" w14:textId="52F9942E" w:rsidR="00B777B6" w:rsidRDefault="00B777B6">
            <w:pPr>
              <w:tabs>
                <w:tab w:val="left" w:pos="1162"/>
              </w:tabs>
              <w:rPr>
                <w:rFonts w:cs="Arial"/>
                <w:color w:val="000000"/>
                <w:sz w:val="18"/>
                <w:szCs w:val="18"/>
              </w:rPr>
            </w:pPr>
            <w:r w:rsidRPr="00FA3851">
              <w:rPr>
                <w:rFonts w:cs="Arial"/>
                <w:color w:val="000000"/>
                <w:sz w:val="18"/>
                <w:szCs w:val="18"/>
              </w:rPr>
              <w:t>Private Patient Service adjustment</w:t>
            </w:r>
          </w:p>
        </w:tc>
        <w:tc>
          <w:tcPr>
            <w:tcW w:w="0" w:type="auto"/>
            <w:tcBorders>
              <w:bottom w:val="single" w:sz="4" w:space="0" w:color="auto"/>
            </w:tcBorders>
            <w:shd w:val="clear" w:color="auto" w:fill="auto"/>
          </w:tcPr>
          <w:p w14:paraId="27AD6ECF" w14:textId="4BB693B5" w:rsidR="00B777B6" w:rsidRDefault="00B777B6">
            <w:pPr>
              <w:tabs>
                <w:tab w:val="left" w:pos="1162"/>
              </w:tabs>
              <w:spacing w:before="80" w:after="80"/>
              <w:rPr>
                <w:rFonts w:cs="Arial"/>
                <w:color w:val="000000"/>
                <w:sz w:val="18"/>
                <w:szCs w:val="18"/>
              </w:rPr>
            </w:pPr>
            <w:r w:rsidRPr="00FA3851">
              <w:rPr>
                <w:rFonts w:cs="Arial"/>
                <w:color w:val="000000"/>
                <w:sz w:val="18"/>
                <w:szCs w:val="18"/>
              </w:rPr>
              <w:t>_</w:t>
            </w:r>
            <w:proofErr w:type="spellStart"/>
            <w:r w:rsidRPr="00FA3851">
              <w:rPr>
                <w:rFonts w:cs="Arial"/>
                <w:color w:val="000000"/>
                <w:sz w:val="18"/>
                <w:szCs w:val="18"/>
              </w:rPr>
              <w:t>pat_private_flag</w:t>
            </w:r>
            <w:proofErr w:type="spellEnd"/>
            <w:r w:rsidRPr="00FA3851">
              <w:rPr>
                <w:rFonts w:cs="Arial"/>
                <w:color w:val="000000"/>
                <w:sz w:val="18"/>
                <w:szCs w:val="18"/>
              </w:rPr>
              <w:t xml:space="preserve"> *</w:t>
            </w:r>
            <w:proofErr w:type="spellStart"/>
            <w:r w:rsidRPr="001729CF">
              <w:rPr>
                <w:rFonts w:cs="Arial"/>
                <w:color w:val="000000"/>
                <w:sz w:val="18"/>
                <w:szCs w:val="18"/>
              </w:rPr>
              <w:t>caretype_adj_privpat_serv</w:t>
            </w:r>
            <w:proofErr w:type="spellEnd"/>
            <w:r w:rsidRPr="00FA3851">
              <w:rPr>
                <w:rFonts w:cs="Arial"/>
                <w:color w:val="000000"/>
                <w:sz w:val="18"/>
                <w:szCs w:val="18"/>
              </w:rPr>
              <w:t>*(_w01)</w:t>
            </w:r>
            <w:r w:rsidRPr="00FA3851" w:rsidDel="00712BAD">
              <w:rPr>
                <w:rFonts w:cs="Arial"/>
                <w:color w:val="000000"/>
                <w:sz w:val="18"/>
                <w:szCs w:val="18"/>
              </w:rPr>
              <w:t xml:space="preserve"> </w:t>
            </w:r>
          </w:p>
        </w:tc>
      </w:tr>
      <w:tr w:rsidR="00B777B6" w:rsidRPr="00496274" w14:paraId="022CB466" w14:textId="77777777" w:rsidTr="006C42C4">
        <w:trPr>
          <w:cantSplit/>
          <w:trHeight w:val="450"/>
          <w:jc w:val="center"/>
        </w:trPr>
        <w:tc>
          <w:tcPr>
            <w:tcW w:w="0" w:type="auto"/>
            <w:tcBorders>
              <w:top w:val="single" w:sz="4" w:space="0" w:color="auto"/>
              <w:bottom w:val="single" w:sz="4" w:space="0" w:color="auto"/>
            </w:tcBorders>
            <w:shd w:val="clear" w:color="auto" w:fill="auto"/>
            <w:noWrap/>
          </w:tcPr>
          <w:p w14:paraId="4982371D" w14:textId="08114C14" w:rsidR="00B777B6" w:rsidRPr="00D873B6" w:rsidRDefault="00B777B6" w:rsidP="002D606E">
            <w:pPr>
              <w:tabs>
                <w:tab w:val="left" w:pos="1162"/>
              </w:tabs>
              <w:rPr>
                <w:rFonts w:eastAsiaTheme="minorHAnsi" w:cs="Arial"/>
                <w:b/>
                <w:noProof/>
                <w:color w:val="000000"/>
                <w:sz w:val="18"/>
                <w:szCs w:val="18"/>
              </w:rPr>
            </w:pPr>
            <w:r w:rsidRPr="00D873B6">
              <w:rPr>
                <w:rFonts w:cs="Arial"/>
                <w:color w:val="000000"/>
                <w:sz w:val="18"/>
                <w:szCs w:val="18"/>
              </w:rPr>
              <w:t>S</w:t>
            </w:r>
            <w:r>
              <w:rPr>
                <w:rFonts w:cs="Arial"/>
                <w:color w:val="000000"/>
                <w:sz w:val="18"/>
                <w:szCs w:val="18"/>
              </w:rPr>
              <w:t>30</w:t>
            </w:r>
          </w:p>
        </w:tc>
        <w:tc>
          <w:tcPr>
            <w:tcW w:w="2707" w:type="dxa"/>
            <w:tcBorders>
              <w:bottom w:val="single" w:sz="4" w:space="0" w:color="auto"/>
            </w:tcBorders>
            <w:shd w:val="clear" w:color="auto" w:fill="auto"/>
            <w:noWrap/>
          </w:tcPr>
          <w:p w14:paraId="23893B63" w14:textId="1AA05664" w:rsidR="00B777B6" w:rsidRPr="00FA3851" w:rsidRDefault="00B777B6" w:rsidP="00560AC0">
            <w:pPr>
              <w:tabs>
                <w:tab w:val="left" w:pos="1162"/>
              </w:tabs>
              <w:rPr>
                <w:rFonts w:cs="Arial"/>
                <w:color w:val="000000"/>
                <w:sz w:val="18"/>
                <w:szCs w:val="18"/>
              </w:rPr>
            </w:pPr>
            <w:r w:rsidRPr="00FA3851">
              <w:rPr>
                <w:rFonts w:cs="Arial"/>
                <w:color w:val="000000"/>
                <w:sz w:val="18"/>
                <w:szCs w:val="18"/>
              </w:rPr>
              <w:t>_</w:t>
            </w:r>
            <w:proofErr w:type="spellStart"/>
            <w:r w:rsidRPr="00FA3851">
              <w:rPr>
                <w:rFonts w:cs="Arial"/>
                <w:color w:val="000000"/>
                <w:sz w:val="18"/>
                <w:szCs w:val="18"/>
              </w:rPr>
              <w:t>adj_privpat_accom</w:t>
            </w:r>
            <w:proofErr w:type="spellEnd"/>
          </w:p>
        </w:tc>
        <w:tc>
          <w:tcPr>
            <w:tcW w:w="4307" w:type="dxa"/>
            <w:tcBorders>
              <w:bottom w:val="single" w:sz="4" w:space="0" w:color="auto"/>
            </w:tcBorders>
            <w:shd w:val="clear" w:color="auto" w:fill="auto"/>
          </w:tcPr>
          <w:p w14:paraId="62B8155C" w14:textId="141EEA80" w:rsidR="00B777B6" w:rsidRPr="00FA3851" w:rsidRDefault="00B777B6">
            <w:pPr>
              <w:tabs>
                <w:tab w:val="left" w:pos="1162"/>
              </w:tabs>
              <w:rPr>
                <w:rFonts w:cs="Arial"/>
                <w:color w:val="000000"/>
                <w:sz w:val="18"/>
                <w:szCs w:val="18"/>
              </w:rPr>
            </w:pPr>
            <w:r w:rsidRPr="00FA3851">
              <w:rPr>
                <w:rFonts w:cs="Arial"/>
                <w:color w:val="000000"/>
                <w:sz w:val="18"/>
                <w:szCs w:val="18"/>
              </w:rPr>
              <w:t>Private Patient Accommodation adjustment</w:t>
            </w:r>
          </w:p>
        </w:tc>
        <w:tc>
          <w:tcPr>
            <w:tcW w:w="0" w:type="auto"/>
            <w:tcBorders>
              <w:bottom w:val="single" w:sz="4" w:space="0" w:color="auto"/>
            </w:tcBorders>
            <w:shd w:val="clear" w:color="auto" w:fill="auto"/>
          </w:tcPr>
          <w:p w14:paraId="0116F33A" w14:textId="77777777" w:rsidR="00B777B6" w:rsidRPr="00FA3851" w:rsidRDefault="00B777B6">
            <w:pPr>
              <w:tabs>
                <w:tab w:val="left" w:pos="1162"/>
              </w:tabs>
              <w:spacing w:before="80" w:after="80"/>
              <w:rPr>
                <w:rFonts w:cs="Arial"/>
                <w:color w:val="000000"/>
                <w:sz w:val="18"/>
                <w:szCs w:val="18"/>
              </w:rPr>
            </w:pPr>
            <w:r w:rsidRPr="00FA3851">
              <w:rPr>
                <w:rFonts w:cs="Arial"/>
                <w:color w:val="000000"/>
                <w:sz w:val="18"/>
                <w:szCs w:val="18"/>
              </w:rPr>
              <w:t>_</w:t>
            </w:r>
            <w:proofErr w:type="spellStart"/>
            <w:r w:rsidRPr="00FA3851">
              <w:rPr>
                <w:rFonts w:cs="Arial"/>
                <w:color w:val="000000"/>
                <w:sz w:val="18"/>
                <w:szCs w:val="18"/>
              </w:rPr>
              <w:t>pat_private_flag</w:t>
            </w:r>
            <w:proofErr w:type="spellEnd"/>
            <w:r w:rsidRPr="00FA3851">
              <w:rPr>
                <w:rFonts w:cs="Arial"/>
                <w:color w:val="000000"/>
                <w:sz w:val="18"/>
                <w:szCs w:val="18"/>
              </w:rPr>
              <w:t>*(_</w:t>
            </w:r>
            <w:proofErr w:type="spellStart"/>
            <w:r w:rsidRPr="00FA3851">
              <w:rPr>
                <w:rFonts w:cs="Arial"/>
                <w:color w:val="000000"/>
                <w:sz w:val="18"/>
                <w:szCs w:val="18"/>
              </w:rPr>
              <w:t>pat_sameday_flag</w:t>
            </w:r>
            <w:proofErr w:type="spellEnd"/>
            <w:r w:rsidRPr="00FA3851">
              <w:rPr>
                <w:rFonts w:cs="Arial"/>
                <w:color w:val="000000"/>
                <w:sz w:val="18"/>
                <w:szCs w:val="18"/>
              </w:rPr>
              <w:t>*</w:t>
            </w:r>
            <w:proofErr w:type="spellStart"/>
            <w:r w:rsidRPr="00FA3851">
              <w:rPr>
                <w:rFonts w:cs="Arial"/>
                <w:color w:val="000000"/>
                <w:sz w:val="18"/>
                <w:szCs w:val="18"/>
              </w:rPr>
              <w:t>state_adj_private_accom_sd</w:t>
            </w:r>
            <w:proofErr w:type="spellEnd"/>
            <w:r w:rsidRPr="00FA3851">
              <w:rPr>
                <w:rFonts w:cs="Arial"/>
                <w:color w:val="000000"/>
                <w:sz w:val="18"/>
                <w:szCs w:val="18"/>
              </w:rPr>
              <w:t>+</w:t>
            </w:r>
          </w:p>
          <w:p w14:paraId="4B1866CD" w14:textId="687DB52C" w:rsidR="00B777B6" w:rsidRPr="00FA3851" w:rsidRDefault="00B777B6">
            <w:pPr>
              <w:tabs>
                <w:tab w:val="left" w:pos="1162"/>
              </w:tabs>
              <w:spacing w:before="80" w:after="80"/>
              <w:rPr>
                <w:rFonts w:cs="Arial"/>
                <w:color w:val="000000"/>
                <w:sz w:val="18"/>
                <w:szCs w:val="18"/>
              </w:rPr>
            </w:pPr>
            <w:r w:rsidRPr="00FA3851">
              <w:rPr>
                <w:rFonts w:cs="Arial"/>
                <w:color w:val="000000"/>
                <w:sz w:val="18"/>
                <w:szCs w:val="18"/>
              </w:rPr>
              <w:t>(1-_pat_sameday_flag)*_</w:t>
            </w:r>
            <w:proofErr w:type="spellStart"/>
            <w:r w:rsidRPr="00FA3851">
              <w:rPr>
                <w:rFonts w:cs="Arial"/>
                <w:color w:val="000000"/>
                <w:sz w:val="18"/>
                <w:szCs w:val="18"/>
              </w:rPr>
              <w:t>pat_los</w:t>
            </w:r>
            <w:proofErr w:type="spellEnd"/>
            <w:r w:rsidRPr="00FA3851">
              <w:rPr>
                <w:rFonts w:cs="Arial"/>
                <w:color w:val="000000"/>
                <w:sz w:val="18"/>
                <w:szCs w:val="18"/>
              </w:rPr>
              <w:t>*</w:t>
            </w:r>
            <w:proofErr w:type="spellStart"/>
            <w:r w:rsidRPr="00FA3851">
              <w:rPr>
                <w:rFonts w:cs="Arial"/>
                <w:color w:val="000000"/>
                <w:sz w:val="18"/>
                <w:szCs w:val="18"/>
              </w:rPr>
              <w:t>state_adj_privpat_accomm_on</w:t>
            </w:r>
            <w:proofErr w:type="spellEnd"/>
            <w:r w:rsidRPr="00FA3851">
              <w:rPr>
                <w:rFonts w:cs="Arial"/>
                <w:color w:val="000000"/>
                <w:sz w:val="18"/>
                <w:szCs w:val="18"/>
              </w:rPr>
              <w:t>)</w:t>
            </w:r>
          </w:p>
        </w:tc>
      </w:tr>
      <w:tr w:rsidR="00B777B6" w:rsidRPr="00496274" w14:paraId="0DB84211" w14:textId="77777777" w:rsidTr="006C42C4">
        <w:trPr>
          <w:cantSplit/>
          <w:trHeight w:val="450"/>
          <w:jc w:val="center"/>
        </w:trPr>
        <w:tc>
          <w:tcPr>
            <w:tcW w:w="0" w:type="auto"/>
            <w:tcBorders>
              <w:top w:val="single" w:sz="4" w:space="0" w:color="auto"/>
              <w:bottom w:val="single" w:sz="4" w:space="0" w:color="auto"/>
            </w:tcBorders>
            <w:shd w:val="clear" w:color="auto" w:fill="auto"/>
            <w:noWrap/>
          </w:tcPr>
          <w:p w14:paraId="1A6D424B" w14:textId="70CB2F4F" w:rsidR="00B777B6" w:rsidRPr="00B777B6" w:rsidRDefault="00B777B6" w:rsidP="002D606E">
            <w:pPr>
              <w:tabs>
                <w:tab w:val="left" w:pos="1162"/>
              </w:tabs>
              <w:rPr>
                <w:rFonts w:eastAsiaTheme="minorHAnsi" w:cs="Arial"/>
                <w:b/>
                <w:noProof/>
                <w:color w:val="000000"/>
                <w:sz w:val="18"/>
                <w:szCs w:val="18"/>
              </w:rPr>
            </w:pPr>
            <w:r w:rsidRPr="00B777B6">
              <w:rPr>
                <w:rFonts w:cs="Arial"/>
                <w:color w:val="000000"/>
                <w:sz w:val="18"/>
                <w:szCs w:val="18"/>
              </w:rPr>
              <w:t>S31</w:t>
            </w:r>
          </w:p>
        </w:tc>
        <w:tc>
          <w:tcPr>
            <w:tcW w:w="2707" w:type="dxa"/>
            <w:tcBorders>
              <w:bottom w:val="single" w:sz="4" w:space="0" w:color="auto"/>
            </w:tcBorders>
            <w:shd w:val="clear" w:color="auto" w:fill="auto"/>
            <w:noWrap/>
          </w:tcPr>
          <w:p w14:paraId="6C94FFC6" w14:textId="3416B1F2" w:rsidR="00B777B6" w:rsidRPr="00B777B6" w:rsidRDefault="00B777B6" w:rsidP="00560AC0">
            <w:pPr>
              <w:tabs>
                <w:tab w:val="left" w:pos="1162"/>
              </w:tabs>
              <w:rPr>
                <w:rFonts w:cs="Arial"/>
                <w:color w:val="000000"/>
                <w:sz w:val="18"/>
                <w:szCs w:val="18"/>
              </w:rPr>
            </w:pPr>
            <w:r w:rsidRPr="00B777B6">
              <w:rPr>
                <w:rFonts w:cs="Arial"/>
                <w:color w:val="000000"/>
                <w:sz w:val="18"/>
                <w:szCs w:val="18"/>
              </w:rPr>
              <w:t>NWAU17</w:t>
            </w:r>
          </w:p>
        </w:tc>
        <w:tc>
          <w:tcPr>
            <w:tcW w:w="4307" w:type="dxa"/>
            <w:tcBorders>
              <w:bottom w:val="single" w:sz="4" w:space="0" w:color="auto"/>
            </w:tcBorders>
            <w:shd w:val="clear" w:color="auto" w:fill="auto"/>
          </w:tcPr>
          <w:p w14:paraId="2B25488A" w14:textId="43990715" w:rsidR="00B777B6" w:rsidRPr="00B777B6" w:rsidRDefault="00B777B6">
            <w:pPr>
              <w:tabs>
                <w:tab w:val="left" w:pos="1162"/>
              </w:tabs>
              <w:rPr>
                <w:rFonts w:cs="Arial"/>
                <w:color w:val="000000"/>
                <w:sz w:val="18"/>
                <w:szCs w:val="18"/>
              </w:rPr>
            </w:pPr>
            <w:r w:rsidRPr="00B777B6">
              <w:rPr>
                <w:rFonts w:cs="Arial"/>
                <w:color w:val="000000"/>
                <w:sz w:val="18"/>
                <w:szCs w:val="18"/>
              </w:rPr>
              <w:t>National weighted activity unit</w:t>
            </w:r>
          </w:p>
        </w:tc>
        <w:tc>
          <w:tcPr>
            <w:tcW w:w="0" w:type="auto"/>
            <w:tcBorders>
              <w:bottom w:val="single" w:sz="4" w:space="0" w:color="auto"/>
            </w:tcBorders>
            <w:shd w:val="clear" w:color="auto" w:fill="auto"/>
          </w:tcPr>
          <w:p w14:paraId="505CA87A" w14:textId="4C4559F7" w:rsidR="00B777B6" w:rsidRPr="00B777B6" w:rsidRDefault="00B777B6">
            <w:pPr>
              <w:tabs>
                <w:tab w:val="left" w:pos="1162"/>
              </w:tabs>
              <w:spacing w:before="80" w:after="80"/>
              <w:rPr>
                <w:rFonts w:cs="Arial"/>
                <w:color w:val="000000"/>
                <w:sz w:val="18"/>
                <w:szCs w:val="18"/>
              </w:rPr>
            </w:pPr>
            <w:r w:rsidRPr="00B777B6">
              <w:rPr>
                <w:rFonts w:cs="Arial"/>
                <w:color w:val="000000"/>
                <w:sz w:val="18"/>
                <w:szCs w:val="18"/>
              </w:rPr>
              <w:t>Max( 0, GWAU17- _adj_privpat_</w:t>
            </w:r>
            <w:proofErr w:type="spellStart"/>
            <w:r w:rsidRPr="00B777B6">
              <w:rPr>
                <w:rFonts w:cs="Arial"/>
                <w:color w:val="000000"/>
                <w:sz w:val="18"/>
                <w:szCs w:val="18"/>
              </w:rPr>
              <w:t>serv</w:t>
            </w:r>
            <w:proofErr w:type="spellEnd"/>
            <w:r w:rsidRPr="00B777B6">
              <w:rPr>
                <w:rFonts w:cs="Arial"/>
                <w:color w:val="000000"/>
                <w:sz w:val="18"/>
                <w:szCs w:val="18"/>
              </w:rPr>
              <w:t>-_</w:t>
            </w:r>
            <w:proofErr w:type="spellStart"/>
            <w:r w:rsidRPr="00B777B6">
              <w:rPr>
                <w:rFonts w:cs="Arial"/>
                <w:color w:val="000000"/>
                <w:sz w:val="18"/>
                <w:szCs w:val="18"/>
              </w:rPr>
              <w:t>adj_privpat_accomm</w:t>
            </w:r>
            <w:proofErr w:type="spellEnd"/>
            <w:r w:rsidRPr="00B777B6">
              <w:rPr>
                <w:rFonts w:cs="Arial"/>
                <w:color w:val="000000"/>
                <w:sz w:val="18"/>
                <w:szCs w:val="18"/>
              </w:rPr>
              <w:t>) for only in-scope funding sources</w:t>
            </w:r>
          </w:p>
        </w:tc>
      </w:tr>
    </w:tbl>
    <w:p w14:paraId="111ACAF9" w14:textId="77777777" w:rsidR="00BA577C" w:rsidRDefault="00BA577C" w:rsidP="00560AC0">
      <w:pPr>
        <w:spacing w:before="120" w:after="0" w:line="240" w:lineRule="auto"/>
        <w:rPr>
          <w:b/>
        </w:rPr>
      </w:pPr>
    </w:p>
    <w:p w14:paraId="7818B54D" w14:textId="77777777" w:rsidR="006C42C4" w:rsidRDefault="006C42C4">
      <w:pPr>
        <w:tabs>
          <w:tab w:val="left" w:pos="1162"/>
        </w:tabs>
        <w:rPr>
          <w:szCs w:val="20"/>
        </w:rPr>
        <w:sectPr w:rsidR="006C42C4" w:rsidSect="006C42C4">
          <w:pgSz w:w="16839" w:h="11907" w:orient="landscape" w:code="9"/>
          <w:pgMar w:top="1440" w:right="1440" w:bottom="1440" w:left="1440" w:header="709" w:footer="709" w:gutter="0"/>
          <w:cols w:space="708"/>
          <w:docGrid w:linePitch="360"/>
        </w:sectPr>
      </w:pPr>
    </w:p>
    <w:p w14:paraId="3103CF14" w14:textId="09732D0A" w:rsidR="00BA577C" w:rsidRPr="00B325D8" w:rsidRDefault="00BA577C">
      <w:pPr>
        <w:spacing w:before="120" w:after="0" w:line="240" w:lineRule="auto"/>
        <w:rPr>
          <w:b/>
        </w:rPr>
      </w:pPr>
      <w:r w:rsidRPr="00B325D8">
        <w:rPr>
          <w:b/>
        </w:rPr>
        <w:lastRenderedPageBreak/>
        <w:t xml:space="preserve">Table </w:t>
      </w:r>
      <w:r w:rsidRPr="00B325D8">
        <w:rPr>
          <w:b/>
        </w:rPr>
        <w:fldChar w:fldCharType="begin"/>
      </w:r>
      <w:r w:rsidRPr="00B325D8">
        <w:rPr>
          <w:b/>
        </w:rPr>
        <w:instrText xml:space="preserve"> SEQ Table \* ARABIC </w:instrText>
      </w:r>
      <w:r w:rsidRPr="00B325D8">
        <w:rPr>
          <w:b/>
        </w:rPr>
        <w:fldChar w:fldCharType="separate"/>
      </w:r>
      <w:r w:rsidR="00F84458">
        <w:rPr>
          <w:b/>
          <w:noProof/>
        </w:rPr>
        <w:t>24</w:t>
      </w:r>
      <w:r w:rsidRPr="00B325D8">
        <w:rPr>
          <w:b/>
        </w:rPr>
        <w:fldChar w:fldCharType="end"/>
      </w:r>
      <w:r w:rsidRPr="00B325D8">
        <w:rPr>
          <w:b/>
        </w:rPr>
        <w:t xml:space="preserve">: </w:t>
      </w:r>
      <w:r>
        <w:rPr>
          <w:b/>
        </w:rPr>
        <w:t>Emergency Department: Variable Definitions</w:t>
      </w:r>
    </w:p>
    <w:tbl>
      <w:tblPr>
        <w:tblW w:w="8814" w:type="dxa"/>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070"/>
        <w:gridCol w:w="1559"/>
        <w:gridCol w:w="2043"/>
        <w:gridCol w:w="4142"/>
      </w:tblGrid>
      <w:tr w:rsidR="00BA577C" w:rsidRPr="00BA577C" w14:paraId="474B9049" w14:textId="77777777" w:rsidTr="00BA577C">
        <w:trPr>
          <w:cantSplit/>
          <w:trHeight w:val="245"/>
          <w:tblHeader/>
          <w:jc w:val="center"/>
        </w:trPr>
        <w:tc>
          <w:tcPr>
            <w:tcW w:w="1070" w:type="dxa"/>
            <w:shd w:val="clear" w:color="auto" w:fill="288A32"/>
            <w:noWrap/>
            <w:vAlign w:val="center"/>
            <w:hideMark/>
          </w:tcPr>
          <w:p w14:paraId="15BCD467" w14:textId="77777777" w:rsidR="00BA577C" w:rsidRPr="00BA577C" w:rsidRDefault="00BA577C" w:rsidP="002D606E">
            <w:pPr>
              <w:tabs>
                <w:tab w:val="left" w:pos="1162"/>
              </w:tabs>
              <w:spacing w:before="80" w:after="80"/>
              <w:rPr>
                <w:rFonts w:cs="Arial"/>
                <w:b/>
                <w:bCs/>
                <w:color w:val="FFFFFF" w:themeColor="background1"/>
                <w:sz w:val="20"/>
                <w:szCs w:val="20"/>
              </w:rPr>
            </w:pPr>
            <w:r w:rsidRPr="00BA577C">
              <w:rPr>
                <w:rFonts w:cs="Arial"/>
                <w:b/>
                <w:bCs/>
                <w:color w:val="FFFFFF" w:themeColor="background1"/>
                <w:sz w:val="20"/>
                <w:szCs w:val="20"/>
              </w:rPr>
              <w:t>Variable</w:t>
            </w:r>
          </w:p>
        </w:tc>
        <w:tc>
          <w:tcPr>
            <w:tcW w:w="1559" w:type="dxa"/>
            <w:shd w:val="clear" w:color="auto" w:fill="288A32"/>
            <w:noWrap/>
            <w:vAlign w:val="center"/>
            <w:hideMark/>
          </w:tcPr>
          <w:p w14:paraId="082D4252" w14:textId="77777777" w:rsidR="00BA577C" w:rsidRPr="00BA577C" w:rsidRDefault="00BA577C" w:rsidP="00560AC0">
            <w:pPr>
              <w:tabs>
                <w:tab w:val="left" w:pos="1162"/>
              </w:tabs>
              <w:spacing w:before="80" w:after="80"/>
              <w:rPr>
                <w:rFonts w:cs="Arial"/>
                <w:b/>
                <w:bCs/>
                <w:color w:val="FFFFFF" w:themeColor="background1"/>
                <w:sz w:val="20"/>
                <w:szCs w:val="20"/>
              </w:rPr>
            </w:pPr>
            <w:r w:rsidRPr="00BA577C">
              <w:rPr>
                <w:rFonts w:cs="Arial"/>
                <w:b/>
                <w:bCs/>
                <w:color w:val="FFFFFF" w:themeColor="background1"/>
                <w:sz w:val="20"/>
                <w:szCs w:val="20"/>
              </w:rPr>
              <w:t>Name</w:t>
            </w:r>
          </w:p>
        </w:tc>
        <w:tc>
          <w:tcPr>
            <w:tcW w:w="2043" w:type="dxa"/>
            <w:shd w:val="clear" w:color="auto" w:fill="288A32"/>
            <w:vAlign w:val="center"/>
            <w:hideMark/>
          </w:tcPr>
          <w:p w14:paraId="4B560188" w14:textId="77777777" w:rsidR="00BA577C" w:rsidRPr="00BA577C" w:rsidRDefault="00BA577C">
            <w:pPr>
              <w:tabs>
                <w:tab w:val="left" w:pos="1162"/>
              </w:tabs>
              <w:spacing w:before="80" w:after="80"/>
              <w:rPr>
                <w:rFonts w:cs="Arial"/>
                <w:b/>
                <w:bCs/>
                <w:color w:val="FFFFFF" w:themeColor="background1"/>
                <w:sz w:val="20"/>
                <w:szCs w:val="20"/>
              </w:rPr>
            </w:pPr>
            <w:r w:rsidRPr="00BA577C">
              <w:rPr>
                <w:rFonts w:cs="Arial"/>
                <w:b/>
                <w:bCs/>
                <w:color w:val="FFFFFF" w:themeColor="background1"/>
                <w:sz w:val="20"/>
                <w:szCs w:val="20"/>
              </w:rPr>
              <w:t>Description</w:t>
            </w:r>
          </w:p>
        </w:tc>
        <w:tc>
          <w:tcPr>
            <w:tcW w:w="4142" w:type="dxa"/>
            <w:shd w:val="clear" w:color="auto" w:fill="288A32"/>
            <w:vAlign w:val="center"/>
            <w:hideMark/>
          </w:tcPr>
          <w:p w14:paraId="3D858BA8" w14:textId="77777777" w:rsidR="00BA577C" w:rsidRPr="00BA577C" w:rsidRDefault="00BA577C">
            <w:pPr>
              <w:tabs>
                <w:tab w:val="left" w:pos="1162"/>
              </w:tabs>
              <w:spacing w:before="80" w:after="80"/>
              <w:rPr>
                <w:rFonts w:cs="Arial"/>
                <w:b/>
                <w:bCs/>
                <w:color w:val="FFFFFF" w:themeColor="background1"/>
                <w:sz w:val="20"/>
                <w:szCs w:val="20"/>
              </w:rPr>
            </w:pPr>
            <w:r w:rsidRPr="00BA577C">
              <w:rPr>
                <w:rFonts w:cs="Arial"/>
                <w:b/>
                <w:bCs/>
                <w:color w:val="FFFFFF" w:themeColor="background1"/>
                <w:sz w:val="20"/>
                <w:szCs w:val="20"/>
              </w:rPr>
              <w:t>Definition</w:t>
            </w:r>
          </w:p>
        </w:tc>
      </w:tr>
      <w:tr w:rsidR="00BA577C" w:rsidRPr="00587976" w14:paraId="1417A07F" w14:textId="77777777" w:rsidTr="00BA577C">
        <w:trPr>
          <w:cantSplit/>
          <w:trHeight w:val="490"/>
          <w:jc w:val="center"/>
        </w:trPr>
        <w:tc>
          <w:tcPr>
            <w:tcW w:w="1070" w:type="dxa"/>
            <w:tcBorders>
              <w:bottom w:val="single" w:sz="4" w:space="0" w:color="auto"/>
            </w:tcBorders>
            <w:shd w:val="clear" w:color="auto" w:fill="auto"/>
            <w:noWrap/>
            <w:hideMark/>
          </w:tcPr>
          <w:p w14:paraId="2E92CAC4" w14:textId="77777777" w:rsidR="00BA577C" w:rsidRPr="009B707F" w:rsidRDefault="00BA577C" w:rsidP="002D606E">
            <w:pPr>
              <w:tabs>
                <w:tab w:val="left" w:pos="1162"/>
              </w:tabs>
              <w:spacing w:before="80" w:after="80"/>
              <w:rPr>
                <w:rFonts w:cs="Arial"/>
                <w:color w:val="000000"/>
                <w:sz w:val="18"/>
                <w:szCs w:val="18"/>
              </w:rPr>
            </w:pPr>
            <w:r w:rsidRPr="009B707F">
              <w:rPr>
                <w:rFonts w:cs="Arial"/>
                <w:color w:val="000000"/>
                <w:sz w:val="18"/>
                <w:szCs w:val="18"/>
              </w:rPr>
              <w:t>E01</w:t>
            </w:r>
          </w:p>
        </w:tc>
        <w:tc>
          <w:tcPr>
            <w:tcW w:w="1559" w:type="dxa"/>
            <w:shd w:val="clear" w:color="auto" w:fill="auto"/>
            <w:noWrap/>
            <w:hideMark/>
          </w:tcPr>
          <w:p w14:paraId="50799D24" w14:textId="77777777" w:rsidR="00BA577C" w:rsidRPr="009B707F" w:rsidRDefault="00BA577C" w:rsidP="00560AC0">
            <w:pPr>
              <w:tabs>
                <w:tab w:val="left" w:pos="1162"/>
              </w:tabs>
              <w:spacing w:before="80" w:after="80"/>
              <w:rPr>
                <w:rFonts w:cs="Arial"/>
                <w:color w:val="000000"/>
                <w:sz w:val="18"/>
                <w:szCs w:val="18"/>
              </w:rPr>
            </w:pPr>
            <w:r>
              <w:rPr>
                <w:rFonts w:cs="Arial"/>
                <w:color w:val="000000"/>
                <w:sz w:val="18"/>
                <w:szCs w:val="18"/>
              </w:rPr>
              <w:t>_UDG</w:t>
            </w:r>
          </w:p>
        </w:tc>
        <w:tc>
          <w:tcPr>
            <w:tcW w:w="2043" w:type="dxa"/>
            <w:shd w:val="clear" w:color="auto" w:fill="auto"/>
            <w:hideMark/>
          </w:tcPr>
          <w:p w14:paraId="648E430B" w14:textId="77777777" w:rsidR="00BA577C" w:rsidRPr="009B707F" w:rsidRDefault="00BA577C">
            <w:pPr>
              <w:tabs>
                <w:tab w:val="left" w:pos="1162"/>
              </w:tabs>
              <w:spacing w:before="80" w:after="80"/>
              <w:rPr>
                <w:rFonts w:cs="Arial"/>
                <w:color w:val="000000"/>
                <w:sz w:val="18"/>
                <w:szCs w:val="18"/>
              </w:rPr>
            </w:pPr>
            <w:r w:rsidRPr="009B707F">
              <w:rPr>
                <w:rFonts w:cs="Arial"/>
                <w:color w:val="000000"/>
                <w:sz w:val="18"/>
                <w:szCs w:val="18"/>
              </w:rPr>
              <w:t>UDG v1.3</w:t>
            </w:r>
          </w:p>
        </w:tc>
        <w:tc>
          <w:tcPr>
            <w:tcW w:w="4142" w:type="dxa"/>
            <w:shd w:val="clear" w:color="auto" w:fill="auto"/>
            <w:hideMark/>
          </w:tcPr>
          <w:p w14:paraId="40AEFC73" w14:textId="77777777" w:rsidR="00BA577C" w:rsidRPr="009B707F" w:rsidRDefault="00BA577C">
            <w:pPr>
              <w:tabs>
                <w:tab w:val="left" w:pos="1162"/>
              </w:tabs>
              <w:spacing w:before="80" w:after="80"/>
              <w:rPr>
                <w:rFonts w:cs="Arial"/>
                <w:color w:val="000000"/>
                <w:sz w:val="18"/>
                <w:szCs w:val="18"/>
              </w:rPr>
            </w:pPr>
            <w:r>
              <w:rPr>
                <w:rFonts w:cs="Arial"/>
                <w:color w:val="000000"/>
                <w:sz w:val="18"/>
                <w:szCs w:val="18"/>
              </w:rPr>
              <w:t>Either supplied directly or d</w:t>
            </w:r>
            <w:r w:rsidRPr="009B707F">
              <w:rPr>
                <w:rFonts w:cs="Arial"/>
                <w:color w:val="000000"/>
                <w:sz w:val="18"/>
                <w:szCs w:val="18"/>
              </w:rPr>
              <w:t>erived from DSS variables: type of visit to Emergency Department, triage category, and episode end status. See IHPA website for details.</w:t>
            </w:r>
          </w:p>
        </w:tc>
      </w:tr>
      <w:tr w:rsidR="00BA577C" w:rsidRPr="00587976" w14:paraId="7E50EE6E" w14:textId="77777777" w:rsidTr="00BA577C">
        <w:trPr>
          <w:cantSplit/>
          <w:trHeight w:val="490"/>
          <w:jc w:val="center"/>
        </w:trPr>
        <w:tc>
          <w:tcPr>
            <w:tcW w:w="1070" w:type="dxa"/>
            <w:tcBorders>
              <w:top w:val="single" w:sz="4" w:space="0" w:color="auto"/>
              <w:bottom w:val="single" w:sz="4" w:space="0" w:color="auto"/>
            </w:tcBorders>
            <w:shd w:val="clear" w:color="auto" w:fill="auto"/>
            <w:noWrap/>
            <w:hideMark/>
          </w:tcPr>
          <w:p w14:paraId="4375E392" w14:textId="77777777" w:rsidR="00BA577C" w:rsidRPr="009B707F" w:rsidRDefault="00BA577C" w:rsidP="002D606E">
            <w:pPr>
              <w:tabs>
                <w:tab w:val="left" w:pos="1162"/>
              </w:tabs>
              <w:spacing w:before="80" w:after="80"/>
              <w:rPr>
                <w:rFonts w:eastAsiaTheme="minorHAnsi" w:cs="Arial"/>
                <w:b/>
                <w:noProof/>
                <w:color w:val="000000"/>
                <w:sz w:val="18"/>
                <w:szCs w:val="18"/>
              </w:rPr>
            </w:pPr>
            <w:r w:rsidRPr="009B707F">
              <w:rPr>
                <w:rFonts w:cs="Arial"/>
                <w:color w:val="000000"/>
                <w:sz w:val="18"/>
                <w:szCs w:val="18"/>
              </w:rPr>
              <w:t>E02</w:t>
            </w:r>
          </w:p>
        </w:tc>
        <w:tc>
          <w:tcPr>
            <w:tcW w:w="1559" w:type="dxa"/>
            <w:shd w:val="clear" w:color="auto" w:fill="auto"/>
            <w:noWrap/>
            <w:hideMark/>
          </w:tcPr>
          <w:p w14:paraId="1CA820A6" w14:textId="77777777" w:rsidR="00BA577C" w:rsidRPr="009B707F" w:rsidRDefault="00BA577C" w:rsidP="00560AC0">
            <w:pPr>
              <w:tabs>
                <w:tab w:val="left" w:pos="1162"/>
              </w:tabs>
              <w:spacing w:before="80" w:after="80"/>
              <w:rPr>
                <w:rFonts w:cs="Arial"/>
                <w:color w:val="000000"/>
                <w:sz w:val="18"/>
                <w:szCs w:val="18"/>
              </w:rPr>
            </w:pPr>
            <w:r>
              <w:rPr>
                <w:rFonts w:cs="Arial"/>
                <w:color w:val="000000"/>
                <w:sz w:val="18"/>
                <w:szCs w:val="18"/>
              </w:rPr>
              <w:t>_</w:t>
            </w:r>
            <w:proofErr w:type="spellStart"/>
            <w:r w:rsidRPr="009B707F">
              <w:rPr>
                <w:rFonts w:cs="Arial"/>
                <w:color w:val="000000"/>
                <w:sz w:val="18"/>
                <w:szCs w:val="18"/>
              </w:rPr>
              <w:t>pat_ind_flag</w:t>
            </w:r>
            <w:proofErr w:type="spellEnd"/>
          </w:p>
        </w:tc>
        <w:tc>
          <w:tcPr>
            <w:tcW w:w="2043" w:type="dxa"/>
            <w:shd w:val="clear" w:color="auto" w:fill="auto"/>
            <w:noWrap/>
            <w:hideMark/>
          </w:tcPr>
          <w:p w14:paraId="78F93427" w14:textId="77777777" w:rsidR="00BA577C" w:rsidRPr="009B707F" w:rsidRDefault="00BA577C">
            <w:pPr>
              <w:tabs>
                <w:tab w:val="left" w:pos="1162"/>
              </w:tabs>
              <w:spacing w:before="80" w:after="80"/>
              <w:rPr>
                <w:rFonts w:cs="Arial"/>
                <w:color w:val="000000"/>
                <w:sz w:val="18"/>
                <w:szCs w:val="18"/>
              </w:rPr>
            </w:pPr>
            <w:r w:rsidRPr="009B707F">
              <w:rPr>
                <w:rFonts w:cs="Arial"/>
                <w:color w:val="000000"/>
                <w:sz w:val="18"/>
                <w:szCs w:val="18"/>
              </w:rPr>
              <w:t>Indigenous patient flag</w:t>
            </w:r>
          </w:p>
        </w:tc>
        <w:tc>
          <w:tcPr>
            <w:tcW w:w="4142" w:type="dxa"/>
            <w:shd w:val="clear" w:color="auto" w:fill="auto"/>
            <w:hideMark/>
          </w:tcPr>
          <w:p w14:paraId="0B52B0AF" w14:textId="77777777" w:rsidR="00BA577C" w:rsidRPr="009B707F" w:rsidRDefault="00BA577C">
            <w:pPr>
              <w:tabs>
                <w:tab w:val="left" w:pos="1162"/>
              </w:tabs>
              <w:spacing w:before="80" w:after="80"/>
              <w:rPr>
                <w:rFonts w:cs="Arial"/>
                <w:color w:val="000000"/>
                <w:sz w:val="18"/>
                <w:szCs w:val="18"/>
              </w:rPr>
            </w:pPr>
            <w:r w:rsidRPr="009B707F">
              <w:rPr>
                <w:rFonts w:cs="Arial"/>
                <w:color w:val="000000"/>
                <w:sz w:val="18"/>
                <w:szCs w:val="18"/>
              </w:rPr>
              <w:t>1 if Patient Indigenous Status = 1, 2 or 3; else</w:t>
            </w:r>
            <w:r w:rsidRPr="009B707F">
              <w:rPr>
                <w:rFonts w:cs="Arial"/>
                <w:color w:val="000000"/>
                <w:sz w:val="18"/>
                <w:szCs w:val="18"/>
              </w:rPr>
              <w:br/>
              <w:t>0.</w:t>
            </w:r>
          </w:p>
        </w:tc>
      </w:tr>
      <w:tr w:rsidR="00BA577C" w:rsidRPr="00587976" w14:paraId="3F94FD85" w14:textId="77777777" w:rsidTr="00BA577C">
        <w:trPr>
          <w:cantSplit/>
          <w:trHeight w:val="490"/>
          <w:jc w:val="center"/>
        </w:trPr>
        <w:tc>
          <w:tcPr>
            <w:tcW w:w="1070" w:type="dxa"/>
            <w:tcBorders>
              <w:top w:val="single" w:sz="4" w:space="0" w:color="auto"/>
              <w:bottom w:val="single" w:sz="4" w:space="0" w:color="auto"/>
            </w:tcBorders>
            <w:shd w:val="clear" w:color="auto" w:fill="auto"/>
            <w:noWrap/>
          </w:tcPr>
          <w:p w14:paraId="5407ABDD" w14:textId="77777777" w:rsidR="00BA577C" w:rsidRPr="009B707F" w:rsidRDefault="00BA577C" w:rsidP="002D606E">
            <w:pPr>
              <w:tabs>
                <w:tab w:val="left" w:pos="1162"/>
              </w:tabs>
              <w:spacing w:before="80" w:after="80"/>
              <w:rPr>
                <w:rFonts w:eastAsiaTheme="minorHAnsi" w:cs="Arial"/>
                <w:b/>
                <w:noProof/>
                <w:color w:val="000000"/>
                <w:sz w:val="18"/>
                <w:szCs w:val="18"/>
              </w:rPr>
            </w:pPr>
            <w:r>
              <w:rPr>
                <w:rFonts w:cs="Arial"/>
                <w:color w:val="000000"/>
                <w:sz w:val="18"/>
                <w:szCs w:val="18"/>
              </w:rPr>
              <w:t>E03</w:t>
            </w:r>
          </w:p>
        </w:tc>
        <w:tc>
          <w:tcPr>
            <w:tcW w:w="1559" w:type="dxa"/>
            <w:shd w:val="clear" w:color="auto" w:fill="auto"/>
            <w:noWrap/>
          </w:tcPr>
          <w:p w14:paraId="455923A4" w14:textId="77777777" w:rsidR="00BA577C" w:rsidRDefault="00BA577C" w:rsidP="00560AC0">
            <w:pPr>
              <w:tabs>
                <w:tab w:val="left" w:pos="1162"/>
              </w:tabs>
              <w:spacing w:before="80" w:after="80"/>
              <w:rPr>
                <w:rFonts w:cs="Arial"/>
                <w:color w:val="000000"/>
                <w:sz w:val="18"/>
                <w:szCs w:val="18"/>
              </w:rPr>
            </w:pPr>
            <w:r>
              <w:rPr>
                <w:rFonts w:cs="Arial"/>
                <w:color w:val="000000"/>
                <w:sz w:val="18"/>
                <w:szCs w:val="18"/>
              </w:rPr>
              <w:t>_</w:t>
            </w:r>
            <w:proofErr w:type="spellStart"/>
            <w:r>
              <w:rPr>
                <w:rFonts w:cs="Arial"/>
                <w:color w:val="000000"/>
                <w:sz w:val="18"/>
                <w:szCs w:val="18"/>
              </w:rPr>
              <w:t>pat_age_years</w:t>
            </w:r>
            <w:proofErr w:type="spellEnd"/>
          </w:p>
        </w:tc>
        <w:tc>
          <w:tcPr>
            <w:tcW w:w="2043" w:type="dxa"/>
            <w:shd w:val="clear" w:color="auto" w:fill="auto"/>
            <w:noWrap/>
          </w:tcPr>
          <w:p w14:paraId="07B919B5" w14:textId="77777777" w:rsidR="00BA577C" w:rsidRPr="009B707F" w:rsidRDefault="00BA577C">
            <w:pPr>
              <w:tabs>
                <w:tab w:val="left" w:pos="1162"/>
              </w:tabs>
              <w:spacing w:before="80" w:after="80"/>
              <w:rPr>
                <w:rFonts w:cs="Arial"/>
                <w:color w:val="000000"/>
                <w:sz w:val="18"/>
                <w:szCs w:val="18"/>
              </w:rPr>
            </w:pPr>
            <w:r w:rsidRPr="00822178">
              <w:rPr>
                <w:rFonts w:cs="Arial"/>
                <w:color w:val="000000"/>
                <w:sz w:val="18"/>
                <w:szCs w:val="18"/>
              </w:rPr>
              <w:t>Age at admission (in years)</w:t>
            </w:r>
          </w:p>
        </w:tc>
        <w:tc>
          <w:tcPr>
            <w:tcW w:w="4142" w:type="dxa"/>
            <w:shd w:val="clear" w:color="auto" w:fill="auto"/>
          </w:tcPr>
          <w:p w14:paraId="631BE109" w14:textId="77777777" w:rsidR="00BA577C" w:rsidRPr="009B707F" w:rsidRDefault="00BA577C">
            <w:pPr>
              <w:tabs>
                <w:tab w:val="left" w:pos="1162"/>
              </w:tabs>
              <w:spacing w:before="80" w:after="80"/>
              <w:rPr>
                <w:rFonts w:cs="Arial"/>
                <w:color w:val="000000"/>
                <w:sz w:val="18"/>
                <w:szCs w:val="18"/>
              </w:rPr>
            </w:pPr>
            <w:r>
              <w:rPr>
                <w:rFonts w:cs="Arial"/>
                <w:color w:val="000000"/>
                <w:sz w:val="18"/>
                <w:szCs w:val="18"/>
              </w:rPr>
              <w:t>T</w:t>
            </w:r>
            <w:r w:rsidRPr="00822178">
              <w:rPr>
                <w:rFonts w:cs="Arial"/>
                <w:color w:val="000000"/>
                <w:sz w:val="18"/>
                <w:szCs w:val="18"/>
              </w:rPr>
              <w:t>otal whole years from Date of Birth to Date of Admission.</w:t>
            </w:r>
          </w:p>
        </w:tc>
      </w:tr>
      <w:tr w:rsidR="00BA577C" w:rsidRPr="00587976" w14:paraId="56CF4919" w14:textId="77777777" w:rsidTr="00BA577C">
        <w:trPr>
          <w:cantSplit/>
          <w:trHeight w:val="490"/>
          <w:jc w:val="center"/>
        </w:trPr>
        <w:tc>
          <w:tcPr>
            <w:tcW w:w="1070" w:type="dxa"/>
            <w:tcBorders>
              <w:top w:val="single" w:sz="4" w:space="0" w:color="auto"/>
              <w:bottom w:val="single" w:sz="4" w:space="0" w:color="auto"/>
            </w:tcBorders>
            <w:shd w:val="clear" w:color="auto" w:fill="auto"/>
            <w:noWrap/>
          </w:tcPr>
          <w:p w14:paraId="0329C94A" w14:textId="77777777" w:rsidR="00BA577C" w:rsidRPr="009B707F" w:rsidRDefault="00BA577C" w:rsidP="002D606E">
            <w:pPr>
              <w:tabs>
                <w:tab w:val="left" w:pos="1162"/>
              </w:tabs>
              <w:spacing w:before="80" w:after="80"/>
              <w:rPr>
                <w:rFonts w:eastAsiaTheme="minorHAnsi" w:cs="Arial"/>
                <w:b/>
                <w:noProof/>
                <w:color w:val="000000"/>
                <w:sz w:val="18"/>
                <w:szCs w:val="18"/>
              </w:rPr>
            </w:pPr>
            <w:r>
              <w:rPr>
                <w:rFonts w:cs="Arial"/>
                <w:color w:val="000000"/>
                <w:sz w:val="18"/>
                <w:szCs w:val="18"/>
              </w:rPr>
              <w:t>E04</w:t>
            </w:r>
          </w:p>
        </w:tc>
        <w:tc>
          <w:tcPr>
            <w:tcW w:w="1559" w:type="dxa"/>
            <w:shd w:val="clear" w:color="auto" w:fill="auto"/>
            <w:noWrap/>
          </w:tcPr>
          <w:p w14:paraId="751BE070" w14:textId="77777777" w:rsidR="00BA577C" w:rsidRDefault="00BA577C" w:rsidP="00560AC0">
            <w:pPr>
              <w:tabs>
                <w:tab w:val="left" w:pos="1162"/>
              </w:tabs>
              <w:spacing w:before="80" w:after="80"/>
              <w:rPr>
                <w:rFonts w:cs="Arial"/>
                <w:color w:val="000000"/>
                <w:sz w:val="18"/>
                <w:szCs w:val="18"/>
              </w:rPr>
            </w:pPr>
            <w:r>
              <w:rPr>
                <w:rFonts w:cs="Arial"/>
                <w:color w:val="000000"/>
                <w:sz w:val="18"/>
                <w:szCs w:val="18"/>
              </w:rPr>
              <w:t>_</w:t>
            </w:r>
            <w:proofErr w:type="spellStart"/>
            <w:r>
              <w:rPr>
                <w:rFonts w:cs="Arial"/>
                <w:color w:val="000000"/>
                <w:sz w:val="18"/>
                <w:szCs w:val="18"/>
              </w:rPr>
              <w:t>pat_age_grp</w:t>
            </w:r>
            <w:proofErr w:type="spellEnd"/>
          </w:p>
        </w:tc>
        <w:tc>
          <w:tcPr>
            <w:tcW w:w="2043" w:type="dxa"/>
            <w:shd w:val="clear" w:color="auto" w:fill="auto"/>
            <w:noWrap/>
          </w:tcPr>
          <w:p w14:paraId="497E309C" w14:textId="77777777" w:rsidR="00BA577C" w:rsidRPr="009B707F" w:rsidRDefault="00BA577C">
            <w:pPr>
              <w:tabs>
                <w:tab w:val="left" w:pos="1162"/>
              </w:tabs>
              <w:spacing w:before="80" w:after="80"/>
              <w:rPr>
                <w:rFonts w:cs="Arial"/>
                <w:color w:val="000000"/>
                <w:sz w:val="18"/>
                <w:szCs w:val="18"/>
              </w:rPr>
            </w:pPr>
            <w:r>
              <w:rPr>
                <w:rFonts w:cs="Arial"/>
                <w:color w:val="000000"/>
                <w:sz w:val="18"/>
                <w:szCs w:val="18"/>
              </w:rPr>
              <w:t>See definition</w:t>
            </w:r>
          </w:p>
        </w:tc>
        <w:tc>
          <w:tcPr>
            <w:tcW w:w="4142" w:type="dxa"/>
            <w:shd w:val="clear" w:color="auto" w:fill="auto"/>
          </w:tcPr>
          <w:p w14:paraId="091BAE43" w14:textId="77777777" w:rsidR="00BA577C" w:rsidRDefault="00BA577C">
            <w:pPr>
              <w:tabs>
                <w:tab w:val="left" w:pos="1162"/>
              </w:tabs>
              <w:spacing w:before="80" w:after="80"/>
              <w:rPr>
                <w:rFonts w:cs="Arial"/>
                <w:color w:val="000000"/>
                <w:sz w:val="18"/>
                <w:szCs w:val="18"/>
              </w:rPr>
            </w:pPr>
            <w:r>
              <w:rPr>
                <w:rFonts w:cs="Arial"/>
                <w:color w:val="000000"/>
                <w:sz w:val="18"/>
                <w:szCs w:val="18"/>
              </w:rPr>
              <w:t>If _</w:t>
            </w:r>
            <w:proofErr w:type="spellStart"/>
            <w:r>
              <w:rPr>
                <w:rFonts w:cs="Arial"/>
                <w:color w:val="000000"/>
                <w:sz w:val="18"/>
                <w:szCs w:val="18"/>
              </w:rPr>
              <w:t>pat_age_years</w:t>
            </w:r>
            <w:proofErr w:type="spellEnd"/>
            <w:r>
              <w:rPr>
                <w:rFonts w:cs="Arial"/>
                <w:color w:val="000000"/>
                <w:sz w:val="18"/>
                <w:szCs w:val="18"/>
              </w:rPr>
              <w:t xml:space="preserve"> less than 65 then group = 0;</w:t>
            </w:r>
          </w:p>
          <w:p w14:paraId="05F8EECD" w14:textId="77777777" w:rsidR="00BA577C" w:rsidRDefault="00BA577C">
            <w:pPr>
              <w:tabs>
                <w:tab w:val="left" w:pos="1162"/>
              </w:tabs>
              <w:spacing w:before="80" w:after="80"/>
              <w:rPr>
                <w:rFonts w:cs="Arial"/>
                <w:color w:val="000000"/>
                <w:sz w:val="18"/>
                <w:szCs w:val="18"/>
              </w:rPr>
            </w:pPr>
            <w:r>
              <w:rPr>
                <w:rFonts w:cs="Arial"/>
                <w:color w:val="000000"/>
                <w:sz w:val="18"/>
                <w:szCs w:val="18"/>
              </w:rPr>
              <w:t>else if _</w:t>
            </w:r>
            <w:proofErr w:type="spellStart"/>
            <w:r>
              <w:rPr>
                <w:rFonts w:cs="Arial"/>
                <w:color w:val="000000"/>
                <w:sz w:val="18"/>
                <w:szCs w:val="18"/>
              </w:rPr>
              <w:t>pat_age_years</w:t>
            </w:r>
            <w:proofErr w:type="spellEnd"/>
            <w:r>
              <w:rPr>
                <w:rFonts w:cs="Arial"/>
                <w:color w:val="000000"/>
                <w:sz w:val="18"/>
                <w:szCs w:val="18"/>
              </w:rPr>
              <w:t xml:space="preserve"> less than or equal to 79 then group = 1;</w:t>
            </w:r>
          </w:p>
          <w:p w14:paraId="39EDD343" w14:textId="77777777" w:rsidR="00BA577C" w:rsidRDefault="00BA577C">
            <w:pPr>
              <w:tabs>
                <w:tab w:val="left" w:pos="1162"/>
              </w:tabs>
              <w:spacing w:before="80" w:after="80"/>
              <w:rPr>
                <w:rFonts w:cs="Arial"/>
                <w:color w:val="000000"/>
                <w:sz w:val="18"/>
                <w:szCs w:val="18"/>
              </w:rPr>
            </w:pPr>
            <w:r>
              <w:rPr>
                <w:rFonts w:cs="Arial"/>
                <w:color w:val="000000"/>
                <w:sz w:val="18"/>
                <w:szCs w:val="18"/>
              </w:rPr>
              <w:t>else if _</w:t>
            </w:r>
            <w:proofErr w:type="spellStart"/>
            <w:r>
              <w:rPr>
                <w:rFonts w:cs="Arial"/>
                <w:color w:val="000000"/>
                <w:sz w:val="18"/>
                <w:szCs w:val="18"/>
              </w:rPr>
              <w:t>pat_age_years</w:t>
            </w:r>
            <w:proofErr w:type="spellEnd"/>
            <w:r>
              <w:rPr>
                <w:rFonts w:cs="Arial"/>
                <w:color w:val="000000"/>
                <w:sz w:val="18"/>
                <w:szCs w:val="18"/>
              </w:rPr>
              <w:t xml:space="preserve"> greater than or equal to 80 then group = 2;</w:t>
            </w:r>
          </w:p>
          <w:p w14:paraId="73CE924B" w14:textId="77777777" w:rsidR="00BA577C" w:rsidRPr="009B707F" w:rsidRDefault="00BA577C">
            <w:pPr>
              <w:tabs>
                <w:tab w:val="left" w:pos="1162"/>
              </w:tabs>
              <w:spacing w:before="80" w:after="80"/>
              <w:rPr>
                <w:rFonts w:cs="Arial"/>
                <w:color w:val="000000"/>
                <w:sz w:val="18"/>
                <w:szCs w:val="18"/>
              </w:rPr>
            </w:pPr>
            <w:r>
              <w:rPr>
                <w:rFonts w:cs="Arial"/>
                <w:color w:val="000000"/>
                <w:sz w:val="18"/>
                <w:szCs w:val="18"/>
              </w:rPr>
              <w:t>else if missing (_</w:t>
            </w:r>
            <w:proofErr w:type="spellStart"/>
            <w:r>
              <w:rPr>
                <w:rFonts w:cs="Arial"/>
                <w:color w:val="000000"/>
                <w:sz w:val="18"/>
                <w:szCs w:val="18"/>
              </w:rPr>
              <w:t>pat_age_years</w:t>
            </w:r>
            <w:proofErr w:type="spellEnd"/>
            <w:r>
              <w:rPr>
                <w:rFonts w:cs="Arial"/>
                <w:color w:val="000000"/>
                <w:sz w:val="18"/>
                <w:szCs w:val="18"/>
              </w:rPr>
              <w:t>) equals 1 the group =0</w:t>
            </w:r>
          </w:p>
        </w:tc>
      </w:tr>
      <w:tr w:rsidR="00BA577C" w:rsidRPr="00587976" w14:paraId="18548860" w14:textId="77777777" w:rsidTr="00BA577C">
        <w:trPr>
          <w:cantSplit/>
          <w:trHeight w:val="490"/>
          <w:jc w:val="center"/>
        </w:trPr>
        <w:tc>
          <w:tcPr>
            <w:tcW w:w="1070" w:type="dxa"/>
            <w:tcBorders>
              <w:top w:val="single" w:sz="4" w:space="0" w:color="auto"/>
            </w:tcBorders>
            <w:shd w:val="clear" w:color="auto" w:fill="auto"/>
            <w:noWrap/>
            <w:hideMark/>
          </w:tcPr>
          <w:p w14:paraId="6A4BBAE7" w14:textId="77777777" w:rsidR="00BA577C" w:rsidRPr="009B707F" w:rsidRDefault="00BA577C" w:rsidP="002D606E">
            <w:pPr>
              <w:tabs>
                <w:tab w:val="left" w:pos="1162"/>
              </w:tabs>
              <w:spacing w:before="80" w:after="80"/>
              <w:rPr>
                <w:rFonts w:eastAsiaTheme="minorHAnsi" w:cs="Arial"/>
                <w:b/>
                <w:noProof/>
                <w:color w:val="000000"/>
                <w:sz w:val="18"/>
                <w:szCs w:val="18"/>
              </w:rPr>
            </w:pPr>
            <w:r>
              <w:rPr>
                <w:rFonts w:cs="Arial"/>
                <w:color w:val="000000"/>
                <w:sz w:val="18"/>
                <w:szCs w:val="18"/>
              </w:rPr>
              <w:t>E05</w:t>
            </w:r>
          </w:p>
        </w:tc>
        <w:tc>
          <w:tcPr>
            <w:tcW w:w="1559" w:type="dxa"/>
            <w:shd w:val="clear" w:color="auto" w:fill="auto"/>
            <w:noWrap/>
            <w:hideMark/>
          </w:tcPr>
          <w:p w14:paraId="764E25ED" w14:textId="77777777" w:rsidR="00BA577C" w:rsidRPr="009B707F" w:rsidRDefault="00BA577C" w:rsidP="00560AC0">
            <w:pPr>
              <w:tabs>
                <w:tab w:val="left" w:pos="1162"/>
              </w:tabs>
              <w:spacing w:before="80" w:after="80"/>
              <w:rPr>
                <w:rFonts w:cs="Arial"/>
                <w:color w:val="000000"/>
                <w:sz w:val="18"/>
                <w:szCs w:val="18"/>
              </w:rPr>
            </w:pPr>
            <w:r>
              <w:rPr>
                <w:rFonts w:cs="Arial"/>
                <w:color w:val="000000"/>
                <w:sz w:val="18"/>
                <w:szCs w:val="18"/>
              </w:rPr>
              <w:t>UDG_PW</w:t>
            </w:r>
          </w:p>
        </w:tc>
        <w:tc>
          <w:tcPr>
            <w:tcW w:w="2043" w:type="dxa"/>
            <w:shd w:val="clear" w:color="auto" w:fill="auto"/>
            <w:noWrap/>
            <w:hideMark/>
          </w:tcPr>
          <w:p w14:paraId="2F11F886" w14:textId="77777777" w:rsidR="00BA577C" w:rsidRPr="009B707F" w:rsidRDefault="00BA577C">
            <w:pPr>
              <w:tabs>
                <w:tab w:val="left" w:pos="1162"/>
              </w:tabs>
              <w:spacing w:before="80" w:after="80"/>
              <w:rPr>
                <w:rFonts w:cs="Arial"/>
                <w:color w:val="000000"/>
                <w:sz w:val="18"/>
                <w:szCs w:val="18"/>
              </w:rPr>
            </w:pPr>
            <w:r w:rsidRPr="009B707F">
              <w:rPr>
                <w:rFonts w:cs="Arial"/>
                <w:color w:val="000000"/>
                <w:sz w:val="18"/>
                <w:szCs w:val="18"/>
              </w:rPr>
              <w:t>See definition</w:t>
            </w:r>
          </w:p>
        </w:tc>
        <w:tc>
          <w:tcPr>
            <w:tcW w:w="4142" w:type="dxa"/>
            <w:shd w:val="clear" w:color="auto" w:fill="auto"/>
            <w:hideMark/>
          </w:tcPr>
          <w:p w14:paraId="5F77F73B" w14:textId="77777777" w:rsidR="00BA577C" w:rsidRPr="009B707F" w:rsidRDefault="00BA577C">
            <w:pPr>
              <w:tabs>
                <w:tab w:val="left" w:pos="1162"/>
              </w:tabs>
              <w:spacing w:before="80" w:after="80"/>
              <w:rPr>
                <w:rFonts w:cs="Arial"/>
                <w:color w:val="000000"/>
                <w:sz w:val="18"/>
                <w:szCs w:val="18"/>
              </w:rPr>
            </w:pPr>
            <w:r w:rsidRPr="009B707F">
              <w:rPr>
                <w:rFonts w:cs="Arial"/>
                <w:color w:val="000000"/>
                <w:sz w:val="18"/>
                <w:szCs w:val="18"/>
              </w:rPr>
              <w:t>UDG price weight, taken from NWAU Price Weight table.</w:t>
            </w:r>
          </w:p>
        </w:tc>
      </w:tr>
      <w:tr w:rsidR="00BA577C" w:rsidRPr="00587976" w14:paraId="66145EE4" w14:textId="77777777" w:rsidTr="00BA577C">
        <w:trPr>
          <w:cantSplit/>
          <w:trHeight w:val="245"/>
          <w:jc w:val="center"/>
        </w:trPr>
        <w:tc>
          <w:tcPr>
            <w:tcW w:w="1070" w:type="dxa"/>
            <w:shd w:val="clear" w:color="auto" w:fill="auto"/>
            <w:noWrap/>
            <w:hideMark/>
          </w:tcPr>
          <w:p w14:paraId="736C5AD5" w14:textId="77777777" w:rsidR="00BA577C" w:rsidRPr="009B707F" w:rsidRDefault="00BA577C" w:rsidP="002D606E">
            <w:pPr>
              <w:tabs>
                <w:tab w:val="left" w:pos="1162"/>
              </w:tabs>
              <w:spacing w:before="80" w:after="80"/>
              <w:rPr>
                <w:rFonts w:eastAsiaTheme="minorHAnsi" w:cs="Arial"/>
                <w:b/>
                <w:noProof/>
                <w:color w:val="000000"/>
                <w:sz w:val="18"/>
                <w:szCs w:val="18"/>
              </w:rPr>
            </w:pPr>
            <w:r>
              <w:rPr>
                <w:rFonts w:cs="Arial"/>
                <w:color w:val="000000"/>
                <w:sz w:val="18"/>
                <w:szCs w:val="18"/>
              </w:rPr>
              <w:t>E06</w:t>
            </w:r>
          </w:p>
        </w:tc>
        <w:tc>
          <w:tcPr>
            <w:tcW w:w="1559" w:type="dxa"/>
            <w:shd w:val="clear" w:color="auto" w:fill="auto"/>
            <w:noWrap/>
            <w:hideMark/>
          </w:tcPr>
          <w:p w14:paraId="1EE58502" w14:textId="77777777" w:rsidR="00BA577C" w:rsidRPr="009B707F" w:rsidRDefault="00BA577C" w:rsidP="00560AC0">
            <w:pPr>
              <w:tabs>
                <w:tab w:val="left" w:pos="1162"/>
              </w:tabs>
              <w:spacing w:before="80" w:after="80"/>
              <w:rPr>
                <w:rFonts w:cs="Arial"/>
                <w:color w:val="000000"/>
                <w:sz w:val="18"/>
                <w:szCs w:val="18"/>
              </w:rPr>
            </w:pPr>
            <w:r>
              <w:rPr>
                <w:rFonts w:cs="Arial"/>
                <w:color w:val="000000"/>
                <w:sz w:val="18"/>
                <w:szCs w:val="18"/>
              </w:rPr>
              <w:t>URG_PW</w:t>
            </w:r>
          </w:p>
        </w:tc>
        <w:tc>
          <w:tcPr>
            <w:tcW w:w="2043" w:type="dxa"/>
            <w:shd w:val="clear" w:color="auto" w:fill="auto"/>
            <w:noWrap/>
            <w:hideMark/>
          </w:tcPr>
          <w:p w14:paraId="662C594B" w14:textId="77777777" w:rsidR="00BA577C" w:rsidRPr="009B707F" w:rsidRDefault="00BA577C">
            <w:pPr>
              <w:tabs>
                <w:tab w:val="left" w:pos="1162"/>
              </w:tabs>
              <w:spacing w:before="80" w:after="80"/>
              <w:rPr>
                <w:rFonts w:cs="Arial"/>
                <w:color w:val="000000"/>
                <w:sz w:val="18"/>
                <w:szCs w:val="18"/>
              </w:rPr>
            </w:pPr>
            <w:r w:rsidRPr="009B707F">
              <w:rPr>
                <w:rFonts w:cs="Arial"/>
                <w:color w:val="000000"/>
                <w:sz w:val="18"/>
                <w:szCs w:val="18"/>
              </w:rPr>
              <w:t>See definition</w:t>
            </w:r>
          </w:p>
        </w:tc>
        <w:tc>
          <w:tcPr>
            <w:tcW w:w="4142" w:type="dxa"/>
            <w:shd w:val="clear" w:color="auto" w:fill="auto"/>
            <w:noWrap/>
            <w:hideMark/>
          </w:tcPr>
          <w:p w14:paraId="4E6A7B98" w14:textId="77777777" w:rsidR="00BA577C" w:rsidRPr="009B707F" w:rsidRDefault="00BA577C">
            <w:pPr>
              <w:tabs>
                <w:tab w:val="left" w:pos="1162"/>
              </w:tabs>
              <w:spacing w:before="80" w:after="80"/>
              <w:rPr>
                <w:rFonts w:cs="Arial"/>
                <w:color w:val="000000"/>
                <w:sz w:val="18"/>
                <w:szCs w:val="18"/>
              </w:rPr>
            </w:pPr>
            <w:r w:rsidRPr="009B707F">
              <w:rPr>
                <w:rFonts w:cs="Arial"/>
                <w:color w:val="000000"/>
                <w:sz w:val="18"/>
                <w:szCs w:val="18"/>
              </w:rPr>
              <w:t>URG price weight, taken from NWAU Price Weight table.</w:t>
            </w:r>
          </w:p>
        </w:tc>
      </w:tr>
      <w:tr w:rsidR="00BA577C" w:rsidRPr="00587976" w14:paraId="62B58829" w14:textId="77777777" w:rsidTr="00BA577C">
        <w:trPr>
          <w:cantSplit/>
          <w:trHeight w:val="245"/>
          <w:jc w:val="center"/>
        </w:trPr>
        <w:tc>
          <w:tcPr>
            <w:tcW w:w="1070" w:type="dxa"/>
            <w:shd w:val="clear" w:color="auto" w:fill="auto"/>
            <w:noWrap/>
            <w:hideMark/>
          </w:tcPr>
          <w:p w14:paraId="4B896201" w14:textId="77777777" w:rsidR="00BA577C" w:rsidRPr="009B707F" w:rsidRDefault="00BA577C" w:rsidP="002D606E">
            <w:pPr>
              <w:tabs>
                <w:tab w:val="left" w:pos="1162"/>
              </w:tabs>
              <w:spacing w:before="80" w:after="80"/>
              <w:rPr>
                <w:rFonts w:eastAsiaTheme="minorHAnsi" w:cs="Arial"/>
                <w:b/>
                <w:noProof/>
                <w:color w:val="000000"/>
                <w:sz w:val="18"/>
                <w:szCs w:val="18"/>
              </w:rPr>
            </w:pPr>
            <w:r>
              <w:rPr>
                <w:rFonts w:cs="Arial"/>
                <w:color w:val="000000"/>
                <w:sz w:val="18"/>
                <w:szCs w:val="18"/>
              </w:rPr>
              <w:t>E07</w:t>
            </w:r>
          </w:p>
        </w:tc>
        <w:tc>
          <w:tcPr>
            <w:tcW w:w="1559" w:type="dxa"/>
            <w:shd w:val="clear" w:color="auto" w:fill="auto"/>
            <w:noWrap/>
            <w:hideMark/>
          </w:tcPr>
          <w:p w14:paraId="70818C0A" w14:textId="77777777" w:rsidR="00BA577C" w:rsidRPr="009B707F" w:rsidRDefault="00BA577C" w:rsidP="00560AC0">
            <w:pPr>
              <w:tabs>
                <w:tab w:val="left" w:pos="1162"/>
              </w:tabs>
              <w:spacing w:before="80" w:after="80"/>
              <w:rPr>
                <w:rFonts w:cs="Arial"/>
                <w:color w:val="000000"/>
                <w:sz w:val="18"/>
                <w:szCs w:val="18"/>
              </w:rPr>
            </w:pPr>
            <w:proofErr w:type="spellStart"/>
            <w:r>
              <w:rPr>
                <w:rFonts w:cs="Arial"/>
                <w:color w:val="000000"/>
                <w:sz w:val="18"/>
                <w:szCs w:val="18"/>
              </w:rPr>
              <w:t>adj_</w:t>
            </w:r>
            <w:r w:rsidRPr="009B707F">
              <w:rPr>
                <w:rFonts w:cs="Arial"/>
                <w:color w:val="000000"/>
                <w:sz w:val="18"/>
                <w:szCs w:val="18"/>
              </w:rPr>
              <w:t>indigenous</w:t>
            </w:r>
            <w:proofErr w:type="spellEnd"/>
            <w:r w:rsidRPr="009B707F" w:rsidDel="00AC6897">
              <w:rPr>
                <w:rFonts w:cs="Arial"/>
                <w:color w:val="000000"/>
                <w:sz w:val="18"/>
                <w:szCs w:val="18"/>
              </w:rPr>
              <w:t xml:space="preserve"> </w:t>
            </w:r>
          </w:p>
        </w:tc>
        <w:tc>
          <w:tcPr>
            <w:tcW w:w="2043" w:type="dxa"/>
            <w:shd w:val="clear" w:color="auto" w:fill="auto"/>
            <w:noWrap/>
          </w:tcPr>
          <w:p w14:paraId="34E64702" w14:textId="77777777" w:rsidR="00BA577C" w:rsidRPr="009B707F" w:rsidRDefault="00BA577C">
            <w:pPr>
              <w:tabs>
                <w:tab w:val="left" w:pos="1162"/>
              </w:tabs>
              <w:spacing w:before="80" w:after="80"/>
              <w:rPr>
                <w:rFonts w:cs="Arial"/>
                <w:color w:val="000000"/>
                <w:sz w:val="18"/>
                <w:szCs w:val="18"/>
              </w:rPr>
            </w:pPr>
            <w:r w:rsidRPr="009B707F">
              <w:rPr>
                <w:rFonts w:cs="Arial"/>
                <w:color w:val="000000"/>
                <w:sz w:val="18"/>
                <w:szCs w:val="18"/>
              </w:rPr>
              <w:t>See definition</w:t>
            </w:r>
          </w:p>
        </w:tc>
        <w:tc>
          <w:tcPr>
            <w:tcW w:w="4142" w:type="dxa"/>
            <w:shd w:val="clear" w:color="auto" w:fill="auto"/>
            <w:noWrap/>
          </w:tcPr>
          <w:p w14:paraId="013ED672" w14:textId="77777777" w:rsidR="00BA577C" w:rsidRPr="009B707F" w:rsidRDefault="00BA577C">
            <w:pPr>
              <w:tabs>
                <w:tab w:val="left" w:pos="1162"/>
              </w:tabs>
              <w:spacing w:before="80" w:after="80"/>
              <w:rPr>
                <w:rFonts w:cs="Arial"/>
                <w:color w:val="000000"/>
                <w:sz w:val="18"/>
                <w:szCs w:val="18"/>
              </w:rPr>
            </w:pPr>
            <w:r w:rsidRPr="009B707F">
              <w:rPr>
                <w:rFonts w:cs="Arial"/>
                <w:color w:val="000000"/>
                <w:sz w:val="18"/>
                <w:szCs w:val="18"/>
              </w:rPr>
              <w:t>Indigenous adjustment from NWAU Adjustment table.</w:t>
            </w:r>
          </w:p>
        </w:tc>
      </w:tr>
      <w:tr w:rsidR="00BA577C" w:rsidRPr="00587976" w14:paraId="341BEE98" w14:textId="77777777" w:rsidTr="00BA577C">
        <w:trPr>
          <w:cantSplit/>
          <w:trHeight w:val="490"/>
          <w:jc w:val="center"/>
        </w:trPr>
        <w:tc>
          <w:tcPr>
            <w:tcW w:w="1070" w:type="dxa"/>
            <w:shd w:val="clear" w:color="auto" w:fill="auto"/>
            <w:noWrap/>
          </w:tcPr>
          <w:p w14:paraId="45BADD7F" w14:textId="77777777" w:rsidR="00BA577C" w:rsidRPr="009B707F" w:rsidRDefault="00BA577C" w:rsidP="002D606E">
            <w:pPr>
              <w:tabs>
                <w:tab w:val="left" w:pos="1162"/>
              </w:tabs>
              <w:spacing w:before="80" w:after="80"/>
              <w:rPr>
                <w:rFonts w:eastAsiaTheme="minorHAnsi" w:cs="Arial"/>
                <w:b/>
                <w:noProof/>
                <w:color w:val="000000"/>
                <w:sz w:val="18"/>
                <w:szCs w:val="18"/>
              </w:rPr>
            </w:pPr>
            <w:r>
              <w:rPr>
                <w:rFonts w:cs="Arial"/>
                <w:color w:val="000000"/>
                <w:sz w:val="18"/>
                <w:szCs w:val="18"/>
              </w:rPr>
              <w:t>E08</w:t>
            </w:r>
          </w:p>
        </w:tc>
        <w:tc>
          <w:tcPr>
            <w:tcW w:w="1559" w:type="dxa"/>
            <w:shd w:val="clear" w:color="auto" w:fill="auto"/>
            <w:noWrap/>
          </w:tcPr>
          <w:p w14:paraId="2CD01DB7" w14:textId="77777777" w:rsidR="00BA577C" w:rsidRDefault="00BA577C" w:rsidP="00560AC0">
            <w:pPr>
              <w:tabs>
                <w:tab w:val="left" w:pos="1162"/>
              </w:tabs>
              <w:spacing w:before="80" w:after="80"/>
              <w:rPr>
                <w:rFonts w:cs="Arial"/>
                <w:color w:val="000000"/>
                <w:sz w:val="18"/>
                <w:szCs w:val="18"/>
              </w:rPr>
            </w:pPr>
            <w:proofErr w:type="spellStart"/>
            <w:r>
              <w:rPr>
                <w:rFonts w:cs="Arial"/>
                <w:color w:val="000000"/>
                <w:sz w:val="18"/>
                <w:szCs w:val="18"/>
              </w:rPr>
              <w:t>adj_age</w:t>
            </w:r>
            <w:proofErr w:type="spellEnd"/>
          </w:p>
        </w:tc>
        <w:tc>
          <w:tcPr>
            <w:tcW w:w="2043" w:type="dxa"/>
            <w:shd w:val="clear" w:color="auto" w:fill="auto"/>
            <w:noWrap/>
          </w:tcPr>
          <w:p w14:paraId="4710C162" w14:textId="77777777" w:rsidR="00BA577C" w:rsidRDefault="00BA577C">
            <w:pPr>
              <w:tabs>
                <w:tab w:val="left" w:pos="1162"/>
              </w:tabs>
              <w:spacing w:before="80" w:after="80"/>
              <w:rPr>
                <w:rFonts w:cs="Arial"/>
                <w:color w:val="000000"/>
                <w:sz w:val="18"/>
                <w:szCs w:val="18"/>
              </w:rPr>
            </w:pPr>
            <w:r w:rsidRPr="009B707F">
              <w:rPr>
                <w:rFonts w:cs="Arial"/>
                <w:color w:val="000000"/>
                <w:sz w:val="18"/>
                <w:szCs w:val="18"/>
              </w:rPr>
              <w:t>See definition</w:t>
            </w:r>
          </w:p>
        </w:tc>
        <w:tc>
          <w:tcPr>
            <w:tcW w:w="4142" w:type="dxa"/>
            <w:shd w:val="clear" w:color="auto" w:fill="auto"/>
          </w:tcPr>
          <w:p w14:paraId="68D7A683" w14:textId="77777777" w:rsidR="00BA577C" w:rsidRDefault="00BA577C">
            <w:pPr>
              <w:tabs>
                <w:tab w:val="left" w:pos="1162"/>
              </w:tabs>
              <w:spacing w:before="80" w:after="80"/>
              <w:rPr>
                <w:rFonts w:cs="Arial"/>
                <w:color w:val="000000"/>
                <w:sz w:val="18"/>
                <w:szCs w:val="18"/>
              </w:rPr>
            </w:pPr>
            <w:r>
              <w:rPr>
                <w:rFonts w:cs="Arial"/>
                <w:color w:val="000000"/>
                <w:sz w:val="18"/>
                <w:szCs w:val="18"/>
              </w:rPr>
              <w:t>Age adjustment from NWAU Adjustment table.</w:t>
            </w:r>
          </w:p>
        </w:tc>
      </w:tr>
      <w:tr w:rsidR="00BA577C" w:rsidRPr="00587976" w14:paraId="1C8D609A" w14:textId="77777777" w:rsidTr="00BA577C">
        <w:trPr>
          <w:cantSplit/>
          <w:trHeight w:val="490"/>
          <w:jc w:val="center"/>
        </w:trPr>
        <w:tc>
          <w:tcPr>
            <w:tcW w:w="1070" w:type="dxa"/>
            <w:shd w:val="clear" w:color="auto" w:fill="auto"/>
            <w:noWrap/>
            <w:hideMark/>
          </w:tcPr>
          <w:p w14:paraId="5ADB1402" w14:textId="77777777" w:rsidR="00BA577C" w:rsidRPr="009B707F" w:rsidRDefault="00BA577C" w:rsidP="002D606E">
            <w:pPr>
              <w:tabs>
                <w:tab w:val="left" w:pos="1162"/>
              </w:tabs>
              <w:spacing w:before="80" w:after="80"/>
              <w:rPr>
                <w:rFonts w:eastAsiaTheme="minorHAnsi" w:cs="Arial"/>
                <w:b/>
                <w:noProof/>
                <w:color w:val="000000"/>
                <w:sz w:val="18"/>
                <w:szCs w:val="18"/>
              </w:rPr>
            </w:pPr>
            <w:r>
              <w:rPr>
                <w:rFonts w:cs="Arial"/>
                <w:color w:val="000000"/>
                <w:sz w:val="18"/>
                <w:szCs w:val="18"/>
              </w:rPr>
              <w:t>E09</w:t>
            </w:r>
          </w:p>
        </w:tc>
        <w:tc>
          <w:tcPr>
            <w:tcW w:w="1559" w:type="dxa"/>
            <w:shd w:val="clear" w:color="auto" w:fill="auto"/>
            <w:noWrap/>
            <w:hideMark/>
          </w:tcPr>
          <w:p w14:paraId="219B7F53" w14:textId="77777777" w:rsidR="00BA577C" w:rsidRPr="009B707F" w:rsidRDefault="00BA577C" w:rsidP="00560AC0">
            <w:pPr>
              <w:tabs>
                <w:tab w:val="left" w:pos="1162"/>
              </w:tabs>
              <w:spacing w:before="80" w:after="80"/>
              <w:rPr>
                <w:rFonts w:cs="Arial"/>
                <w:color w:val="000000"/>
                <w:sz w:val="18"/>
                <w:szCs w:val="18"/>
              </w:rPr>
            </w:pPr>
            <w:proofErr w:type="spellStart"/>
            <w:r>
              <w:rPr>
                <w:rFonts w:cs="Arial"/>
                <w:color w:val="000000"/>
                <w:sz w:val="18"/>
                <w:szCs w:val="18"/>
              </w:rPr>
              <w:t>Error_Code</w:t>
            </w:r>
            <w:proofErr w:type="spellEnd"/>
          </w:p>
        </w:tc>
        <w:tc>
          <w:tcPr>
            <w:tcW w:w="2043" w:type="dxa"/>
            <w:shd w:val="clear" w:color="auto" w:fill="auto"/>
            <w:noWrap/>
            <w:hideMark/>
          </w:tcPr>
          <w:p w14:paraId="65704A86" w14:textId="77777777" w:rsidR="00BA577C" w:rsidRPr="009B707F" w:rsidRDefault="00BA577C">
            <w:pPr>
              <w:tabs>
                <w:tab w:val="left" w:pos="1162"/>
              </w:tabs>
              <w:spacing w:before="80" w:after="80"/>
              <w:rPr>
                <w:rFonts w:cs="Arial"/>
                <w:color w:val="000000"/>
                <w:sz w:val="18"/>
                <w:szCs w:val="18"/>
              </w:rPr>
            </w:pPr>
            <w:r>
              <w:rPr>
                <w:rFonts w:cs="Arial"/>
                <w:color w:val="000000"/>
                <w:sz w:val="18"/>
                <w:szCs w:val="18"/>
              </w:rPr>
              <w:t>See definition</w:t>
            </w:r>
          </w:p>
        </w:tc>
        <w:tc>
          <w:tcPr>
            <w:tcW w:w="4142" w:type="dxa"/>
            <w:shd w:val="clear" w:color="auto" w:fill="auto"/>
            <w:hideMark/>
          </w:tcPr>
          <w:p w14:paraId="1FE7D970" w14:textId="77777777" w:rsidR="00BA577C" w:rsidRPr="009B707F" w:rsidRDefault="00BA577C">
            <w:pPr>
              <w:tabs>
                <w:tab w:val="left" w:pos="1162"/>
              </w:tabs>
              <w:spacing w:before="80" w:after="80"/>
              <w:rPr>
                <w:rFonts w:cs="Arial"/>
                <w:color w:val="000000"/>
                <w:sz w:val="18"/>
                <w:szCs w:val="18"/>
              </w:rPr>
            </w:pPr>
            <w:r>
              <w:rPr>
                <w:rFonts w:cs="Arial"/>
                <w:color w:val="000000"/>
                <w:sz w:val="18"/>
                <w:szCs w:val="18"/>
              </w:rPr>
              <w:t>Outlines Errors in calculations</w:t>
            </w:r>
          </w:p>
        </w:tc>
      </w:tr>
      <w:tr w:rsidR="00BA577C" w:rsidRPr="00587976" w14:paraId="7863055D" w14:textId="77777777" w:rsidTr="00BA577C">
        <w:trPr>
          <w:cantSplit/>
          <w:trHeight w:val="490"/>
          <w:jc w:val="center"/>
        </w:trPr>
        <w:tc>
          <w:tcPr>
            <w:tcW w:w="1070" w:type="dxa"/>
            <w:shd w:val="clear" w:color="auto" w:fill="auto"/>
            <w:noWrap/>
          </w:tcPr>
          <w:p w14:paraId="32B47E54" w14:textId="77777777" w:rsidR="00BA577C" w:rsidRPr="009B707F" w:rsidRDefault="00BA577C" w:rsidP="002D606E">
            <w:pPr>
              <w:tabs>
                <w:tab w:val="left" w:pos="1162"/>
              </w:tabs>
              <w:spacing w:before="80" w:after="80"/>
              <w:rPr>
                <w:rFonts w:eastAsiaTheme="minorHAnsi" w:cs="Arial"/>
                <w:b/>
                <w:noProof/>
                <w:color w:val="000000"/>
                <w:sz w:val="18"/>
                <w:szCs w:val="18"/>
              </w:rPr>
            </w:pPr>
            <w:r>
              <w:rPr>
                <w:rFonts w:cs="Arial"/>
                <w:color w:val="000000"/>
                <w:sz w:val="18"/>
                <w:szCs w:val="18"/>
              </w:rPr>
              <w:t>E10</w:t>
            </w:r>
          </w:p>
        </w:tc>
        <w:tc>
          <w:tcPr>
            <w:tcW w:w="1559" w:type="dxa"/>
            <w:shd w:val="clear" w:color="auto" w:fill="auto"/>
            <w:noWrap/>
          </w:tcPr>
          <w:p w14:paraId="515F2B44" w14:textId="77777777" w:rsidR="00BA577C" w:rsidRDefault="00BA577C" w:rsidP="00560AC0">
            <w:pPr>
              <w:tabs>
                <w:tab w:val="left" w:pos="1162"/>
              </w:tabs>
              <w:spacing w:before="80" w:after="80"/>
              <w:rPr>
                <w:rFonts w:cs="Arial"/>
                <w:color w:val="000000"/>
                <w:sz w:val="18"/>
                <w:szCs w:val="18"/>
              </w:rPr>
            </w:pPr>
            <w:r>
              <w:rPr>
                <w:rFonts w:cs="Arial"/>
                <w:color w:val="000000"/>
                <w:sz w:val="18"/>
                <w:szCs w:val="18"/>
              </w:rPr>
              <w:t>_w01</w:t>
            </w:r>
          </w:p>
        </w:tc>
        <w:tc>
          <w:tcPr>
            <w:tcW w:w="2043" w:type="dxa"/>
            <w:shd w:val="clear" w:color="auto" w:fill="auto"/>
            <w:noWrap/>
          </w:tcPr>
          <w:p w14:paraId="4B0BA5DF" w14:textId="77777777" w:rsidR="00BA577C" w:rsidRDefault="00BA577C">
            <w:pPr>
              <w:tabs>
                <w:tab w:val="left" w:pos="1162"/>
              </w:tabs>
              <w:spacing w:before="80" w:after="80"/>
              <w:rPr>
                <w:rFonts w:cs="Arial"/>
                <w:color w:val="000000"/>
                <w:sz w:val="18"/>
                <w:szCs w:val="18"/>
              </w:rPr>
            </w:pPr>
            <w:r w:rsidRPr="00E33EAE">
              <w:rPr>
                <w:rFonts w:cs="Arial"/>
                <w:color w:val="000000"/>
                <w:sz w:val="18"/>
                <w:szCs w:val="18"/>
              </w:rPr>
              <w:t>Base predicted</w:t>
            </w:r>
          </w:p>
        </w:tc>
        <w:tc>
          <w:tcPr>
            <w:tcW w:w="4142" w:type="dxa"/>
            <w:shd w:val="clear" w:color="auto" w:fill="auto"/>
          </w:tcPr>
          <w:p w14:paraId="18E73182" w14:textId="77777777" w:rsidR="00BA577C" w:rsidRDefault="00BA577C">
            <w:pPr>
              <w:tabs>
                <w:tab w:val="left" w:pos="1162"/>
              </w:tabs>
              <w:spacing w:before="80" w:after="80"/>
              <w:rPr>
                <w:rFonts w:cs="Arial"/>
                <w:color w:val="000000"/>
                <w:sz w:val="18"/>
                <w:szCs w:val="18"/>
              </w:rPr>
            </w:pPr>
            <w:r>
              <w:rPr>
                <w:rFonts w:cs="Arial"/>
                <w:color w:val="000000"/>
                <w:sz w:val="18"/>
                <w:szCs w:val="18"/>
              </w:rPr>
              <w:t>Adopt URG_PW if available else UDG_PW</w:t>
            </w:r>
          </w:p>
        </w:tc>
      </w:tr>
      <w:tr w:rsidR="00BA577C" w:rsidRPr="00587976" w14:paraId="1A99881F" w14:textId="77777777" w:rsidTr="00BA577C">
        <w:trPr>
          <w:cantSplit/>
          <w:trHeight w:val="490"/>
          <w:jc w:val="center"/>
        </w:trPr>
        <w:tc>
          <w:tcPr>
            <w:tcW w:w="1070" w:type="dxa"/>
            <w:shd w:val="clear" w:color="auto" w:fill="auto"/>
            <w:noWrap/>
          </w:tcPr>
          <w:p w14:paraId="50276D2C" w14:textId="77777777" w:rsidR="00BA577C" w:rsidRDefault="00BA577C" w:rsidP="002D606E">
            <w:pPr>
              <w:tabs>
                <w:tab w:val="left" w:pos="1162"/>
              </w:tabs>
              <w:spacing w:before="80" w:after="80"/>
              <w:rPr>
                <w:rFonts w:eastAsiaTheme="minorHAnsi" w:cs="Arial"/>
                <w:b/>
                <w:noProof/>
                <w:color w:val="000000"/>
                <w:sz w:val="18"/>
                <w:szCs w:val="18"/>
              </w:rPr>
            </w:pPr>
            <w:r>
              <w:rPr>
                <w:rFonts w:cs="Arial"/>
                <w:color w:val="000000"/>
                <w:sz w:val="18"/>
                <w:szCs w:val="18"/>
              </w:rPr>
              <w:t>E11</w:t>
            </w:r>
          </w:p>
        </w:tc>
        <w:tc>
          <w:tcPr>
            <w:tcW w:w="1559" w:type="dxa"/>
            <w:shd w:val="clear" w:color="auto" w:fill="auto"/>
            <w:noWrap/>
          </w:tcPr>
          <w:p w14:paraId="13941025" w14:textId="6FB2E513" w:rsidR="00BA577C" w:rsidRDefault="00BA577C" w:rsidP="00560AC0">
            <w:pPr>
              <w:tabs>
                <w:tab w:val="left" w:pos="1162"/>
              </w:tabs>
              <w:spacing w:before="80" w:after="80"/>
              <w:rPr>
                <w:rFonts w:cs="Arial"/>
                <w:color w:val="000000"/>
                <w:sz w:val="18"/>
                <w:szCs w:val="18"/>
              </w:rPr>
            </w:pPr>
            <w:r>
              <w:rPr>
                <w:rFonts w:cs="Arial"/>
                <w:color w:val="000000"/>
                <w:sz w:val="18"/>
                <w:szCs w:val="18"/>
              </w:rPr>
              <w:t>GWAU17</w:t>
            </w:r>
          </w:p>
        </w:tc>
        <w:tc>
          <w:tcPr>
            <w:tcW w:w="2043" w:type="dxa"/>
            <w:shd w:val="clear" w:color="auto" w:fill="auto"/>
            <w:noWrap/>
          </w:tcPr>
          <w:p w14:paraId="323C2925" w14:textId="77777777" w:rsidR="00BA577C" w:rsidRPr="00E33EAE" w:rsidRDefault="00BA577C">
            <w:pPr>
              <w:tabs>
                <w:tab w:val="left" w:pos="1162"/>
              </w:tabs>
              <w:spacing w:before="80" w:after="80"/>
              <w:rPr>
                <w:rFonts w:cs="Arial"/>
                <w:color w:val="000000"/>
                <w:sz w:val="18"/>
                <w:szCs w:val="18"/>
              </w:rPr>
            </w:pPr>
            <w:r w:rsidRPr="00E33EAE">
              <w:rPr>
                <w:rFonts w:cs="Arial"/>
                <w:color w:val="000000"/>
                <w:sz w:val="18"/>
                <w:szCs w:val="18"/>
              </w:rPr>
              <w:t>Gross Weighted Activity Unit</w:t>
            </w:r>
          </w:p>
        </w:tc>
        <w:tc>
          <w:tcPr>
            <w:tcW w:w="4142" w:type="dxa"/>
            <w:shd w:val="clear" w:color="auto" w:fill="auto"/>
          </w:tcPr>
          <w:p w14:paraId="490331C7" w14:textId="77777777" w:rsidR="00BA577C" w:rsidRDefault="00BA577C">
            <w:pPr>
              <w:tabs>
                <w:tab w:val="left" w:pos="1162"/>
              </w:tabs>
              <w:spacing w:before="80" w:after="80"/>
              <w:rPr>
                <w:rFonts w:cs="Arial"/>
                <w:color w:val="000000"/>
                <w:sz w:val="18"/>
                <w:szCs w:val="18"/>
              </w:rPr>
            </w:pPr>
            <w:r>
              <w:rPr>
                <w:rFonts w:cs="Arial"/>
                <w:color w:val="000000"/>
                <w:sz w:val="18"/>
                <w:szCs w:val="18"/>
              </w:rPr>
              <w:t>_w01*(1+adj_indigenous)*(1+adj_age)</w:t>
            </w:r>
          </w:p>
        </w:tc>
      </w:tr>
      <w:tr w:rsidR="00BA577C" w:rsidRPr="00587976" w14:paraId="261B9B76" w14:textId="77777777" w:rsidTr="00BA577C">
        <w:trPr>
          <w:cantSplit/>
          <w:trHeight w:val="490"/>
          <w:jc w:val="center"/>
        </w:trPr>
        <w:tc>
          <w:tcPr>
            <w:tcW w:w="1070" w:type="dxa"/>
            <w:shd w:val="clear" w:color="auto" w:fill="auto"/>
            <w:noWrap/>
          </w:tcPr>
          <w:p w14:paraId="38237CB4" w14:textId="77777777" w:rsidR="00BA577C" w:rsidRDefault="00BA577C" w:rsidP="002D606E">
            <w:pPr>
              <w:tabs>
                <w:tab w:val="left" w:pos="1162"/>
              </w:tabs>
              <w:spacing w:before="80" w:after="80"/>
              <w:rPr>
                <w:rFonts w:eastAsiaTheme="minorHAnsi" w:cs="Arial"/>
                <w:b/>
                <w:noProof/>
                <w:color w:val="000000"/>
                <w:sz w:val="18"/>
                <w:szCs w:val="18"/>
              </w:rPr>
            </w:pPr>
            <w:r>
              <w:rPr>
                <w:rFonts w:cs="Arial"/>
                <w:color w:val="000000"/>
                <w:sz w:val="18"/>
                <w:szCs w:val="18"/>
              </w:rPr>
              <w:t>E12</w:t>
            </w:r>
          </w:p>
        </w:tc>
        <w:tc>
          <w:tcPr>
            <w:tcW w:w="1559" w:type="dxa"/>
            <w:shd w:val="clear" w:color="auto" w:fill="auto"/>
            <w:noWrap/>
          </w:tcPr>
          <w:p w14:paraId="4473D1D1" w14:textId="52A538E6" w:rsidR="00BA577C" w:rsidRDefault="00BA577C" w:rsidP="00560AC0">
            <w:pPr>
              <w:tabs>
                <w:tab w:val="left" w:pos="1162"/>
              </w:tabs>
              <w:spacing w:before="80" w:after="80"/>
              <w:rPr>
                <w:rFonts w:cs="Arial"/>
                <w:color w:val="000000"/>
                <w:sz w:val="18"/>
                <w:szCs w:val="18"/>
              </w:rPr>
            </w:pPr>
            <w:r>
              <w:rPr>
                <w:rFonts w:cs="Arial"/>
                <w:color w:val="000000"/>
                <w:sz w:val="18"/>
                <w:szCs w:val="18"/>
              </w:rPr>
              <w:t>NWAU17</w:t>
            </w:r>
          </w:p>
        </w:tc>
        <w:tc>
          <w:tcPr>
            <w:tcW w:w="2043" w:type="dxa"/>
            <w:shd w:val="clear" w:color="auto" w:fill="auto"/>
            <w:noWrap/>
          </w:tcPr>
          <w:p w14:paraId="2A452342" w14:textId="77777777" w:rsidR="00BA577C" w:rsidRPr="00E33EAE" w:rsidRDefault="00BA577C">
            <w:pPr>
              <w:tabs>
                <w:tab w:val="left" w:pos="1162"/>
              </w:tabs>
              <w:spacing w:before="80" w:after="80"/>
              <w:rPr>
                <w:rFonts w:cs="Arial"/>
                <w:color w:val="000000"/>
                <w:sz w:val="18"/>
                <w:szCs w:val="18"/>
              </w:rPr>
            </w:pPr>
            <w:r w:rsidRPr="00E33EAE">
              <w:rPr>
                <w:rFonts w:cs="Arial"/>
                <w:color w:val="000000"/>
                <w:sz w:val="18"/>
                <w:szCs w:val="18"/>
              </w:rPr>
              <w:t>National Weighted Activity Unit</w:t>
            </w:r>
          </w:p>
        </w:tc>
        <w:tc>
          <w:tcPr>
            <w:tcW w:w="4142" w:type="dxa"/>
            <w:shd w:val="clear" w:color="auto" w:fill="auto"/>
          </w:tcPr>
          <w:p w14:paraId="396656C5" w14:textId="6A984AAD" w:rsidR="00BA577C" w:rsidRDefault="00BA577C">
            <w:pPr>
              <w:tabs>
                <w:tab w:val="left" w:pos="1162"/>
              </w:tabs>
              <w:spacing w:before="80" w:after="80"/>
              <w:rPr>
                <w:rFonts w:cs="Arial"/>
                <w:color w:val="000000"/>
                <w:sz w:val="18"/>
                <w:szCs w:val="18"/>
              </w:rPr>
            </w:pPr>
            <w:r>
              <w:rPr>
                <w:rFonts w:cs="Arial"/>
                <w:color w:val="000000"/>
                <w:sz w:val="18"/>
                <w:szCs w:val="18"/>
              </w:rPr>
              <w:t>GWAU17 for in-scope patients only (i.e. non DVA and Compensable patients)</w:t>
            </w:r>
          </w:p>
        </w:tc>
      </w:tr>
    </w:tbl>
    <w:p w14:paraId="0C27B3D2" w14:textId="77777777" w:rsidR="00B74867" w:rsidRDefault="00B74867" w:rsidP="00560AC0">
      <w:pPr>
        <w:pStyle w:val="table"/>
      </w:pPr>
      <w:bookmarkStart w:id="949" w:name="_Ref466642689"/>
    </w:p>
    <w:p w14:paraId="6A2A2A5F" w14:textId="77777777" w:rsidR="00B74867" w:rsidRDefault="00B74867">
      <w:pPr>
        <w:spacing w:after="0" w:line="240" w:lineRule="auto"/>
        <w:rPr>
          <w:rFonts w:asciiTheme="minorHAnsi" w:hAnsiTheme="minorHAnsi" w:cstheme="minorHAnsi"/>
          <w:noProof/>
          <w:color w:val="000000"/>
          <w:szCs w:val="22"/>
        </w:rPr>
      </w:pPr>
      <w:r>
        <w:br w:type="page"/>
      </w:r>
    </w:p>
    <w:bookmarkEnd w:id="949"/>
    <w:p w14:paraId="7860291E" w14:textId="22938465" w:rsidR="00BA577C" w:rsidRPr="00B325D8" w:rsidRDefault="00BA577C">
      <w:pPr>
        <w:spacing w:before="120" w:after="0" w:line="240" w:lineRule="auto"/>
        <w:rPr>
          <w:b/>
        </w:rPr>
      </w:pPr>
      <w:r w:rsidRPr="00B325D8">
        <w:rPr>
          <w:b/>
        </w:rPr>
        <w:lastRenderedPageBreak/>
        <w:t xml:space="preserve">Table </w:t>
      </w:r>
      <w:r w:rsidRPr="00B325D8">
        <w:rPr>
          <w:b/>
        </w:rPr>
        <w:fldChar w:fldCharType="begin"/>
      </w:r>
      <w:r w:rsidRPr="00B325D8">
        <w:rPr>
          <w:b/>
        </w:rPr>
        <w:instrText xml:space="preserve"> SEQ Table \* ARABIC </w:instrText>
      </w:r>
      <w:r w:rsidRPr="00B325D8">
        <w:rPr>
          <w:b/>
        </w:rPr>
        <w:fldChar w:fldCharType="separate"/>
      </w:r>
      <w:r w:rsidR="00F84458">
        <w:rPr>
          <w:b/>
          <w:noProof/>
        </w:rPr>
        <w:t>25</w:t>
      </w:r>
      <w:r w:rsidRPr="00B325D8">
        <w:rPr>
          <w:b/>
        </w:rPr>
        <w:fldChar w:fldCharType="end"/>
      </w:r>
      <w:r w:rsidRPr="00B325D8">
        <w:rPr>
          <w:b/>
        </w:rPr>
        <w:t xml:space="preserve">: </w:t>
      </w:r>
      <w:r>
        <w:rPr>
          <w:b/>
        </w:rPr>
        <w:t>Non-Admitted: Variable Definitions</w:t>
      </w:r>
    </w:p>
    <w:tbl>
      <w:tblPr>
        <w:tblW w:w="8534" w:type="dxa"/>
        <w:tblInd w:w="9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Description w:val="A summary of table 12  is outlined in the text prior to this table."/>
      </w:tblPr>
      <w:tblGrid>
        <w:gridCol w:w="992"/>
        <w:gridCol w:w="1843"/>
        <w:gridCol w:w="1843"/>
        <w:gridCol w:w="3856"/>
      </w:tblGrid>
      <w:tr w:rsidR="00BA577C" w:rsidRPr="00BA577C" w14:paraId="0AD8E357" w14:textId="77777777" w:rsidTr="00BA577C">
        <w:trPr>
          <w:cantSplit/>
          <w:trHeight w:val="225"/>
          <w:tblHeader/>
        </w:trPr>
        <w:tc>
          <w:tcPr>
            <w:tcW w:w="992" w:type="dxa"/>
            <w:shd w:val="clear" w:color="auto" w:fill="288A32"/>
            <w:noWrap/>
            <w:vAlign w:val="center"/>
            <w:hideMark/>
          </w:tcPr>
          <w:p w14:paraId="76D242CA" w14:textId="77777777" w:rsidR="00BA577C" w:rsidRPr="00BA577C" w:rsidRDefault="00BA577C" w:rsidP="002D606E">
            <w:pPr>
              <w:tabs>
                <w:tab w:val="left" w:pos="1162"/>
              </w:tabs>
              <w:spacing w:before="80" w:after="80"/>
              <w:rPr>
                <w:rFonts w:cs="Arial"/>
                <w:b/>
                <w:bCs/>
                <w:color w:val="FFFFFF" w:themeColor="background1"/>
                <w:sz w:val="18"/>
                <w:szCs w:val="18"/>
              </w:rPr>
            </w:pPr>
            <w:r w:rsidRPr="00BA577C">
              <w:rPr>
                <w:rFonts w:cs="Arial"/>
                <w:b/>
                <w:bCs/>
                <w:color w:val="FFFFFF" w:themeColor="background1"/>
                <w:sz w:val="18"/>
                <w:szCs w:val="18"/>
              </w:rPr>
              <w:t>Variable</w:t>
            </w:r>
          </w:p>
        </w:tc>
        <w:tc>
          <w:tcPr>
            <w:tcW w:w="1843" w:type="dxa"/>
            <w:shd w:val="clear" w:color="auto" w:fill="288A32"/>
            <w:noWrap/>
            <w:vAlign w:val="center"/>
            <w:hideMark/>
          </w:tcPr>
          <w:p w14:paraId="7B594341" w14:textId="77777777" w:rsidR="00BA577C" w:rsidRPr="00BA577C" w:rsidRDefault="00BA577C" w:rsidP="00560AC0">
            <w:pPr>
              <w:tabs>
                <w:tab w:val="left" w:pos="1162"/>
              </w:tabs>
              <w:spacing w:before="80" w:after="80"/>
              <w:rPr>
                <w:rFonts w:cs="Arial"/>
                <w:b/>
                <w:bCs/>
                <w:color w:val="FFFFFF" w:themeColor="background1"/>
                <w:sz w:val="18"/>
                <w:szCs w:val="18"/>
              </w:rPr>
            </w:pPr>
            <w:r w:rsidRPr="00BA577C">
              <w:rPr>
                <w:rFonts w:cs="Arial"/>
                <w:b/>
                <w:bCs/>
                <w:color w:val="FFFFFF" w:themeColor="background1"/>
                <w:sz w:val="18"/>
                <w:szCs w:val="18"/>
              </w:rPr>
              <w:t>Name</w:t>
            </w:r>
          </w:p>
        </w:tc>
        <w:tc>
          <w:tcPr>
            <w:tcW w:w="1843" w:type="dxa"/>
            <w:shd w:val="clear" w:color="auto" w:fill="288A32"/>
            <w:vAlign w:val="center"/>
            <w:hideMark/>
          </w:tcPr>
          <w:p w14:paraId="2A7608D4" w14:textId="77777777" w:rsidR="00BA577C" w:rsidRPr="00BA577C" w:rsidRDefault="00BA577C">
            <w:pPr>
              <w:tabs>
                <w:tab w:val="left" w:pos="1162"/>
              </w:tabs>
              <w:spacing w:before="80" w:after="80"/>
              <w:rPr>
                <w:rFonts w:cs="Arial"/>
                <w:b/>
                <w:bCs/>
                <w:color w:val="FFFFFF" w:themeColor="background1"/>
                <w:sz w:val="18"/>
                <w:szCs w:val="18"/>
              </w:rPr>
            </w:pPr>
            <w:r w:rsidRPr="00BA577C">
              <w:rPr>
                <w:rFonts w:cs="Arial"/>
                <w:b/>
                <w:bCs/>
                <w:color w:val="FFFFFF" w:themeColor="background1"/>
                <w:sz w:val="18"/>
                <w:szCs w:val="18"/>
              </w:rPr>
              <w:t>Description</w:t>
            </w:r>
          </w:p>
        </w:tc>
        <w:tc>
          <w:tcPr>
            <w:tcW w:w="3856" w:type="dxa"/>
            <w:shd w:val="clear" w:color="auto" w:fill="288A32"/>
            <w:vAlign w:val="center"/>
            <w:hideMark/>
          </w:tcPr>
          <w:p w14:paraId="0D3D7C5E" w14:textId="77777777" w:rsidR="00BA577C" w:rsidRPr="00BA577C" w:rsidRDefault="00BA577C">
            <w:pPr>
              <w:tabs>
                <w:tab w:val="left" w:pos="1162"/>
              </w:tabs>
              <w:spacing w:before="80" w:after="80"/>
              <w:rPr>
                <w:rFonts w:cs="Arial"/>
                <w:b/>
                <w:bCs/>
                <w:color w:val="FFFFFF" w:themeColor="background1"/>
                <w:sz w:val="18"/>
                <w:szCs w:val="18"/>
              </w:rPr>
            </w:pPr>
            <w:r w:rsidRPr="00BA577C">
              <w:rPr>
                <w:rFonts w:cs="Arial"/>
                <w:b/>
                <w:bCs/>
                <w:color w:val="FFFFFF" w:themeColor="background1"/>
                <w:sz w:val="18"/>
                <w:szCs w:val="18"/>
              </w:rPr>
              <w:t>Definition</w:t>
            </w:r>
          </w:p>
        </w:tc>
      </w:tr>
      <w:tr w:rsidR="00BA577C" w:rsidRPr="00587976" w14:paraId="60874136" w14:textId="77777777" w:rsidTr="00BA577C">
        <w:trPr>
          <w:cantSplit/>
          <w:trHeight w:val="450"/>
        </w:trPr>
        <w:tc>
          <w:tcPr>
            <w:tcW w:w="992" w:type="dxa"/>
            <w:shd w:val="clear" w:color="auto" w:fill="auto"/>
            <w:noWrap/>
            <w:hideMark/>
          </w:tcPr>
          <w:p w14:paraId="4681197D" w14:textId="77777777" w:rsidR="00BA577C" w:rsidRPr="00771DEF" w:rsidRDefault="00BA577C" w:rsidP="002D606E">
            <w:pPr>
              <w:tabs>
                <w:tab w:val="left" w:pos="1162"/>
              </w:tabs>
              <w:spacing w:before="80" w:after="80"/>
              <w:rPr>
                <w:rFonts w:cs="Arial"/>
                <w:color w:val="000000"/>
                <w:sz w:val="18"/>
                <w:szCs w:val="18"/>
              </w:rPr>
            </w:pPr>
            <w:r w:rsidRPr="00771DEF">
              <w:rPr>
                <w:rFonts w:cs="Arial"/>
                <w:color w:val="000000"/>
                <w:sz w:val="18"/>
                <w:szCs w:val="18"/>
              </w:rPr>
              <w:t>N01</w:t>
            </w:r>
          </w:p>
        </w:tc>
        <w:tc>
          <w:tcPr>
            <w:tcW w:w="1843" w:type="dxa"/>
            <w:shd w:val="clear" w:color="auto" w:fill="auto"/>
            <w:noWrap/>
            <w:hideMark/>
          </w:tcPr>
          <w:p w14:paraId="61BBBCD4" w14:textId="77777777" w:rsidR="00BA577C" w:rsidRPr="00771DEF" w:rsidRDefault="00BA577C" w:rsidP="00560AC0">
            <w:pPr>
              <w:tabs>
                <w:tab w:val="left" w:pos="1162"/>
              </w:tabs>
              <w:spacing w:before="80" w:after="80"/>
              <w:rPr>
                <w:rFonts w:cs="Arial"/>
                <w:color w:val="000000"/>
                <w:sz w:val="18"/>
                <w:szCs w:val="18"/>
              </w:rPr>
            </w:pPr>
            <w:r w:rsidRPr="00771DEF">
              <w:rPr>
                <w:rFonts w:cs="Arial"/>
                <w:color w:val="000000"/>
                <w:sz w:val="18"/>
                <w:szCs w:val="18"/>
              </w:rPr>
              <w:t>_</w:t>
            </w:r>
            <w:proofErr w:type="spellStart"/>
            <w:r w:rsidRPr="00771DEF">
              <w:rPr>
                <w:rFonts w:cs="Arial"/>
                <w:color w:val="000000"/>
                <w:sz w:val="18"/>
                <w:szCs w:val="18"/>
              </w:rPr>
              <w:t>pat_ind_flag</w:t>
            </w:r>
            <w:proofErr w:type="spellEnd"/>
          </w:p>
        </w:tc>
        <w:tc>
          <w:tcPr>
            <w:tcW w:w="1843" w:type="dxa"/>
            <w:shd w:val="clear" w:color="auto" w:fill="auto"/>
            <w:hideMark/>
          </w:tcPr>
          <w:p w14:paraId="7A480AD9" w14:textId="77777777" w:rsidR="00BA577C" w:rsidRPr="00771DEF" w:rsidRDefault="00BA577C">
            <w:pPr>
              <w:tabs>
                <w:tab w:val="left" w:pos="1162"/>
              </w:tabs>
              <w:spacing w:before="80" w:after="80"/>
              <w:rPr>
                <w:rFonts w:cs="Arial"/>
                <w:color w:val="000000"/>
                <w:sz w:val="18"/>
                <w:szCs w:val="18"/>
              </w:rPr>
            </w:pPr>
            <w:r w:rsidRPr="00771DEF">
              <w:rPr>
                <w:rFonts w:cs="Arial"/>
                <w:color w:val="000000"/>
                <w:sz w:val="18"/>
                <w:szCs w:val="18"/>
              </w:rPr>
              <w:t>Indigenous patient flag</w:t>
            </w:r>
          </w:p>
        </w:tc>
        <w:tc>
          <w:tcPr>
            <w:tcW w:w="3856" w:type="dxa"/>
            <w:shd w:val="clear" w:color="auto" w:fill="auto"/>
            <w:hideMark/>
          </w:tcPr>
          <w:p w14:paraId="38D50E02" w14:textId="77777777" w:rsidR="00BA577C" w:rsidRPr="00497236" w:rsidRDefault="00BA577C">
            <w:pPr>
              <w:tabs>
                <w:tab w:val="left" w:pos="1162"/>
              </w:tabs>
              <w:spacing w:before="80" w:after="80"/>
              <w:rPr>
                <w:rFonts w:cs="Arial"/>
                <w:color w:val="000000"/>
                <w:sz w:val="18"/>
                <w:szCs w:val="18"/>
              </w:rPr>
            </w:pPr>
            <w:r w:rsidRPr="00497236">
              <w:rPr>
                <w:rFonts w:cs="Arial"/>
                <w:color w:val="000000"/>
                <w:sz w:val="18"/>
                <w:szCs w:val="18"/>
              </w:rPr>
              <w:t>1 if Patient Indigenous Status = 1, 2 or 3; else</w:t>
            </w:r>
            <w:r>
              <w:rPr>
                <w:rFonts w:cs="Arial"/>
                <w:color w:val="000000"/>
                <w:sz w:val="18"/>
                <w:szCs w:val="18"/>
              </w:rPr>
              <w:t xml:space="preserve"> </w:t>
            </w:r>
            <w:r w:rsidRPr="00497236">
              <w:rPr>
                <w:rFonts w:cs="Arial"/>
                <w:color w:val="000000"/>
                <w:sz w:val="18"/>
                <w:szCs w:val="18"/>
              </w:rPr>
              <w:t>0.</w:t>
            </w:r>
          </w:p>
        </w:tc>
      </w:tr>
      <w:tr w:rsidR="00BA577C" w:rsidRPr="00587976" w14:paraId="4C994BFB" w14:textId="77777777" w:rsidTr="00BA577C">
        <w:trPr>
          <w:cantSplit/>
          <w:trHeight w:val="225"/>
        </w:trPr>
        <w:tc>
          <w:tcPr>
            <w:tcW w:w="992" w:type="dxa"/>
            <w:shd w:val="clear" w:color="auto" w:fill="auto"/>
            <w:noWrap/>
            <w:hideMark/>
          </w:tcPr>
          <w:p w14:paraId="31F6CCF2" w14:textId="77777777" w:rsidR="00BA577C" w:rsidRPr="00771DEF" w:rsidRDefault="00BA577C" w:rsidP="002D606E">
            <w:pPr>
              <w:tabs>
                <w:tab w:val="left" w:pos="1162"/>
              </w:tabs>
              <w:spacing w:before="80" w:after="80"/>
              <w:rPr>
                <w:rFonts w:eastAsiaTheme="minorHAnsi" w:cs="Arial"/>
                <w:b/>
                <w:noProof/>
                <w:color w:val="000000"/>
                <w:sz w:val="18"/>
                <w:szCs w:val="18"/>
              </w:rPr>
            </w:pPr>
            <w:r w:rsidRPr="00771DEF">
              <w:rPr>
                <w:rFonts w:cs="Arial"/>
                <w:color w:val="000000"/>
                <w:sz w:val="18"/>
                <w:szCs w:val="18"/>
              </w:rPr>
              <w:t>N02</w:t>
            </w:r>
          </w:p>
        </w:tc>
        <w:tc>
          <w:tcPr>
            <w:tcW w:w="1843" w:type="dxa"/>
            <w:shd w:val="clear" w:color="auto" w:fill="auto"/>
            <w:noWrap/>
            <w:hideMark/>
          </w:tcPr>
          <w:p w14:paraId="64211F00" w14:textId="77777777" w:rsidR="00BA577C" w:rsidRPr="00497236" w:rsidRDefault="00BA577C" w:rsidP="00560AC0">
            <w:pPr>
              <w:tabs>
                <w:tab w:val="left" w:pos="1162"/>
              </w:tabs>
              <w:spacing w:before="80" w:after="80"/>
              <w:rPr>
                <w:rFonts w:cs="Arial"/>
                <w:color w:val="000000"/>
                <w:sz w:val="18"/>
                <w:szCs w:val="18"/>
              </w:rPr>
            </w:pPr>
            <w:proofErr w:type="spellStart"/>
            <w:r w:rsidRPr="00771DEF">
              <w:rPr>
                <w:rFonts w:cs="Arial"/>
                <w:color w:val="000000"/>
                <w:sz w:val="18"/>
                <w:szCs w:val="18"/>
              </w:rPr>
              <w:t>clinic_pw</w:t>
            </w:r>
            <w:proofErr w:type="spellEnd"/>
          </w:p>
        </w:tc>
        <w:tc>
          <w:tcPr>
            <w:tcW w:w="1843" w:type="dxa"/>
            <w:shd w:val="clear" w:color="auto" w:fill="auto"/>
            <w:noWrap/>
            <w:hideMark/>
          </w:tcPr>
          <w:p w14:paraId="65AF40F4" w14:textId="77777777" w:rsidR="00BA577C" w:rsidRPr="00497236" w:rsidRDefault="00BA577C">
            <w:pPr>
              <w:tabs>
                <w:tab w:val="left" w:pos="1162"/>
              </w:tabs>
              <w:spacing w:before="80" w:after="80"/>
              <w:rPr>
                <w:rFonts w:cs="Arial"/>
                <w:color w:val="000000"/>
                <w:sz w:val="18"/>
                <w:szCs w:val="18"/>
              </w:rPr>
            </w:pPr>
            <w:r w:rsidRPr="00497236">
              <w:rPr>
                <w:rFonts w:cs="Arial"/>
                <w:color w:val="000000"/>
                <w:sz w:val="18"/>
                <w:szCs w:val="18"/>
              </w:rPr>
              <w:t>See definition</w:t>
            </w:r>
          </w:p>
        </w:tc>
        <w:tc>
          <w:tcPr>
            <w:tcW w:w="3856" w:type="dxa"/>
            <w:shd w:val="clear" w:color="auto" w:fill="auto"/>
            <w:noWrap/>
            <w:hideMark/>
          </w:tcPr>
          <w:p w14:paraId="0F5BB772" w14:textId="77777777" w:rsidR="00BA577C" w:rsidRPr="00497236" w:rsidRDefault="00BA577C">
            <w:pPr>
              <w:tabs>
                <w:tab w:val="left" w:pos="1162"/>
              </w:tabs>
              <w:spacing w:before="80" w:after="80"/>
              <w:rPr>
                <w:rFonts w:cs="Arial"/>
                <w:color w:val="000000"/>
                <w:sz w:val="18"/>
                <w:szCs w:val="18"/>
              </w:rPr>
            </w:pPr>
            <w:r w:rsidRPr="00497236">
              <w:rPr>
                <w:rFonts w:cs="Arial"/>
                <w:color w:val="000000"/>
                <w:sz w:val="18"/>
                <w:szCs w:val="18"/>
              </w:rPr>
              <w:t>Tier 2 Clinic price weight, taken from NWAU Price Weight table.</w:t>
            </w:r>
          </w:p>
        </w:tc>
      </w:tr>
      <w:tr w:rsidR="00BA577C" w:rsidRPr="00587976" w14:paraId="1028FA58" w14:textId="77777777" w:rsidTr="00BA577C">
        <w:trPr>
          <w:cantSplit/>
          <w:trHeight w:val="225"/>
        </w:trPr>
        <w:tc>
          <w:tcPr>
            <w:tcW w:w="992" w:type="dxa"/>
            <w:tcBorders>
              <w:bottom w:val="single" w:sz="4" w:space="0" w:color="595959" w:themeColor="text1" w:themeTint="A6"/>
            </w:tcBorders>
            <w:shd w:val="clear" w:color="auto" w:fill="auto"/>
            <w:noWrap/>
            <w:hideMark/>
          </w:tcPr>
          <w:p w14:paraId="421ADB15" w14:textId="77777777" w:rsidR="00BA577C" w:rsidRPr="00163EB6" w:rsidRDefault="00BA577C" w:rsidP="002D606E">
            <w:pPr>
              <w:tabs>
                <w:tab w:val="left" w:pos="1162"/>
              </w:tabs>
              <w:spacing w:before="80" w:after="80"/>
              <w:rPr>
                <w:rFonts w:eastAsiaTheme="minorHAnsi" w:cs="Arial"/>
                <w:b/>
                <w:noProof/>
                <w:color w:val="000000"/>
                <w:sz w:val="18"/>
                <w:szCs w:val="18"/>
              </w:rPr>
            </w:pPr>
            <w:r w:rsidRPr="00163EB6">
              <w:rPr>
                <w:rFonts w:cs="Arial"/>
                <w:color w:val="000000"/>
                <w:sz w:val="18"/>
                <w:szCs w:val="18"/>
              </w:rPr>
              <w:t>N03</w:t>
            </w:r>
          </w:p>
        </w:tc>
        <w:tc>
          <w:tcPr>
            <w:tcW w:w="1843" w:type="dxa"/>
            <w:shd w:val="clear" w:color="auto" w:fill="auto"/>
            <w:noWrap/>
            <w:hideMark/>
          </w:tcPr>
          <w:p w14:paraId="1B5384F4" w14:textId="77777777" w:rsidR="00BA577C" w:rsidRPr="00163EB6" w:rsidRDefault="00BA577C" w:rsidP="00560AC0">
            <w:pPr>
              <w:tabs>
                <w:tab w:val="left" w:pos="1162"/>
              </w:tabs>
              <w:spacing w:before="80" w:after="80"/>
              <w:rPr>
                <w:rFonts w:cs="Arial"/>
                <w:color w:val="000000"/>
                <w:sz w:val="18"/>
                <w:szCs w:val="18"/>
              </w:rPr>
            </w:pPr>
            <w:proofErr w:type="spellStart"/>
            <w:r w:rsidRPr="00163EB6">
              <w:rPr>
                <w:rFonts w:cs="Arial"/>
                <w:color w:val="000000"/>
                <w:sz w:val="18"/>
                <w:szCs w:val="18"/>
              </w:rPr>
              <w:t>adj_indigenous</w:t>
            </w:r>
            <w:proofErr w:type="spellEnd"/>
          </w:p>
        </w:tc>
        <w:tc>
          <w:tcPr>
            <w:tcW w:w="1843" w:type="dxa"/>
            <w:shd w:val="clear" w:color="auto" w:fill="auto"/>
            <w:noWrap/>
            <w:hideMark/>
          </w:tcPr>
          <w:p w14:paraId="6E2053B0" w14:textId="77777777" w:rsidR="00BA577C" w:rsidRPr="00163EB6" w:rsidRDefault="00BA577C">
            <w:pPr>
              <w:tabs>
                <w:tab w:val="left" w:pos="1162"/>
              </w:tabs>
              <w:spacing w:before="80" w:after="80"/>
              <w:rPr>
                <w:rFonts w:cs="Arial"/>
                <w:color w:val="000000"/>
                <w:sz w:val="18"/>
                <w:szCs w:val="18"/>
              </w:rPr>
            </w:pPr>
            <w:r w:rsidRPr="00163EB6">
              <w:rPr>
                <w:rFonts w:cs="Arial"/>
                <w:color w:val="000000"/>
                <w:sz w:val="18"/>
                <w:szCs w:val="18"/>
              </w:rPr>
              <w:t>See definition</w:t>
            </w:r>
          </w:p>
        </w:tc>
        <w:tc>
          <w:tcPr>
            <w:tcW w:w="3856" w:type="dxa"/>
            <w:shd w:val="clear" w:color="auto" w:fill="auto"/>
            <w:noWrap/>
            <w:hideMark/>
          </w:tcPr>
          <w:p w14:paraId="693778FA" w14:textId="77777777" w:rsidR="00BA577C" w:rsidRPr="00163EB6" w:rsidRDefault="00BA577C">
            <w:pPr>
              <w:tabs>
                <w:tab w:val="left" w:pos="1162"/>
              </w:tabs>
              <w:spacing w:before="80" w:after="80"/>
              <w:rPr>
                <w:rFonts w:cs="Arial"/>
                <w:color w:val="000000"/>
                <w:sz w:val="18"/>
                <w:szCs w:val="18"/>
              </w:rPr>
            </w:pPr>
            <w:r w:rsidRPr="00163EB6">
              <w:rPr>
                <w:rFonts w:cs="Arial"/>
                <w:color w:val="000000"/>
                <w:sz w:val="18"/>
                <w:szCs w:val="18"/>
              </w:rPr>
              <w:t>Indigenous adjustment from NWAU Adjustment table.</w:t>
            </w:r>
          </w:p>
        </w:tc>
      </w:tr>
      <w:tr w:rsidR="00BA577C" w:rsidRPr="00587976" w14:paraId="7FC93533" w14:textId="77777777" w:rsidTr="00BA577C">
        <w:trPr>
          <w:cantSplit/>
          <w:trHeight w:val="225"/>
        </w:trPr>
        <w:tc>
          <w:tcPr>
            <w:tcW w:w="992" w:type="dxa"/>
            <w:tcBorders>
              <w:bottom w:val="single" w:sz="4" w:space="0" w:color="auto"/>
            </w:tcBorders>
            <w:shd w:val="clear" w:color="auto" w:fill="auto"/>
            <w:noWrap/>
            <w:hideMark/>
          </w:tcPr>
          <w:p w14:paraId="45B89CC3" w14:textId="77777777" w:rsidR="00BA577C" w:rsidRPr="00771DEF" w:rsidRDefault="00BA577C" w:rsidP="002D606E">
            <w:pPr>
              <w:tabs>
                <w:tab w:val="left" w:pos="1162"/>
              </w:tabs>
              <w:spacing w:before="80" w:after="80"/>
              <w:rPr>
                <w:rFonts w:eastAsiaTheme="minorHAnsi" w:cs="Arial"/>
                <w:b/>
                <w:noProof/>
                <w:color w:val="000000"/>
                <w:sz w:val="18"/>
                <w:szCs w:val="18"/>
              </w:rPr>
            </w:pPr>
            <w:r w:rsidRPr="00771DEF">
              <w:rPr>
                <w:rFonts w:cs="Arial"/>
                <w:color w:val="000000"/>
                <w:sz w:val="18"/>
                <w:szCs w:val="18"/>
              </w:rPr>
              <w:t>N04</w:t>
            </w:r>
          </w:p>
        </w:tc>
        <w:tc>
          <w:tcPr>
            <w:tcW w:w="1843" w:type="dxa"/>
            <w:shd w:val="clear" w:color="auto" w:fill="auto"/>
            <w:noWrap/>
            <w:hideMark/>
          </w:tcPr>
          <w:p w14:paraId="5662BEC1" w14:textId="77777777" w:rsidR="00BA577C" w:rsidRPr="00497236" w:rsidRDefault="00BA577C" w:rsidP="00560AC0">
            <w:pPr>
              <w:tabs>
                <w:tab w:val="left" w:pos="1162"/>
              </w:tabs>
              <w:spacing w:before="80" w:after="80"/>
              <w:rPr>
                <w:rFonts w:cs="Arial"/>
                <w:color w:val="000000"/>
                <w:sz w:val="18"/>
                <w:szCs w:val="18"/>
              </w:rPr>
            </w:pPr>
            <w:proofErr w:type="spellStart"/>
            <w:r w:rsidRPr="00497236">
              <w:rPr>
                <w:rFonts w:cs="Arial"/>
                <w:color w:val="000000"/>
                <w:sz w:val="18"/>
                <w:szCs w:val="18"/>
              </w:rPr>
              <w:t>Error_Code</w:t>
            </w:r>
            <w:proofErr w:type="spellEnd"/>
          </w:p>
        </w:tc>
        <w:tc>
          <w:tcPr>
            <w:tcW w:w="1843" w:type="dxa"/>
            <w:shd w:val="clear" w:color="auto" w:fill="auto"/>
            <w:noWrap/>
            <w:hideMark/>
          </w:tcPr>
          <w:p w14:paraId="253CCAC1" w14:textId="77777777" w:rsidR="00BA577C" w:rsidRPr="00497236" w:rsidRDefault="00BA577C">
            <w:pPr>
              <w:tabs>
                <w:tab w:val="left" w:pos="1162"/>
              </w:tabs>
              <w:spacing w:before="80" w:after="80"/>
              <w:rPr>
                <w:rFonts w:cs="Arial"/>
                <w:color w:val="000000"/>
                <w:sz w:val="18"/>
                <w:szCs w:val="18"/>
              </w:rPr>
            </w:pPr>
            <w:r w:rsidRPr="00497236">
              <w:rPr>
                <w:rFonts w:cs="Arial"/>
                <w:color w:val="000000"/>
                <w:sz w:val="18"/>
                <w:szCs w:val="18"/>
              </w:rPr>
              <w:t>See definition</w:t>
            </w:r>
          </w:p>
        </w:tc>
        <w:tc>
          <w:tcPr>
            <w:tcW w:w="3856" w:type="dxa"/>
            <w:shd w:val="clear" w:color="auto" w:fill="auto"/>
            <w:hideMark/>
          </w:tcPr>
          <w:p w14:paraId="283B2362" w14:textId="77777777" w:rsidR="00BA577C" w:rsidRPr="00497236" w:rsidRDefault="00BA577C">
            <w:pPr>
              <w:tabs>
                <w:tab w:val="left" w:pos="1162"/>
              </w:tabs>
              <w:spacing w:before="80" w:after="80"/>
              <w:rPr>
                <w:rFonts w:cs="Arial"/>
                <w:color w:val="000000"/>
                <w:sz w:val="18"/>
                <w:szCs w:val="18"/>
              </w:rPr>
            </w:pPr>
            <w:r w:rsidRPr="00497236">
              <w:rPr>
                <w:rFonts w:cs="Arial"/>
                <w:color w:val="000000"/>
                <w:sz w:val="18"/>
                <w:szCs w:val="18"/>
              </w:rPr>
              <w:t>Outlines Errors in calculations</w:t>
            </w:r>
          </w:p>
        </w:tc>
      </w:tr>
      <w:tr w:rsidR="00BA577C" w:rsidRPr="00587976" w14:paraId="6FEF5FE4" w14:textId="77777777" w:rsidTr="00BA577C">
        <w:trPr>
          <w:cantSplit/>
          <w:trHeight w:val="225"/>
        </w:trPr>
        <w:tc>
          <w:tcPr>
            <w:tcW w:w="992" w:type="dxa"/>
            <w:tcBorders>
              <w:top w:val="single" w:sz="4" w:space="0" w:color="auto"/>
              <w:bottom w:val="single" w:sz="4" w:space="0" w:color="auto"/>
            </w:tcBorders>
            <w:shd w:val="clear" w:color="auto" w:fill="auto"/>
            <w:noWrap/>
          </w:tcPr>
          <w:p w14:paraId="6B7886FF" w14:textId="77777777" w:rsidR="00BA577C" w:rsidRPr="00BA577C" w:rsidRDefault="00BA577C" w:rsidP="002D606E">
            <w:pPr>
              <w:tabs>
                <w:tab w:val="left" w:pos="1162"/>
              </w:tabs>
              <w:spacing w:before="80" w:after="80"/>
              <w:rPr>
                <w:rFonts w:eastAsiaTheme="minorHAnsi" w:cs="Arial"/>
                <w:b/>
                <w:noProof/>
                <w:color w:val="000000"/>
                <w:sz w:val="18"/>
                <w:szCs w:val="18"/>
              </w:rPr>
            </w:pPr>
            <w:r w:rsidRPr="00BA577C">
              <w:rPr>
                <w:rFonts w:cs="Arial"/>
                <w:color w:val="000000"/>
                <w:sz w:val="18"/>
                <w:szCs w:val="18"/>
              </w:rPr>
              <w:t>N05</w:t>
            </w:r>
          </w:p>
        </w:tc>
        <w:tc>
          <w:tcPr>
            <w:tcW w:w="1843" w:type="dxa"/>
            <w:shd w:val="clear" w:color="auto" w:fill="auto"/>
            <w:noWrap/>
          </w:tcPr>
          <w:p w14:paraId="09DFC765" w14:textId="186F381F" w:rsidR="00BA577C" w:rsidRPr="00BA577C" w:rsidRDefault="00BA577C" w:rsidP="00560AC0">
            <w:pPr>
              <w:tabs>
                <w:tab w:val="left" w:pos="1162"/>
              </w:tabs>
              <w:spacing w:before="80" w:after="80"/>
              <w:rPr>
                <w:rFonts w:cs="Arial"/>
                <w:color w:val="000000"/>
                <w:sz w:val="18"/>
                <w:szCs w:val="18"/>
              </w:rPr>
            </w:pPr>
            <w:r w:rsidRPr="00BA577C">
              <w:rPr>
                <w:rFonts w:cs="Arial"/>
                <w:color w:val="000000"/>
                <w:sz w:val="18"/>
                <w:szCs w:val="18"/>
              </w:rPr>
              <w:t>GWAU17</w:t>
            </w:r>
          </w:p>
        </w:tc>
        <w:tc>
          <w:tcPr>
            <w:tcW w:w="1843" w:type="dxa"/>
            <w:shd w:val="clear" w:color="auto" w:fill="auto"/>
            <w:noWrap/>
          </w:tcPr>
          <w:p w14:paraId="68F130C0" w14:textId="77777777" w:rsidR="00BA577C" w:rsidRPr="00BA577C" w:rsidRDefault="00BA577C">
            <w:pPr>
              <w:tabs>
                <w:tab w:val="left" w:pos="1162"/>
              </w:tabs>
              <w:spacing w:before="80" w:after="80"/>
              <w:rPr>
                <w:rFonts w:cs="Arial"/>
                <w:color w:val="000000"/>
                <w:sz w:val="18"/>
                <w:szCs w:val="18"/>
              </w:rPr>
            </w:pPr>
            <w:r w:rsidRPr="00BA577C">
              <w:rPr>
                <w:rFonts w:cs="Arial"/>
                <w:color w:val="000000"/>
                <w:sz w:val="18"/>
                <w:szCs w:val="20"/>
              </w:rPr>
              <w:t>Gross Weighted Activity Unit</w:t>
            </w:r>
          </w:p>
        </w:tc>
        <w:tc>
          <w:tcPr>
            <w:tcW w:w="3856" w:type="dxa"/>
            <w:shd w:val="clear" w:color="auto" w:fill="auto"/>
          </w:tcPr>
          <w:p w14:paraId="07E82566" w14:textId="77777777" w:rsidR="00BA577C" w:rsidRPr="00BA577C" w:rsidRDefault="00BA577C">
            <w:pPr>
              <w:tabs>
                <w:tab w:val="left" w:pos="1162"/>
              </w:tabs>
              <w:spacing w:before="80" w:after="80"/>
              <w:rPr>
                <w:rFonts w:cs="Arial"/>
                <w:color w:val="000000"/>
                <w:sz w:val="18"/>
                <w:szCs w:val="18"/>
              </w:rPr>
            </w:pPr>
            <w:proofErr w:type="spellStart"/>
            <w:r w:rsidRPr="00BA577C">
              <w:rPr>
                <w:rFonts w:cs="Arial"/>
                <w:color w:val="000000"/>
                <w:sz w:val="18"/>
                <w:szCs w:val="18"/>
              </w:rPr>
              <w:t>clinic_pw</w:t>
            </w:r>
            <w:proofErr w:type="spellEnd"/>
            <w:r w:rsidRPr="00BA577C">
              <w:rPr>
                <w:rFonts w:cs="Arial"/>
                <w:color w:val="000000"/>
                <w:sz w:val="18"/>
                <w:szCs w:val="18"/>
              </w:rPr>
              <w:t>*(1+adj_indigenous+adj_multiprov*)</w:t>
            </w:r>
          </w:p>
        </w:tc>
      </w:tr>
      <w:tr w:rsidR="00BA577C" w:rsidRPr="00587976" w14:paraId="46A77232" w14:textId="77777777" w:rsidTr="00BA577C">
        <w:trPr>
          <w:cantSplit/>
          <w:trHeight w:val="225"/>
        </w:trPr>
        <w:tc>
          <w:tcPr>
            <w:tcW w:w="992" w:type="dxa"/>
            <w:tcBorders>
              <w:top w:val="single" w:sz="4" w:space="0" w:color="auto"/>
            </w:tcBorders>
            <w:shd w:val="clear" w:color="auto" w:fill="auto"/>
            <w:noWrap/>
          </w:tcPr>
          <w:p w14:paraId="7717AC8D" w14:textId="77777777" w:rsidR="00BA577C" w:rsidRPr="00BA577C" w:rsidRDefault="00BA577C" w:rsidP="002D606E">
            <w:pPr>
              <w:tabs>
                <w:tab w:val="left" w:pos="1162"/>
              </w:tabs>
              <w:spacing w:before="80" w:after="80"/>
              <w:rPr>
                <w:rFonts w:eastAsiaTheme="minorHAnsi" w:cs="Arial"/>
                <w:b/>
                <w:noProof/>
                <w:color w:val="000000"/>
                <w:sz w:val="18"/>
                <w:szCs w:val="18"/>
              </w:rPr>
            </w:pPr>
            <w:r w:rsidRPr="00BA577C">
              <w:rPr>
                <w:rFonts w:cs="Arial"/>
                <w:color w:val="000000"/>
                <w:sz w:val="18"/>
                <w:szCs w:val="18"/>
              </w:rPr>
              <w:t>N06</w:t>
            </w:r>
          </w:p>
        </w:tc>
        <w:tc>
          <w:tcPr>
            <w:tcW w:w="1843" w:type="dxa"/>
            <w:shd w:val="clear" w:color="auto" w:fill="auto"/>
            <w:noWrap/>
          </w:tcPr>
          <w:p w14:paraId="62439A5A" w14:textId="17A40F29" w:rsidR="00BA577C" w:rsidRPr="00BA577C" w:rsidRDefault="00BA577C" w:rsidP="00560AC0">
            <w:pPr>
              <w:tabs>
                <w:tab w:val="left" w:pos="1162"/>
              </w:tabs>
              <w:spacing w:before="80" w:after="80"/>
              <w:rPr>
                <w:rFonts w:cs="Arial"/>
                <w:color w:val="000000"/>
                <w:sz w:val="18"/>
                <w:szCs w:val="18"/>
              </w:rPr>
            </w:pPr>
            <w:r w:rsidRPr="00BA577C">
              <w:rPr>
                <w:rFonts w:cs="Arial"/>
                <w:color w:val="000000"/>
                <w:sz w:val="18"/>
                <w:szCs w:val="18"/>
              </w:rPr>
              <w:t>NWAU17</w:t>
            </w:r>
          </w:p>
        </w:tc>
        <w:tc>
          <w:tcPr>
            <w:tcW w:w="1843" w:type="dxa"/>
            <w:shd w:val="clear" w:color="auto" w:fill="auto"/>
            <w:noWrap/>
          </w:tcPr>
          <w:p w14:paraId="568555B8" w14:textId="77777777" w:rsidR="00BA577C" w:rsidRPr="00BA577C" w:rsidRDefault="00BA577C">
            <w:pPr>
              <w:tabs>
                <w:tab w:val="left" w:pos="1162"/>
              </w:tabs>
              <w:spacing w:before="80" w:after="80"/>
              <w:rPr>
                <w:rFonts w:cs="Arial"/>
                <w:color w:val="000000"/>
                <w:sz w:val="18"/>
                <w:szCs w:val="18"/>
              </w:rPr>
            </w:pPr>
            <w:r w:rsidRPr="00BA577C">
              <w:rPr>
                <w:rFonts w:cs="Arial"/>
                <w:color w:val="000000"/>
                <w:sz w:val="18"/>
                <w:szCs w:val="20"/>
              </w:rPr>
              <w:t>National Weighted Activity Unit</w:t>
            </w:r>
          </w:p>
        </w:tc>
        <w:tc>
          <w:tcPr>
            <w:tcW w:w="3856" w:type="dxa"/>
            <w:shd w:val="clear" w:color="auto" w:fill="auto"/>
          </w:tcPr>
          <w:p w14:paraId="54366AAE" w14:textId="20E59F25" w:rsidR="00BA577C" w:rsidRPr="00BA577C" w:rsidRDefault="00BA577C">
            <w:pPr>
              <w:tabs>
                <w:tab w:val="left" w:pos="1162"/>
              </w:tabs>
              <w:spacing w:before="80" w:after="80"/>
              <w:rPr>
                <w:rFonts w:cs="Arial"/>
                <w:color w:val="000000"/>
                <w:sz w:val="18"/>
                <w:szCs w:val="18"/>
              </w:rPr>
            </w:pPr>
            <w:r w:rsidRPr="00BA577C">
              <w:rPr>
                <w:rFonts w:cs="Arial"/>
                <w:color w:val="000000"/>
                <w:sz w:val="18"/>
                <w:szCs w:val="18"/>
              </w:rPr>
              <w:t>GWAU17 for in-scope funding sources</w:t>
            </w:r>
          </w:p>
        </w:tc>
      </w:tr>
    </w:tbl>
    <w:p w14:paraId="20D4D1F7" w14:textId="77777777" w:rsidR="002E5A67" w:rsidRDefault="002E5A67" w:rsidP="00560AC0">
      <w:pPr>
        <w:spacing w:after="200" w:line="276" w:lineRule="auto"/>
        <w:rPr>
          <w:rFonts w:asciiTheme="majorHAnsi" w:eastAsiaTheme="majorEastAsia" w:hAnsiTheme="majorHAnsi" w:cstheme="majorBidi"/>
          <w:color w:val="F8F8F8" w:themeColor="background2"/>
          <w:sz w:val="32"/>
          <w:szCs w:val="28"/>
        </w:rPr>
      </w:pPr>
      <w:r>
        <w:t>*</w:t>
      </w:r>
      <w:r w:rsidRPr="00C14325">
        <w:rPr>
          <w:rFonts w:cs="Arial"/>
          <w:color w:val="000000"/>
          <w:sz w:val="18"/>
          <w:szCs w:val="18"/>
        </w:rPr>
        <w:t xml:space="preserve"> </w:t>
      </w:r>
      <w:r>
        <w:rPr>
          <w:rFonts w:cs="Arial"/>
          <w:color w:val="000000"/>
          <w:sz w:val="18"/>
          <w:szCs w:val="18"/>
        </w:rPr>
        <w:t>Multidisciplinary adjustment from NWAU Adjustment table.</w:t>
      </w:r>
    </w:p>
    <w:p w14:paraId="1F87B67E" w14:textId="77777777" w:rsidR="002E5A67" w:rsidRDefault="002E5A67">
      <w:pPr>
        <w:tabs>
          <w:tab w:val="left" w:pos="1162"/>
        </w:tabs>
        <w:rPr>
          <w:szCs w:val="20"/>
        </w:rPr>
      </w:pPr>
    </w:p>
    <w:p w14:paraId="3470B75F" w14:textId="6E1EDB96" w:rsidR="002E5A67" w:rsidRDefault="002E5A67">
      <w:pPr>
        <w:spacing w:after="0" w:line="240" w:lineRule="auto"/>
        <w:rPr>
          <w:b/>
          <w:caps/>
          <w:sz w:val="60"/>
          <w:szCs w:val="44"/>
        </w:rPr>
      </w:pPr>
      <w:bookmarkStart w:id="950" w:name="_Toc466884247"/>
      <w:r>
        <w:br w:type="page"/>
      </w:r>
    </w:p>
    <w:p w14:paraId="24C2F719" w14:textId="57AC42CE" w:rsidR="00772F7A" w:rsidRPr="00A45259" w:rsidRDefault="00284A83" w:rsidP="001B57FC">
      <w:pPr>
        <w:pStyle w:val="Heading2"/>
        <w:numPr>
          <w:ilvl w:val="0"/>
          <w:numId w:val="51"/>
        </w:numPr>
      </w:pPr>
      <w:bookmarkStart w:id="951" w:name="_Ref467748817"/>
      <w:bookmarkStart w:id="952" w:name="_Toc467759604"/>
      <w:bookmarkStart w:id="953" w:name="_Toc468204107"/>
      <w:bookmarkStart w:id="954" w:name="_Toc476305258"/>
      <w:bookmarkEnd w:id="950"/>
      <w:r>
        <w:lastRenderedPageBreak/>
        <w:t xml:space="preserve">Summary of </w:t>
      </w:r>
      <w:r w:rsidR="00BA577C">
        <w:t>Input Data</w:t>
      </w:r>
      <w:bookmarkEnd w:id="951"/>
      <w:bookmarkEnd w:id="952"/>
      <w:bookmarkEnd w:id="953"/>
      <w:bookmarkEnd w:id="954"/>
    </w:p>
    <w:p w14:paraId="64884A1C" w14:textId="104ACD2B" w:rsidR="002E5A67" w:rsidRPr="00BA577C" w:rsidRDefault="002E5A67">
      <w:pPr>
        <w:spacing w:before="120" w:after="0" w:line="240" w:lineRule="auto"/>
        <w:rPr>
          <w:b/>
        </w:rPr>
      </w:pPr>
      <w:proofErr w:type="gramStart"/>
      <w:r w:rsidRPr="00BA577C">
        <w:rPr>
          <w:b/>
        </w:rPr>
        <w:t xml:space="preserve">Table </w:t>
      </w:r>
      <w:r w:rsidRPr="00BA577C">
        <w:rPr>
          <w:b/>
        </w:rPr>
        <w:fldChar w:fldCharType="begin"/>
      </w:r>
      <w:r w:rsidRPr="00BA577C">
        <w:rPr>
          <w:b/>
        </w:rPr>
        <w:instrText xml:space="preserve"> SEQ Table \* ARABIC </w:instrText>
      </w:r>
      <w:r w:rsidRPr="00BA577C">
        <w:rPr>
          <w:b/>
        </w:rPr>
        <w:fldChar w:fldCharType="separate"/>
      </w:r>
      <w:r w:rsidR="00F84458">
        <w:rPr>
          <w:b/>
          <w:noProof/>
        </w:rPr>
        <w:t>26</w:t>
      </w:r>
      <w:r w:rsidRPr="00BA577C">
        <w:rPr>
          <w:b/>
        </w:rPr>
        <w:fldChar w:fldCharType="end"/>
      </w:r>
      <w:r w:rsidRPr="00BA577C">
        <w:rPr>
          <w:b/>
        </w:rPr>
        <w:t>.</w:t>
      </w:r>
      <w:proofErr w:type="gramEnd"/>
      <w:r w:rsidRPr="00BA577C">
        <w:rPr>
          <w:b/>
        </w:rPr>
        <w:t xml:space="preserve"> </w:t>
      </w:r>
      <w:proofErr w:type="gramStart"/>
      <w:r w:rsidRPr="00BA577C">
        <w:rPr>
          <w:b/>
        </w:rPr>
        <w:t>Summary of 2013-14 and 2014-15 Patient-Costed NHCDC data (ABF hospitals).</w:t>
      </w:r>
      <w:proofErr w:type="gramEnd"/>
    </w:p>
    <w:tbl>
      <w:tblPr>
        <w:tblW w:w="10607" w:type="dxa"/>
        <w:tblInd w:w="-5" w:type="dxa"/>
        <w:tblLayout w:type="fixed"/>
        <w:tblLook w:val="04A0" w:firstRow="1" w:lastRow="0" w:firstColumn="1" w:lastColumn="0" w:noHBand="0" w:noVBand="1"/>
        <w:tblDescription w:val="Table 1 provides a summary of patient costed National Hospital Cost Data Collection (NHCDC) data measured from the period 2010-11 and 2011-12.Table 2 provides a summary of Population data measured from the period 2010-11 and 2011-12.Table 3 provides a summary of costed National Hospital Cost Data Collection (NHCDC) data measured from the period  2010-11 and 2011-12."/>
      </w:tblPr>
      <w:tblGrid>
        <w:gridCol w:w="1560"/>
        <w:gridCol w:w="1134"/>
        <w:gridCol w:w="991"/>
        <w:gridCol w:w="993"/>
        <w:gridCol w:w="992"/>
        <w:gridCol w:w="992"/>
        <w:gridCol w:w="992"/>
        <w:gridCol w:w="978"/>
        <w:gridCol w:w="983"/>
        <w:gridCol w:w="992"/>
      </w:tblGrid>
      <w:tr w:rsidR="002E5A67" w:rsidRPr="00163EB6" w14:paraId="4D5EDEA1" w14:textId="77777777" w:rsidTr="00D04B94">
        <w:trPr>
          <w:trHeight w:val="238"/>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B8FF700" w14:textId="77777777" w:rsidR="002E5A67" w:rsidRPr="00E33EAE" w:rsidRDefault="002E5A67">
            <w:pPr>
              <w:spacing w:beforeLines="80" w:before="192" w:afterLines="80" w:after="192"/>
              <w:contextualSpacing/>
              <w:rPr>
                <w:rFonts w:cstheme="minorHAnsi"/>
                <w:b/>
                <w:bCs/>
                <w:color w:val="000000"/>
                <w:sz w:val="20"/>
              </w:rPr>
            </w:pPr>
            <w:r w:rsidRPr="00E33EAE">
              <w:rPr>
                <w:rFonts w:cstheme="minorHAnsi"/>
                <w:b/>
                <w:bCs/>
                <w:color w:val="000000"/>
                <w:sz w:val="20"/>
              </w:rPr>
              <w:t> </w:t>
            </w:r>
          </w:p>
          <w:p w14:paraId="3D03AB3E" w14:textId="77777777" w:rsidR="002E5A67" w:rsidRPr="00E33EAE" w:rsidRDefault="002E5A67" w:rsidP="002D606E">
            <w:pPr>
              <w:spacing w:beforeLines="80" w:before="192" w:afterLines="80" w:after="192"/>
              <w:contextualSpacing/>
              <w:rPr>
                <w:rFonts w:cstheme="minorHAnsi"/>
                <w:b/>
                <w:bCs/>
                <w:color w:val="000000"/>
                <w:sz w:val="20"/>
              </w:rPr>
            </w:pPr>
            <w:r w:rsidRPr="00E33EAE">
              <w:rPr>
                <w:rFonts w:cstheme="minorHAnsi"/>
                <w:b/>
                <w:bCs/>
                <w:color w:val="000000"/>
                <w:sz w:val="20"/>
              </w:rPr>
              <w:t> </w:t>
            </w:r>
          </w:p>
        </w:tc>
        <w:tc>
          <w:tcPr>
            <w:tcW w:w="3118" w:type="dxa"/>
            <w:gridSpan w:val="3"/>
            <w:tcBorders>
              <w:top w:val="single" w:sz="4" w:space="0" w:color="auto"/>
              <w:left w:val="nil"/>
              <w:bottom w:val="single" w:sz="4" w:space="0" w:color="auto"/>
              <w:right w:val="single" w:sz="4" w:space="0" w:color="000000"/>
            </w:tcBorders>
            <w:shd w:val="clear" w:color="auto" w:fill="288A32"/>
            <w:vAlign w:val="center"/>
            <w:hideMark/>
          </w:tcPr>
          <w:p w14:paraId="50CD471C" w14:textId="77777777" w:rsidR="002E5A67" w:rsidRPr="00284A83" w:rsidRDefault="002E5A67" w:rsidP="002D606E">
            <w:pPr>
              <w:rPr>
                <w:rFonts w:ascii="Calibri" w:hAnsi="Calibri"/>
                <w:b/>
                <w:bCs/>
                <w:color w:val="FFFFFF" w:themeColor="background1"/>
                <w:sz w:val="18"/>
                <w:szCs w:val="18"/>
              </w:rPr>
            </w:pPr>
            <w:r w:rsidRPr="00284A83">
              <w:rPr>
                <w:rFonts w:ascii="Calibri" w:hAnsi="Calibri"/>
                <w:b/>
                <w:bCs/>
                <w:color w:val="FFFFFF" w:themeColor="background1"/>
                <w:sz w:val="18"/>
                <w:szCs w:val="18"/>
              </w:rPr>
              <w:t>Establishments</w:t>
            </w:r>
          </w:p>
        </w:tc>
        <w:tc>
          <w:tcPr>
            <w:tcW w:w="2976" w:type="dxa"/>
            <w:gridSpan w:val="3"/>
            <w:tcBorders>
              <w:top w:val="single" w:sz="4" w:space="0" w:color="auto"/>
              <w:left w:val="nil"/>
              <w:bottom w:val="single" w:sz="4" w:space="0" w:color="auto"/>
              <w:right w:val="single" w:sz="4" w:space="0" w:color="000000"/>
            </w:tcBorders>
            <w:shd w:val="clear" w:color="auto" w:fill="288A32"/>
            <w:vAlign w:val="center"/>
            <w:hideMark/>
          </w:tcPr>
          <w:p w14:paraId="6E2DD1FD" w14:textId="73A9C333" w:rsidR="002E5A67" w:rsidRPr="00284A83" w:rsidRDefault="002E5A67" w:rsidP="002D606E">
            <w:pPr>
              <w:rPr>
                <w:rFonts w:ascii="Calibri" w:hAnsi="Calibri"/>
                <w:b/>
                <w:bCs/>
                <w:color w:val="FFFFFF" w:themeColor="background1"/>
                <w:sz w:val="18"/>
                <w:szCs w:val="18"/>
              </w:rPr>
            </w:pPr>
            <w:r w:rsidRPr="00284A83">
              <w:rPr>
                <w:rFonts w:ascii="Calibri" w:hAnsi="Calibri"/>
                <w:b/>
                <w:bCs/>
                <w:color w:val="FFFFFF" w:themeColor="background1"/>
                <w:sz w:val="18"/>
                <w:szCs w:val="18"/>
              </w:rPr>
              <w:t xml:space="preserve"> (Separations/Episodes)</w:t>
            </w:r>
          </w:p>
        </w:tc>
        <w:tc>
          <w:tcPr>
            <w:tcW w:w="2953" w:type="dxa"/>
            <w:gridSpan w:val="3"/>
            <w:tcBorders>
              <w:top w:val="single" w:sz="4" w:space="0" w:color="auto"/>
              <w:left w:val="nil"/>
              <w:bottom w:val="single" w:sz="4" w:space="0" w:color="auto"/>
              <w:right w:val="single" w:sz="4" w:space="0" w:color="auto"/>
            </w:tcBorders>
            <w:shd w:val="clear" w:color="auto" w:fill="288A32"/>
            <w:vAlign w:val="center"/>
            <w:hideMark/>
          </w:tcPr>
          <w:p w14:paraId="6EDDC86D" w14:textId="77777777" w:rsidR="002E5A67" w:rsidRPr="00284A83" w:rsidRDefault="002E5A67" w:rsidP="002D606E">
            <w:pPr>
              <w:rPr>
                <w:rFonts w:ascii="Calibri" w:hAnsi="Calibri"/>
                <w:b/>
                <w:bCs/>
                <w:color w:val="FFFFFF" w:themeColor="background1"/>
                <w:sz w:val="18"/>
                <w:szCs w:val="18"/>
              </w:rPr>
            </w:pPr>
            <w:r w:rsidRPr="00284A83">
              <w:rPr>
                <w:rFonts w:ascii="Calibri" w:hAnsi="Calibri"/>
                <w:b/>
                <w:bCs/>
                <w:color w:val="FFFFFF" w:themeColor="background1"/>
                <w:sz w:val="18"/>
                <w:szCs w:val="18"/>
              </w:rPr>
              <w:t>Total Reported In</w:t>
            </w:r>
            <w:r w:rsidRPr="00284A83">
              <w:rPr>
                <w:rFonts w:ascii="Calibri" w:hAnsi="Calibri"/>
                <w:b/>
                <w:bCs/>
                <w:color w:val="FFFFFF" w:themeColor="background1"/>
                <w:sz w:val="18"/>
                <w:szCs w:val="18"/>
              </w:rPr>
              <w:noBreakHyphen/>
              <w:t>scope Cost</w:t>
            </w:r>
          </w:p>
        </w:tc>
      </w:tr>
      <w:tr w:rsidR="002E5A67" w:rsidRPr="00163EB6" w14:paraId="30E02C5F" w14:textId="77777777" w:rsidTr="00D04B94">
        <w:trPr>
          <w:trHeight w:val="567"/>
        </w:trPr>
        <w:tc>
          <w:tcPr>
            <w:tcW w:w="1560"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FA905" w14:textId="77777777" w:rsidR="002E5A67" w:rsidRPr="00E33EAE" w:rsidRDefault="002E5A67" w:rsidP="002D606E">
            <w:pPr>
              <w:spacing w:beforeLines="80" w:before="192" w:afterLines="80" w:after="192"/>
              <w:contextualSpacing/>
              <w:rPr>
                <w:rFonts w:cstheme="minorHAnsi"/>
                <w:b/>
                <w:bCs/>
                <w:color w:val="00000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153F92F" w14:textId="77777777" w:rsidR="002E5A67" w:rsidRPr="00284A83" w:rsidRDefault="002E5A67" w:rsidP="00EA54AB">
            <w:pPr>
              <w:spacing w:beforeLines="80" w:before="192" w:afterLines="80" w:after="192"/>
              <w:contextualSpacing/>
              <w:jc w:val="center"/>
              <w:rPr>
                <w:rFonts w:eastAsiaTheme="minorHAnsi" w:cstheme="minorHAnsi"/>
                <w:b/>
                <w:bCs/>
                <w:noProof/>
                <w:color w:val="000000"/>
                <w:sz w:val="18"/>
                <w:szCs w:val="18"/>
              </w:rPr>
            </w:pPr>
            <w:r w:rsidRPr="00284A83">
              <w:rPr>
                <w:rFonts w:cstheme="minorHAnsi"/>
                <w:b/>
                <w:bCs/>
                <w:color w:val="000000"/>
                <w:sz w:val="18"/>
                <w:szCs w:val="18"/>
              </w:rPr>
              <w:t>2013-14</w:t>
            </w:r>
          </w:p>
        </w:tc>
        <w:tc>
          <w:tcPr>
            <w:tcW w:w="991" w:type="dxa"/>
            <w:tcBorders>
              <w:top w:val="nil"/>
              <w:left w:val="nil"/>
              <w:bottom w:val="single" w:sz="4" w:space="0" w:color="auto"/>
              <w:right w:val="single" w:sz="4" w:space="0" w:color="auto"/>
            </w:tcBorders>
            <w:shd w:val="clear" w:color="auto" w:fill="auto"/>
            <w:noWrap/>
            <w:vAlign w:val="center"/>
            <w:hideMark/>
          </w:tcPr>
          <w:p w14:paraId="6D8B6E24" w14:textId="77777777" w:rsidR="002E5A67" w:rsidRPr="00284A83" w:rsidRDefault="002E5A67" w:rsidP="00EA54AB">
            <w:pPr>
              <w:spacing w:beforeLines="80" w:before="192" w:afterLines="80" w:after="192"/>
              <w:contextualSpacing/>
              <w:jc w:val="center"/>
              <w:rPr>
                <w:rFonts w:eastAsiaTheme="minorHAnsi" w:cstheme="minorHAnsi"/>
                <w:b/>
                <w:bCs/>
                <w:noProof/>
                <w:color w:val="000000"/>
                <w:sz w:val="18"/>
                <w:szCs w:val="18"/>
              </w:rPr>
            </w:pPr>
            <w:r w:rsidRPr="00284A83">
              <w:rPr>
                <w:rFonts w:cstheme="minorHAnsi"/>
                <w:b/>
                <w:bCs/>
                <w:color w:val="000000"/>
                <w:sz w:val="18"/>
                <w:szCs w:val="18"/>
              </w:rPr>
              <w:t>2014-15</w:t>
            </w:r>
          </w:p>
        </w:tc>
        <w:tc>
          <w:tcPr>
            <w:tcW w:w="993" w:type="dxa"/>
            <w:tcBorders>
              <w:top w:val="nil"/>
              <w:left w:val="nil"/>
              <w:bottom w:val="single" w:sz="4" w:space="0" w:color="auto"/>
              <w:right w:val="single" w:sz="4" w:space="0" w:color="auto"/>
            </w:tcBorders>
            <w:shd w:val="clear" w:color="auto" w:fill="auto"/>
            <w:noWrap/>
            <w:vAlign w:val="center"/>
            <w:hideMark/>
          </w:tcPr>
          <w:p w14:paraId="190D54C4" w14:textId="77777777" w:rsidR="002E5A67" w:rsidRPr="00284A83" w:rsidRDefault="002E5A67" w:rsidP="00EA54AB">
            <w:pPr>
              <w:spacing w:beforeLines="80" w:before="192" w:afterLines="80" w:after="192"/>
              <w:contextualSpacing/>
              <w:jc w:val="center"/>
              <w:rPr>
                <w:rFonts w:eastAsiaTheme="minorHAnsi" w:cstheme="minorHAnsi"/>
                <w:b/>
                <w:bCs/>
                <w:noProof/>
                <w:color w:val="000000"/>
                <w:sz w:val="18"/>
                <w:szCs w:val="18"/>
              </w:rPr>
            </w:pPr>
            <w:r w:rsidRPr="00284A83">
              <w:rPr>
                <w:rFonts w:cstheme="minorHAnsi"/>
                <w:b/>
                <w:bCs/>
                <w:color w:val="000000"/>
                <w:sz w:val="18"/>
                <w:szCs w:val="18"/>
              </w:rPr>
              <w:t>% Change</w:t>
            </w:r>
          </w:p>
        </w:tc>
        <w:tc>
          <w:tcPr>
            <w:tcW w:w="992" w:type="dxa"/>
            <w:tcBorders>
              <w:top w:val="nil"/>
              <w:left w:val="nil"/>
              <w:bottom w:val="single" w:sz="4" w:space="0" w:color="auto"/>
              <w:right w:val="single" w:sz="4" w:space="0" w:color="auto"/>
            </w:tcBorders>
            <w:shd w:val="clear" w:color="auto" w:fill="auto"/>
            <w:noWrap/>
            <w:vAlign w:val="center"/>
            <w:hideMark/>
          </w:tcPr>
          <w:p w14:paraId="2F799615" w14:textId="77777777" w:rsidR="002E5A67" w:rsidRPr="00284A83" w:rsidRDefault="002E5A67" w:rsidP="00EA54AB">
            <w:pPr>
              <w:spacing w:beforeLines="80" w:before="192" w:afterLines="80" w:after="192"/>
              <w:contextualSpacing/>
              <w:jc w:val="center"/>
              <w:rPr>
                <w:rFonts w:eastAsiaTheme="minorHAnsi" w:cstheme="minorHAnsi"/>
                <w:b/>
                <w:bCs/>
                <w:noProof/>
                <w:color w:val="000000"/>
                <w:sz w:val="18"/>
                <w:szCs w:val="18"/>
              </w:rPr>
            </w:pPr>
            <w:r w:rsidRPr="00284A83">
              <w:rPr>
                <w:rFonts w:cstheme="minorHAnsi"/>
                <w:b/>
                <w:bCs/>
                <w:color w:val="000000"/>
                <w:sz w:val="18"/>
                <w:szCs w:val="18"/>
              </w:rPr>
              <w:t>2013-14</w:t>
            </w:r>
          </w:p>
        </w:tc>
        <w:tc>
          <w:tcPr>
            <w:tcW w:w="992" w:type="dxa"/>
            <w:tcBorders>
              <w:top w:val="nil"/>
              <w:left w:val="nil"/>
              <w:bottom w:val="single" w:sz="4" w:space="0" w:color="auto"/>
              <w:right w:val="single" w:sz="4" w:space="0" w:color="auto"/>
            </w:tcBorders>
            <w:shd w:val="clear" w:color="auto" w:fill="auto"/>
            <w:noWrap/>
            <w:vAlign w:val="center"/>
            <w:hideMark/>
          </w:tcPr>
          <w:p w14:paraId="667F63EA" w14:textId="77777777" w:rsidR="002E5A67" w:rsidRPr="00284A83" w:rsidRDefault="002E5A67" w:rsidP="00EA54AB">
            <w:pPr>
              <w:spacing w:beforeLines="80" w:before="192" w:afterLines="80" w:after="192"/>
              <w:contextualSpacing/>
              <w:jc w:val="center"/>
              <w:rPr>
                <w:rFonts w:cstheme="minorHAnsi"/>
                <w:b/>
                <w:bCs/>
                <w:color w:val="000000"/>
                <w:sz w:val="18"/>
                <w:szCs w:val="18"/>
              </w:rPr>
            </w:pPr>
            <w:r w:rsidRPr="00284A83">
              <w:rPr>
                <w:rFonts w:cstheme="minorHAnsi"/>
                <w:b/>
                <w:bCs/>
                <w:color w:val="000000"/>
                <w:sz w:val="18"/>
                <w:szCs w:val="18"/>
              </w:rPr>
              <w:t>2014-15</w:t>
            </w:r>
          </w:p>
        </w:tc>
        <w:tc>
          <w:tcPr>
            <w:tcW w:w="992" w:type="dxa"/>
            <w:tcBorders>
              <w:top w:val="nil"/>
              <w:left w:val="nil"/>
              <w:bottom w:val="single" w:sz="4" w:space="0" w:color="auto"/>
              <w:right w:val="single" w:sz="4" w:space="0" w:color="auto"/>
            </w:tcBorders>
            <w:shd w:val="clear" w:color="auto" w:fill="auto"/>
            <w:noWrap/>
            <w:vAlign w:val="center"/>
            <w:hideMark/>
          </w:tcPr>
          <w:p w14:paraId="4029025E" w14:textId="77777777" w:rsidR="002E5A67" w:rsidRPr="00284A83" w:rsidRDefault="002E5A67" w:rsidP="00EA54AB">
            <w:pPr>
              <w:spacing w:beforeLines="80" w:before="192" w:afterLines="80" w:after="192"/>
              <w:contextualSpacing/>
              <w:jc w:val="center"/>
              <w:rPr>
                <w:rFonts w:cstheme="minorHAnsi"/>
                <w:b/>
                <w:bCs/>
                <w:color w:val="000000"/>
                <w:sz w:val="18"/>
                <w:szCs w:val="18"/>
              </w:rPr>
            </w:pPr>
            <w:r w:rsidRPr="00284A83">
              <w:rPr>
                <w:rFonts w:cstheme="minorHAnsi"/>
                <w:b/>
                <w:bCs/>
                <w:color w:val="000000"/>
                <w:sz w:val="18"/>
                <w:szCs w:val="18"/>
              </w:rPr>
              <w:t>% Change</w:t>
            </w:r>
          </w:p>
        </w:tc>
        <w:tc>
          <w:tcPr>
            <w:tcW w:w="978" w:type="dxa"/>
            <w:tcBorders>
              <w:top w:val="nil"/>
              <w:left w:val="nil"/>
              <w:bottom w:val="single" w:sz="4" w:space="0" w:color="auto"/>
              <w:right w:val="single" w:sz="4" w:space="0" w:color="auto"/>
            </w:tcBorders>
            <w:shd w:val="clear" w:color="auto" w:fill="auto"/>
            <w:noWrap/>
            <w:vAlign w:val="center"/>
            <w:hideMark/>
          </w:tcPr>
          <w:p w14:paraId="004C9B61" w14:textId="77777777" w:rsidR="002E5A67" w:rsidRPr="00284A83" w:rsidRDefault="002E5A67" w:rsidP="00EA54AB">
            <w:pPr>
              <w:spacing w:beforeLines="80" w:before="192" w:afterLines="80" w:after="192"/>
              <w:contextualSpacing/>
              <w:jc w:val="center"/>
              <w:rPr>
                <w:rFonts w:cstheme="minorHAnsi"/>
                <w:b/>
                <w:bCs/>
                <w:color w:val="000000"/>
                <w:sz w:val="18"/>
                <w:szCs w:val="18"/>
              </w:rPr>
            </w:pPr>
            <w:r w:rsidRPr="00284A83">
              <w:rPr>
                <w:rFonts w:cstheme="minorHAnsi"/>
                <w:b/>
                <w:bCs/>
                <w:color w:val="000000"/>
                <w:sz w:val="18"/>
                <w:szCs w:val="18"/>
              </w:rPr>
              <w:t>2013-14</w:t>
            </w:r>
          </w:p>
        </w:tc>
        <w:tc>
          <w:tcPr>
            <w:tcW w:w="983" w:type="dxa"/>
            <w:tcBorders>
              <w:top w:val="nil"/>
              <w:left w:val="nil"/>
              <w:bottom w:val="single" w:sz="4" w:space="0" w:color="auto"/>
              <w:right w:val="single" w:sz="4" w:space="0" w:color="auto"/>
            </w:tcBorders>
            <w:shd w:val="clear" w:color="auto" w:fill="auto"/>
            <w:noWrap/>
            <w:vAlign w:val="center"/>
            <w:hideMark/>
          </w:tcPr>
          <w:p w14:paraId="15F199CE" w14:textId="77777777" w:rsidR="002E5A67" w:rsidRPr="00284A83" w:rsidRDefault="002E5A67" w:rsidP="00EA54AB">
            <w:pPr>
              <w:spacing w:beforeLines="80" w:before="192" w:afterLines="80" w:after="192"/>
              <w:contextualSpacing/>
              <w:jc w:val="center"/>
              <w:rPr>
                <w:rFonts w:cstheme="minorHAnsi"/>
                <w:b/>
                <w:bCs/>
                <w:color w:val="000000"/>
                <w:sz w:val="18"/>
                <w:szCs w:val="18"/>
              </w:rPr>
            </w:pPr>
            <w:r w:rsidRPr="00284A83">
              <w:rPr>
                <w:rFonts w:cstheme="minorHAnsi"/>
                <w:b/>
                <w:bCs/>
                <w:color w:val="000000"/>
                <w:sz w:val="18"/>
                <w:szCs w:val="18"/>
              </w:rPr>
              <w:t>2014-15</w:t>
            </w:r>
          </w:p>
        </w:tc>
        <w:tc>
          <w:tcPr>
            <w:tcW w:w="992" w:type="dxa"/>
            <w:tcBorders>
              <w:top w:val="nil"/>
              <w:left w:val="nil"/>
              <w:bottom w:val="single" w:sz="4" w:space="0" w:color="auto"/>
              <w:right w:val="single" w:sz="4" w:space="0" w:color="auto"/>
            </w:tcBorders>
          </w:tcPr>
          <w:p w14:paraId="70A624D6" w14:textId="77777777" w:rsidR="002E5A67" w:rsidRPr="00284A83" w:rsidRDefault="002E5A67" w:rsidP="00EA54AB">
            <w:pPr>
              <w:spacing w:beforeLines="80" w:before="192" w:afterLines="80" w:after="192"/>
              <w:contextualSpacing/>
              <w:jc w:val="center"/>
              <w:rPr>
                <w:rFonts w:cstheme="minorHAnsi"/>
                <w:b/>
                <w:bCs/>
                <w:color w:val="000000"/>
                <w:sz w:val="18"/>
                <w:szCs w:val="18"/>
              </w:rPr>
            </w:pPr>
            <w:r w:rsidRPr="00284A83">
              <w:rPr>
                <w:rFonts w:cstheme="minorHAnsi"/>
                <w:b/>
                <w:bCs/>
                <w:color w:val="000000"/>
                <w:sz w:val="18"/>
                <w:szCs w:val="18"/>
              </w:rPr>
              <w:t>% Change</w:t>
            </w:r>
          </w:p>
        </w:tc>
      </w:tr>
      <w:tr w:rsidR="00284A83" w:rsidRPr="00163EB6" w14:paraId="439A6889" w14:textId="77777777" w:rsidTr="00D04B94">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3130384" w14:textId="32D9F367" w:rsidR="00284A83" w:rsidRPr="00284A83" w:rsidRDefault="00284A83" w:rsidP="00560AC0">
            <w:pPr>
              <w:spacing w:beforeLines="80" w:before="192" w:afterLines="80" w:after="192"/>
              <w:contextualSpacing/>
              <w:rPr>
                <w:rFonts w:cstheme="minorHAnsi"/>
                <w:b/>
                <w:bCs/>
                <w:color w:val="000000"/>
                <w:sz w:val="18"/>
                <w:szCs w:val="18"/>
              </w:rPr>
            </w:pPr>
            <w:r>
              <w:rPr>
                <w:rFonts w:cstheme="minorHAnsi"/>
                <w:b/>
                <w:bCs/>
                <w:color w:val="000000"/>
                <w:sz w:val="18"/>
                <w:szCs w:val="18"/>
              </w:rPr>
              <w:t>Acute</w:t>
            </w:r>
          </w:p>
        </w:tc>
        <w:tc>
          <w:tcPr>
            <w:tcW w:w="1134" w:type="dxa"/>
            <w:tcBorders>
              <w:top w:val="nil"/>
              <w:left w:val="nil"/>
              <w:bottom w:val="single" w:sz="4" w:space="0" w:color="auto"/>
              <w:right w:val="single" w:sz="4" w:space="0" w:color="auto"/>
            </w:tcBorders>
            <w:shd w:val="clear" w:color="auto" w:fill="auto"/>
            <w:noWrap/>
            <w:vAlign w:val="center"/>
            <w:hideMark/>
          </w:tcPr>
          <w:p w14:paraId="2B7AB1FA" w14:textId="62B00B0C"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237</w:t>
            </w:r>
          </w:p>
        </w:tc>
        <w:tc>
          <w:tcPr>
            <w:tcW w:w="991" w:type="dxa"/>
            <w:tcBorders>
              <w:top w:val="nil"/>
              <w:left w:val="nil"/>
              <w:bottom w:val="single" w:sz="4" w:space="0" w:color="auto"/>
              <w:right w:val="single" w:sz="4" w:space="0" w:color="auto"/>
            </w:tcBorders>
            <w:shd w:val="clear" w:color="auto" w:fill="auto"/>
            <w:noWrap/>
            <w:vAlign w:val="center"/>
            <w:hideMark/>
          </w:tcPr>
          <w:p w14:paraId="1D0A8130" w14:textId="751C43D7" w:rsidR="00284A83" w:rsidRPr="005D2CAB" w:rsidRDefault="00FE01DB"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24</w:t>
            </w:r>
            <w:r w:rsidR="0043185E">
              <w:rPr>
                <w:rFonts w:asciiTheme="minorHAnsi" w:hAnsiTheme="minorHAnsi" w:cstheme="minorHAnsi"/>
                <w:color w:val="000000"/>
                <w:sz w:val="18"/>
                <w:szCs w:val="18"/>
              </w:rPr>
              <w:t>7</w:t>
            </w:r>
          </w:p>
        </w:tc>
        <w:tc>
          <w:tcPr>
            <w:tcW w:w="993" w:type="dxa"/>
            <w:tcBorders>
              <w:top w:val="nil"/>
              <w:left w:val="nil"/>
              <w:bottom w:val="single" w:sz="4" w:space="0" w:color="auto"/>
              <w:right w:val="single" w:sz="4" w:space="0" w:color="auto"/>
            </w:tcBorders>
            <w:shd w:val="clear" w:color="auto" w:fill="D9EDD0" w:themeFill="accent4" w:themeFillTint="66"/>
            <w:noWrap/>
            <w:vAlign w:val="center"/>
            <w:hideMark/>
          </w:tcPr>
          <w:p w14:paraId="370ADF36" w14:textId="7E8EDAAB" w:rsidR="00284A83" w:rsidRPr="005D2CAB" w:rsidRDefault="0043185E"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Pr>
                <w:rFonts w:asciiTheme="minorHAnsi" w:hAnsiTheme="minorHAnsi" w:cstheme="minorHAnsi"/>
                <w:color w:val="000000"/>
                <w:sz w:val="18"/>
                <w:szCs w:val="18"/>
              </w:rPr>
              <w:t>4.2</w:t>
            </w:r>
            <w:r w:rsidR="00284A83" w:rsidRPr="005D2CAB">
              <w:rPr>
                <w:rFonts w:asciiTheme="minorHAnsi" w:hAnsiTheme="minorHAnsi" w:cstheme="minorHAns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3721ED1D" w14:textId="4EF69E0A"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4.9M</w:t>
            </w:r>
          </w:p>
        </w:tc>
        <w:tc>
          <w:tcPr>
            <w:tcW w:w="992" w:type="dxa"/>
            <w:tcBorders>
              <w:top w:val="nil"/>
              <w:left w:val="nil"/>
              <w:bottom w:val="single" w:sz="4" w:space="0" w:color="auto"/>
              <w:right w:val="single" w:sz="4" w:space="0" w:color="auto"/>
            </w:tcBorders>
            <w:shd w:val="clear" w:color="auto" w:fill="auto"/>
            <w:noWrap/>
            <w:vAlign w:val="center"/>
            <w:hideMark/>
          </w:tcPr>
          <w:p w14:paraId="2B924ADA" w14:textId="07F272AE"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5.2M</w:t>
            </w:r>
          </w:p>
        </w:tc>
        <w:tc>
          <w:tcPr>
            <w:tcW w:w="992" w:type="dxa"/>
            <w:tcBorders>
              <w:top w:val="nil"/>
              <w:left w:val="nil"/>
              <w:bottom w:val="single" w:sz="4" w:space="0" w:color="auto"/>
              <w:right w:val="single" w:sz="4" w:space="0" w:color="auto"/>
            </w:tcBorders>
            <w:shd w:val="clear" w:color="auto" w:fill="D9EDD0" w:themeFill="accent4" w:themeFillTint="66"/>
            <w:noWrap/>
            <w:vAlign w:val="center"/>
            <w:hideMark/>
          </w:tcPr>
          <w:p w14:paraId="264E5474" w14:textId="7CB6739B" w:rsidR="00284A83" w:rsidRPr="005D2CAB" w:rsidRDefault="0043185E"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Pr>
                <w:rFonts w:asciiTheme="minorHAnsi" w:hAnsiTheme="minorHAnsi" w:cstheme="minorHAnsi"/>
                <w:color w:val="000000"/>
                <w:sz w:val="18"/>
                <w:szCs w:val="18"/>
              </w:rPr>
              <w:t>5.1</w:t>
            </w:r>
            <w:r w:rsidR="00284A83" w:rsidRPr="005D2CAB">
              <w:rPr>
                <w:rFonts w:asciiTheme="minorHAnsi" w:hAnsiTheme="minorHAnsi" w:cstheme="minorHAnsi"/>
                <w:color w:val="000000"/>
                <w:sz w:val="18"/>
                <w:szCs w:val="18"/>
              </w:rPr>
              <w:t>%</w:t>
            </w:r>
          </w:p>
        </w:tc>
        <w:tc>
          <w:tcPr>
            <w:tcW w:w="978" w:type="dxa"/>
            <w:tcBorders>
              <w:top w:val="nil"/>
              <w:left w:val="nil"/>
              <w:bottom w:val="single" w:sz="4" w:space="0" w:color="auto"/>
              <w:right w:val="single" w:sz="4" w:space="0" w:color="auto"/>
            </w:tcBorders>
            <w:shd w:val="clear" w:color="auto" w:fill="auto"/>
            <w:noWrap/>
            <w:vAlign w:val="center"/>
            <w:hideMark/>
          </w:tcPr>
          <w:p w14:paraId="260AB604" w14:textId="481F7BC2"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$23.0B</w:t>
            </w:r>
          </w:p>
        </w:tc>
        <w:tc>
          <w:tcPr>
            <w:tcW w:w="983" w:type="dxa"/>
            <w:tcBorders>
              <w:top w:val="nil"/>
              <w:left w:val="nil"/>
              <w:bottom w:val="single" w:sz="4" w:space="0" w:color="auto"/>
              <w:right w:val="single" w:sz="4" w:space="0" w:color="auto"/>
            </w:tcBorders>
            <w:shd w:val="clear" w:color="auto" w:fill="auto"/>
            <w:noWrap/>
            <w:vAlign w:val="center"/>
          </w:tcPr>
          <w:p w14:paraId="03F5830F" w14:textId="5341A25C"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$24.2B</w:t>
            </w:r>
          </w:p>
        </w:tc>
        <w:tc>
          <w:tcPr>
            <w:tcW w:w="992" w:type="dxa"/>
            <w:tcBorders>
              <w:top w:val="nil"/>
              <w:left w:val="nil"/>
              <w:bottom w:val="single" w:sz="4" w:space="0" w:color="auto"/>
              <w:right w:val="single" w:sz="4" w:space="0" w:color="auto"/>
            </w:tcBorders>
            <w:shd w:val="clear" w:color="auto" w:fill="D9EDD0" w:themeFill="accent4" w:themeFillTint="66"/>
            <w:vAlign w:val="center"/>
          </w:tcPr>
          <w:p w14:paraId="7CB1947D" w14:textId="7E7E0DF2"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5.</w:t>
            </w:r>
            <w:r w:rsidR="0043185E">
              <w:rPr>
                <w:rFonts w:asciiTheme="minorHAnsi" w:hAnsiTheme="minorHAnsi" w:cstheme="minorHAnsi"/>
                <w:color w:val="000000"/>
                <w:sz w:val="18"/>
                <w:szCs w:val="18"/>
              </w:rPr>
              <w:t>5</w:t>
            </w:r>
            <w:r w:rsidRPr="005D2CAB">
              <w:rPr>
                <w:rFonts w:asciiTheme="minorHAnsi" w:hAnsiTheme="minorHAnsi" w:cstheme="minorHAnsi"/>
                <w:color w:val="000000"/>
                <w:sz w:val="18"/>
                <w:szCs w:val="18"/>
              </w:rPr>
              <w:t>%</w:t>
            </w:r>
          </w:p>
        </w:tc>
      </w:tr>
      <w:tr w:rsidR="00284A83" w:rsidRPr="00163EB6" w14:paraId="191FB99C" w14:textId="77777777" w:rsidTr="00D04B94">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5A9239E" w14:textId="77777777" w:rsidR="00284A83" w:rsidRPr="00284A83" w:rsidRDefault="00284A83" w:rsidP="00560AC0">
            <w:pPr>
              <w:spacing w:beforeLines="80" w:before="192" w:afterLines="80" w:after="192"/>
              <w:contextualSpacing/>
              <w:rPr>
                <w:rFonts w:cstheme="minorHAnsi"/>
                <w:b/>
                <w:bCs/>
                <w:color w:val="000000"/>
                <w:sz w:val="18"/>
                <w:szCs w:val="18"/>
              </w:rPr>
            </w:pPr>
            <w:r w:rsidRPr="00284A83">
              <w:rPr>
                <w:rFonts w:cstheme="minorHAnsi"/>
                <w:b/>
                <w:bCs/>
                <w:color w:val="000000"/>
                <w:sz w:val="18"/>
                <w:szCs w:val="18"/>
              </w:rPr>
              <w:t>Emergency</w:t>
            </w:r>
          </w:p>
        </w:tc>
        <w:tc>
          <w:tcPr>
            <w:tcW w:w="1134" w:type="dxa"/>
            <w:tcBorders>
              <w:top w:val="nil"/>
              <w:left w:val="nil"/>
              <w:bottom w:val="single" w:sz="4" w:space="0" w:color="auto"/>
              <w:right w:val="single" w:sz="4" w:space="0" w:color="auto"/>
            </w:tcBorders>
            <w:shd w:val="clear" w:color="auto" w:fill="auto"/>
            <w:noWrap/>
            <w:vAlign w:val="center"/>
          </w:tcPr>
          <w:p w14:paraId="14C821B1" w14:textId="554F12E3"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174</w:t>
            </w:r>
          </w:p>
        </w:tc>
        <w:tc>
          <w:tcPr>
            <w:tcW w:w="991" w:type="dxa"/>
            <w:tcBorders>
              <w:top w:val="nil"/>
              <w:left w:val="nil"/>
              <w:bottom w:val="single" w:sz="4" w:space="0" w:color="auto"/>
              <w:right w:val="single" w:sz="4" w:space="0" w:color="auto"/>
            </w:tcBorders>
            <w:shd w:val="clear" w:color="auto" w:fill="auto"/>
            <w:noWrap/>
            <w:vAlign w:val="center"/>
          </w:tcPr>
          <w:p w14:paraId="5CC14D1B" w14:textId="44E9FADE" w:rsidR="00284A83" w:rsidRPr="005D2CAB" w:rsidRDefault="00FE01DB"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18</w:t>
            </w:r>
            <w:r w:rsidR="0043185E">
              <w:rPr>
                <w:rFonts w:asciiTheme="minorHAnsi" w:hAnsiTheme="minorHAnsi" w:cstheme="minorHAnsi"/>
                <w:color w:val="000000"/>
                <w:sz w:val="18"/>
                <w:szCs w:val="18"/>
              </w:rPr>
              <w:t>8</w:t>
            </w:r>
          </w:p>
        </w:tc>
        <w:tc>
          <w:tcPr>
            <w:tcW w:w="993" w:type="dxa"/>
            <w:tcBorders>
              <w:top w:val="nil"/>
              <w:left w:val="nil"/>
              <w:bottom w:val="single" w:sz="4" w:space="0" w:color="auto"/>
              <w:right w:val="single" w:sz="4" w:space="0" w:color="auto"/>
            </w:tcBorders>
            <w:shd w:val="clear" w:color="auto" w:fill="D9EDD0" w:themeFill="accent4" w:themeFillTint="66"/>
            <w:noWrap/>
            <w:vAlign w:val="center"/>
          </w:tcPr>
          <w:p w14:paraId="7EB7DB6C" w14:textId="5F49FD86" w:rsidR="00284A83" w:rsidRPr="005D2CAB" w:rsidRDefault="0043185E"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Pr>
                <w:rFonts w:asciiTheme="minorHAnsi" w:hAnsiTheme="minorHAnsi" w:cstheme="minorHAnsi"/>
                <w:color w:val="000000"/>
                <w:sz w:val="18"/>
                <w:szCs w:val="18"/>
              </w:rPr>
              <w:t>8.1</w:t>
            </w:r>
            <w:r w:rsidR="00284A83" w:rsidRPr="005D2CAB">
              <w:rPr>
                <w:rFonts w:asciiTheme="minorHAnsi" w:hAnsiTheme="minorHAnsi" w:cstheme="minorHAns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E69BD89" w14:textId="35D564E5"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6.6M</w:t>
            </w:r>
          </w:p>
        </w:tc>
        <w:tc>
          <w:tcPr>
            <w:tcW w:w="992" w:type="dxa"/>
            <w:tcBorders>
              <w:top w:val="nil"/>
              <w:left w:val="nil"/>
              <w:bottom w:val="single" w:sz="4" w:space="0" w:color="auto"/>
              <w:right w:val="single" w:sz="4" w:space="0" w:color="auto"/>
            </w:tcBorders>
            <w:shd w:val="clear" w:color="auto" w:fill="auto"/>
            <w:noWrap/>
            <w:vAlign w:val="center"/>
          </w:tcPr>
          <w:p w14:paraId="699921FC" w14:textId="62FE5519"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6.8M</w:t>
            </w:r>
          </w:p>
        </w:tc>
        <w:tc>
          <w:tcPr>
            <w:tcW w:w="992" w:type="dxa"/>
            <w:tcBorders>
              <w:top w:val="nil"/>
              <w:left w:val="nil"/>
              <w:bottom w:val="single" w:sz="4" w:space="0" w:color="auto"/>
              <w:right w:val="single" w:sz="4" w:space="0" w:color="auto"/>
            </w:tcBorders>
            <w:shd w:val="clear" w:color="auto" w:fill="D9EDD0" w:themeFill="accent4" w:themeFillTint="66"/>
            <w:noWrap/>
            <w:vAlign w:val="center"/>
          </w:tcPr>
          <w:p w14:paraId="32B9AC12" w14:textId="348FE695"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3.</w:t>
            </w:r>
            <w:r w:rsidR="0043185E">
              <w:rPr>
                <w:rFonts w:asciiTheme="minorHAnsi" w:hAnsiTheme="minorHAnsi" w:cstheme="minorHAnsi"/>
                <w:color w:val="000000"/>
                <w:sz w:val="18"/>
                <w:szCs w:val="18"/>
              </w:rPr>
              <w:t>6</w:t>
            </w:r>
            <w:r w:rsidRPr="005D2CAB">
              <w:rPr>
                <w:rFonts w:asciiTheme="minorHAnsi" w:hAnsiTheme="minorHAnsi" w:cstheme="minorHAnsi"/>
                <w:color w:val="000000"/>
                <w:sz w:val="18"/>
                <w:szCs w:val="18"/>
              </w:rPr>
              <w:t>%</w:t>
            </w:r>
          </w:p>
        </w:tc>
        <w:tc>
          <w:tcPr>
            <w:tcW w:w="978" w:type="dxa"/>
            <w:tcBorders>
              <w:top w:val="nil"/>
              <w:left w:val="nil"/>
              <w:bottom w:val="single" w:sz="4" w:space="0" w:color="auto"/>
              <w:right w:val="single" w:sz="4" w:space="0" w:color="auto"/>
            </w:tcBorders>
            <w:shd w:val="clear" w:color="auto" w:fill="auto"/>
            <w:noWrap/>
            <w:vAlign w:val="center"/>
          </w:tcPr>
          <w:p w14:paraId="180AFB1E" w14:textId="7D8B7057"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$3.7B</w:t>
            </w:r>
          </w:p>
        </w:tc>
        <w:tc>
          <w:tcPr>
            <w:tcW w:w="983" w:type="dxa"/>
            <w:tcBorders>
              <w:top w:val="nil"/>
              <w:left w:val="nil"/>
              <w:bottom w:val="single" w:sz="4" w:space="0" w:color="auto"/>
              <w:right w:val="single" w:sz="4" w:space="0" w:color="auto"/>
            </w:tcBorders>
            <w:shd w:val="clear" w:color="auto" w:fill="auto"/>
            <w:noWrap/>
            <w:vAlign w:val="center"/>
          </w:tcPr>
          <w:p w14:paraId="785079CC" w14:textId="651C4C34"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$4.0B</w:t>
            </w:r>
          </w:p>
        </w:tc>
        <w:tc>
          <w:tcPr>
            <w:tcW w:w="992" w:type="dxa"/>
            <w:tcBorders>
              <w:top w:val="nil"/>
              <w:left w:val="nil"/>
              <w:bottom w:val="single" w:sz="4" w:space="0" w:color="auto"/>
              <w:right w:val="single" w:sz="4" w:space="0" w:color="auto"/>
            </w:tcBorders>
            <w:shd w:val="clear" w:color="auto" w:fill="D9EDD0" w:themeFill="accent4" w:themeFillTint="66"/>
            <w:vAlign w:val="center"/>
          </w:tcPr>
          <w:p w14:paraId="425D8763" w14:textId="0F8DA0FF"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6.</w:t>
            </w:r>
            <w:r w:rsidR="0043185E">
              <w:rPr>
                <w:rFonts w:asciiTheme="minorHAnsi" w:hAnsiTheme="minorHAnsi" w:cstheme="minorHAnsi"/>
                <w:color w:val="000000"/>
                <w:sz w:val="18"/>
                <w:szCs w:val="18"/>
              </w:rPr>
              <w:t>8</w:t>
            </w:r>
            <w:r w:rsidRPr="005D2CAB">
              <w:rPr>
                <w:rFonts w:asciiTheme="minorHAnsi" w:hAnsiTheme="minorHAnsi" w:cstheme="minorHAnsi"/>
                <w:color w:val="000000"/>
                <w:sz w:val="18"/>
                <w:szCs w:val="18"/>
              </w:rPr>
              <w:t>%</w:t>
            </w:r>
          </w:p>
        </w:tc>
      </w:tr>
      <w:tr w:rsidR="00284A83" w:rsidRPr="00163EB6" w14:paraId="7B5724A8" w14:textId="77777777" w:rsidTr="00D04B94">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1204493" w14:textId="77777777" w:rsidR="00284A83" w:rsidRPr="00284A83" w:rsidRDefault="00284A83" w:rsidP="00560AC0">
            <w:pPr>
              <w:spacing w:beforeLines="80" w:before="192" w:afterLines="80" w:after="192"/>
              <w:contextualSpacing/>
              <w:rPr>
                <w:rFonts w:cstheme="minorHAnsi"/>
                <w:b/>
                <w:bCs/>
                <w:color w:val="000000"/>
                <w:sz w:val="18"/>
                <w:szCs w:val="18"/>
              </w:rPr>
            </w:pPr>
            <w:r w:rsidRPr="00284A83">
              <w:rPr>
                <w:rFonts w:cstheme="minorHAnsi"/>
                <w:b/>
                <w:bCs/>
                <w:color w:val="000000"/>
                <w:sz w:val="18"/>
                <w:szCs w:val="18"/>
              </w:rPr>
              <w:t>Non-admitted</w:t>
            </w:r>
          </w:p>
        </w:tc>
        <w:tc>
          <w:tcPr>
            <w:tcW w:w="1134" w:type="dxa"/>
            <w:tcBorders>
              <w:top w:val="nil"/>
              <w:left w:val="nil"/>
              <w:bottom w:val="single" w:sz="4" w:space="0" w:color="auto"/>
              <w:right w:val="single" w:sz="4" w:space="0" w:color="auto"/>
            </w:tcBorders>
            <w:shd w:val="clear" w:color="auto" w:fill="auto"/>
            <w:noWrap/>
            <w:vAlign w:val="center"/>
          </w:tcPr>
          <w:p w14:paraId="7DF3B05D" w14:textId="00CF4F5A"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188</w:t>
            </w:r>
          </w:p>
        </w:tc>
        <w:tc>
          <w:tcPr>
            <w:tcW w:w="991" w:type="dxa"/>
            <w:tcBorders>
              <w:top w:val="nil"/>
              <w:left w:val="nil"/>
              <w:bottom w:val="single" w:sz="4" w:space="0" w:color="auto"/>
              <w:right w:val="single" w:sz="4" w:space="0" w:color="auto"/>
            </w:tcBorders>
            <w:shd w:val="clear" w:color="auto" w:fill="auto"/>
            <w:noWrap/>
            <w:vAlign w:val="center"/>
          </w:tcPr>
          <w:p w14:paraId="08C1CE75" w14:textId="47661953" w:rsidR="00284A83" w:rsidRPr="005D2CAB" w:rsidRDefault="00FE01DB"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22</w:t>
            </w:r>
            <w:r w:rsidR="0043185E">
              <w:rPr>
                <w:rFonts w:asciiTheme="minorHAnsi" w:hAnsiTheme="minorHAnsi" w:cstheme="minorHAnsi"/>
                <w:color w:val="000000"/>
                <w:sz w:val="18"/>
                <w:szCs w:val="18"/>
              </w:rPr>
              <w:t>2</w:t>
            </w:r>
          </w:p>
        </w:tc>
        <w:tc>
          <w:tcPr>
            <w:tcW w:w="993" w:type="dxa"/>
            <w:tcBorders>
              <w:top w:val="nil"/>
              <w:left w:val="nil"/>
              <w:bottom w:val="single" w:sz="4" w:space="0" w:color="auto"/>
              <w:right w:val="single" w:sz="4" w:space="0" w:color="auto"/>
            </w:tcBorders>
            <w:shd w:val="clear" w:color="auto" w:fill="D9EDD0" w:themeFill="accent4" w:themeFillTint="66"/>
            <w:noWrap/>
            <w:vAlign w:val="center"/>
          </w:tcPr>
          <w:p w14:paraId="0E1A1CEC" w14:textId="445F0348" w:rsidR="00284A83" w:rsidRPr="005D2CAB" w:rsidRDefault="0043185E"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Pr>
                <w:rFonts w:asciiTheme="minorHAnsi" w:hAnsiTheme="minorHAnsi" w:cstheme="minorHAnsi"/>
                <w:color w:val="000000"/>
                <w:sz w:val="18"/>
                <w:szCs w:val="18"/>
              </w:rPr>
              <w:t>18.1</w:t>
            </w:r>
            <w:r w:rsidR="00284A83" w:rsidRPr="005D2CAB">
              <w:rPr>
                <w:rFonts w:asciiTheme="minorHAnsi" w:hAnsiTheme="minorHAnsi" w:cstheme="minorHAns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1AD448FA" w14:textId="1769CAD2"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15.2M</w:t>
            </w:r>
          </w:p>
        </w:tc>
        <w:tc>
          <w:tcPr>
            <w:tcW w:w="992" w:type="dxa"/>
            <w:tcBorders>
              <w:top w:val="nil"/>
              <w:left w:val="nil"/>
              <w:bottom w:val="single" w:sz="4" w:space="0" w:color="auto"/>
              <w:right w:val="single" w:sz="4" w:space="0" w:color="auto"/>
            </w:tcBorders>
            <w:shd w:val="clear" w:color="auto" w:fill="auto"/>
            <w:noWrap/>
            <w:vAlign w:val="center"/>
          </w:tcPr>
          <w:p w14:paraId="5D005DFC" w14:textId="6B5C142C"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1</w:t>
            </w:r>
            <w:r w:rsidR="0043185E">
              <w:rPr>
                <w:rFonts w:asciiTheme="minorHAnsi" w:hAnsiTheme="minorHAnsi" w:cstheme="minorHAnsi"/>
                <w:color w:val="000000"/>
                <w:sz w:val="18"/>
                <w:szCs w:val="18"/>
              </w:rPr>
              <w:t>7.0</w:t>
            </w:r>
            <w:r w:rsidRPr="005D2CAB">
              <w:rPr>
                <w:rFonts w:asciiTheme="minorHAnsi" w:hAnsiTheme="minorHAnsi" w:cstheme="minorHAnsi"/>
                <w:color w:val="000000"/>
                <w:sz w:val="18"/>
                <w:szCs w:val="18"/>
              </w:rPr>
              <w:t>M</w:t>
            </w:r>
          </w:p>
        </w:tc>
        <w:tc>
          <w:tcPr>
            <w:tcW w:w="992" w:type="dxa"/>
            <w:tcBorders>
              <w:top w:val="nil"/>
              <w:left w:val="nil"/>
              <w:bottom w:val="single" w:sz="4" w:space="0" w:color="auto"/>
              <w:right w:val="single" w:sz="4" w:space="0" w:color="auto"/>
            </w:tcBorders>
            <w:shd w:val="clear" w:color="auto" w:fill="D9EDD0" w:themeFill="accent4" w:themeFillTint="66"/>
            <w:noWrap/>
            <w:vAlign w:val="center"/>
          </w:tcPr>
          <w:p w14:paraId="72226B1B" w14:textId="467ED19F"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11.</w:t>
            </w:r>
            <w:r w:rsidR="0043185E">
              <w:rPr>
                <w:rFonts w:asciiTheme="minorHAnsi" w:hAnsiTheme="minorHAnsi" w:cstheme="minorHAnsi"/>
                <w:color w:val="000000"/>
                <w:sz w:val="18"/>
                <w:szCs w:val="18"/>
              </w:rPr>
              <w:t>6</w:t>
            </w:r>
            <w:r w:rsidRPr="005D2CAB">
              <w:rPr>
                <w:rFonts w:asciiTheme="minorHAnsi" w:hAnsiTheme="minorHAnsi" w:cstheme="minorHAnsi"/>
                <w:color w:val="000000"/>
                <w:sz w:val="18"/>
                <w:szCs w:val="18"/>
              </w:rPr>
              <w:t>%</w:t>
            </w:r>
          </w:p>
        </w:tc>
        <w:tc>
          <w:tcPr>
            <w:tcW w:w="978" w:type="dxa"/>
            <w:tcBorders>
              <w:top w:val="nil"/>
              <w:left w:val="nil"/>
              <w:bottom w:val="single" w:sz="4" w:space="0" w:color="auto"/>
              <w:right w:val="single" w:sz="4" w:space="0" w:color="auto"/>
            </w:tcBorders>
            <w:shd w:val="clear" w:color="auto" w:fill="auto"/>
            <w:noWrap/>
            <w:vAlign w:val="center"/>
          </w:tcPr>
          <w:p w14:paraId="2D73CD7E" w14:textId="37ADA66C"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$4.1B</w:t>
            </w:r>
          </w:p>
        </w:tc>
        <w:tc>
          <w:tcPr>
            <w:tcW w:w="983" w:type="dxa"/>
            <w:tcBorders>
              <w:top w:val="nil"/>
              <w:left w:val="nil"/>
              <w:bottom w:val="single" w:sz="4" w:space="0" w:color="auto"/>
              <w:right w:val="single" w:sz="4" w:space="0" w:color="auto"/>
            </w:tcBorders>
            <w:shd w:val="clear" w:color="auto" w:fill="auto"/>
            <w:noWrap/>
            <w:vAlign w:val="center"/>
          </w:tcPr>
          <w:p w14:paraId="4E9F16CA" w14:textId="09C2FAF9"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$4.4B</w:t>
            </w:r>
          </w:p>
        </w:tc>
        <w:tc>
          <w:tcPr>
            <w:tcW w:w="992" w:type="dxa"/>
            <w:tcBorders>
              <w:top w:val="nil"/>
              <w:left w:val="nil"/>
              <w:bottom w:val="single" w:sz="4" w:space="0" w:color="auto"/>
              <w:right w:val="single" w:sz="4" w:space="0" w:color="auto"/>
            </w:tcBorders>
            <w:shd w:val="clear" w:color="auto" w:fill="D9EDD0" w:themeFill="accent4" w:themeFillTint="66"/>
            <w:vAlign w:val="center"/>
          </w:tcPr>
          <w:p w14:paraId="483A302E" w14:textId="0A3CA159"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7.</w:t>
            </w:r>
            <w:r w:rsidR="0043185E">
              <w:rPr>
                <w:rFonts w:asciiTheme="minorHAnsi" w:hAnsiTheme="minorHAnsi" w:cstheme="minorHAnsi"/>
                <w:color w:val="000000"/>
                <w:sz w:val="18"/>
                <w:szCs w:val="18"/>
              </w:rPr>
              <w:t>1</w:t>
            </w:r>
            <w:r w:rsidRPr="005D2CAB">
              <w:rPr>
                <w:rFonts w:asciiTheme="minorHAnsi" w:hAnsiTheme="minorHAnsi" w:cstheme="minorHAnsi"/>
                <w:color w:val="000000"/>
                <w:sz w:val="18"/>
                <w:szCs w:val="18"/>
              </w:rPr>
              <w:t>%</w:t>
            </w:r>
          </w:p>
        </w:tc>
      </w:tr>
      <w:tr w:rsidR="00284A83" w:rsidRPr="00163EB6" w14:paraId="4A22DFCD" w14:textId="77777777" w:rsidTr="00D04B94">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92639F7" w14:textId="77777777" w:rsidR="00284A83" w:rsidRPr="00284A83" w:rsidRDefault="00284A83" w:rsidP="00560AC0">
            <w:pPr>
              <w:spacing w:beforeLines="80" w:before="192" w:afterLines="80" w:after="192"/>
              <w:contextualSpacing/>
              <w:rPr>
                <w:rFonts w:cstheme="minorHAnsi"/>
                <w:b/>
                <w:bCs/>
                <w:color w:val="000000"/>
                <w:sz w:val="18"/>
                <w:szCs w:val="18"/>
              </w:rPr>
            </w:pPr>
            <w:r w:rsidRPr="00284A83">
              <w:rPr>
                <w:rFonts w:cstheme="minorHAnsi"/>
                <w:b/>
                <w:bCs/>
                <w:color w:val="000000"/>
                <w:sz w:val="18"/>
                <w:szCs w:val="18"/>
              </w:rPr>
              <w:t>Subacute</w:t>
            </w:r>
          </w:p>
        </w:tc>
        <w:tc>
          <w:tcPr>
            <w:tcW w:w="1134" w:type="dxa"/>
            <w:tcBorders>
              <w:top w:val="nil"/>
              <w:left w:val="nil"/>
              <w:bottom w:val="single" w:sz="4" w:space="0" w:color="auto"/>
              <w:right w:val="single" w:sz="4" w:space="0" w:color="auto"/>
            </w:tcBorders>
            <w:shd w:val="clear" w:color="auto" w:fill="auto"/>
            <w:noWrap/>
            <w:vAlign w:val="center"/>
          </w:tcPr>
          <w:p w14:paraId="2A8A992A" w14:textId="3D67F3EC"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234</w:t>
            </w:r>
          </w:p>
        </w:tc>
        <w:tc>
          <w:tcPr>
            <w:tcW w:w="991" w:type="dxa"/>
            <w:tcBorders>
              <w:top w:val="nil"/>
              <w:left w:val="nil"/>
              <w:bottom w:val="single" w:sz="4" w:space="0" w:color="auto"/>
              <w:right w:val="single" w:sz="4" w:space="0" w:color="auto"/>
            </w:tcBorders>
            <w:shd w:val="clear" w:color="auto" w:fill="auto"/>
            <w:noWrap/>
            <w:vAlign w:val="center"/>
          </w:tcPr>
          <w:p w14:paraId="2222B155" w14:textId="53068BFA" w:rsidR="00284A83" w:rsidRPr="005D2CAB" w:rsidRDefault="00FE01DB"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23</w:t>
            </w:r>
            <w:r w:rsidR="0043185E">
              <w:rPr>
                <w:rFonts w:asciiTheme="minorHAnsi" w:hAnsiTheme="minorHAnsi" w:cstheme="minorHAnsi"/>
                <w:color w:val="000000"/>
                <w:sz w:val="18"/>
                <w:szCs w:val="18"/>
              </w:rPr>
              <w:t>6</w:t>
            </w:r>
          </w:p>
        </w:tc>
        <w:tc>
          <w:tcPr>
            <w:tcW w:w="993" w:type="dxa"/>
            <w:tcBorders>
              <w:top w:val="nil"/>
              <w:left w:val="nil"/>
              <w:bottom w:val="single" w:sz="4" w:space="0" w:color="auto"/>
              <w:right w:val="single" w:sz="4" w:space="0" w:color="auto"/>
            </w:tcBorders>
            <w:shd w:val="clear" w:color="auto" w:fill="D9EDD0" w:themeFill="accent4" w:themeFillTint="66"/>
            <w:noWrap/>
            <w:vAlign w:val="center"/>
          </w:tcPr>
          <w:p w14:paraId="27F9D1E3" w14:textId="3D34DBF3"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0.</w:t>
            </w:r>
            <w:r w:rsidR="0043185E">
              <w:rPr>
                <w:rFonts w:asciiTheme="minorHAnsi" w:hAnsiTheme="minorHAnsi" w:cstheme="minorHAnsi"/>
                <w:color w:val="000000"/>
                <w:sz w:val="18"/>
                <w:szCs w:val="18"/>
              </w:rPr>
              <w:t>9</w:t>
            </w:r>
            <w:r w:rsidRPr="005D2CAB">
              <w:rPr>
                <w:rFonts w:asciiTheme="minorHAnsi" w:hAnsiTheme="minorHAnsi" w:cstheme="minorHAnsi"/>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5F5BA4C" w14:textId="64A92E1C"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179.6K</w:t>
            </w:r>
          </w:p>
        </w:tc>
        <w:tc>
          <w:tcPr>
            <w:tcW w:w="992" w:type="dxa"/>
            <w:tcBorders>
              <w:top w:val="nil"/>
              <w:left w:val="nil"/>
              <w:bottom w:val="single" w:sz="4" w:space="0" w:color="auto"/>
              <w:right w:val="single" w:sz="4" w:space="0" w:color="auto"/>
            </w:tcBorders>
            <w:shd w:val="clear" w:color="auto" w:fill="auto"/>
            <w:noWrap/>
            <w:vAlign w:val="center"/>
          </w:tcPr>
          <w:p w14:paraId="2EF8BE5E" w14:textId="7B9FB327"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sz w:val="18"/>
                <w:szCs w:val="18"/>
              </w:rPr>
            </w:pPr>
            <w:r w:rsidRPr="005D2CAB">
              <w:rPr>
                <w:rFonts w:asciiTheme="minorHAnsi" w:hAnsiTheme="minorHAnsi" w:cstheme="minorHAnsi"/>
                <w:color w:val="000000"/>
                <w:sz w:val="18"/>
                <w:szCs w:val="18"/>
              </w:rPr>
              <w:t>16</w:t>
            </w:r>
            <w:r w:rsidR="0043185E">
              <w:rPr>
                <w:rFonts w:asciiTheme="minorHAnsi" w:hAnsiTheme="minorHAnsi" w:cstheme="minorHAnsi"/>
                <w:color w:val="000000"/>
                <w:sz w:val="18"/>
                <w:szCs w:val="18"/>
              </w:rPr>
              <w:t>7.5</w:t>
            </w:r>
            <w:r w:rsidRPr="005D2CAB">
              <w:rPr>
                <w:rFonts w:asciiTheme="minorHAnsi" w:hAnsiTheme="minorHAnsi" w:cstheme="minorHAnsi"/>
                <w:color w:val="000000"/>
                <w:sz w:val="18"/>
                <w:szCs w:val="18"/>
              </w:rPr>
              <w:t>K</w:t>
            </w:r>
          </w:p>
        </w:tc>
        <w:tc>
          <w:tcPr>
            <w:tcW w:w="992" w:type="dxa"/>
            <w:tcBorders>
              <w:top w:val="nil"/>
              <w:left w:val="nil"/>
              <w:bottom w:val="single" w:sz="4" w:space="0" w:color="auto"/>
              <w:right w:val="single" w:sz="4" w:space="0" w:color="auto"/>
            </w:tcBorders>
            <w:shd w:val="clear" w:color="auto" w:fill="D9EDD0" w:themeFill="accent4" w:themeFillTint="66"/>
            <w:noWrap/>
            <w:vAlign w:val="center"/>
          </w:tcPr>
          <w:p w14:paraId="17ABDDF0" w14:textId="76CF98F3"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w:t>
            </w:r>
            <w:r w:rsidR="0043185E">
              <w:rPr>
                <w:rFonts w:asciiTheme="minorHAnsi" w:hAnsiTheme="minorHAnsi" w:cstheme="minorHAnsi"/>
                <w:color w:val="000000"/>
                <w:sz w:val="18"/>
                <w:szCs w:val="18"/>
              </w:rPr>
              <w:t>6.8</w:t>
            </w:r>
            <w:r w:rsidRPr="005D2CAB">
              <w:rPr>
                <w:rFonts w:asciiTheme="minorHAnsi" w:hAnsiTheme="minorHAnsi" w:cstheme="minorHAnsi"/>
                <w:color w:val="000000"/>
                <w:sz w:val="18"/>
                <w:szCs w:val="18"/>
              </w:rPr>
              <w:t>%</w:t>
            </w:r>
          </w:p>
        </w:tc>
        <w:tc>
          <w:tcPr>
            <w:tcW w:w="978" w:type="dxa"/>
            <w:tcBorders>
              <w:top w:val="nil"/>
              <w:left w:val="nil"/>
              <w:bottom w:val="single" w:sz="4" w:space="0" w:color="auto"/>
              <w:right w:val="single" w:sz="4" w:space="0" w:color="auto"/>
            </w:tcBorders>
            <w:shd w:val="clear" w:color="auto" w:fill="auto"/>
            <w:noWrap/>
            <w:vAlign w:val="center"/>
          </w:tcPr>
          <w:p w14:paraId="376E0619" w14:textId="300E5621"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$2.3B</w:t>
            </w:r>
          </w:p>
        </w:tc>
        <w:tc>
          <w:tcPr>
            <w:tcW w:w="983" w:type="dxa"/>
            <w:tcBorders>
              <w:top w:val="nil"/>
              <w:left w:val="nil"/>
              <w:bottom w:val="single" w:sz="4" w:space="0" w:color="auto"/>
              <w:right w:val="single" w:sz="4" w:space="0" w:color="auto"/>
            </w:tcBorders>
            <w:shd w:val="clear" w:color="auto" w:fill="auto"/>
            <w:noWrap/>
            <w:vAlign w:val="center"/>
          </w:tcPr>
          <w:p w14:paraId="12ECB29E" w14:textId="1056B240"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$2.4B</w:t>
            </w:r>
          </w:p>
        </w:tc>
        <w:tc>
          <w:tcPr>
            <w:tcW w:w="992" w:type="dxa"/>
            <w:tcBorders>
              <w:top w:val="nil"/>
              <w:left w:val="nil"/>
              <w:bottom w:val="single" w:sz="4" w:space="0" w:color="auto"/>
              <w:right w:val="single" w:sz="4" w:space="0" w:color="auto"/>
            </w:tcBorders>
            <w:shd w:val="clear" w:color="auto" w:fill="D9EDD0" w:themeFill="accent4" w:themeFillTint="66"/>
            <w:vAlign w:val="center"/>
          </w:tcPr>
          <w:p w14:paraId="1D8D2075" w14:textId="152B8E8D" w:rsidR="00284A83" w:rsidRPr="005D2CAB" w:rsidRDefault="00284A83" w:rsidP="00EA54AB">
            <w:pPr>
              <w:spacing w:beforeLines="80" w:before="192" w:afterLines="80" w:after="192"/>
              <w:contextualSpacing/>
              <w:jc w:val="center"/>
              <w:rPr>
                <w:rFonts w:asciiTheme="minorHAnsi" w:eastAsiaTheme="minorHAnsi" w:hAnsiTheme="minorHAnsi" w:cstheme="minorHAnsi"/>
                <w:b/>
                <w:noProof/>
                <w:color w:val="000000"/>
                <w:sz w:val="18"/>
                <w:szCs w:val="18"/>
              </w:rPr>
            </w:pPr>
            <w:r w:rsidRPr="005D2CAB">
              <w:rPr>
                <w:rFonts w:asciiTheme="minorHAnsi" w:hAnsiTheme="minorHAnsi" w:cstheme="minorHAnsi"/>
                <w:color w:val="000000"/>
                <w:sz w:val="18"/>
                <w:szCs w:val="18"/>
              </w:rPr>
              <w:t>4.</w:t>
            </w:r>
            <w:r w:rsidR="0043185E">
              <w:rPr>
                <w:rFonts w:asciiTheme="minorHAnsi" w:hAnsiTheme="minorHAnsi" w:cstheme="minorHAnsi"/>
                <w:color w:val="000000"/>
                <w:sz w:val="18"/>
                <w:szCs w:val="18"/>
              </w:rPr>
              <w:t>9</w:t>
            </w:r>
            <w:r w:rsidRPr="005D2CAB">
              <w:rPr>
                <w:rFonts w:asciiTheme="minorHAnsi" w:hAnsiTheme="minorHAnsi" w:cstheme="minorHAnsi"/>
                <w:color w:val="000000"/>
                <w:sz w:val="18"/>
                <w:szCs w:val="18"/>
              </w:rPr>
              <w:t>%</w:t>
            </w:r>
          </w:p>
        </w:tc>
      </w:tr>
    </w:tbl>
    <w:p w14:paraId="2D45B921" w14:textId="77777777" w:rsidR="00284A83" w:rsidRDefault="00284A83" w:rsidP="00560AC0">
      <w:pPr>
        <w:spacing w:before="120" w:after="0" w:line="240" w:lineRule="auto"/>
        <w:rPr>
          <w:b/>
        </w:rPr>
      </w:pPr>
    </w:p>
    <w:p w14:paraId="03D32874" w14:textId="10AE24A0" w:rsidR="00284A83" w:rsidRPr="00BA577C" w:rsidRDefault="00284A83">
      <w:pPr>
        <w:spacing w:before="120" w:after="0" w:line="240" w:lineRule="auto"/>
        <w:rPr>
          <w:b/>
        </w:rPr>
      </w:pPr>
      <w:proofErr w:type="gramStart"/>
      <w:r w:rsidRPr="00BA577C">
        <w:rPr>
          <w:b/>
        </w:rPr>
        <w:t xml:space="preserve">Table </w:t>
      </w:r>
      <w:r w:rsidRPr="00BA577C">
        <w:rPr>
          <w:b/>
        </w:rPr>
        <w:fldChar w:fldCharType="begin"/>
      </w:r>
      <w:r w:rsidRPr="00BA577C">
        <w:rPr>
          <w:b/>
        </w:rPr>
        <w:instrText xml:space="preserve"> SEQ Table \* ARABIC </w:instrText>
      </w:r>
      <w:r w:rsidRPr="00BA577C">
        <w:rPr>
          <w:b/>
        </w:rPr>
        <w:fldChar w:fldCharType="separate"/>
      </w:r>
      <w:r w:rsidR="00F84458">
        <w:rPr>
          <w:b/>
          <w:noProof/>
        </w:rPr>
        <w:t>27</w:t>
      </w:r>
      <w:r w:rsidRPr="00BA577C">
        <w:rPr>
          <w:b/>
        </w:rPr>
        <w:fldChar w:fldCharType="end"/>
      </w:r>
      <w:r w:rsidRPr="00BA577C">
        <w:rPr>
          <w:b/>
        </w:rPr>
        <w:t>.</w:t>
      </w:r>
      <w:proofErr w:type="gramEnd"/>
      <w:r w:rsidRPr="00BA577C">
        <w:rPr>
          <w:b/>
        </w:rPr>
        <w:t xml:space="preserve"> </w:t>
      </w:r>
      <w:proofErr w:type="gramStart"/>
      <w:r w:rsidRPr="00BA577C">
        <w:rPr>
          <w:b/>
        </w:rPr>
        <w:t xml:space="preserve">Summary of 2013-14 and 2014-15 </w:t>
      </w:r>
      <w:r w:rsidR="00AC13B4">
        <w:rPr>
          <w:b/>
        </w:rPr>
        <w:t>Population</w:t>
      </w:r>
      <w:r w:rsidRPr="00BA577C">
        <w:rPr>
          <w:b/>
        </w:rPr>
        <w:t xml:space="preserve"> data (ABF hospitals).</w:t>
      </w:r>
      <w:proofErr w:type="gramEnd"/>
    </w:p>
    <w:tbl>
      <w:tblPr>
        <w:tblW w:w="8691" w:type="dxa"/>
        <w:jc w:val="center"/>
        <w:tblInd w:w="93" w:type="dxa"/>
        <w:tblLayout w:type="fixed"/>
        <w:tblLook w:val="04A0" w:firstRow="1" w:lastRow="0" w:firstColumn="1" w:lastColumn="0" w:noHBand="0" w:noVBand="1"/>
      </w:tblPr>
      <w:tblGrid>
        <w:gridCol w:w="2029"/>
        <w:gridCol w:w="992"/>
        <w:gridCol w:w="992"/>
        <w:gridCol w:w="1276"/>
        <w:gridCol w:w="992"/>
        <w:gridCol w:w="992"/>
        <w:gridCol w:w="1418"/>
      </w:tblGrid>
      <w:tr w:rsidR="002E5A67" w:rsidRPr="008B5E5C" w14:paraId="0E7FBBA3" w14:textId="77777777" w:rsidTr="00D04B94">
        <w:trPr>
          <w:trHeight w:val="600"/>
          <w:jc w:val="center"/>
        </w:trPr>
        <w:tc>
          <w:tcPr>
            <w:tcW w:w="2029" w:type="dxa"/>
            <w:tcBorders>
              <w:top w:val="single" w:sz="4" w:space="0" w:color="auto"/>
              <w:left w:val="single" w:sz="4" w:space="0" w:color="auto"/>
              <w:bottom w:val="nil"/>
              <w:right w:val="single" w:sz="4" w:space="0" w:color="auto"/>
            </w:tcBorders>
            <w:shd w:val="clear" w:color="000000" w:fill="FFFFFF"/>
            <w:noWrap/>
            <w:vAlign w:val="bottom"/>
            <w:hideMark/>
          </w:tcPr>
          <w:p w14:paraId="40CC99D8" w14:textId="77777777" w:rsidR="002E5A67" w:rsidRPr="00284A83" w:rsidRDefault="002E5A67">
            <w:pPr>
              <w:rPr>
                <w:rFonts w:ascii="Calibri" w:hAnsi="Calibri"/>
                <w:color w:val="FFFFFF"/>
                <w:sz w:val="18"/>
                <w:szCs w:val="18"/>
              </w:rPr>
            </w:pPr>
            <w:r w:rsidRPr="00284A83">
              <w:rPr>
                <w:rFonts w:ascii="Calibri" w:hAnsi="Calibri"/>
                <w:color w:val="FFFFFF"/>
                <w:sz w:val="18"/>
                <w:szCs w:val="18"/>
              </w:rPr>
              <w:t> </w:t>
            </w:r>
          </w:p>
        </w:tc>
        <w:tc>
          <w:tcPr>
            <w:tcW w:w="3260" w:type="dxa"/>
            <w:gridSpan w:val="3"/>
            <w:tcBorders>
              <w:top w:val="single" w:sz="4" w:space="0" w:color="auto"/>
              <w:left w:val="single" w:sz="4" w:space="0" w:color="auto"/>
              <w:bottom w:val="single" w:sz="4" w:space="0" w:color="auto"/>
              <w:right w:val="single" w:sz="4" w:space="0" w:color="000000"/>
            </w:tcBorders>
            <w:shd w:val="clear" w:color="auto" w:fill="288A32"/>
            <w:vAlign w:val="center"/>
            <w:hideMark/>
          </w:tcPr>
          <w:p w14:paraId="0436CB70" w14:textId="77777777" w:rsidR="002E5A67" w:rsidRPr="00284A83" w:rsidRDefault="002E5A67" w:rsidP="002D606E">
            <w:pPr>
              <w:rPr>
                <w:rFonts w:ascii="Calibri" w:hAnsi="Calibri"/>
                <w:b/>
                <w:bCs/>
                <w:color w:val="FFFFFF" w:themeColor="background1"/>
                <w:sz w:val="18"/>
                <w:szCs w:val="18"/>
              </w:rPr>
            </w:pPr>
            <w:r w:rsidRPr="00284A83">
              <w:rPr>
                <w:rFonts w:ascii="Calibri" w:hAnsi="Calibri"/>
                <w:b/>
                <w:bCs/>
                <w:color w:val="FFFFFF" w:themeColor="background1"/>
                <w:sz w:val="18"/>
                <w:szCs w:val="18"/>
              </w:rPr>
              <w:t>Establishments</w:t>
            </w:r>
          </w:p>
        </w:tc>
        <w:tc>
          <w:tcPr>
            <w:tcW w:w="3402" w:type="dxa"/>
            <w:gridSpan w:val="3"/>
            <w:tcBorders>
              <w:top w:val="single" w:sz="4" w:space="0" w:color="auto"/>
              <w:left w:val="single" w:sz="4" w:space="0" w:color="auto"/>
              <w:bottom w:val="single" w:sz="4" w:space="0" w:color="auto"/>
              <w:right w:val="single" w:sz="4" w:space="0" w:color="000000"/>
            </w:tcBorders>
            <w:shd w:val="clear" w:color="auto" w:fill="288A32"/>
            <w:vAlign w:val="center"/>
            <w:hideMark/>
          </w:tcPr>
          <w:p w14:paraId="4527449B" w14:textId="77777777" w:rsidR="002E5A67" w:rsidRPr="00284A83" w:rsidRDefault="002E5A67" w:rsidP="002D606E">
            <w:pPr>
              <w:rPr>
                <w:rFonts w:ascii="Calibri" w:hAnsi="Calibri"/>
                <w:b/>
                <w:bCs/>
                <w:color w:val="FFFFFF" w:themeColor="background1"/>
                <w:sz w:val="18"/>
                <w:szCs w:val="18"/>
              </w:rPr>
            </w:pPr>
            <w:r w:rsidRPr="00284A83">
              <w:rPr>
                <w:rFonts w:ascii="Calibri" w:hAnsi="Calibri"/>
                <w:b/>
                <w:bCs/>
                <w:color w:val="FFFFFF" w:themeColor="background1"/>
                <w:sz w:val="18"/>
                <w:szCs w:val="18"/>
              </w:rPr>
              <w:t xml:space="preserve">Activity </w:t>
            </w:r>
            <w:r w:rsidRPr="00284A83">
              <w:rPr>
                <w:rFonts w:ascii="Calibri" w:hAnsi="Calibri"/>
                <w:b/>
                <w:bCs/>
                <w:color w:val="FFFFFF" w:themeColor="background1"/>
                <w:sz w:val="18"/>
                <w:szCs w:val="18"/>
              </w:rPr>
              <w:br/>
              <w:t xml:space="preserve">(Separations/Episodes) </w:t>
            </w:r>
          </w:p>
        </w:tc>
      </w:tr>
      <w:tr w:rsidR="002E5A67" w:rsidRPr="008B5E5C" w14:paraId="27E3CC16" w14:textId="77777777" w:rsidTr="00D04B94">
        <w:trPr>
          <w:trHeight w:val="600"/>
          <w:jc w:val="center"/>
        </w:trPr>
        <w:tc>
          <w:tcPr>
            <w:tcW w:w="2029" w:type="dxa"/>
            <w:tcBorders>
              <w:top w:val="nil"/>
              <w:left w:val="single" w:sz="4" w:space="0" w:color="auto"/>
              <w:bottom w:val="single" w:sz="4" w:space="0" w:color="auto"/>
              <w:right w:val="single" w:sz="4" w:space="0" w:color="auto"/>
            </w:tcBorders>
            <w:shd w:val="clear" w:color="000000" w:fill="FFFFFF"/>
            <w:noWrap/>
            <w:vAlign w:val="bottom"/>
            <w:hideMark/>
          </w:tcPr>
          <w:p w14:paraId="554E2113" w14:textId="77777777" w:rsidR="002E5A67" w:rsidRPr="00284A83" w:rsidRDefault="002E5A67" w:rsidP="00560AC0">
            <w:pPr>
              <w:rPr>
                <w:rFonts w:ascii="Calibri" w:hAnsi="Calibri"/>
                <w:color w:val="FFFFFF"/>
                <w:sz w:val="18"/>
                <w:szCs w:val="18"/>
              </w:rPr>
            </w:pPr>
            <w:r w:rsidRPr="00284A83">
              <w:rPr>
                <w:rFonts w:ascii="Calibri" w:hAnsi="Calibri"/>
                <w:color w:val="FFFFFF"/>
                <w:sz w:val="18"/>
                <w:szCs w:val="18"/>
              </w:rPr>
              <w:t> </w:t>
            </w: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157ACF8" w14:textId="77777777" w:rsidR="002E5A67" w:rsidRPr="00284A83" w:rsidRDefault="002E5A67" w:rsidP="00EA54AB">
            <w:pPr>
              <w:jc w:val="center"/>
              <w:rPr>
                <w:rFonts w:eastAsiaTheme="minorHAnsi" w:cs="Arial"/>
                <w:b/>
                <w:bCs/>
                <w:noProof/>
                <w:color w:val="000000"/>
                <w:sz w:val="18"/>
                <w:szCs w:val="18"/>
              </w:rPr>
            </w:pPr>
            <w:r w:rsidRPr="00284A83">
              <w:rPr>
                <w:rFonts w:cs="Arial"/>
                <w:b/>
                <w:bCs/>
                <w:color w:val="000000"/>
                <w:sz w:val="18"/>
                <w:szCs w:val="18"/>
              </w:rPr>
              <w:t>2013-14</w:t>
            </w:r>
          </w:p>
        </w:tc>
        <w:tc>
          <w:tcPr>
            <w:tcW w:w="992" w:type="dxa"/>
            <w:tcBorders>
              <w:top w:val="nil"/>
              <w:left w:val="nil"/>
              <w:bottom w:val="single" w:sz="4" w:space="0" w:color="auto"/>
              <w:right w:val="single" w:sz="4" w:space="0" w:color="auto"/>
            </w:tcBorders>
            <w:shd w:val="clear" w:color="000000" w:fill="FFFFFF"/>
            <w:noWrap/>
            <w:vAlign w:val="center"/>
            <w:hideMark/>
          </w:tcPr>
          <w:p w14:paraId="0B93827C" w14:textId="77777777" w:rsidR="002E5A67" w:rsidRPr="00284A83" w:rsidRDefault="002E5A67" w:rsidP="00EA54AB">
            <w:pPr>
              <w:jc w:val="center"/>
              <w:rPr>
                <w:rFonts w:eastAsiaTheme="minorHAnsi" w:cs="Arial"/>
                <w:b/>
                <w:bCs/>
                <w:noProof/>
                <w:color w:val="000000"/>
                <w:sz w:val="18"/>
                <w:szCs w:val="18"/>
              </w:rPr>
            </w:pPr>
            <w:r w:rsidRPr="00284A83">
              <w:rPr>
                <w:rFonts w:cs="Arial"/>
                <w:b/>
                <w:bCs/>
                <w:color w:val="000000"/>
                <w:sz w:val="18"/>
                <w:szCs w:val="18"/>
              </w:rPr>
              <w:t>2014-15</w:t>
            </w:r>
          </w:p>
        </w:tc>
        <w:tc>
          <w:tcPr>
            <w:tcW w:w="1276" w:type="dxa"/>
            <w:tcBorders>
              <w:top w:val="nil"/>
              <w:left w:val="nil"/>
              <w:bottom w:val="single" w:sz="4" w:space="0" w:color="auto"/>
              <w:right w:val="single" w:sz="4" w:space="0" w:color="auto"/>
            </w:tcBorders>
            <w:shd w:val="clear" w:color="000000" w:fill="FFFFFF"/>
            <w:vAlign w:val="center"/>
            <w:hideMark/>
          </w:tcPr>
          <w:p w14:paraId="3501811A" w14:textId="77777777" w:rsidR="002E5A67" w:rsidRPr="00284A83" w:rsidRDefault="002E5A67" w:rsidP="00EA54AB">
            <w:pPr>
              <w:jc w:val="center"/>
              <w:rPr>
                <w:rFonts w:eastAsiaTheme="minorHAnsi" w:cs="Arial"/>
                <w:b/>
                <w:bCs/>
                <w:noProof/>
                <w:color w:val="000000"/>
                <w:sz w:val="18"/>
                <w:szCs w:val="18"/>
              </w:rPr>
            </w:pPr>
            <w:r w:rsidRPr="00284A83">
              <w:rPr>
                <w:rFonts w:cs="Arial"/>
                <w:b/>
                <w:bCs/>
                <w:color w:val="000000"/>
                <w:sz w:val="18"/>
                <w:szCs w:val="18"/>
              </w:rPr>
              <w:t xml:space="preserve">% </w:t>
            </w:r>
            <w:r w:rsidRPr="00284A83">
              <w:rPr>
                <w:rFonts w:cs="Arial"/>
                <w:b/>
                <w:bCs/>
                <w:color w:val="000000"/>
                <w:sz w:val="18"/>
                <w:szCs w:val="18"/>
              </w:rPr>
              <w:br/>
              <w:t>Change</w:t>
            </w:r>
          </w:p>
        </w:tc>
        <w:tc>
          <w:tcPr>
            <w:tcW w:w="992" w:type="dxa"/>
            <w:tcBorders>
              <w:top w:val="nil"/>
              <w:left w:val="nil"/>
              <w:bottom w:val="single" w:sz="4" w:space="0" w:color="auto"/>
              <w:right w:val="single" w:sz="4" w:space="0" w:color="auto"/>
            </w:tcBorders>
            <w:shd w:val="clear" w:color="000000" w:fill="FFFFFF"/>
            <w:noWrap/>
            <w:vAlign w:val="center"/>
            <w:hideMark/>
          </w:tcPr>
          <w:p w14:paraId="15C282D0" w14:textId="77777777" w:rsidR="002E5A67" w:rsidRPr="00284A83" w:rsidRDefault="002E5A67" w:rsidP="00EA54AB">
            <w:pPr>
              <w:jc w:val="center"/>
              <w:rPr>
                <w:rFonts w:cs="Arial"/>
                <w:b/>
                <w:bCs/>
                <w:color w:val="000000"/>
                <w:sz w:val="18"/>
                <w:szCs w:val="18"/>
              </w:rPr>
            </w:pPr>
            <w:r w:rsidRPr="00284A83">
              <w:rPr>
                <w:rFonts w:cs="Arial"/>
                <w:b/>
                <w:bCs/>
                <w:color w:val="000000"/>
                <w:sz w:val="18"/>
                <w:szCs w:val="18"/>
              </w:rPr>
              <w:t>2013-14</w:t>
            </w:r>
          </w:p>
        </w:tc>
        <w:tc>
          <w:tcPr>
            <w:tcW w:w="992" w:type="dxa"/>
            <w:tcBorders>
              <w:top w:val="nil"/>
              <w:left w:val="nil"/>
              <w:bottom w:val="single" w:sz="4" w:space="0" w:color="auto"/>
              <w:right w:val="single" w:sz="4" w:space="0" w:color="auto"/>
            </w:tcBorders>
            <w:shd w:val="clear" w:color="000000" w:fill="FFFFFF"/>
            <w:noWrap/>
            <w:vAlign w:val="center"/>
            <w:hideMark/>
          </w:tcPr>
          <w:p w14:paraId="62211A29" w14:textId="77777777" w:rsidR="002E5A67" w:rsidRPr="00284A83" w:rsidRDefault="002E5A67" w:rsidP="00EA54AB">
            <w:pPr>
              <w:jc w:val="center"/>
              <w:rPr>
                <w:rFonts w:cs="Arial"/>
                <w:b/>
                <w:bCs/>
                <w:color w:val="000000"/>
                <w:sz w:val="18"/>
                <w:szCs w:val="18"/>
              </w:rPr>
            </w:pPr>
            <w:r w:rsidRPr="00284A83">
              <w:rPr>
                <w:rFonts w:cs="Arial"/>
                <w:b/>
                <w:bCs/>
                <w:color w:val="000000"/>
                <w:sz w:val="18"/>
                <w:szCs w:val="18"/>
              </w:rPr>
              <w:t>2014-15</w:t>
            </w:r>
          </w:p>
        </w:tc>
        <w:tc>
          <w:tcPr>
            <w:tcW w:w="1418" w:type="dxa"/>
            <w:tcBorders>
              <w:top w:val="nil"/>
              <w:left w:val="nil"/>
              <w:bottom w:val="single" w:sz="4" w:space="0" w:color="auto"/>
              <w:right w:val="single" w:sz="4" w:space="0" w:color="auto"/>
            </w:tcBorders>
            <w:shd w:val="clear" w:color="000000" w:fill="FFFFFF"/>
            <w:vAlign w:val="center"/>
            <w:hideMark/>
          </w:tcPr>
          <w:p w14:paraId="2AF5845E" w14:textId="77777777" w:rsidR="002E5A67" w:rsidRPr="00284A83" w:rsidRDefault="002E5A67" w:rsidP="00EA54AB">
            <w:pPr>
              <w:jc w:val="center"/>
              <w:rPr>
                <w:rFonts w:cs="Arial"/>
                <w:b/>
                <w:bCs/>
                <w:color w:val="000000"/>
                <w:sz w:val="18"/>
                <w:szCs w:val="18"/>
              </w:rPr>
            </w:pPr>
            <w:r w:rsidRPr="00284A83">
              <w:rPr>
                <w:rFonts w:cs="Arial"/>
                <w:b/>
                <w:bCs/>
                <w:color w:val="000000"/>
                <w:sz w:val="18"/>
                <w:szCs w:val="18"/>
              </w:rPr>
              <w:t xml:space="preserve">% </w:t>
            </w:r>
            <w:r w:rsidRPr="00284A83">
              <w:rPr>
                <w:rFonts w:cs="Arial"/>
                <w:b/>
                <w:bCs/>
                <w:color w:val="000000"/>
                <w:sz w:val="18"/>
                <w:szCs w:val="18"/>
              </w:rPr>
              <w:br/>
              <w:t>Change</w:t>
            </w:r>
          </w:p>
        </w:tc>
      </w:tr>
      <w:tr w:rsidR="00284A83" w:rsidRPr="008B5E5C" w14:paraId="56ED4507" w14:textId="77777777" w:rsidTr="00D04B94">
        <w:trPr>
          <w:trHeight w:val="345"/>
          <w:jc w:val="center"/>
        </w:trPr>
        <w:tc>
          <w:tcPr>
            <w:tcW w:w="2029" w:type="dxa"/>
            <w:tcBorders>
              <w:top w:val="nil"/>
              <w:left w:val="single" w:sz="4" w:space="0" w:color="auto"/>
              <w:bottom w:val="single" w:sz="4" w:space="0" w:color="auto"/>
              <w:right w:val="single" w:sz="4" w:space="0" w:color="auto"/>
            </w:tcBorders>
            <w:shd w:val="clear" w:color="000000" w:fill="FFFFFF"/>
            <w:vAlign w:val="center"/>
            <w:hideMark/>
          </w:tcPr>
          <w:p w14:paraId="69193BD6" w14:textId="77777777" w:rsidR="00284A83" w:rsidRPr="00284A83" w:rsidRDefault="00284A83" w:rsidP="00560AC0">
            <w:pPr>
              <w:spacing w:before="80" w:after="80"/>
              <w:rPr>
                <w:rFonts w:cstheme="minorHAnsi"/>
                <w:b/>
                <w:bCs/>
                <w:color w:val="000000"/>
                <w:sz w:val="18"/>
                <w:szCs w:val="18"/>
              </w:rPr>
            </w:pPr>
            <w:r w:rsidRPr="00284A83">
              <w:rPr>
                <w:rFonts w:cstheme="minorHAnsi"/>
                <w:b/>
                <w:bCs/>
                <w:color w:val="000000"/>
                <w:sz w:val="18"/>
                <w:szCs w:val="18"/>
              </w:rPr>
              <w:t>Admitted acute</w:t>
            </w:r>
          </w:p>
        </w:tc>
        <w:tc>
          <w:tcPr>
            <w:tcW w:w="992" w:type="dxa"/>
            <w:tcBorders>
              <w:top w:val="nil"/>
              <w:left w:val="nil"/>
              <w:bottom w:val="single" w:sz="4" w:space="0" w:color="auto"/>
              <w:right w:val="single" w:sz="4" w:space="0" w:color="auto"/>
            </w:tcBorders>
            <w:shd w:val="clear" w:color="000000" w:fill="FFFFFF"/>
            <w:noWrap/>
            <w:vAlign w:val="center"/>
            <w:hideMark/>
          </w:tcPr>
          <w:p w14:paraId="08196467" w14:textId="245F7660"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270</w:t>
            </w:r>
          </w:p>
        </w:tc>
        <w:tc>
          <w:tcPr>
            <w:tcW w:w="992" w:type="dxa"/>
            <w:tcBorders>
              <w:top w:val="nil"/>
              <w:left w:val="nil"/>
              <w:bottom w:val="single" w:sz="4" w:space="0" w:color="auto"/>
              <w:right w:val="single" w:sz="4" w:space="0" w:color="auto"/>
            </w:tcBorders>
            <w:shd w:val="clear" w:color="000000" w:fill="FFFFFF"/>
            <w:noWrap/>
            <w:vAlign w:val="center"/>
            <w:hideMark/>
          </w:tcPr>
          <w:p w14:paraId="512D66DC" w14:textId="43087CD5" w:rsidR="00284A83" w:rsidRPr="00284A83" w:rsidRDefault="006B3BCE"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27</w:t>
            </w:r>
            <w:r w:rsidR="0043185E">
              <w:rPr>
                <w:rFonts w:asciiTheme="minorHAnsi" w:hAnsiTheme="minorHAnsi" w:cstheme="minorHAnsi"/>
                <w:color w:val="000000"/>
                <w:sz w:val="18"/>
                <w:szCs w:val="18"/>
              </w:rPr>
              <w:t>3</w:t>
            </w:r>
          </w:p>
        </w:tc>
        <w:tc>
          <w:tcPr>
            <w:tcW w:w="1276" w:type="dxa"/>
            <w:tcBorders>
              <w:top w:val="nil"/>
              <w:left w:val="nil"/>
              <w:bottom w:val="single" w:sz="4" w:space="0" w:color="auto"/>
              <w:right w:val="single" w:sz="4" w:space="0" w:color="auto"/>
            </w:tcBorders>
            <w:shd w:val="clear" w:color="auto" w:fill="D9EDD0" w:themeFill="accent4" w:themeFillTint="66"/>
            <w:noWrap/>
            <w:vAlign w:val="center"/>
            <w:hideMark/>
          </w:tcPr>
          <w:p w14:paraId="55CFDC8A" w14:textId="37A9C767" w:rsidR="00284A83" w:rsidRPr="00284A83" w:rsidRDefault="0043185E" w:rsidP="00EA54AB">
            <w:pPr>
              <w:jc w:val="center"/>
              <w:rPr>
                <w:rFonts w:eastAsiaTheme="minorHAnsi" w:cs="Arial"/>
                <w:b/>
                <w:noProof/>
                <w:color w:val="000000"/>
                <w:sz w:val="18"/>
                <w:szCs w:val="18"/>
              </w:rPr>
            </w:pPr>
            <w:r>
              <w:rPr>
                <w:rFonts w:asciiTheme="minorHAnsi" w:hAnsiTheme="minorHAnsi" w:cstheme="minorHAnsi"/>
                <w:color w:val="000000"/>
                <w:sz w:val="18"/>
                <w:szCs w:val="18"/>
              </w:rPr>
              <w:t>1.1</w:t>
            </w:r>
            <w:r w:rsidR="00284A83" w:rsidRPr="00284A83">
              <w:rPr>
                <w:rFonts w:asciiTheme="minorHAnsi" w:hAnsiTheme="minorHAnsi" w:cstheme="minorHAnsi"/>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224C7313" w14:textId="7F1796F0"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5.2M</w:t>
            </w:r>
          </w:p>
        </w:tc>
        <w:tc>
          <w:tcPr>
            <w:tcW w:w="992" w:type="dxa"/>
            <w:tcBorders>
              <w:top w:val="nil"/>
              <w:left w:val="nil"/>
              <w:bottom w:val="single" w:sz="4" w:space="0" w:color="auto"/>
              <w:right w:val="single" w:sz="4" w:space="0" w:color="auto"/>
            </w:tcBorders>
            <w:shd w:val="clear" w:color="000000" w:fill="FFFFFF"/>
            <w:noWrap/>
            <w:vAlign w:val="center"/>
            <w:hideMark/>
          </w:tcPr>
          <w:p w14:paraId="69E76AAE" w14:textId="075393F6"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5.</w:t>
            </w:r>
            <w:r w:rsidR="0043185E">
              <w:rPr>
                <w:rFonts w:asciiTheme="minorHAnsi" w:hAnsiTheme="minorHAnsi" w:cstheme="minorHAnsi"/>
                <w:color w:val="000000"/>
                <w:sz w:val="18"/>
                <w:szCs w:val="18"/>
              </w:rPr>
              <w:t>4</w:t>
            </w:r>
            <w:r w:rsidR="006B3BCE" w:rsidRPr="00284A83">
              <w:rPr>
                <w:rFonts w:asciiTheme="minorHAnsi" w:hAnsiTheme="minorHAnsi" w:cstheme="minorHAnsi"/>
                <w:color w:val="000000"/>
                <w:sz w:val="18"/>
                <w:szCs w:val="18"/>
              </w:rPr>
              <w:t>M</w:t>
            </w:r>
          </w:p>
        </w:tc>
        <w:tc>
          <w:tcPr>
            <w:tcW w:w="1418" w:type="dxa"/>
            <w:tcBorders>
              <w:top w:val="nil"/>
              <w:left w:val="nil"/>
              <w:bottom w:val="single" w:sz="4" w:space="0" w:color="auto"/>
              <w:right w:val="single" w:sz="4" w:space="0" w:color="auto"/>
            </w:tcBorders>
            <w:shd w:val="clear" w:color="auto" w:fill="D9EDD0" w:themeFill="accent4" w:themeFillTint="66"/>
            <w:noWrap/>
            <w:vAlign w:val="center"/>
            <w:hideMark/>
          </w:tcPr>
          <w:p w14:paraId="6DF479B0" w14:textId="2C5FFA2B"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3.</w:t>
            </w:r>
            <w:r w:rsidR="0043185E">
              <w:rPr>
                <w:rFonts w:asciiTheme="minorHAnsi" w:hAnsiTheme="minorHAnsi" w:cstheme="minorHAnsi"/>
                <w:color w:val="000000"/>
                <w:sz w:val="18"/>
                <w:szCs w:val="18"/>
              </w:rPr>
              <w:t>7</w:t>
            </w:r>
            <w:r w:rsidRPr="00284A83">
              <w:rPr>
                <w:rFonts w:asciiTheme="minorHAnsi" w:hAnsiTheme="minorHAnsi" w:cstheme="minorHAnsi"/>
                <w:color w:val="000000"/>
                <w:sz w:val="18"/>
                <w:szCs w:val="18"/>
              </w:rPr>
              <w:t>%</w:t>
            </w:r>
          </w:p>
        </w:tc>
      </w:tr>
      <w:tr w:rsidR="00284A83" w:rsidRPr="008B5E5C" w14:paraId="58A2B188" w14:textId="77777777" w:rsidTr="00D04B94">
        <w:trPr>
          <w:trHeight w:val="345"/>
          <w:jc w:val="center"/>
        </w:trPr>
        <w:tc>
          <w:tcPr>
            <w:tcW w:w="2029" w:type="dxa"/>
            <w:tcBorders>
              <w:top w:val="nil"/>
              <w:left w:val="single" w:sz="4" w:space="0" w:color="auto"/>
              <w:bottom w:val="single" w:sz="4" w:space="0" w:color="auto"/>
              <w:right w:val="single" w:sz="4" w:space="0" w:color="auto"/>
            </w:tcBorders>
            <w:shd w:val="clear" w:color="000000" w:fill="FFFFFF"/>
            <w:vAlign w:val="center"/>
            <w:hideMark/>
          </w:tcPr>
          <w:p w14:paraId="677E138E" w14:textId="77777777" w:rsidR="00284A83" w:rsidRPr="00284A83" w:rsidRDefault="00284A83" w:rsidP="00560AC0">
            <w:pPr>
              <w:spacing w:before="80" w:after="80"/>
              <w:rPr>
                <w:rFonts w:cstheme="minorHAnsi"/>
                <w:b/>
                <w:bCs/>
                <w:color w:val="000000"/>
                <w:sz w:val="18"/>
                <w:szCs w:val="18"/>
              </w:rPr>
            </w:pPr>
            <w:r w:rsidRPr="00284A83">
              <w:rPr>
                <w:rFonts w:cstheme="minorHAnsi"/>
                <w:b/>
                <w:bCs/>
                <w:color w:val="000000"/>
                <w:sz w:val="18"/>
                <w:szCs w:val="18"/>
              </w:rPr>
              <w:t>Emergency</w:t>
            </w:r>
          </w:p>
        </w:tc>
        <w:tc>
          <w:tcPr>
            <w:tcW w:w="992" w:type="dxa"/>
            <w:tcBorders>
              <w:top w:val="nil"/>
              <w:left w:val="nil"/>
              <w:bottom w:val="single" w:sz="4" w:space="0" w:color="auto"/>
              <w:right w:val="single" w:sz="4" w:space="0" w:color="auto"/>
            </w:tcBorders>
            <w:shd w:val="clear" w:color="000000" w:fill="FFFFFF"/>
            <w:noWrap/>
            <w:vAlign w:val="center"/>
            <w:hideMark/>
          </w:tcPr>
          <w:p w14:paraId="6AC10BA5" w14:textId="4EAEB549"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173</w:t>
            </w:r>
          </w:p>
        </w:tc>
        <w:tc>
          <w:tcPr>
            <w:tcW w:w="992" w:type="dxa"/>
            <w:tcBorders>
              <w:top w:val="nil"/>
              <w:left w:val="nil"/>
              <w:bottom w:val="single" w:sz="4" w:space="0" w:color="auto"/>
              <w:right w:val="single" w:sz="4" w:space="0" w:color="auto"/>
            </w:tcBorders>
            <w:shd w:val="clear" w:color="000000" w:fill="FFFFFF"/>
            <w:noWrap/>
            <w:vAlign w:val="center"/>
            <w:hideMark/>
          </w:tcPr>
          <w:p w14:paraId="0AE8A9B6" w14:textId="790D0721" w:rsidR="00284A83" w:rsidRPr="00284A83" w:rsidRDefault="006B3BCE"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19</w:t>
            </w:r>
            <w:r w:rsidR="0043185E">
              <w:rPr>
                <w:rFonts w:asciiTheme="minorHAnsi" w:hAnsiTheme="minorHAnsi" w:cstheme="minorHAnsi"/>
                <w:color w:val="000000"/>
                <w:sz w:val="18"/>
                <w:szCs w:val="18"/>
              </w:rPr>
              <w:t>2</w:t>
            </w:r>
          </w:p>
        </w:tc>
        <w:tc>
          <w:tcPr>
            <w:tcW w:w="1276" w:type="dxa"/>
            <w:tcBorders>
              <w:top w:val="nil"/>
              <w:left w:val="nil"/>
              <w:bottom w:val="single" w:sz="4" w:space="0" w:color="auto"/>
              <w:right w:val="single" w:sz="4" w:space="0" w:color="auto"/>
            </w:tcBorders>
            <w:shd w:val="clear" w:color="auto" w:fill="D9EDD0" w:themeFill="accent4" w:themeFillTint="66"/>
            <w:noWrap/>
            <w:vAlign w:val="center"/>
            <w:hideMark/>
          </w:tcPr>
          <w:p w14:paraId="1AC36CC2" w14:textId="6BDFA27A"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1</w:t>
            </w:r>
            <w:r w:rsidR="0043185E">
              <w:rPr>
                <w:rFonts w:asciiTheme="minorHAnsi" w:hAnsiTheme="minorHAnsi" w:cstheme="minorHAnsi"/>
                <w:color w:val="000000"/>
                <w:sz w:val="18"/>
                <w:szCs w:val="18"/>
              </w:rPr>
              <w:t>1.0</w:t>
            </w:r>
            <w:r w:rsidRPr="00284A83">
              <w:rPr>
                <w:rFonts w:asciiTheme="minorHAnsi" w:hAnsiTheme="minorHAnsi" w:cstheme="minorHAnsi"/>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56300672" w14:textId="189648E3"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6.7M</w:t>
            </w:r>
          </w:p>
        </w:tc>
        <w:tc>
          <w:tcPr>
            <w:tcW w:w="992" w:type="dxa"/>
            <w:tcBorders>
              <w:top w:val="nil"/>
              <w:left w:val="nil"/>
              <w:bottom w:val="single" w:sz="4" w:space="0" w:color="auto"/>
              <w:right w:val="single" w:sz="4" w:space="0" w:color="auto"/>
            </w:tcBorders>
            <w:shd w:val="clear" w:color="000000" w:fill="FFFFFF"/>
            <w:noWrap/>
            <w:vAlign w:val="center"/>
            <w:hideMark/>
          </w:tcPr>
          <w:p w14:paraId="0B74378E" w14:textId="66AA4D7E"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7.1M</w:t>
            </w:r>
          </w:p>
        </w:tc>
        <w:tc>
          <w:tcPr>
            <w:tcW w:w="1418" w:type="dxa"/>
            <w:tcBorders>
              <w:top w:val="nil"/>
              <w:left w:val="nil"/>
              <w:bottom w:val="single" w:sz="4" w:space="0" w:color="auto"/>
              <w:right w:val="single" w:sz="4" w:space="0" w:color="auto"/>
            </w:tcBorders>
            <w:shd w:val="clear" w:color="auto" w:fill="D9EDD0" w:themeFill="accent4" w:themeFillTint="66"/>
            <w:noWrap/>
            <w:vAlign w:val="center"/>
            <w:hideMark/>
          </w:tcPr>
          <w:p w14:paraId="04840AE5" w14:textId="7D692212"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5.</w:t>
            </w:r>
            <w:r w:rsidR="0043185E">
              <w:rPr>
                <w:rFonts w:asciiTheme="minorHAnsi" w:hAnsiTheme="minorHAnsi" w:cstheme="minorHAnsi"/>
                <w:color w:val="000000"/>
                <w:sz w:val="18"/>
                <w:szCs w:val="18"/>
              </w:rPr>
              <w:t>9</w:t>
            </w:r>
            <w:r w:rsidRPr="00284A83">
              <w:rPr>
                <w:rFonts w:asciiTheme="minorHAnsi" w:hAnsiTheme="minorHAnsi" w:cstheme="minorHAnsi"/>
                <w:color w:val="000000"/>
                <w:sz w:val="18"/>
                <w:szCs w:val="18"/>
              </w:rPr>
              <w:t>%</w:t>
            </w:r>
          </w:p>
        </w:tc>
      </w:tr>
      <w:tr w:rsidR="00284A83" w:rsidRPr="008B5E5C" w14:paraId="6CD38C76" w14:textId="77777777" w:rsidTr="00D04B94">
        <w:trPr>
          <w:trHeight w:val="345"/>
          <w:jc w:val="center"/>
        </w:trPr>
        <w:tc>
          <w:tcPr>
            <w:tcW w:w="2029" w:type="dxa"/>
            <w:tcBorders>
              <w:top w:val="nil"/>
              <w:left w:val="single" w:sz="4" w:space="0" w:color="auto"/>
              <w:bottom w:val="single" w:sz="4" w:space="0" w:color="auto"/>
              <w:right w:val="single" w:sz="4" w:space="0" w:color="auto"/>
            </w:tcBorders>
            <w:shd w:val="clear" w:color="000000" w:fill="FFFFFF"/>
            <w:vAlign w:val="bottom"/>
            <w:hideMark/>
          </w:tcPr>
          <w:p w14:paraId="74818D0A" w14:textId="77777777" w:rsidR="00284A83" w:rsidRPr="00284A83" w:rsidRDefault="00284A83" w:rsidP="00560AC0">
            <w:pPr>
              <w:spacing w:before="80" w:after="80"/>
              <w:rPr>
                <w:rFonts w:cstheme="minorHAnsi"/>
                <w:b/>
                <w:bCs/>
                <w:color w:val="000000"/>
                <w:sz w:val="18"/>
                <w:szCs w:val="18"/>
              </w:rPr>
            </w:pPr>
            <w:r w:rsidRPr="00284A83">
              <w:rPr>
                <w:rFonts w:cstheme="minorHAnsi"/>
                <w:b/>
                <w:bCs/>
                <w:color w:val="000000"/>
                <w:sz w:val="18"/>
                <w:szCs w:val="18"/>
              </w:rPr>
              <w:t>Non-admitted</w:t>
            </w:r>
          </w:p>
        </w:tc>
        <w:tc>
          <w:tcPr>
            <w:tcW w:w="992" w:type="dxa"/>
            <w:tcBorders>
              <w:top w:val="nil"/>
              <w:left w:val="nil"/>
              <w:bottom w:val="single" w:sz="4" w:space="0" w:color="auto"/>
              <w:right w:val="single" w:sz="4" w:space="0" w:color="auto"/>
            </w:tcBorders>
            <w:shd w:val="clear" w:color="000000" w:fill="D9D9D9"/>
            <w:noWrap/>
            <w:vAlign w:val="center"/>
            <w:hideMark/>
          </w:tcPr>
          <w:p w14:paraId="290CA249" w14:textId="5E693D6B" w:rsidR="00284A83" w:rsidRPr="00284A83" w:rsidRDefault="00284A83" w:rsidP="00EA54AB">
            <w:pPr>
              <w:jc w:val="center"/>
              <w:rPr>
                <w:rFonts w:eastAsiaTheme="minorHAnsi" w:cs="Arial"/>
                <w:b/>
                <w:noProof/>
                <w:color w:val="000000"/>
                <w:sz w:val="18"/>
                <w:szCs w:val="18"/>
              </w:rPr>
            </w:pPr>
          </w:p>
        </w:tc>
        <w:tc>
          <w:tcPr>
            <w:tcW w:w="992" w:type="dxa"/>
            <w:tcBorders>
              <w:top w:val="nil"/>
              <w:left w:val="nil"/>
              <w:bottom w:val="single" w:sz="4" w:space="0" w:color="auto"/>
              <w:right w:val="single" w:sz="4" w:space="0" w:color="auto"/>
            </w:tcBorders>
            <w:shd w:val="clear" w:color="000000" w:fill="D9D9D9"/>
            <w:noWrap/>
            <w:vAlign w:val="center"/>
            <w:hideMark/>
          </w:tcPr>
          <w:p w14:paraId="64BA827D" w14:textId="06662A0F" w:rsidR="00284A83" w:rsidRPr="00284A83" w:rsidRDefault="00284A83" w:rsidP="00EA54AB">
            <w:pPr>
              <w:jc w:val="center"/>
              <w:rPr>
                <w:rFonts w:eastAsiaTheme="minorHAnsi" w:cs="Arial"/>
                <w:b/>
                <w:noProof/>
                <w:color w:val="000000"/>
                <w:sz w:val="18"/>
                <w:szCs w:val="18"/>
              </w:rPr>
            </w:pPr>
          </w:p>
        </w:tc>
        <w:tc>
          <w:tcPr>
            <w:tcW w:w="1276" w:type="dxa"/>
            <w:tcBorders>
              <w:top w:val="nil"/>
              <w:left w:val="nil"/>
              <w:bottom w:val="single" w:sz="4" w:space="0" w:color="auto"/>
              <w:right w:val="single" w:sz="4" w:space="0" w:color="auto"/>
            </w:tcBorders>
            <w:shd w:val="clear" w:color="000000" w:fill="D9D9D9"/>
            <w:noWrap/>
            <w:vAlign w:val="center"/>
            <w:hideMark/>
          </w:tcPr>
          <w:p w14:paraId="622CE98C" w14:textId="1868426A" w:rsidR="00284A83" w:rsidRPr="00284A83" w:rsidRDefault="00284A83" w:rsidP="00EA54AB">
            <w:pPr>
              <w:jc w:val="center"/>
              <w:rPr>
                <w:rFonts w:eastAsiaTheme="minorHAnsi" w:cs="Arial"/>
                <w:b/>
                <w:noProof/>
                <w:color w:val="000000"/>
                <w:sz w:val="18"/>
                <w:szCs w:val="18"/>
              </w:rPr>
            </w:pPr>
          </w:p>
        </w:tc>
        <w:tc>
          <w:tcPr>
            <w:tcW w:w="992" w:type="dxa"/>
            <w:tcBorders>
              <w:top w:val="nil"/>
              <w:left w:val="nil"/>
              <w:bottom w:val="single" w:sz="4" w:space="0" w:color="auto"/>
              <w:right w:val="single" w:sz="4" w:space="0" w:color="auto"/>
            </w:tcBorders>
            <w:shd w:val="clear" w:color="000000" w:fill="D9D9D9"/>
            <w:noWrap/>
            <w:vAlign w:val="center"/>
            <w:hideMark/>
          </w:tcPr>
          <w:p w14:paraId="70088E87" w14:textId="72C8A27D" w:rsidR="00284A83" w:rsidRPr="00284A83" w:rsidRDefault="00284A83" w:rsidP="00EA54AB">
            <w:pPr>
              <w:jc w:val="center"/>
              <w:rPr>
                <w:rFonts w:eastAsiaTheme="minorHAnsi" w:cs="Arial"/>
                <w:b/>
                <w:noProof/>
                <w:color w:val="000000"/>
                <w:sz w:val="18"/>
                <w:szCs w:val="18"/>
              </w:rPr>
            </w:pPr>
          </w:p>
        </w:tc>
        <w:tc>
          <w:tcPr>
            <w:tcW w:w="992" w:type="dxa"/>
            <w:tcBorders>
              <w:top w:val="nil"/>
              <w:left w:val="nil"/>
              <w:bottom w:val="single" w:sz="4" w:space="0" w:color="auto"/>
              <w:right w:val="single" w:sz="4" w:space="0" w:color="auto"/>
            </w:tcBorders>
            <w:shd w:val="clear" w:color="000000" w:fill="D9D9D9"/>
            <w:noWrap/>
            <w:vAlign w:val="center"/>
            <w:hideMark/>
          </w:tcPr>
          <w:p w14:paraId="1350B5C0" w14:textId="160E8847" w:rsidR="00284A83" w:rsidRPr="00284A83" w:rsidRDefault="00284A83" w:rsidP="00EA54AB">
            <w:pPr>
              <w:jc w:val="center"/>
              <w:rPr>
                <w:rFonts w:eastAsiaTheme="minorHAnsi" w:cs="Arial"/>
                <w:b/>
                <w:noProof/>
                <w:color w:val="000000"/>
                <w:sz w:val="18"/>
                <w:szCs w:val="18"/>
              </w:rPr>
            </w:pPr>
          </w:p>
        </w:tc>
        <w:tc>
          <w:tcPr>
            <w:tcW w:w="1418" w:type="dxa"/>
            <w:tcBorders>
              <w:top w:val="nil"/>
              <w:left w:val="nil"/>
              <w:bottom w:val="single" w:sz="4" w:space="0" w:color="auto"/>
              <w:right w:val="single" w:sz="4" w:space="0" w:color="auto"/>
            </w:tcBorders>
            <w:shd w:val="clear" w:color="000000" w:fill="D9D9D9"/>
            <w:noWrap/>
            <w:vAlign w:val="center"/>
            <w:hideMark/>
          </w:tcPr>
          <w:p w14:paraId="1A593F06" w14:textId="468ED0CD" w:rsidR="00284A83" w:rsidRPr="00284A83" w:rsidRDefault="00284A83" w:rsidP="00EA54AB">
            <w:pPr>
              <w:jc w:val="center"/>
              <w:rPr>
                <w:rFonts w:eastAsiaTheme="minorHAnsi" w:cs="Arial"/>
                <w:b/>
                <w:noProof/>
                <w:color w:val="000000"/>
                <w:sz w:val="18"/>
                <w:szCs w:val="18"/>
              </w:rPr>
            </w:pPr>
          </w:p>
        </w:tc>
      </w:tr>
      <w:tr w:rsidR="00284A83" w:rsidRPr="008B5E5C" w14:paraId="0E4AF173" w14:textId="77777777" w:rsidTr="00D04B94">
        <w:trPr>
          <w:trHeight w:val="345"/>
          <w:jc w:val="center"/>
        </w:trPr>
        <w:tc>
          <w:tcPr>
            <w:tcW w:w="2029" w:type="dxa"/>
            <w:tcBorders>
              <w:top w:val="nil"/>
              <w:left w:val="single" w:sz="4" w:space="0" w:color="auto"/>
              <w:bottom w:val="single" w:sz="4" w:space="0" w:color="auto"/>
              <w:right w:val="single" w:sz="4" w:space="0" w:color="auto"/>
            </w:tcBorders>
            <w:shd w:val="clear" w:color="000000" w:fill="FFFFFF"/>
            <w:noWrap/>
            <w:vAlign w:val="center"/>
            <w:hideMark/>
          </w:tcPr>
          <w:p w14:paraId="0AC08F6B" w14:textId="77777777" w:rsidR="00284A83" w:rsidRPr="00284A83" w:rsidRDefault="00284A83" w:rsidP="00560AC0">
            <w:pPr>
              <w:spacing w:before="80" w:after="80"/>
              <w:rPr>
                <w:rFonts w:cstheme="minorHAnsi"/>
                <w:b/>
                <w:bCs/>
                <w:color w:val="000000"/>
                <w:sz w:val="18"/>
                <w:szCs w:val="18"/>
              </w:rPr>
            </w:pPr>
            <w:r w:rsidRPr="00284A83">
              <w:rPr>
                <w:rFonts w:cstheme="minorHAnsi"/>
                <w:b/>
                <w:bCs/>
                <w:color w:val="000000"/>
                <w:sz w:val="18"/>
                <w:szCs w:val="18"/>
              </w:rPr>
              <w:t>Subacute</w:t>
            </w:r>
          </w:p>
        </w:tc>
        <w:tc>
          <w:tcPr>
            <w:tcW w:w="992" w:type="dxa"/>
            <w:tcBorders>
              <w:top w:val="nil"/>
              <w:left w:val="nil"/>
              <w:bottom w:val="single" w:sz="4" w:space="0" w:color="auto"/>
              <w:right w:val="single" w:sz="4" w:space="0" w:color="auto"/>
            </w:tcBorders>
            <w:shd w:val="clear" w:color="000000" w:fill="FFFFFF"/>
            <w:noWrap/>
            <w:vAlign w:val="center"/>
            <w:hideMark/>
          </w:tcPr>
          <w:p w14:paraId="184ABBCA" w14:textId="2979C2C7"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260</w:t>
            </w:r>
          </w:p>
        </w:tc>
        <w:tc>
          <w:tcPr>
            <w:tcW w:w="992" w:type="dxa"/>
            <w:tcBorders>
              <w:top w:val="nil"/>
              <w:left w:val="nil"/>
              <w:bottom w:val="single" w:sz="4" w:space="0" w:color="auto"/>
              <w:right w:val="single" w:sz="4" w:space="0" w:color="auto"/>
            </w:tcBorders>
            <w:shd w:val="clear" w:color="000000" w:fill="FFFFFF"/>
            <w:noWrap/>
            <w:vAlign w:val="center"/>
            <w:hideMark/>
          </w:tcPr>
          <w:p w14:paraId="0612E58A" w14:textId="454D0134" w:rsidR="00284A83" w:rsidRPr="00284A83" w:rsidRDefault="006B3BCE"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26</w:t>
            </w:r>
            <w:r w:rsidR="0043185E">
              <w:rPr>
                <w:rFonts w:asciiTheme="minorHAnsi" w:hAnsiTheme="minorHAnsi" w:cstheme="minorHAnsi"/>
                <w:color w:val="000000"/>
                <w:sz w:val="18"/>
                <w:szCs w:val="18"/>
              </w:rPr>
              <w:t>5</w:t>
            </w:r>
          </w:p>
        </w:tc>
        <w:tc>
          <w:tcPr>
            <w:tcW w:w="1276" w:type="dxa"/>
            <w:tcBorders>
              <w:top w:val="nil"/>
              <w:left w:val="nil"/>
              <w:bottom w:val="single" w:sz="4" w:space="0" w:color="auto"/>
              <w:right w:val="single" w:sz="4" w:space="0" w:color="auto"/>
            </w:tcBorders>
            <w:shd w:val="clear" w:color="auto" w:fill="D9EDD0" w:themeFill="accent4" w:themeFillTint="66"/>
            <w:noWrap/>
            <w:vAlign w:val="center"/>
            <w:hideMark/>
          </w:tcPr>
          <w:p w14:paraId="1DFC989B" w14:textId="3633FAB0"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1.</w:t>
            </w:r>
            <w:r w:rsidR="0043185E">
              <w:rPr>
                <w:rFonts w:asciiTheme="minorHAnsi" w:hAnsiTheme="minorHAnsi" w:cstheme="minorHAnsi"/>
                <w:color w:val="000000"/>
                <w:sz w:val="18"/>
                <w:szCs w:val="18"/>
              </w:rPr>
              <w:t>9</w:t>
            </w:r>
            <w:r w:rsidRPr="00284A83">
              <w:rPr>
                <w:rFonts w:asciiTheme="minorHAnsi" w:hAnsiTheme="minorHAnsi" w:cstheme="minorHAnsi"/>
                <w:color w:val="000000"/>
                <w:sz w:val="18"/>
                <w:szCs w:val="18"/>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7E7731FF" w14:textId="67AF5B63" w:rsidR="00284A83" w:rsidRPr="00284A83" w:rsidRDefault="00284A83"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178.8K</w:t>
            </w:r>
          </w:p>
        </w:tc>
        <w:tc>
          <w:tcPr>
            <w:tcW w:w="992" w:type="dxa"/>
            <w:tcBorders>
              <w:top w:val="nil"/>
              <w:left w:val="nil"/>
              <w:bottom w:val="single" w:sz="4" w:space="0" w:color="auto"/>
              <w:right w:val="single" w:sz="4" w:space="0" w:color="auto"/>
            </w:tcBorders>
            <w:shd w:val="clear" w:color="000000" w:fill="FFFFFF"/>
            <w:noWrap/>
            <w:vAlign w:val="center"/>
            <w:hideMark/>
          </w:tcPr>
          <w:p w14:paraId="3DC5EC9D" w14:textId="01A6E933" w:rsidR="00284A83" w:rsidRPr="00284A83" w:rsidRDefault="006B3BCE" w:rsidP="00EA54AB">
            <w:pPr>
              <w:jc w:val="center"/>
              <w:rPr>
                <w:rFonts w:eastAsiaTheme="minorHAnsi" w:cs="Arial"/>
                <w:b/>
                <w:noProof/>
                <w:color w:val="000000"/>
                <w:sz w:val="18"/>
                <w:szCs w:val="18"/>
              </w:rPr>
            </w:pPr>
            <w:r w:rsidRPr="00284A83">
              <w:rPr>
                <w:rFonts w:asciiTheme="minorHAnsi" w:hAnsiTheme="minorHAnsi" w:cstheme="minorHAnsi"/>
                <w:color w:val="000000"/>
                <w:sz w:val="18"/>
                <w:szCs w:val="18"/>
              </w:rPr>
              <w:t>18</w:t>
            </w:r>
            <w:r w:rsidR="0043185E">
              <w:rPr>
                <w:rFonts w:asciiTheme="minorHAnsi" w:hAnsiTheme="minorHAnsi" w:cstheme="minorHAnsi"/>
                <w:color w:val="000000"/>
                <w:sz w:val="18"/>
                <w:szCs w:val="18"/>
              </w:rPr>
              <w:t>4.4</w:t>
            </w:r>
            <w:r w:rsidR="00284A83" w:rsidRPr="00284A83">
              <w:rPr>
                <w:rFonts w:asciiTheme="minorHAnsi" w:hAnsiTheme="minorHAnsi" w:cstheme="minorHAnsi"/>
                <w:color w:val="000000"/>
                <w:sz w:val="18"/>
                <w:szCs w:val="18"/>
              </w:rPr>
              <w:t>K</w:t>
            </w:r>
          </w:p>
        </w:tc>
        <w:tc>
          <w:tcPr>
            <w:tcW w:w="1418" w:type="dxa"/>
            <w:tcBorders>
              <w:top w:val="nil"/>
              <w:left w:val="nil"/>
              <w:bottom w:val="single" w:sz="4" w:space="0" w:color="auto"/>
              <w:right w:val="single" w:sz="4" w:space="0" w:color="auto"/>
            </w:tcBorders>
            <w:shd w:val="clear" w:color="auto" w:fill="D9EDD0"/>
            <w:noWrap/>
            <w:vAlign w:val="center"/>
            <w:hideMark/>
          </w:tcPr>
          <w:p w14:paraId="6D1308F1" w14:textId="2F489CE3" w:rsidR="00284A83" w:rsidRPr="00284A83" w:rsidRDefault="0043185E" w:rsidP="00EA54AB">
            <w:pPr>
              <w:jc w:val="center"/>
              <w:rPr>
                <w:rFonts w:eastAsiaTheme="minorHAnsi" w:cs="Arial"/>
                <w:b/>
                <w:noProof/>
                <w:color w:val="000000"/>
                <w:sz w:val="18"/>
                <w:szCs w:val="18"/>
              </w:rPr>
            </w:pPr>
            <w:r>
              <w:rPr>
                <w:rFonts w:asciiTheme="minorHAnsi" w:hAnsiTheme="minorHAnsi" w:cstheme="minorHAnsi"/>
                <w:color w:val="000000"/>
                <w:sz w:val="18"/>
                <w:szCs w:val="18"/>
              </w:rPr>
              <w:t>3.2</w:t>
            </w:r>
            <w:r w:rsidR="00284A83" w:rsidRPr="00284A83">
              <w:rPr>
                <w:rFonts w:asciiTheme="minorHAnsi" w:hAnsiTheme="minorHAnsi" w:cstheme="minorHAnsi"/>
                <w:color w:val="000000"/>
                <w:sz w:val="18"/>
                <w:szCs w:val="18"/>
              </w:rPr>
              <w:t>%</w:t>
            </w:r>
          </w:p>
        </w:tc>
      </w:tr>
    </w:tbl>
    <w:p w14:paraId="6C1D91D4" w14:textId="3FE49343" w:rsidR="002E5A67" w:rsidRDefault="00284A83" w:rsidP="00560AC0">
      <w:pPr>
        <w:spacing w:before="480"/>
        <w:rPr>
          <w:rFonts w:asciiTheme="majorHAnsi" w:hAnsiTheme="majorHAnsi" w:cstheme="majorHAnsi"/>
          <w:noProof/>
          <w:color w:val="000000"/>
        </w:rPr>
      </w:pPr>
      <w:proofErr w:type="gramStart"/>
      <w:r>
        <w:rPr>
          <w:b/>
        </w:rPr>
        <w:t>T</w:t>
      </w:r>
      <w:r w:rsidRPr="00BA577C">
        <w:rPr>
          <w:b/>
        </w:rPr>
        <w:t xml:space="preserve">able </w:t>
      </w:r>
      <w:r w:rsidRPr="00BA577C">
        <w:rPr>
          <w:b/>
        </w:rPr>
        <w:fldChar w:fldCharType="begin"/>
      </w:r>
      <w:r w:rsidRPr="00BA577C">
        <w:rPr>
          <w:b/>
        </w:rPr>
        <w:instrText xml:space="preserve"> SEQ Table \* ARABIC </w:instrText>
      </w:r>
      <w:r w:rsidRPr="00BA577C">
        <w:rPr>
          <w:b/>
        </w:rPr>
        <w:fldChar w:fldCharType="separate"/>
      </w:r>
      <w:r w:rsidR="00F84458">
        <w:rPr>
          <w:b/>
          <w:noProof/>
        </w:rPr>
        <w:t>28</w:t>
      </w:r>
      <w:r w:rsidRPr="00BA577C">
        <w:rPr>
          <w:b/>
        </w:rPr>
        <w:fldChar w:fldCharType="end"/>
      </w:r>
      <w:r w:rsidRPr="00BA577C">
        <w:rPr>
          <w:b/>
        </w:rPr>
        <w:t>.</w:t>
      </w:r>
      <w:proofErr w:type="gramEnd"/>
      <w:r w:rsidRPr="00BA577C">
        <w:rPr>
          <w:b/>
        </w:rPr>
        <w:t xml:space="preserve"> </w:t>
      </w:r>
      <w:r>
        <w:rPr>
          <w:b/>
        </w:rPr>
        <w:t>Costed (NHCDC) sample as proportion of total population</w:t>
      </w:r>
    </w:p>
    <w:tbl>
      <w:tblPr>
        <w:tblW w:w="8136" w:type="dxa"/>
        <w:jc w:val="center"/>
        <w:tblInd w:w="93" w:type="dxa"/>
        <w:tblLayout w:type="fixed"/>
        <w:tblLook w:val="04A0" w:firstRow="1" w:lastRow="0" w:firstColumn="1" w:lastColumn="0" w:noHBand="0" w:noVBand="1"/>
      </w:tblPr>
      <w:tblGrid>
        <w:gridCol w:w="2709"/>
        <w:gridCol w:w="1359"/>
        <w:gridCol w:w="1356"/>
        <w:gridCol w:w="1356"/>
        <w:gridCol w:w="1356"/>
      </w:tblGrid>
      <w:tr w:rsidR="000C2251" w:rsidRPr="000C2251" w14:paraId="0AB99EA5" w14:textId="77777777" w:rsidTr="00D04B94">
        <w:trPr>
          <w:trHeight w:val="429"/>
          <w:jc w:val="center"/>
        </w:trPr>
        <w:tc>
          <w:tcPr>
            <w:tcW w:w="2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70760A" w14:textId="77777777" w:rsidR="002E5A67" w:rsidRPr="00E33EAE" w:rsidRDefault="002E5A67" w:rsidP="002D606E">
            <w:pPr>
              <w:spacing w:before="80" w:after="80"/>
              <w:rPr>
                <w:rFonts w:cstheme="minorHAnsi"/>
                <w:b/>
                <w:bCs/>
                <w:color w:val="000000"/>
                <w:sz w:val="20"/>
              </w:rPr>
            </w:pPr>
            <w:r w:rsidRPr="00E33EAE">
              <w:rPr>
                <w:rFonts w:cstheme="minorHAnsi"/>
                <w:b/>
                <w:bCs/>
                <w:color w:val="000000"/>
                <w:sz w:val="20"/>
              </w:rPr>
              <w:t> </w:t>
            </w:r>
          </w:p>
          <w:p w14:paraId="066D3993" w14:textId="77777777" w:rsidR="002E5A67" w:rsidRPr="00E33EAE" w:rsidRDefault="002E5A67" w:rsidP="002D606E">
            <w:pPr>
              <w:spacing w:before="80" w:after="80"/>
              <w:rPr>
                <w:rFonts w:cstheme="minorHAnsi"/>
                <w:b/>
                <w:bCs/>
                <w:color w:val="000000"/>
                <w:sz w:val="20"/>
              </w:rPr>
            </w:pPr>
            <w:r w:rsidRPr="00E33EAE">
              <w:rPr>
                <w:rFonts w:cstheme="minorHAnsi"/>
                <w:b/>
                <w:bCs/>
                <w:color w:val="000000"/>
                <w:sz w:val="20"/>
              </w:rPr>
              <w:t> </w:t>
            </w:r>
          </w:p>
        </w:tc>
        <w:tc>
          <w:tcPr>
            <w:tcW w:w="2715" w:type="dxa"/>
            <w:gridSpan w:val="2"/>
            <w:tcBorders>
              <w:top w:val="single" w:sz="4" w:space="0" w:color="auto"/>
              <w:left w:val="single" w:sz="4" w:space="0" w:color="auto"/>
              <w:bottom w:val="single" w:sz="4" w:space="0" w:color="auto"/>
              <w:right w:val="single" w:sz="4" w:space="0" w:color="000000"/>
            </w:tcBorders>
            <w:shd w:val="clear" w:color="auto" w:fill="288A32"/>
            <w:vAlign w:val="center"/>
            <w:hideMark/>
          </w:tcPr>
          <w:p w14:paraId="27466B02" w14:textId="77777777" w:rsidR="002E5A67" w:rsidRPr="000351BD" w:rsidRDefault="002E5A67" w:rsidP="002D606E">
            <w:pPr>
              <w:spacing w:before="80" w:after="80"/>
              <w:rPr>
                <w:rFonts w:cstheme="minorHAnsi"/>
                <w:b/>
                <w:bCs/>
                <w:color w:val="FFFFFF" w:themeColor="background1"/>
                <w:sz w:val="20"/>
              </w:rPr>
            </w:pPr>
            <w:r w:rsidRPr="000351BD">
              <w:rPr>
                <w:rFonts w:cstheme="minorHAnsi"/>
                <w:b/>
                <w:bCs/>
                <w:color w:val="FFFFFF" w:themeColor="background1"/>
                <w:sz w:val="20"/>
              </w:rPr>
              <w:t>Establishments</w:t>
            </w:r>
          </w:p>
        </w:tc>
        <w:tc>
          <w:tcPr>
            <w:tcW w:w="2712" w:type="dxa"/>
            <w:gridSpan w:val="2"/>
            <w:tcBorders>
              <w:top w:val="single" w:sz="4" w:space="0" w:color="auto"/>
              <w:left w:val="nil"/>
              <w:bottom w:val="single" w:sz="4" w:space="0" w:color="auto"/>
              <w:right w:val="single" w:sz="4" w:space="0" w:color="000000"/>
            </w:tcBorders>
            <w:shd w:val="clear" w:color="auto" w:fill="288A32"/>
            <w:vAlign w:val="center"/>
            <w:hideMark/>
          </w:tcPr>
          <w:p w14:paraId="538404D1" w14:textId="77777777" w:rsidR="002E5A67" w:rsidRPr="000351BD" w:rsidRDefault="002E5A67" w:rsidP="002D606E">
            <w:pPr>
              <w:spacing w:before="80" w:after="80"/>
              <w:rPr>
                <w:rFonts w:cstheme="minorHAnsi"/>
                <w:b/>
                <w:bCs/>
                <w:color w:val="FFFFFF" w:themeColor="background1"/>
                <w:sz w:val="20"/>
              </w:rPr>
            </w:pPr>
            <w:r w:rsidRPr="000351BD">
              <w:rPr>
                <w:rFonts w:cstheme="minorHAnsi"/>
                <w:b/>
                <w:bCs/>
                <w:color w:val="FFFFFF" w:themeColor="background1"/>
                <w:sz w:val="20"/>
              </w:rPr>
              <w:t>Activity (Separations)</w:t>
            </w:r>
          </w:p>
        </w:tc>
      </w:tr>
      <w:tr w:rsidR="002E5A67" w:rsidRPr="00163EB6" w14:paraId="045FA013" w14:textId="77777777" w:rsidTr="00D04B94">
        <w:trPr>
          <w:trHeight w:val="429"/>
          <w:jc w:val="center"/>
        </w:trPr>
        <w:tc>
          <w:tcPr>
            <w:tcW w:w="2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07D5D1" w14:textId="77777777" w:rsidR="002E5A67" w:rsidRPr="00E33EAE" w:rsidRDefault="002E5A67" w:rsidP="002D606E">
            <w:pPr>
              <w:spacing w:before="80" w:after="80"/>
              <w:rPr>
                <w:rFonts w:cstheme="minorHAnsi"/>
                <w:b/>
                <w:bCs/>
                <w:color w:val="000000"/>
                <w:sz w:val="20"/>
              </w:rPr>
            </w:pP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14:paraId="5DA27D67" w14:textId="77777777" w:rsidR="002E5A67" w:rsidRPr="00BD4DD8" w:rsidRDefault="002E5A67" w:rsidP="00EA54AB">
            <w:pPr>
              <w:spacing w:before="80" w:after="80"/>
              <w:jc w:val="center"/>
              <w:rPr>
                <w:rFonts w:eastAsiaTheme="minorHAnsi" w:cstheme="minorHAnsi"/>
                <w:b/>
                <w:bCs/>
                <w:noProof/>
                <w:color w:val="000000"/>
                <w:sz w:val="18"/>
              </w:rPr>
            </w:pPr>
            <w:r>
              <w:rPr>
                <w:rFonts w:cstheme="minorHAnsi"/>
                <w:b/>
                <w:bCs/>
                <w:color w:val="000000"/>
                <w:sz w:val="18"/>
              </w:rPr>
              <w:t>2013-14</w:t>
            </w:r>
          </w:p>
        </w:tc>
        <w:tc>
          <w:tcPr>
            <w:tcW w:w="1356" w:type="dxa"/>
            <w:tcBorders>
              <w:top w:val="nil"/>
              <w:left w:val="nil"/>
              <w:bottom w:val="single" w:sz="4" w:space="0" w:color="auto"/>
              <w:right w:val="single" w:sz="4" w:space="0" w:color="auto"/>
            </w:tcBorders>
            <w:shd w:val="clear" w:color="auto" w:fill="auto"/>
            <w:noWrap/>
            <w:vAlign w:val="center"/>
            <w:hideMark/>
          </w:tcPr>
          <w:p w14:paraId="3DB1C763" w14:textId="77777777" w:rsidR="002E5A67" w:rsidRPr="00BD4DD8" w:rsidRDefault="002E5A67" w:rsidP="00EA54AB">
            <w:pPr>
              <w:spacing w:before="80" w:after="80"/>
              <w:jc w:val="center"/>
              <w:rPr>
                <w:rFonts w:eastAsiaTheme="minorHAnsi" w:cstheme="minorHAnsi"/>
                <w:b/>
                <w:bCs/>
                <w:noProof/>
                <w:color w:val="000000"/>
                <w:sz w:val="18"/>
              </w:rPr>
            </w:pPr>
            <w:r>
              <w:rPr>
                <w:rFonts w:cstheme="minorHAnsi"/>
                <w:b/>
                <w:bCs/>
                <w:color w:val="000000"/>
                <w:sz w:val="18"/>
              </w:rPr>
              <w:t>2014-15</w:t>
            </w:r>
          </w:p>
        </w:tc>
        <w:tc>
          <w:tcPr>
            <w:tcW w:w="1356" w:type="dxa"/>
            <w:tcBorders>
              <w:top w:val="nil"/>
              <w:left w:val="nil"/>
              <w:bottom w:val="single" w:sz="4" w:space="0" w:color="auto"/>
              <w:right w:val="single" w:sz="4" w:space="0" w:color="auto"/>
            </w:tcBorders>
            <w:shd w:val="clear" w:color="auto" w:fill="auto"/>
            <w:noWrap/>
            <w:vAlign w:val="center"/>
            <w:hideMark/>
          </w:tcPr>
          <w:p w14:paraId="683AFB2D" w14:textId="77777777" w:rsidR="002E5A67" w:rsidRPr="00BD4DD8" w:rsidRDefault="002E5A67" w:rsidP="00EA54AB">
            <w:pPr>
              <w:spacing w:before="80" w:after="80"/>
              <w:jc w:val="center"/>
              <w:rPr>
                <w:rFonts w:eastAsiaTheme="minorHAnsi" w:cstheme="minorHAnsi"/>
                <w:b/>
                <w:bCs/>
                <w:noProof/>
                <w:color w:val="000000"/>
                <w:sz w:val="18"/>
              </w:rPr>
            </w:pPr>
            <w:r>
              <w:rPr>
                <w:rFonts w:cstheme="minorHAnsi"/>
                <w:b/>
                <w:bCs/>
                <w:color w:val="000000"/>
                <w:sz w:val="18"/>
              </w:rPr>
              <w:t>2013-14</w:t>
            </w:r>
          </w:p>
        </w:tc>
        <w:tc>
          <w:tcPr>
            <w:tcW w:w="1356" w:type="dxa"/>
            <w:tcBorders>
              <w:top w:val="nil"/>
              <w:left w:val="nil"/>
              <w:bottom w:val="single" w:sz="4" w:space="0" w:color="auto"/>
              <w:right w:val="single" w:sz="4" w:space="0" w:color="auto"/>
            </w:tcBorders>
            <w:shd w:val="clear" w:color="auto" w:fill="auto"/>
            <w:noWrap/>
            <w:vAlign w:val="center"/>
            <w:hideMark/>
          </w:tcPr>
          <w:p w14:paraId="39C2E1DD" w14:textId="77777777" w:rsidR="002E5A67" w:rsidRPr="00BD4DD8" w:rsidRDefault="002E5A67" w:rsidP="00EA54AB">
            <w:pPr>
              <w:spacing w:before="80" w:after="80"/>
              <w:jc w:val="center"/>
              <w:rPr>
                <w:rFonts w:cstheme="minorHAnsi"/>
                <w:b/>
                <w:bCs/>
                <w:color w:val="000000"/>
                <w:sz w:val="18"/>
              </w:rPr>
            </w:pPr>
            <w:r>
              <w:rPr>
                <w:rFonts w:cstheme="minorHAnsi"/>
                <w:b/>
                <w:bCs/>
                <w:color w:val="000000"/>
                <w:sz w:val="18"/>
              </w:rPr>
              <w:t>2014-15</w:t>
            </w:r>
          </w:p>
        </w:tc>
      </w:tr>
      <w:tr w:rsidR="00284A83" w:rsidRPr="00163EB6" w14:paraId="5C2ECCF7" w14:textId="77777777" w:rsidTr="00D04B94">
        <w:trPr>
          <w:trHeight w:val="429"/>
          <w:jc w:val="center"/>
        </w:trPr>
        <w:tc>
          <w:tcPr>
            <w:tcW w:w="2709" w:type="dxa"/>
            <w:tcBorders>
              <w:top w:val="nil"/>
              <w:left w:val="single" w:sz="4" w:space="0" w:color="auto"/>
              <w:bottom w:val="single" w:sz="4" w:space="0" w:color="auto"/>
              <w:right w:val="single" w:sz="4" w:space="0" w:color="auto"/>
            </w:tcBorders>
            <w:vAlign w:val="center"/>
          </w:tcPr>
          <w:p w14:paraId="638CA2A3" w14:textId="77777777" w:rsidR="00284A83" w:rsidRPr="00E33EAE" w:rsidRDefault="00284A83" w:rsidP="00560AC0">
            <w:pPr>
              <w:spacing w:before="80" w:after="80"/>
              <w:rPr>
                <w:rFonts w:cstheme="minorHAnsi"/>
                <w:color w:val="000000"/>
                <w:sz w:val="20"/>
              </w:rPr>
            </w:pPr>
            <w:r>
              <w:rPr>
                <w:rFonts w:cstheme="minorHAnsi"/>
                <w:b/>
                <w:bCs/>
                <w:color w:val="000000"/>
                <w:sz w:val="20"/>
              </w:rPr>
              <w:t>Admitted acute</w:t>
            </w:r>
          </w:p>
        </w:tc>
        <w:tc>
          <w:tcPr>
            <w:tcW w:w="1359" w:type="dxa"/>
            <w:tcBorders>
              <w:top w:val="nil"/>
              <w:left w:val="single" w:sz="4" w:space="0" w:color="auto"/>
              <w:bottom w:val="single" w:sz="4" w:space="0" w:color="auto"/>
              <w:right w:val="single" w:sz="4" w:space="0" w:color="auto"/>
            </w:tcBorders>
            <w:shd w:val="clear" w:color="auto" w:fill="D9EDD0" w:themeFill="accent4" w:themeFillTint="66"/>
            <w:noWrap/>
            <w:vAlign w:val="center"/>
          </w:tcPr>
          <w:p w14:paraId="254827B9" w14:textId="129106DC"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96.9%</w:t>
            </w:r>
          </w:p>
        </w:tc>
        <w:tc>
          <w:tcPr>
            <w:tcW w:w="1356" w:type="dxa"/>
            <w:tcBorders>
              <w:top w:val="nil"/>
              <w:left w:val="nil"/>
              <w:bottom w:val="single" w:sz="4" w:space="0" w:color="auto"/>
              <w:right w:val="single" w:sz="4" w:space="0" w:color="auto"/>
            </w:tcBorders>
            <w:shd w:val="clear" w:color="auto" w:fill="D9EDD0" w:themeFill="accent4" w:themeFillTint="66"/>
            <w:noWrap/>
            <w:vAlign w:val="center"/>
          </w:tcPr>
          <w:p w14:paraId="5C28BC3F" w14:textId="6080B9D0"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87.4%</w:t>
            </w:r>
          </w:p>
        </w:tc>
        <w:tc>
          <w:tcPr>
            <w:tcW w:w="1356" w:type="dxa"/>
            <w:tcBorders>
              <w:top w:val="nil"/>
              <w:left w:val="nil"/>
              <w:bottom w:val="single" w:sz="4" w:space="0" w:color="auto"/>
              <w:right w:val="single" w:sz="4" w:space="0" w:color="auto"/>
            </w:tcBorders>
            <w:shd w:val="clear" w:color="auto" w:fill="D9EDD0" w:themeFill="accent4" w:themeFillTint="66"/>
            <w:noWrap/>
            <w:vAlign w:val="center"/>
          </w:tcPr>
          <w:p w14:paraId="21CAA723" w14:textId="599ABAC6"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95.6%</w:t>
            </w:r>
          </w:p>
        </w:tc>
        <w:tc>
          <w:tcPr>
            <w:tcW w:w="1356" w:type="dxa"/>
            <w:tcBorders>
              <w:top w:val="nil"/>
              <w:left w:val="nil"/>
              <w:bottom w:val="single" w:sz="4" w:space="0" w:color="auto"/>
              <w:right w:val="single" w:sz="4" w:space="0" w:color="auto"/>
            </w:tcBorders>
            <w:shd w:val="clear" w:color="auto" w:fill="D9EDD0" w:themeFill="accent4" w:themeFillTint="66"/>
            <w:noWrap/>
            <w:vAlign w:val="center"/>
          </w:tcPr>
          <w:p w14:paraId="767AB2EB" w14:textId="29B7BDBC"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96.9%</w:t>
            </w:r>
          </w:p>
        </w:tc>
      </w:tr>
      <w:tr w:rsidR="00284A83" w:rsidRPr="00163EB6" w14:paraId="61C31520" w14:textId="77777777" w:rsidTr="00D04B94">
        <w:trPr>
          <w:trHeight w:val="429"/>
          <w:jc w:val="center"/>
        </w:trPr>
        <w:tc>
          <w:tcPr>
            <w:tcW w:w="2709" w:type="dxa"/>
            <w:tcBorders>
              <w:top w:val="nil"/>
              <w:left w:val="single" w:sz="4" w:space="0" w:color="auto"/>
              <w:bottom w:val="single" w:sz="4" w:space="0" w:color="auto"/>
              <w:right w:val="single" w:sz="4" w:space="0" w:color="auto"/>
            </w:tcBorders>
            <w:vAlign w:val="center"/>
          </w:tcPr>
          <w:p w14:paraId="0A7A19A4" w14:textId="77777777" w:rsidR="00284A83" w:rsidRPr="00E33EAE" w:rsidRDefault="00284A83" w:rsidP="00560AC0">
            <w:pPr>
              <w:spacing w:before="80" w:after="80"/>
              <w:rPr>
                <w:rFonts w:cstheme="minorHAnsi"/>
                <w:color w:val="000000"/>
                <w:sz w:val="20"/>
              </w:rPr>
            </w:pPr>
            <w:r w:rsidRPr="00E33EAE">
              <w:rPr>
                <w:rFonts w:cstheme="minorHAnsi"/>
                <w:b/>
                <w:bCs/>
                <w:color w:val="000000"/>
                <w:sz w:val="20"/>
              </w:rPr>
              <w:t>Emergency</w:t>
            </w:r>
          </w:p>
        </w:tc>
        <w:tc>
          <w:tcPr>
            <w:tcW w:w="1359" w:type="dxa"/>
            <w:tcBorders>
              <w:top w:val="nil"/>
              <w:left w:val="single" w:sz="4" w:space="0" w:color="auto"/>
              <w:bottom w:val="single" w:sz="4" w:space="0" w:color="auto"/>
              <w:right w:val="single" w:sz="4" w:space="0" w:color="auto"/>
            </w:tcBorders>
            <w:shd w:val="clear" w:color="auto" w:fill="D9EDD0" w:themeFill="accent4" w:themeFillTint="66"/>
            <w:noWrap/>
            <w:vAlign w:val="center"/>
          </w:tcPr>
          <w:p w14:paraId="0936705D" w14:textId="0FB78271"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92.</w:t>
            </w:r>
            <w:r w:rsidR="0043185E">
              <w:rPr>
                <w:rFonts w:asciiTheme="minorHAnsi" w:hAnsiTheme="minorHAnsi" w:cstheme="minorHAnsi"/>
                <w:color w:val="000000"/>
                <w:sz w:val="18"/>
                <w:szCs w:val="18"/>
              </w:rPr>
              <w:t>7</w:t>
            </w:r>
            <w:r w:rsidRPr="00021CBE">
              <w:rPr>
                <w:rFonts w:asciiTheme="minorHAnsi" w:hAnsiTheme="minorHAnsi" w:cstheme="minorHAnsi"/>
                <w:color w:val="000000"/>
                <w:sz w:val="18"/>
                <w:szCs w:val="18"/>
              </w:rPr>
              <w:t>%</w:t>
            </w:r>
          </w:p>
        </w:tc>
        <w:tc>
          <w:tcPr>
            <w:tcW w:w="1356" w:type="dxa"/>
            <w:tcBorders>
              <w:top w:val="nil"/>
              <w:left w:val="nil"/>
              <w:bottom w:val="single" w:sz="4" w:space="0" w:color="auto"/>
              <w:right w:val="single" w:sz="4" w:space="0" w:color="auto"/>
            </w:tcBorders>
            <w:shd w:val="clear" w:color="auto" w:fill="D9EDD0" w:themeFill="accent4" w:themeFillTint="66"/>
            <w:noWrap/>
            <w:vAlign w:val="center"/>
          </w:tcPr>
          <w:p w14:paraId="088153B7" w14:textId="1A46BE7A"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96.5%</w:t>
            </w:r>
          </w:p>
        </w:tc>
        <w:tc>
          <w:tcPr>
            <w:tcW w:w="1356" w:type="dxa"/>
            <w:tcBorders>
              <w:top w:val="nil"/>
              <w:left w:val="nil"/>
              <w:bottom w:val="single" w:sz="4" w:space="0" w:color="auto"/>
              <w:right w:val="single" w:sz="4" w:space="0" w:color="auto"/>
            </w:tcBorders>
            <w:shd w:val="clear" w:color="auto" w:fill="D9EDD0" w:themeFill="accent4" w:themeFillTint="66"/>
            <w:noWrap/>
            <w:vAlign w:val="center"/>
          </w:tcPr>
          <w:p w14:paraId="6475423C" w14:textId="2D969FBD"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93.4%</w:t>
            </w:r>
          </w:p>
        </w:tc>
        <w:tc>
          <w:tcPr>
            <w:tcW w:w="1356" w:type="dxa"/>
            <w:tcBorders>
              <w:top w:val="nil"/>
              <w:left w:val="nil"/>
              <w:bottom w:val="single" w:sz="4" w:space="0" w:color="auto"/>
              <w:right w:val="single" w:sz="4" w:space="0" w:color="auto"/>
            </w:tcBorders>
            <w:shd w:val="clear" w:color="auto" w:fill="D9EDD0" w:themeFill="accent4" w:themeFillTint="66"/>
            <w:noWrap/>
            <w:vAlign w:val="center"/>
          </w:tcPr>
          <w:p w14:paraId="017ADED4" w14:textId="0E13D197"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92.</w:t>
            </w:r>
            <w:r w:rsidR="0043185E">
              <w:rPr>
                <w:rFonts w:asciiTheme="minorHAnsi" w:hAnsiTheme="minorHAnsi" w:cstheme="minorHAnsi"/>
                <w:color w:val="000000"/>
                <w:sz w:val="18"/>
                <w:szCs w:val="18"/>
              </w:rPr>
              <w:t>7</w:t>
            </w:r>
            <w:r w:rsidRPr="00021CBE">
              <w:rPr>
                <w:rFonts w:asciiTheme="minorHAnsi" w:hAnsiTheme="minorHAnsi" w:cstheme="minorHAnsi"/>
                <w:color w:val="000000"/>
                <w:sz w:val="18"/>
                <w:szCs w:val="18"/>
              </w:rPr>
              <w:t>%</w:t>
            </w:r>
          </w:p>
        </w:tc>
      </w:tr>
      <w:tr w:rsidR="002E5A67" w:rsidRPr="00163EB6" w14:paraId="608EBF12" w14:textId="77777777" w:rsidTr="00D04B94">
        <w:trPr>
          <w:trHeight w:val="429"/>
          <w:jc w:val="center"/>
        </w:trPr>
        <w:tc>
          <w:tcPr>
            <w:tcW w:w="2709" w:type="dxa"/>
            <w:tcBorders>
              <w:top w:val="nil"/>
              <w:left w:val="single" w:sz="4" w:space="0" w:color="auto"/>
              <w:bottom w:val="single" w:sz="4" w:space="0" w:color="auto"/>
              <w:right w:val="single" w:sz="4" w:space="0" w:color="auto"/>
            </w:tcBorders>
            <w:shd w:val="clear" w:color="auto" w:fill="FFFFFF" w:themeFill="background1"/>
            <w:vAlign w:val="center"/>
          </w:tcPr>
          <w:p w14:paraId="140E499D" w14:textId="77777777" w:rsidR="002E5A67" w:rsidRPr="00E33EAE" w:rsidRDefault="002E5A67" w:rsidP="00560AC0">
            <w:pPr>
              <w:spacing w:before="80" w:after="80"/>
              <w:rPr>
                <w:rFonts w:cstheme="minorHAnsi"/>
                <w:color w:val="000000"/>
                <w:sz w:val="20"/>
              </w:rPr>
            </w:pPr>
            <w:r w:rsidRPr="00E33EAE">
              <w:rPr>
                <w:rFonts w:cstheme="minorHAnsi"/>
                <w:b/>
                <w:bCs/>
                <w:color w:val="000000"/>
                <w:sz w:val="20"/>
              </w:rPr>
              <w:t>Non-admitted</w:t>
            </w:r>
          </w:p>
        </w:tc>
        <w:tc>
          <w:tcPr>
            <w:tcW w:w="1359" w:type="dxa"/>
            <w:tcBorders>
              <w:top w:val="nil"/>
              <w:left w:val="single" w:sz="4" w:space="0" w:color="auto"/>
              <w:bottom w:val="single" w:sz="4" w:space="0" w:color="auto"/>
              <w:right w:val="single" w:sz="4" w:space="0" w:color="auto"/>
            </w:tcBorders>
            <w:shd w:val="clear" w:color="000000" w:fill="D9D9D9"/>
            <w:noWrap/>
            <w:vAlign w:val="bottom"/>
          </w:tcPr>
          <w:p w14:paraId="032ADAF0" w14:textId="77777777" w:rsidR="002E5A67" w:rsidRPr="00E33EAE" w:rsidRDefault="002E5A67" w:rsidP="00EA54AB">
            <w:pPr>
              <w:spacing w:before="80" w:after="80"/>
              <w:jc w:val="center"/>
              <w:rPr>
                <w:rFonts w:cstheme="minorHAnsi"/>
                <w:color w:val="000000"/>
                <w:sz w:val="18"/>
              </w:rPr>
            </w:pPr>
          </w:p>
        </w:tc>
        <w:tc>
          <w:tcPr>
            <w:tcW w:w="1356" w:type="dxa"/>
            <w:tcBorders>
              <w:top w:val="nil"/>
              <w:left w:val="nil"/>
              <w:bottom w:val="single" w:sz="4" w:space="0" w:color="auto"/>
              <w:right w:val="single" w:sz="4" w:space="0" w:color="auto"/>
            </w:tcBorders>
            <w:shd w:val="clear" w:color="000000" w:fill="D9D9D9"/>
            <w:noWrap/>
            <w:vAlign w:val="bottom"/>
          </w:tcPr>
          <w:p w14:paraId="1E1DE6EE" w14:textId="77777777" w:rsidR="002E5A67" w:rsidRPr="00E33EAE" w:rsidRDefault="002E5A67" w:rsidP="00EA54AB">
            <w:pPr>
              <w:spacing w:before="80" w:after="80"/>
              <w:jc w:val="center"/>
              <w:rPr>
                <w:rFonts w:cstheme="minorHAnsi"/>
                <w:color w:val="000000"/>
                <w:sz w:val="18"/>
              </w:rPr>
            </w:pPr>
          </w:p>
        </w:tc>
        <w:tc>
          <w:tcPr>
            <w:tcW w:w="1356" w:type="dxa"/>
            <w:tcBorders>
              <w:top w:val="nil"/>
              <w:left w:val="nil"/>
              <w:bottom w:val="single" w:sz="4" w:space="0" w:color="auto"/>
              <w:right w:val="single" w:sz="4" w:space="0" w:color="auto"/>
            </w:tcBorders>
            <w:shd w:val="clear" w:color="000000" w:fill="D9D9D9"/>
            <w:noWrap/>
            <w:vAlign w:val="bottom"/>
          </w:tcPr>
          <w:p w14:paraId="7C3105B6" w14:textId="77777777" w:rsidR="002E5A67" w:rsidRPr="00E33EAE" w:rsidRDefault="002E5A67" w:rsidP="00EA54AB">
            <w:pPr>
              <w:spacing w:before="80" w:after="80"/>
              <w:jc w:val="center"/>
              <w:rPr>
                <w:rFonts w:cstheme="minorHAnsi"/>
                <w:color w:val="000000"/>
                <w:sz w:val="18"/>
              </w:rPr>
            </w:pPr>
          </w:p>
        </w:tc>
        <w:tc>
          <w:tcPr>
            <w:tcW w:w="1356" w:type="dxa"/>
            <w:tcBorders>
              <w:top w:val="nil"/>
              <w:left w:val="nil"/>
              <w:bottom w:val="single" w:sz="4" w:space="0" w:color="auto"/>
              <w:right w:val="single" w:sz="4" w:space="0" w:color="auto"/>
            </w:tcBorders>
            <w:shd w:val="clear" w:color="000000" w:fill="D9D9D9"/>
            <w:noWrap/>
            <w:vAlign w:val="bottom"/>
          </w:tcPr>
          <w:p w14:paraId="7FB5125F" w14:textId="77777777" w:rsidR="002E5A67" w:rsidRPr="00E33EAE" w:rsidRDefault="002E5A67" w:rsidP="00EA54AB">
            <w:pPr>
              <w:spacing w:before="80" w:after="80"/>
              <w:jc w:val="center"/>
              <w:rPr>
                <w:rFonts w:cstheme="minorHAnsi"/>
                <w:color w:val="000000"/>
                <w:sz w:val="18"/>
              </w:rPr>
            </w:pPr>
          </w:p>
        </w:tc>
      </w:tr>
      <w:tr w:rsidR="00284A83" w:rsidRPr="00163EB6" w14:paraId="58B43D28" w14:textId="77777777" w:rsidTr="00D04B94">
        <w:trPr>
          <w:trHeight w:val="429"/>
          <w:jc w:val="center"/>
        </w:trPr>
        <w:tc>
          <w:tcPr>
            <w:tcW w:w="2709" w:type="dxa"/>
            <w:tcBorders>
              <w:top w:val="nil"/>
              <w:left w:val="single" w:sz="4" w:space="0" w:color="auto"/>
              <w:bottom w:val="single" w:sz="4" w:space="0" w:color="auto"/>
              <w:right w:val="single" w:sz="4" w:space="0" w:color="auto"/>
            </w:tcBorders>
            <w:vAlign w:val="center"/>
          </w:tcPr>
          <w:p w14:paraId="5F44F96B" w14:textId="77777777" w:rsidR="00284A83" w:rsidRPr="00E33EAE" w:rsidRDefault="00284A83" w:rsidP="00560AC0">
            <w:pPr>
              <w:spacing w:before="80" w:after="80"/>
              <w:rPr>
                <w:rFonts w:cstheme="minorHAnsi"/>
                <w:color w:val="000000"/>
                <w:sz w:val="20"/>
              </w:rPr>
            </w:pPr>
            <w:r w:rsidRPr="00E33EAE">
              <w:rPr>
                <w:rFonts w:cstheme="minorHAnsi"/>
                <w:b/>
                <w:bCs/>
                <w:color w:val="000000"/>
                <w:sz w:val="20"/>
              </w:rPr>
              <w:t>Subacute</w:t>
            </w:r>
          </w:p>
        </w:tc>
        <w:tc>
          <w:tcPr>
            <w:tcW w:w="1359" w:type="dxa"/>
            <w:tcBorders>
              <w:top w:val="nil"/>
              <w:left w:val="single" w:sz="4" w:space="0" w:color="auto"/>
              <w:bottom w:val="single" w:sz="4" w:space="0" w:color="auto"/>
              <w:right w:val="single" w:sz="4" w:space="0" w:color="auto"/>
            </w:tcBorders>
            <w:shd w:val="clear" w:color="auto" w:fill="D9EDD0" w:themeFill="accent4" w:themeFillTint="66"/>
            <w:noWrap/>
            <w:vAlign w:val="center"/>
          </w:tcPr>
          <w:p w14:paraId="74215C94" w14:textId="295C4B99"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90.</w:t>
            </w:r>
            <w:r w:rsidR="0043185E">
              <w:rPr>
                <w:rFonts w:asciiTheme="minorHAnsi" w:hAnsiTheme="minorHAnsi" w:cstheme="minorHAnsi"/>
                <w:color w:val="000000"/>
                <w:sz w:val="18"/>
                <w:szCs w:val="18"/>
              </w:rPr>
              <w:t>6</w:t>
            </w:r>
            <w:r w:rsidRPr="00021CBE">
              <w:rPr>
                <w:rFonts w:asciiTheme="minorHAnsi" w:hAnsiTheme="minorHAnsi" w:cstheme="minorHAnsi"/>
                <w:color w:val="000000"/>
                <w:sz w:val="18"/>
                <w:szCs w:val="18"/>
              </w:rPr>
              <w:t>%</w:t>
            </w:r>
          </w:p>
        </w:tc>
        <w:tc>
          <w:tcPr>
            <w:tcW w:w="1356" w:type="dxa"/>
            <w:tcBorders>
              <w:top w:val="nil"/>
              <w:left w:val="nil"/>
              <w:bottom w:val="single" w:sz="4" w:space="0" w:color="auto"/>
              <w:right w:val="single" w:sz="4" w:space="0" w:color="auto"/>
            </w:tcBorders>
            <w:shd w:val="clear" w:color="auto" w:fill="D9EDD0" w:themeFill="accent4" w:themeFillTint="66"/>
            <w:noWrap/>
            <w:vAlign w:val="center"/>
          </w:tcPr>
          <w:p w14:paraId="3EE98A62" w14:textId="25BA133A"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87.7%</w:t>
            </w:r>
          </w:p>
        </w:tc>
        <w:tc>
          <w:tcPr>
            <w:tcW w:w="1356" w:type="dxa"/>
            <w:tcBorders>
              <w:top w:val="nil"/>
              <w:left w:val="nil"/>
              <w:bottom w:val="single" w:sz="4" w:space="0" w:color="auto"/>
              <w:right w:val="single" w:sz="4" w:space="0" w:color="auto"/>
            </w:tcBorders>
            <w:shd w:val="clear" w:color="auto" w:fill="D9EDD0" w:themeFill="accent4" w:themeFillTint="66"/>
            <w:noWrap/>
            <w:vAlign w:val="center"/>
          </w:tcPr>
          <w:p w14:paraId="206EABBE" w14:textId="4F73D6C4"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88.7%</w:t>
            </w:r>
          </w:p>
        </w:tc>
        <w:tc>
          <w:tcPr>
            <w:tcW w:w="1356" w:type="dxa"/>
            <w:tcBorders>
              <w:top w:val="nil"/>
              <w:left w:val="nil"/>
              <w:bottom w:val="single" w:sz="4" w:space="0" w:color="auto"/>
              <w:right w:val="single" w:sz="4" w:space="0" w:color="auto"/>
            </w:tcBorders>
            <w:shd w:val="clear" w:color="auto" w:fill="D9EDD0" w:themeFill="accent4" w:themeFillTint="66"/>
            <w:noWrap/>
            <w:vAlign w:val="center"/>
          </w:tcPr>
          <w:p w14:paraId="50BF5F34" w14:textId="54CCF9D5" w:rsidR="00284A83" w:rsidRPr="00176A2D" w:rsidRDefault="00284A83" w:rsidP="00EA54AB">
            <w:pPr>
              <w:spacing w:before="80" w:after="80"/>
              <w:jc w:val="center"/>
              <w:rPr>
                <w:rFonts w:eastAsiaTheme="minorHAnsi" w:cstheme="minorHAnsi"/>
                <w:b/>
                <w:noProof/>
                <w:color w:val="000000"/>
                <w:sz w:val="18"/>
              </w:rPr>
            </w:pPr>
            <w:r w:rsidRPr="00021CBE">
              <w:rPr>
                <w:rFonts w:asciiTheme="minorHAnsi" w:hAnsiTheme="minorHAnsi" w:cstheme="minorHAnsi"/>
                <w:color w:val="000000"/>
                <w:sz w:val="18"/>
                <w:szCs w:val="18"/>
              </w:rPr>
              <w:t>90.</w:t>
            </w:r>
            <w:r w:rsidR="0043185E">
              <w:rPr>
                <w:rFonts w:asciiTheme="minorHAnsi" w:hAnsiTheme="minorHAnsi" w:cstheme="minorHAnsi"/>
                <w:color w:val="000000"/>
                <w:sz w:val="18"/>
                <w:szCs w:val="18"/>
              </w:rPr>
              <w:t>6</w:t>
            </w:r>
            <w:r w:rsidRPr="00021CBE">
              <w:rPr>
                <w:rFonts w:asciiTheme="minorHAnsi" w:hAnsiTheme="minorHAnsi" w:cstheme="minorHAnsi"/>
                <w:color w:val="000000"/>
                <w:sz w:val="18"/>
                <w:szCs w:val="18"/>
              </w:rPr>
              <w:t>%</w:t>
            </w:r>
          </w:p>
        </w:tc>
      </w:tr>
    </w:tbl>
    <w:p w14:paraId="159B1D9F" w14:textId="39DB6254" w:rsidR="002E5A67" w:rsidRDefault="00284A83" w:rsidP="00560AC0">
      <w:pPr>
        <w:rPr>
          <w:rFonts w:cstheme="minorHAnsi"/>
          <w:bCs/>
          <w:color w:val="000000"/>
          <w:sz w:val="20"/>
        </w:rPr>
      </w:pPr>
      <w:r>
        <w:rPr>
          <w:rFonts w:cstheme="minorHAnsi"/>
          <w:bCs/>
          <w:color w:val="000000"/>
          <w:sz w:val="20"/>
        </w:rPr>
        <w:t xml:space="preserve"> </w:t>
      </w:r>
      <w:r w:rsidR="002E5A67" w:rsidRPr="00BD4DD8">
        <w:rPr>
          <w:rFonts w:cstheme="minorHAnsi"/>
          <w:bCs/>
          <w:color w:val="000000"/>
          <w:sz w:val="20"/>
        </w:rPr>
        <w:t>Note: Only the NHCDC activity is used in the non-admitted Cost Model.</w:t>
      </w:r>
    </w:p>
    <w:p w14:paraId="756AD7D3" w14:textId="1592D3B7" w:rsidR="00681B11" w:rsidRDefault="00681B11">
      <w:pPr>
        <w:spacing w:after="0" w:line="240" w:lineRule="auto"/>
        <w:rPr>
          <w:rFonts w:cstheme="minorHAnsi"/>
          <w:bCs/>
          <w:color w:val="000000"/>
          <w:sz w:val="20"/>
        </w:rPr>
      </w:pPr>
      <w:r>
        <w:rPr>
          <w:rFonts w:cstheme="minorHAnsi"/>
          <w:bCs/>
          <w:color w:val="000000"/>
          <w:sz w:val="20"/>
        </w:rPr>
        <w:br w:type="page"/>
      </w:r>
    </w:p>
    <w:p w14:paraId="3CD0CC94" w14:textId="31450CFA" w:rsidR="00772F7A" w:rsidRDefault="00772F7A">
      <w:pPr>
        <w:ind w:firstLine="720"/>
        <w:rPr>
          <w:rFonts w:cstheme="minorHAnsi"/>
          <w:bCs/>
          <w:color w:val="000000"/>
          <w:sz w:val="20"/>
        </w:rPr>
      </w:pPr>
    </w:p>
    <w:p w14:paraId="6C4F393A" w14:textId="10FB0599" w:rsidR="00772F7A" w:rsidRPr="00A45259" w:rsidRDefault="00284D5B" w:rsidP="001B57FC">
      <w:pPr>
        <w:pStyle w:val="Heading2"/>
        <w:numPr>
          <w:ilvl w:val="0"/>
          <w:numId w:val="51"/>
        </w:numPr>
      </w:pPr>
      <w:bookmarkStart w:id="955" w:name="_Toc467759605"/>
      <w:bookmarkStart w:id="956" w:name="_Toc468204108"/>
      <w:bookmarkStart w:id="957" w:name="_Ref468263716"/>
      <w:bookmarkStart w:id="958" w:name="_Toc476305259"/>
      <w:r>
        <w:t>List of DRG Adopting the L1.5 H1.5 Methodology</w:t>
      </w:r>
      <w:bookmarkEnd w:id="955"/>
      <w:bookmarkEnd w:id="956"/>
      <w:bookmarkEnd w:id="957"/>
      <w:bookmarkEnd w:id="958"/>
    </w:p>
    <w:tbl>
      <w:tblPr>
        <w:tblStyle w:val="TableGrid"/>
        <w:tblW w:w="0" w:type="auto"/>
        <w:jc w:val="center"/>
        <w:tblLook w:val="04A0" w:firstRow="1" w:lastRow="0" w:firstColumn="1" w:lastColumn="0" w:noHBand="0" w:noVBand="1"/>
        <w:tblDescription w:val="The table is a list of the 21 DRGs to be converted to L1.5H1.5&#10;&#10;The table consists of two column headings: column 1 is a list of Diagnosis Related Groups (DRGs) and column 2 provides a description of the Diagnosis Related Group (DRG). "/>
      </w:tblPr>
      <w:tblGrid>
        <w:gridCol w:w="1117"/>
        <w:gridCol w:w="7489"/>
      </w:tblGrid>
      <w:tr w:rsidR="000C2251" w:rsidRPr="000C2251" w14:paraId="59EC3AB2" w14:textId="77777777" w:rsidTr="000C2251">
        <w:trPr>
          <w:trHeight w:val="170"/>
          <w:tblHeader/>
          <w:jc w:val="center"/>
        </w:trPr>
        <w:tc>
          <w:tcPr>
            <w:tcW w:w="1117" w:type="dxa"/>
            <w:shd w:val="clear" w:color="auto" w:fill="288A32"/>
            <w:vAlign w:val="center"/>
          </w:tcPr>
          <w:p w14:paraId="7BFA261C" w14:textId="4CDB9302" w:rsidR="006B0945" w:rsidRPr="000351BD" w:rsidRDefault="00A90200">
            <w:pPr>
              <w:spacing w:before="60" w:after="60" w:line="276" w:lineRule="auto"/>
              <w:rPr>
                <w:rFonts w:cs="Arial"/>
                <w:b/>
                <w:color w:val="FFFFFF" w:themeColor="background1"/>
                <w:sz w:val="20"/>
              </w:rPr>
            </w:pPr>
            <w:bookmarkStart w:id="959" w:name="_Toc466884251"/>
            <w:r w:rsidRPr="000351BD">
              <w:rPr>
                <w:color w:val="FFFFFF" w:themeColor="background1"/>
                <w:sz w:val="44"/>
              </w:rPr>
              <w:br w:type="page"/>
            </w:r>
            <w:bookmarkEnd w:id="959"/>
            <w:r w:rsidR="006B0945" w:rsidRPr="000351BD">
              <w:rPr>
                <w:rFonts w:cs="Arial"/>
                <w:b/>
                <w:color w:val="FFFFFF" w:themeColor="background1"/>
                <w:sz w:val="20"/>
              </w:rPr>
              <w:t>DRG</w:t>
            </w:r>
          </w:p>
        </w:tc>
        <w:tc>
          <w:tcPr>
            <w:tcW w:w="7489" w:type="dxa"/>
            <w:shd w:val="clear" w:color="auto" w:fill="288A32"/>
          </w:tcPr>
          <w:p w14:paraId="4694EA45" w14:textId="77777777" w:rsidR="006B0945" w:rsidRPr="000351BD" w:rsidRDefault="006B0945">
            <w:pPr>
              <w:spacing w:before="60" w:after="60" w:line="276" w:lineRule="auto"/>
              <w:rPr>
                <w:rFonts w:cs="Arial"/>
                <w:b/>
                <w:color w:val="FFFFFF" w:themeColor="background1"/>
                <w:sz w:val="20"/>
              </w:rPr>
            </w:pPr>
            <w:r w:rsidRPr="000351BD">
              <w:rPr>
                <w:rFonts w:cs="Arial"/>
                <w:b/>
                <w:color w:val="FFFFFF" w:themeColor="background1"/>
                <w:sz w:val="20"/>
              </w:rPr>
              <w:t>DRG Description</w:t>
            </w:r>
          </w:p>
        </w:tc>
      </w:tr>
      <w:tr w:rsidR="006B0945" w:rsidRPr="00837081" w14:paraId="4BC80F38" w14:textId="77777777" w:rsidTr="00F430BA">
        <w:trPr>
          <w:trHeight w:val="170"/>
          <w:jc w:val="center"/>
        </w:trPr>
        <w:tc>
          <w:tcPr>
            <w:tcW w:w="1117" w:type="dxa"/>
            <w:vAlign w:val="bottom"/>
          </w:tcPr>
          <w:p w14:paraId="5694B281" w14:textId="77777777" w:rsidR="006B0945" w:rsidRPr="00E33EAE" w:rsidRDefault="006B0945" w:rsidP="00560AC0">
            <w:pPr>
              <w:spacing w:before="60" w:after="60"/>
              <w:rPr>
                <w:rFonts w:cs="Arial"/>
                <w:sz w:val="18"/>
              </w:rPr>
            </w:pPr>
            <w:r w:rsidRPr="00E33EAE">
              <w:rPr>
                <w:rFonts w:cs="Arial"/>
                <w:sz w:val="18"/>
              </w:rPr>
              <w:t>A01Z</w:t>
            </w:r>
          </w:p>
        </w:tc>
        <w:tc>
          <w:tcPr>
            <w:tcW w:w="7489" w:type="dxa"/>
            <w:vAlign w:val="bottom"/>
          </w:tcPr>
          <w:p w14:paraId="2190D1A9" w14:textId="77777777" w:rsidR="006B0945" w:rsidRPr="00E33EAE" w:rsidRDefault="006B0945">
            <w:pPr>
              <w:spacing w:before="60" w:after="60"/>
              <w:rPr>
                <w:rFonts w:cs="Arial"/>
                <w:sz w:val="18"/>
              </w:rPr>
            </w:pPr>
            <w:r w:rsidRPr="00E33EAE">
              <w:rPr>
                <w:rFonts w:cs="Arial"/>
                <w:sz w:val="18"/>
              </w:rPr>
              <w:t>Liver Transplant</w:t>
            </w:r>
          </w:p>
        </w:tc>
      </w:tr>
      <w:tr w:rsidR="006B0945" w:rsidRPr="00837081" w14:paraId="303690F7" w14:textId="77777777" w:rsidTr="00F430BA">
        <w:trPr>
          <w:trHeight w:val="170"/>
          <w:jc w:val="center"/>
        </w:trPr>
        <w:tc>
          <w:tcPr>
            <w:tcW w:w="1117" w:type="dxa"/>
            <w:vAlign w:val="bottom"/>
          </w:tcPr>
          <w:p w14:paraId="54FCB47B" w14:textId="77777777" w:rsidR="006B0945" w:rsidRPr="00E33EAE" w:rsidRDefault="006B0945" w:rsidP="00560AC0">
            <w:pPr>
              <w:spacing w:before="60" w:after="60"/>
              <w:rPr>
                <w:rFonts w:cs="Arial"/>
                <w:sz w:val="18"/>
              </w:rPr>
            </w:pPr>
            <w:r w:rsidRPr="00E33EAE">
              <w:rPr>
                <w:rFonts w:cs="Arial"/>
                <w:sz w:val="18"/>
              </w:rPr>
              <w:t>A06A</w:t>
            </w:r>
          </w:p>
        </w:tc>
        <w:tc>
          <w:tcPr>
            <w:tcW w:w="7489" w:type="dxa"/>
            <w:vAlign w:val="bottom"/>
          </w:tcPr>
          <w:p w14:paraId="7DA4A40D" w14:textId="77777777" w:rsidR="006B0945" w:rsidRPr="00E33EAE" w:rsidRDefault="006B0945">
            <w:pPr>
              <w:spacing w:before="60" w:after="60"/>
              <w:rPr>
                <w:rFonts w:cs="Arial"/>
                <w:sz w:val="18"/>
              </w:rPr>
            </w:pPr>
            <w:r w:rsidRPr="00E33EAE">
              <w:rPr>
                <w:rFonts w:cs="Arial"/>
                <w:sz w:val="18"/>
              </w:rPr>
              <w:t>Tracheostomy W Ventilation &gt;=96hrs W Catastrophic CC</w:t>
            </w:r>
          </w:p>
        </w:tc>
      </w:tr>
      <w:tr w:rsidR="006B0945" w:rsidRPr="00837081" w14:paraId="5A366B4A" w14:textId="77777777" w:rsidTr="00F430BA">
        <w:trPr>
          <w:trHeight w:val="170"/>
          <w:jc w:val="center"/>
        </w:trPr>
        <w:tc>
          <w:tcPr>
            <w:tcW w:w="1117" w:type="dxa"/>
            <w:vAlign w:val="bottom"/>
          </w:tcPr>
          <w:p w14:paraId="38643284" w14:textId="77777777" w:rsidR="006B0945" w:rsidRPr="00E33EAE" w:rsidRDefault="006B0945" w:rsidP="00560AC0">
            <w:pPr>
              <w:spacing w:before="60" w:after="60"/>
              <w:rPr>
                <w:rFonts w:cs="Arial"/>
                <w:sz w:val="18"/>
              </w:rPr>
            </w:pPr>
            <w:r w:rsidRPr="00E33EAE">
              <w:rPr>
                <w:rFonts w:cs="Arial"/>
                <w:sz w:val="18"/>
              </w:rPr>
              <w:t>A06B</w:t>
            </w:r>
          </w:p>
        </w:tc>
        <w:tc>
          <w:tcPr>
            <w:tcW w:w="7489" w:type="dxa"/>
            <w:vAlign w:val="bottom"/>
          </w:tcPr>
          <w:p w14:paraId="76F2C32C" w14:textId="77777777" w:rsidR="006B0945" w:rsidRPr="00E33EAE" w:rsidRDefault="006B0945">
            <w:pPr>
              <w:spacing w:before="60" w:after="60"/>
              <w:rPr>
                <w:rFonts w:cs="Arial"/>
                <w:sz w:val="18"/>
              </w:rPr>
            </w:pPr>
            <w:r w:rsidRPr="00E33EAE">
              <w:rPr>
                <w:rFonts w:cs="Arial"/>
                <w:sz w:val="18"/>
              </w:rPr>
              <w:t xml:space="preserve">Ventilation &gt;=96hrs and OR </w:t>
            </w:r>
            <w:proofErr w:type="spellStart"/>
            <w:r w:rsidRPr="00E33EAE">
              <w:rPr>
                <w:rFonts w:cs="Arial"/>
                <w:sz w:val="18"/>
              </w:rPr>
              <w:t>Proc</w:t>
            </w:r>
            <w:proofErr w:type="spellEnd"/>
            <w:r w:rsidRPr="00E33EAE">
              <w:rPr>
                <w:rFonts w:cs="Arial"/>
                <w:sz w:val="18"/>
              </w:rPr>
              <w:t xml:space="preserve"> (W/O Tracheostomy or W/O Cat CC)</w:t>
            </w:r>
          </w:p>
        </w:tc>
      </w:tr>
      <w:tr w:rsidR="006B0945" w:rsidRPr="00837081" w14:paraId="47710709" w14:textId="77777777" w:rsidTr="00F430BA">
        <w:trPr>
          <w:trHeight w:val="170"/>
          <w:jc w:val="center"/>
        </w:trPr>
        <w:tc>
          <w:tcPr>
            <w:tcW w:w="1117" w:type="dxa"/>
            <w:vAlign w:val="bottom"/>
          </w:tcPr>
          <w:p w14:paraId="74BEDCE8" w14:textId="77777777" w:rsidR="006B0945" w:rsidRPr="00E33EAE" w:rsidRDefault="006B0945" w:rsidP="00560AC0">
            <w:pPr>
              <w:spacing w:before="60" w:after="60"/>
              <w:rPr>
                <w:rFonts w:cs="Arial"/>
                <w:sz w:val="18"/>
              </w:rPr>
            </w:pPr>
            <w:r w:rsidRPr="00E33EAE">
              <w:rPr>
                <w:rFonts w:cs="Arial"/>
                <w:sz w:val="18"/>
              </w:rPr>
              <w:t>A06C</w:t>
            </w:r>
          </w:p>
        </w:tc>
        <w:tc>
          <w:tcPr>
            <w:tcW w:w="7489" w:type="dxa"/>
            <w:vAlign w:val="bottom"/>
          </w:tcPr>
          <w:p w14:paraId="592DA71E" w14:textId="77777777" w:rsidR="006B0945" w:rsidRPr="00E33EAE" w:rsidRDefault="006B0945">
            <w:pPr>
              <w:spacing w:before="60" w:after="60"/>
              <w:rPr>
                <w:rFonts w:cs="Arial"/>
                <w:sz w:val="18"/>
              </w:rPr>
            </w:pPr>
            <w:r w:rsidRPr="00E33EAE">
              <w:rPr>
                <w:rFonts w:cs="Arial"/>
                <w:sz w:val="18"/>
              </w:rPr>
              <w:t xml:space="preserve">Tracheostomy W/O Ventilation &gt;=96hrs, or Ventilation &gt;=96hrs W/O OR </w:t>
            </w:r>
            <w:proofErr w:type="spellStart"/>
            <w:r w:rsidRPr="00E33EAE">
              <w:rPr>
                <w:rFonts w:cs="Arial"/>
                <w:sz w:val="18"/>
              </w:rPr>
              <w:t>Proc</w:t>
            </w:r>
            <w:proofErr w:type="spellEnd"/>
          </w:p>
        </w:tc>
      </w:tr>
      <w:tr w:rsidR="006B0945" w:rsidRPr="00837081" w14:paraId="0832BF38" w14:textId="77777777" w:rsidTr="00F430BA">
        <w:trPr>
          <w:trHeight w:val="170"/>
          <w:jc w:val="center"/>
        </w:trPr>
        <w:tc>
          <w:tcPr>
            <w:tcW w:w="1117" w:type="dxa"/>
            <w:vAlign w:val="bottom"/>
          </w:tcPr>
          <w:p w14:paraId="5627B5A4" w14:textId="77777777" w:rsidR="006B0945" w:rsidRPr="00E33EAE" w:rsidRDefault="006B0945" w:rsidP="00560AC0">
            <w:pPr>
              <w:spacing w:before="60" w:after="60"/>
              <w:rPr>
                <w:rFonts w:cs="Arial"/>
                <w:sz w:val="18"/>
              </w:rPr>
            </w:pPr>
            <w:r w:rsidRPr="00E33EAE">
              <w:rPr>
                <w:rFonts w:cs="Arial"/>
                <w:sz w:val="18"/>
              </w:rPr>
              <w:t>A10Z</w:t>
            </w:r>
          </w:p>
        </w:tc>
        <w:tc>
          <w:tcPr>
            <w:tcW w:w="7489" w:type="dxa"/>
            <w:vAlign w:val="bottom"/>
          </w:tcPr>
          <w:p w14:paraId="4C703875" w14:textId="77777777" w:rsidR="006B0945" w:rsidRPr="00E33EAE" w:rsidRDefault="006B0945">
            <w:pPr>
              <w:spacing w:before="60" w:after="60"/>
              <w:rPr>
                <w:rFonts w:cs="Arial"/>
                <w:sz w:val="18"/>
              </w:rPr>
            </w:pPr>
            <w:r w:rsidRPr="00E33EAE">
              <w:rPr>
                <w:rFonts w:cs="Arial"/>
                <w:sz w:val="18"/>
              </w:rPr>
              <w:t>Insertion of Ventricular Assist Device</w:t>
            </w:r>
          </w:p>
        </w:tc>
      </w:tr>
      <w:tr w:rsidR="006B0945" w:rsidRPr="00837081" w14:paraId="2DA7FC80" w14:textId="77777777" w:rsidTr="00F430BA">
        <w:trPr>
          <w:trHeight w:val="170"/>
          <w:jc w:val="center"/>
        </w:trPr>
        <w:tc>
          <w:tcPr>
            <w:tcW w:w="1117" w:type="dxa"/>
            <w:vAlign w:val="bottom"/>
          </w:tcPr>
          <w:p w14:paraId="1DDE6B3D" w14:textId="77777777" w:rsidR="006B0945" w:rsidRPr="00E33EAE" w:rsidRDefault="006B0945" w:rsidP="00560AC0">
            <w:pPr>
              <w:spacing w:before="60" w:after="60"/>
              <w:rPr>
                <w:rFonts w:cs="Arial"/>
                <w:sz w:val="18"/>
              </w:rPr>
            </w:pPr>
            <w:r w:rsidRPr="00E33EAE">
              <w:rPr>
                <w:rFonts w:cs="Arial"/>
                <w:sz w:val="18"/>
              </w:rPr>
              <w:t>B61A</w:t>
            </w:r>
          </w:p>
        </w:tc>
        <w:tc>
          <w:tcPr>
            <w:tcW w:w="7489" w:type="dxa"/>
            <w:vAlign w:val="bottom"/>
          </w:tcPr>
          <w:p w14:paraId="78C4B6DC" w14:textId="77777777" w:rsidR="006B0945" w:rsidRPr="00E33EAE" w:rsidRDefault="006B0945">
            <w:pPr>
              <w:spacing w:before="60" w:after="60"/>
              <w:rPr>
                <w:rFonts w:cs="Arial"/>
                <w:sz w:val="18"/>
              </w:rPr>
            </w:pPr>
            <w:r w:rsidRPr="00E33EAE">
              <w:rPr>
                <w:rFonts w:cs="Arial"/>
                <w:sz w:val="18"/>
              </w:rPr>
              <w:t>Spinal Cord Conditions W or W/O OR Procedures W Catastrophic or Severe CC</w:t>
            </w:r>
          </w:p>
        </w:tc>
      </w:tr>
      <w:tr w:rsidR="006B0945" w:rsidRPr="00837081" w14:paraId="4E71EEC5" w14:textId="77777777" w:rsidTr="00F430BA">
        <w:trPr>
          <w:trHeight w:val="170"/>
          <w:jc w:val="center"/>
        </w:trPr>
        <w:tc>
          <w:tcPr>
            <w:tcW w:w="1117" w:type="dxa"/>
            <w:vAlign w:val="bottom"/>
          </w:tcPr>
          <w:p w14:paraId="208E879A" w14:textId="77777777" w:rsidR="006B0945" w:rsidRPr="00E33EAE" w:rsidRDefault="006B0945" w:rsidP="00560AC0">
            <w:pPr>
              <w:spacing w:before="60" w:after="60"/>
              <w:rPr>
                <w:rFonts w:cs="Arial"/>
                <w:sz w:val="18"/>
              </w:rPr>
            </w:pPr>
            <w:r w:rsidRPr="00E33EAE">
              <w:rPr>
                <w:rFonts w:cs="Arial"/>
                <w:sz w:val="18"/>
              </w:rPr>
              <w:t>B82B</w:t>
            </w:r>
          </w:p>
        </w:tc>
        <w:tc>
          <w:tcPr>
            <w:tcW w:w="7489" w:type="dxa"/>
            <w:vAlign w:val="bottom"/>
          </w:tcPr>
          <w:p w14:paraId="16F4F544" w14:textId="77777777" w:rsidR="006B0945" w:rsidRPr="00E33EAE" w:rsidRDefault="006B0945">
            <w:pPr>
              <w:spacing w:before="60" w:after="60"/>
              <w:rPr>
                <w:rFonts w:cs="Arial"/>
                <w:sz w:val="18"/>
              </w:rPr>
            </w:pPr>
            <w:r w:rsidRPr="00E33EAE">
              <w:rPr>
                <w:rFonts w:cs="Arial"/>
                <w:sz w:val="18"/>
              </w:rPr>
              <w:t xml:space="preserve">Chronic and </w:t>
            </w:r>
            <w:proofErr w:type="spellStart"/>
            <w:r w:rsidRPr="00E33EAE">
              <w:rPr>
                <w:rFonts w:cs="Arial"/>
                <w:sz w:val="18"/>
              </w:rPr>
              <w:t>Unspec</w:t>
            </w:r>
            <w:proofErr w:type="spellEnd"/>
            <w:r w:rsidRPr="00E33EAE">
              <w:rPr>
                <w:rFonts w:cs="Arial"/>
                <w:sz w:val="18"/>
              </w:rPr>
              <w:t xml:space="preserve"> Para/Quadriplegia W or W/O OR </w:t>
            </w:r>
            <w:proofErr w:type="spellStart"/>
            <w:r w:rsidRPr="00E33EAE">
              <w:rPr>
                <w:rFonts w:cs="Arial"/>
                <w:sz w:val="18"/>
              </w:rPr>
              <w:t>Proc</w:t>
            </w:r>
            <w:proofErr w:type="spellEnd"/>
            <w:r w:rsidRPr="00E33EAE">
              <w:rPr>
                <w:rFonts w:cs="Arial"/>
                <w:sz w:val="18"/>
              </w:rPr>
              <w:t xml:space="preserve"> W Cat CC</w:t>
            </w:r>
          </w:p>
        </w:tc>
      </w:tr>
      <w:tr w:rsidR="006B0945" w:rsidRPr="00837081" w14:paraId="0C84BF75" w14:textId="77777777" w:rsidTr="00F430BA">
        <w:trPr>
          <w:trHeight w:val="170"/>
          <w:jc w:val="center"/>
        </w:trPr>
        <w:tc>
          <w:tcPr>
            <w:tcW w:w="1117" w:type="dxa"/>
            <w:vAlign w:val="bottom"/>
          </w:tcPr>
          <w:p w14:paraId="03E1D6D5" w14:textId="77777777" w:rsidR="006B0945" w:rsidRPr="00E33EAE" w:rsidRDefault="006B0945" w:rsidP="00560AC0">
            <w:pPr>
              <w:spacing w:before="60" w:after="60"/>
              <w:rPr>
                <w:rFonts w:cs="Arial"/>
                <w:sz w:val="18"/>
              </w:rPr>
            </w:pPr>
            <w:r w:rsidRPr="00E33EAE">
              <w:rPr>
                <w:rFonts w:cs="Arial"/>
                <w:sz w:val="18"/>
              </w:rPr>
              <w:t>E42A</w:t>
            </w:r>
          </w:p>
        </w:tc>
        <w:tc>
          <w:tcPr>
            <w:tcW w:w="7489" w:type="dxa"/>
            <w:vAlign w:val="bottom"/>
          </w:tcPr>
          <w:p w14:paraId="09FB6600" w14:textId="77777777" w:rsidR="006B0945" w:rsidRPr="00E33EAE" w:rsidRDefault="006B0945">
            <w:pPr>
              <w:spacing w:before="60" w:after="60"/>
              <w:rPr>
                <w:rFonts w:cs="Arial"/>
                <w:sz w:val="18"/>
              </w:rPr>
            </w:pPr>
            <w:r w:rsidRPr="00E33EAE">
              <w:rPr>
                <w:rFonts w:cs="Arial"/>
                <w:sz w:val="18"/>
              </w:rPr>
              <w:t>Bronchoscopy W Catastrophic CC</w:t>
            </w:r>
          </w:p>
        </w:tc>
      </w:tr>
      <w:tr w:rsidR="006B0945" w:rsidRPr="00837081" w14:paraId="226DDD83" w14:textId="77777777" w:rsidTr="00F430BA">
        <w:trPr>
          <w:trHeight w:val="170"/>
          <w:jc w:val="center"/>
        </w:trPr>
        <w:tc>
          <w:tcPr>
            <w:tcW w:w="1117" w:type="dxa"/>
            <w:vAlign w:val="bottom"/>
          </w:tcPr>
          <w:p w14:paraId="5BB19A7C" w14:textId="77777777" w:rsidR="006B0945" w:rsidRPr="00E33EAE" w:rsidRDefault="006B0945" w:rsidP="00560AC0">
            <w:pPr>
              <w:spacing w:before="60" w:after="60"/>
              <w:rPr>
                <w:rFonts w:cs="Arial"/>
                <w:sz w:val="18"/>
              </w:rPr>
            </w:pPr>
            <w:r w:rsidRPr="00E33EAE">
              <w:rPr>
                <w:rFonts w:cs="Arial"/>
                <w:sz w:val="18"/>
              </w:rPr>
              <w:t>F40A</w:t>
            </w:r>
          </w:p>
        </w:tc>
        <w:tc>
          <w:tcPr>
            <w:tcW w:w="7489" w:type="dxa"/>
            <w:vAlign w:val="bottom"/>
          </w:tcPr>
          <w:p w14:paraId="47805C9D" w14:textId="77777777" w:rsidR="006B0945" w:rsidRPr="00E33EAE" w:rsidRDefault="006B0945">
            <w:pPr>
              <w:spacing w:before="60" w:after="60"/>
              <w:rPr>
                <w:rFonts w:cs="Arial"/>
                <w:sz w:val="18"/>
              </w:rPr>
            </w:pPr>
            <w:r w:rsidRPr="00E33EAE">
              <w:rPr>
                <w:rFonts w:cs="Arial"/>
                <w:sz w:val="18"/>
              </w:rPr>
              <w:t>Circulatory Disorders W Ventilator Support</w:t>
            </w:r>
          </w:p>
        </w:tc>
      </w:tr>
      <w:tr w:rsidR="006B0945" w:rsidRPr="00837081" w14:paraId="032EC911" w14:textId="77777777" w:rsidTr="00F430BA">
        <w:trPr>
          <w:trHeight w:val="170"/>
          <w:jc w:val="center"/>
        </w:trPr>
        <w:tc>
          <w:tcPr>
            <w:tcW w:w="1117" w:type="dxa"/>
            <w:vAlign w:val="bottom"/>
          </w:tcPr>
          <w:p w14:paraId="6BD7A256" w14:textId="77777777" w:rsidR="006B0945" w:rsidRPr="00E33EAE" w:rsidRDefault="006B0945" w:rsidP="00560AC0">
            <w:pPr>
              <w:spacing w:before="60" w:after="60"/>
              <w:rPr>
                <w:rFonts w:cs="Arial"/>
                <w:sz w:val="18"/>
              </w:rPr>
            </w:pPr>
            <w:r w:rsidRPr="00E33EAE">
              <w:rPr>
                <w:rFonts w:cs="Arial"/>
                <w:sz w:val="18"/>
              </w:rPr>
              <w:t>I01A</w:t>
            </w:r>
          </w:p>
        </w:tc>
        <w:tc>
          <w:tcPr>
            <w:tcW w:w="7489" w:type="dxa"/>
            <w:vAlign w:val="bottom"/>
          </w:tcPr>
          <w:p w14:paraId="4A7B9C7A" w14:textId="77777777" w:rsidR="006B0945" w:rsidRPr="00E33EAE" w:rsidRDefault="006B0945">
            <w:pPr>
              <w:spacing w:before="60" w:after="60"/>
              <w:rPr>
                <w:rFonts w:cs="Arial"/>
                <w:sz w:val="18"/>
              </w:rPr>
            </w:pPr>
            <w:r w:rsidRPr="00E33EAE">
              <w:rPr>
                <w:rFonts w:cs="Arial"/>
                <w:sz w:val="18"/>
              </w:rPr>
              <w:t xml:space="preserve">Bilateral and Multiple Major Joint </w:t>
            </w:r>
            <w:proofErr w:type="spellStart"/>
            <w:r w:rsidRPr="00E33EAE">
              <w:rPr>
                <w:rFonts w:cs="Arial"/>
                <w:sz w:val="18"/>
              </w:rPr>
              <w:t>Proc</w:t>
            </w:r>
            <w:proofErr w:type="spellEnd"/>
            <w:r w:rsidRPr="00E33EAE">
              <w:rPr>
                <w:rFonts w:cs="Arial"/>
                <w:sz w:val="18"/>
              </w:rPr>
              <w:t xml:space="preserve"> of Lower Limb W Revision or W Cat CC</w:t>
            </w:r>
          </w:p>
        </w:tc>
      </w:tr>
      <w:tr w:rsidR="006B0945" w:rsidRPr="00837081" w14:paraId="6EAD139D" w14:textId="77777777" w:rsidTr="00F430BA">
        <w:trPr>
          <w:trHeight w:val="170"/>
          <w:jc w:val="center"/>
        </w:trPr>
        <w:tc>
          <w:tcPr>
            <w:tcW w:w="1117" w:type="dxa"/>
            <w:vAlign w:val="bottom"/>
          </w:tcPr>
          <w:p w14:paraId="34E4555D" w14:textId="77777777" w:rsidR="006B0945" w:rsidRPr="00E33EAE" w:rsidRDefault="006B0945" w:rsidP="00560AC0">
            <w:pPr>
              <w:spacing w:before="60" w:after="60"/>
              <w:rPr>
                <w:rFonts w:cs="Arial"/>
                <w:sz w:val="18"/>
              </w:rPr>
            </w:pPr>
            <w:r w:rsidRPr="00E33EAE">
              <w:rPr>
                <w:rFonts w:cs="Arial"/>
                <w:sz w:val="18"/>
              </w:rPr>
              <w:t>I12A</w:t>
            </w:r>
          </w:p>
        </w:tc>
        <w:tc>
          <w:tcPr>
            <w:tcW w:w="7489" w:type="dxa"/>
            <w:vAlign w:val="bottom"/>
          </w:tcPr>
          <w:p w14:paraId="36AB8F81" w14:textId="77777777" w:rsidR="006B0945" w:rsidRPr="00E33EAE" w:rsidRDefault="006B0945">
            <w:pPr>
              <w:spacing w:before="60" w:after="60"/>
              <w:rPr>
                <w:rFonts w:cs="Arial"/>
                <w:sz w:val="18"/>
              </w:rPr>
            </w:pPr>
            <w:proofErr w:type="spellStart"/>
            <w:r w:rsidRPr="00E33EAE">
              <w:rPr>
                <w:rFonts w:cs="Arial"/>
                <w:sz w:val="18"/>
              </w:rPr>
              <w:t>Misc</w:t>
            </w:r>
            <w:proofErr w:type="spellEnd"/>
            <w:r w:rsidRPr="00E33EAE">
              <w:rPr>
                <w:rFonts w:cs="Arial"/>
                <w:sz w:val="18"/>
              </w:rPr>
              <w:t xml:space="preserve"> Musculoskeletal </w:t>
            </w:r>
            <w:proofErr w:type="spellStart"/>
            <w:r w:rsidRPr="00E33EAE">
              <w:rPr>
                <w:rFonts w:cs="Arial"/>
                <w:sz w:val="18"/>
              </w:rPr>
              <w:t>Procs</w:t>
            </w:r>
            <w:proofErr w:type="spellEnd"/>
            <w:r w:rsidRPr="00E33EAE">
              <w:rPr>
                <w:rFonts w:cs="Arial"/>
                <w:sz w:val="18"/>
              </w:rPr>
              <w:t xml:space="preserve"> for Infect/</w:t>
            </w:r>
            <w:proofErr w:type="spellStart"/>
            <w:r w:rsidRPr="00E33EAE">
              <w:rPr>
                <w:rFonts w:cs="Arial"/>
                <w:sz w:val="18"/>
              </w:rPr>
              <w:t>Inflam</w:t>
            </w:r>
            <w:proofErr w:type="spellEnd"/>
            <w:r w:rsidRPr="00E33EAE">
              <w:rPr>
                <w:rFonts w:cs="Arial"/>
                <w:sz w:val="18"/>
              </w:rPr>
              <w:t xml:space="preserve"> of Bone/Joint W Cat CC</w:t>
            </w:r>
          </w:p>
        </w:tc>
      </w:tr>
      <w:tr w:rsidR="006B0945" w:rsidRPr="00837081" w14:paraId="0D3A5DBE" w14:textId="77777777" w:rsidTr="00F430BA">
        <w:trPr>
          <w:trHeight w:val="170"/>
          <w:jc w:val="center"/>
        </w:trPr>
        <w:tc>
          <w:tcPr>
            <w:tcW w:w="1117" w:type="dxa"/>
            <w:vAlign w:val="bottom"/>
          </w:tcPr>
          <w:p w14:paraId="00D66061" w14:textId="77777777" w:rsidR="006B0945" w:rsidRPr="00E33EAE" w:rsidRDefault="006B0945" w:rsidP="00560AC0">
            <w:pPr>
              <w:spacing w:before="60" w:after="60"/>
              <w:rPr>
                <w:rFonts w:cs="Arial"/>
                <w:sz w:val="18"/>
              </w:rPr>
            </w:pPr>
            <w:r w:rsidRPr="00E33EAE">
              <w:rPr>
                <w:rFonts w:cs="Arial"/>
                <w:sz w:val="18"/>
              </w:rPr>
              <w:t>J60A</w:t>
            </w:r>
          </w:p>
        </w:tc>
        <w:tc>
          <w:tcPr>
            <w:tcW w:w="7489" w:type="dxa"/>
            <w:vAlign w:val="bottom"/>
          </w:tcPr>
          <w:p w14:paraId="3B3C23E8" w14:textId="77777777" w:rsidR="006B0945" w:rsidRPr="00E33EAE" w:rsidRDefault="006B0945">
            <w:pPr>
              <w:spacing w:before="60" w:after="60"/>
              <w:rPr>
                <w:rFonts w:cs="Arial"/>
                <w:sz w:val="18"/>
              </w:rPr>
            </w:pPr>
            <w:r w:rsidRPr="00E33EAE">
              <w:rPr>
                <w:rFonts w:cs="Arial"/>
                <w:sz w:val="18"/>
              </w:rPr>
              <w:t>Skin Ulcers W Catastrophic CC</w:t>
            </w:r>
          </w:p>
        </w:tc>
      </w:tr>
      <w:tr w:rsidR="006B0945" w:rsidRPr="00837081" w14:paraId="2ABB6DCC" w14:textId="77777777" w:rsidTr="00F430BA">
        <w:trPr>
          <w:trHeight w:val="170"/>
          <w:jc w:val="center"/>
        </w:trPr>
        <w:tc>
          <w:tcPr>
            <w:tcW w:w="1117" w:type="dxa"/>
            <w:vAlign w:val="bottom"/>
          </w:tcPr>
          <w:p w14:paraId="132AF487" w14:textId="77777777" w:rsidR="006B0945" w:rsidRPr="00E33EAE" w:rsidRDefault="006B0945" w:rsidP="00560AC0">
            <w:pPr>
              <w:spacing w:before="60" w:after="60"/>
              <w:rPr>
                <w:rFonts w:cs="Arial"/>
                <w:sz w:val="18"/>
              </w:rPr>
            </w:pPr>
            <w:r w:rsidRPr="00E33EAE">
              <w:rPr>
                <w:rFonts w:cs="Arial"/>
                <w:sz w:val="18"/>
              </w:rPr>
              <w:t>P02Z</w:t>
            </w:r>
          </w:p>
        </w:tc>
        <w:tc>
          <w:tcPr>
            <w:tcW w:w="7489" w:type="dxa"/>
            <w:vAlign w:val="bottom"/>
          </w:tcPr>
          <w:p w14:paraId="71F3A2DA" w14:textId="77777777" w:rsidR="006B0945" w:rsidRPr="00E33EAE" w:rsidRDefault="006B0945">
            <w:pPr>
              <w:spacing w:before="60" w:after="60"/>
              <w:rPr>
                <w:rFonts w:cs="Arial"/>
                <w:sz w:val="18"/>
              </w:rPr>
            </w:pPr>
            <w:r w:rsidRPr="00E33EAE">
              <w:rPr>
                <w:rFonts w:cs="Arial"/>
                <w:sz w:val="18"/>
              </w:rPr>
              <w:t>Cardiothoracic and Vascular Procedures for Neonates</w:t>
            </w:r>
          </w:p>
        </w:tc>
      </w:tr>
      <w:tr w:rsidR="006B0945" w:rsidRPr="00837081" w14:paraId="5839D6DF" w14:textId="77777777" w:rsidTr="00F430BA">
        <w:trPr>
          <w:trHeight w:val="170"/>
          <w:jc w:val="center"/>
        </w:trPr>
        <w:tc>
          <w:tcPr>
            <w:tcW w:w="1117" w:type="dxa"/>
            <w:vAlign w:val="bottom"/>
          </w:tcPr>
          <w:p w14:paraId="736FF476" w14:textId="77777777" w:rsidR="006B0945" w:rsidRPr="00E33EAE" w:rsidRDefault="006B0945" w:rsidP="00560AC0">
            <w:pPr>
              <w:spacing w:before="60" w:after="60"/>
              <w:rPr>
                <w:rFonts w:cs="Arial"/>
                <w:sz w:val="18"/>
              </w:rPr>
            </w:pPr>
            <w:r w:rsidRPr="00E33EAE">
              <w:rPr>
                <w:rFonts w:cs="Arial"/>
                <w:sz w:val="18"/>
              </w:rPr>
              <w:t>P04A</w:t>
            </w:r>
          </w:p>
        </w:tc>
        <w:tc>
          <w:tcPr>
            <w:tcW w:w="7489" w:type="dxa"/>
            <w:vAlign w:val="bottom"/>
          </w:tcPr>
          <w:p w14:paraId="29024C67" w14:textId="77777777" w:rsidR="006B0945" w:rsidRPr="00E33EAE" w:rsidRDefault="006B0945">
            <w:pPr>
              <w:spacing w:before="60" w:after="60"/>
              <w:rPr>
                <w:rFonts w:cs="Arial"/>
                <w:sz w:val="18"/>
              </w:rPr>
            </w:pPr>
            <w:r w:rsidRPr="00E33EAE">
              <w:rPr>
                <w:rFonts w:cs="Arial"/>
                <w:sz w:val="18"/>
              </w:rPr>
              <w:t xml:space="preserve">Neonate, </w:t>
            </w:r>
            <w:proofErr w:type="spellStart"/>
            <w:r w:rsidRPr="00E33EAE">
              <w:rPr>
                <w:rFonts w:cs="Arial"/>
                <w:sz w:val="18"/>
              </w:rPr>
              <w:t>AdmWt</w:t>
            </w:r>
            <w:proofErr w:type="spellEnd"/>
            <w:r w:rsidRPr="00E33EAE">
              <w:rPr>
                <w:rFonts w:cs="Arial"/>
                <w:sz w:val="18"/>
              </w:rPr>
              <w:t xml:space="preserve"> 1500-1999g W Significant OR </w:t>
            </w:r>
            <w:proofErr w:type="spellStart"/>
            <w:r w:rsidRPr="00E33EAE">
              <w:rPr>
                <w:rFonts w:cs="Arial"/>
                <w:sz w:val="18"/>
              </w:rPr>
              <w:t>Proc</w:t>
            </w:r>
            <w:proofErr w:type="spellEnd"/>
            <w:r w:rsidRPr="00E33EAE">
              <w:rPr>
                <w:rFonts w:cs="Arial"/>
                <w:sz w:val="18"/>
              </w:rPr>
              <w:t xml:space="preserve"> W Multiple Major Problems</w:t>
            </w:r>
          </w:p>
        </w:tc>
      </w:tr>
      <w:tr w:rsidR="006B0945" w:rsidRPr="00837081" w14:paraId="5E941EF5" w14:textId="77777777" w:rsidTr="00F430BA">
        <w:trPr>
          <w:trHeight w:val="170"/>
          <w:jc w:val="center"/>
        </w:trPr>
        <w:tc>
          <w:tcPr>
            <w:tcW w:w="1117" w:type="dxa"/>
            <w:vAlign w:val="bottom"/>
          </w:tcPr>
          <w:p w14:paraId="3DF4FF7B" w14:textId="77777777" w:rsidR="006B0945" w:rsidRPr="00E33EAE" w:rsidRDefault="006B0945" w:rsidP="00560AC0">
            <w:pPr>
              <w:spacing w:before="60" w:after="60"/>
              <w:rPr>
                <w:rFonts w:cs="Arial"/>
                <w:sz w:val="18"/>
              </w:rPr>
            </w:pPr>
            <w:r w:rsidRPr="00E33EAE">
              <w:rPr>
                <w:rFonts w:cs="Arial"/>
                <w:sz w:val="18"/>
              </w:rPr>
              <w:t>P05A</w:t>
            </w:r>
          </w:p>
        </w:tc>
        <w:tc>
          <w:tcPr>
            <w:tcW w:w="7489" w:type="dxa"/>
            <w:vAlign w:val="bottom"/>
          </w:tcPr>
          <w:p w14:paraId="7AF9DCAF" w14:textId="77777777" w:rsidR="006B0945" w:rsidRPr="00E33EAE" w:rsidRDefault="006B0945">
            <w:pPr>
              <w:spacing w:before="60" w:after="60"/>
              <w:rPr>
                <w:rFonts w:cs="Arial"/>
                <w:sz w:val="18"/>
              </w:rPr>
            </w:pPr>
            <w:r w:rsidRPr="00E33EAE">
              <w:rPr>
                <w:rFonts w:cs="Arial"/>
                <w:sz w:val="18"/>
              </w:rPr>
              <w:t xml:space="preserve">Neonate, </w:t>
            </w:r>
            <w:proofErr w:type="spellStart"/>
            <w:r w:rsidRPr="00E33EAE">
              <w:rPr>
                <w:rFonts w:cs="Arial"/>
                <w:sz w:val="18"/>
              </w:rPr>
              <w:t>AdmWt</w:t>
            </w:r>
            <w:proofErr w:type="spellEnd"/>
            <w:r w:rsidRPr="00E33EAE">
              <w:rPr>
                <w:rFonts w:cs="Arial"/>
                <w:sz w:val="18"/>
              </w:rPr>
              <w:t xml:space="preserve"> 2000-2499g W Significant OR </w:t>
            </w:r>
            <w:proofErr w:type="spellStart"/>
            <w:r w:rsidRPr="00E33EAE">
              <w:rPr>
                <w:rFonts w:cs="Arial"/>
                <w:sz w:val="18"/>
              </w:rPr>
              <w:t>Proc</w:t>
            </w:r>
            <w:proofErr w:type="spellEnd"/>
            <w:r w:rsidRPr="00E33EAE">
              <w:rPr>
                <w:rFonts w:cs="Arial"/>
                <w:sz w:val="18"/>
              </w:rPr>
              <w:t xml:space="preserve"> W Multiple Major Problems</w:t>
            </w:r>
          </w:p>
        </w:tc>
      </w:tr>
      <w:tr w:rsidR="006B0945" w:rsidRPr="00837081" w14:paraId="3779EE30" w14:textId="77777777" w:rsidTr="00F430BA">
        <w:trPr>
          <w:trHeight w:val="170"/>
          <w:jc w:val="center"/>
        </w:trPr>
        <w:tc>
          <w:tcPr>
            <w:tcW w:w="1117" w:type="dxa"/>
            <w:vAlign w:val="bottom"/>
          </w:tcPr>
          <w:p w14:paraId="737480BB" w14:textId="77777777" w:rsidR="006B0945" w:rsidRPr="00E33EAE" w:rsidRDefault="006B0945" w:rsidP="00560AC0">
            <w:pPr>
              <w:spacing w:before="60" w:after="60"/>
              <w:rPr>
                <w:rFonts w:cs="Arial"/>
                <w:sz w:val="18"/>
              </w:rPr>
            </w:pPr>
            <w:r w:rsidRPr="00E33EAE">
              <w:rPr>
                <w:rFonts w:cs="Arial"/>
                <w:sz w:val="18"/>
              </w:rPr>
              <w:t>P06A</w:t>
            </w:r>
          </w:p>
        </w:tc>
        <w:tc>
          <w:tcPr>
            <w:tcW w:w="7489" w:type="dxa"/>
            <w:vAlign w:val="bottom"/>
          </w:tcPr>
          <w:p w14:paraId="577B7D12" w14:textId="77777777" w:rsidR="006B0945" w:rsidRPr="00E33EAE" w:rsidRDefault="006B0945">
            <w:pPr>
              <w:spacing w:before="60" w:after="60"/>
              <w:rPr>
                <w:rFonts w:cs="Arial"/>
                <w:sz w:val="18"/>
              </w:rPr>
            </w:pPr>
            <w:r w:rsidRPr="00E33EAE">
              <w:rPr>
                <w:rFonts w:cs="Arial"/>
                <w:sz w:val="18"/>
              </w:rPr>
              <w:t xml:space="preserve">Neonate, </w:t>
            </w:r>
            <w:proofErr w:type="spellStart"/>
            <w:r w:rsidRPr="00E33EAE">
              <w:rPr>
                <w:rFonts w:cs="Arial"/>
                <w:sz w:val="18"/>
              </w:rPr>
              <w:t>AdmWt</w:t>
            </w:r>
            <w:proofErr w:type="spellEnd"/>
            <w:r w:rsidRPr="00E33EAE">
              <w:rPr>
                <w:rFonts w:cs="Arial"/>
                <w:sz w:val="18"/>
              </w:rPr>
              <w:t xml:space="preserve"> &gt;=2500g W Significant OR Procedure W Multiple Major Problems</w:t>
            </w:r>
          </w:p>
        </w:tc>
      </w:tr>
      <w:tr w:rsidR="006B0945" w:rsidRPr="00837081" w14:paraId="4197BB08" w14:textId="77777777" w:rsidTr="00F430BA">
        <w:trPr>
          <w:trHeight w:val="170"/>
          <w:jc w:val="center"/>
        </w:trPr>
        <w:tc>
          <w:tcPr>
            <w:tcW w:w="1117" w:type="dxa"/>
            <w:vAlign w:val="bottom"/>
          </w:tcPr>
          <w:p w14:paraId="5BB36853" w14:textId="77777777" w:rsidR="006B0945" w:rsidRPr="00E33EAE" w:rsidRDefault="006B0945" w:rsidP="00560AC0">
            <w:pPr>
              <w:spacing w:before="60" w:after="60"/>
              <w:rPr>
                <w:rFonts w:cs="Arial"/>
                <w:sz w:val="18"/>
              </w:rPr>
            </w:pPr>
            <w:r w:rsidRPr="00E33EAE">
              <w:rPr>
                <w:rFonts w:cs="Arial"/>
                <w:sz w:val="18"/>
              </w:rPr>
              <w:t>P06B</w:t>
            </w:r>
          </w:p>
        </w:tc>
        <w:tc>
          <w:tcPr>
            <w:tcW w:w="7489" w:type="dxa"/>
            <w:vAlign w:val="bottom"/>
          </w:tcPr>
          <w:p w14:paraId="0CB61D89" w14:textId="77777777" w:rsidR="006B0945" w:rsidRPr="00E33EAE" w:rsidRDefault="006B0945">
            <w:pPr>
              <w:spacing w:before="60" w:after="60"/>
              <w:rPr>
                <w:rFonts w:cs="Arial"/>
                <w:sz w:val="18"/>
              </w:rPr>
            </w:pPr>
            <w:r w:rsidRPr="00E33EAE">
              <w:rPr>
                <w:rFonts w:cs="Arial"/>
                <w:sz w:val="18"/>
              </w:rPr>
              <w:t xml:space="preserve">Neonate, </w:t>
            </w:r>
            <w:proofErr w:type="spellStart"/>
            <w:r w:rsidRPr="00E33EAE">
              <w:rPr>
                <w:rFonts w:cs="Arial"/>
                <w:sz w:val="18"/>
              </w:rPr>
              <w:t>AdmWt</w:t>
            </w:r>
            <w:proofErr w:type="spellEnd"/>
            <w:r w:rsidRPr="00E33EAE">
              <w:rPr>
                <w:rFonts w:cs="Arial"/>
                <w:sz w:val="18"/>
              </w:rPr>
              <w:t xml:space="preserve"> &gt;=2500g W Significant OR Procedure W/O Multiple Major Problems</w:t>
            </w:r>
          </w:p>
        </w:tc>
      </w:tr>
      <w:tr w:rsidR="006B0945" w:rsidRPr="00837081" w14:paraId="4DB7C00A" w14:textId="77777777" w:rsidTr="00F430BA">
        <w:trPr>
          <w:trHeight w:val="170"/>
          <w:jc w:val="center"/>
        </w:trPr>
        <w:tc>
          <w:tcPr>
            <w:tcW w:w="1117" w:type="dxa"/>
            <w:vAlign w:val="bottom"/>
          </w:tcPr>
          <w:p w14:paraId="74EEE676" w14:textId="77777777" w:rsidR="006B0945" w:rsidRPr="00E33EAE" w:rsidRDefault="006B0945" w:rsidP="00560AC0">
            <w:pPr>
              <w:spacing w:before="60" w:after="60"/>
              <w:rPr>
                <w:rFonts w:cs="Arial"/>
                <w:sz w:val="18"/>
              </w:rPr>
            </w:pPr>
            <w:r w:rsidRPr="00E33EAE">
              <w:rPr>
                <w:rFonts w:cs="Arial"/>
                <w:sz w:val="18"/>
              </w:rPr>
              <w:t>P61Z</w:t>
            </w:r>
          </w:p>
        </w:tc>
        <w:tc>
          <w:tcPr>
            <w:tcW w:w="7489" w:type="dxa"/>
            <w:vAlign w:val="bottom"/>
          </w:tcPr>
          <w:p w14:paraId="0C0C44CA" w14:textId="77777777" w:rsidR="006B0945" w:rsidRPr="00E33EAE" w:rsidRDefault="006B0945">
            <w:pPr>
              <w:spacing w:before="60" w:after="60"/>
              <w:rPr>
                <w:rFonts w:cs="Arial"/>
                <w:sz w:val="18"/>
              </w:rPr>
            </w:pPr>
            <w:r w:rsidRPr="00E33EAE">
              <w:rPr>
                <w:rFonts w:cs="Arial"/>
                <w:sz w:val="18"/>
              </w:rPr>
              <w:t xml:space="preserve">Neonate, </w:t>
            </w:r>
            <w:proofErr w:type="spellStart"/>
            <w:r w:rsidRPr="00E33EAE">
              <w:rPr>
                <w:rFonts w:cs="Arial"/>
                <w:sz w:val="18"/>
              </w:rPr>
              <w:t>AdmWt</w:t>
            </w:r>
            <w:proofErr w:type="spellEnd"/>
            <w:r w:rsidRPr="00E33EAE">
              <w:rPr>
                <w:rFonts w:cs="Arial"/>
                <w:sz w:val="18"/>
              </w:rPr>
              <w:t xml:space="preserve"> &lt;750g W/O Significant OR Procedure</w:t>
            </w:r>
          </w:p>
        </w:tc>
      </w:tr>
      <w:tr w:rsidR="006B0945" w:rsidRPr="00837081" w14:paraId="6F73AFCD" w14:textId="77777777" w:rsidTr="00F430BA">
        <w:trPr>
          <w:trHeight w:val="170"/>
          <w:jc w:val="center"/>
        </w:trPr>
        <w:tc>
          <w:tcPr>
            <w:tcW w:w="1117" w:type="dxa"/>
            <w:vAlign w:val="bottom"/>
          </w:tcPr>
          <w:p w14:paraId="1D4F247D" w14:textId="77777777" w:rsidR="006B0945" w:rsidRPr="00E33EAE" w:rsidRDefault="006B0945" w:rsidP="00560AC0">
            <w:pPr>
              <w:spacing w:before="60" w:after="60"/>
              <w:rPr>
                <w:rFonts w:cs="Arial"/>
                <w:sz w:val="18"/>
              </w:rPr>
            </w:pPr>
            <w:r w:rsidRPr="00E33EAE">
              <w:rPr>
                <w:rFonts w:cs="Arial"/>
                <w:sz w:val="18"/>
              </w:rPr>
              <w:t>R01A</w:t>
            </w:r>
          </w:p>
        </w:tc>
        <w:tc>
          <w:tcPr>
            <w:tcW w:w="7489" w:type="dxa"/>
            <w:vAlign w:val="bottom"/>
          </w:tcPr>
          <w:p w14:paraId="0037959F" w14:textId="77777777" w:rsidR="006B0945" w:rsidRPr="00E33EAE" w:rsidRDefault="006B0945">
            <w:pPr>
              <w:spacing w:before="60" w:after="60"/>
              <w:rPr>
                <w:rFonts w:cs="Arial"/>
                <w:sz w:val="18"/>
              </w:rPr>
            </w:pPr>
            <w:r w:rsidRPr="00E33EAE">
              <w:rPr>
                <w:rFonts w:cs="Arial"/>
                <w:sz w:val="18"/>
              </w:rPr>
              <w:t>Lymphoma and Leukaemia W Major OR Procedures W Catastrophic or Severe CC</w:t>
            </w:r>
          </w:p>
        </w:tc>
      </w:tr>
      <w:tr w:rsidR="006B0945" w:rsidRPr="00837081" w14:paraId="346C9850" w14:textId="77777777" w:rsidTr="00F430BA">
        <w:trPr>
          <w:trHeight w:val="170"/>
          <w:jc w:val="center"/>
        </w:trPr>
        <w:tc>
          <w:tcPr>
            <w:tcW w:w="1117" w:type="dxa"/>
            <w:vAlign w:val="bottom"/>
          </w:tcPr>
          <w:p w14:paraId="442C50C6" w14:textId="77777777" w:rsidR="006B0945" w:rsidRPr="00E33EAE" w:rsidRDefault="006B0945" w:rsidP="00560AC0">
            <w:pPr>
              <w:spacing w:before="60" w:after="60"/>
              <w:rPr>
                <w:rFonts w:cs="Arial"/>
                <w:sz w:val="18"/>
              </w:rPr>
            </w:pPr>
            <w:r w:rsidRPr="00E33EAE">
              <w:rPr>
                <w:rFonts w:cs="Arial"/>
                <w:sz w:val="18"/>
              </w:rPr>
              <w:t>R02A</w:t>
            </w:r>
          </w:p>
        </w:tc>
        <w:tc>
          <w:tcPr>
            <w:tcW w:w="7489" w:type="dxa"/>
            <w:vAlign w:val="bottom"/>
          </w:tcPr>
          <w:p w14:paraId="7323832F" w14:textId="77777777" w:rsidR="006B0945" w:rsidRPr="00E33EAE" w:rsidRDefault="006B0945">
            <w:pPr>
              <w:spacing w:before="60" w:after="60"/>
              <w:rPr>
                <w:rFonts w:cs="Arial"/>
                <w:sz w:val="18"/>
              </w:rPr>
            </w:pPr>
            <w:r w:rsidRPr="00E33EAE">
              <w:rPr>
                <w:rFonts w:cs="Arial"/>
                <w:sz w:val="18"/>
              </w:rPr>
              <w:t>Other Neoplastic Disorders W Major OR Procedures W Catastrophic CC</w:t>
            </w:r>
          </w:p>
        </w:tc>
      </w:tr>
      <w:tr w:rsidR="006B0945" w:rsidRPr="00837081" w14:paraId="758007CC" w14:textId="77777777" w:rsidTr="00F430BA">
        <w:trPr>
          <w:trHeight w:val="170"/>
          <w:jc w:val="center"/>
        </w:trPr>
        <w:tc>
          <w:tcPr>
            <w:tcW w:w="1117" w:type="dxa"/>
            <w:vAlign w:val="bottom"/>
          </w:tcPr>
          <w:p w14:paraId="451C00D1" w14:textId="77777777" w:rsidR="006B0945" w:rsidRPr="00E33EAE" w:rsidRDefault="006B0945" w:rsidP="00560AC0">
            <w:pPr>
              <w:spacing w:before="60" w:after="60"/>
              <w:rPr>
                <w:rFonts w:cs="Arial"/>
                <w:sz w:val="18"/>
              </w:rPr>
            </w:pPr>
            <w:r w:rsidRPr="00E33EAE">
              <w:rPr>
                <w:rFonts w:cs="Arial"/>
                <w:sz w:val="18"/>
              </w:rPr>
              <w:t>R60A</w:t>
            </w:r>
          </w:p>
        </w:tc>
        <w:tc>
          <w:tcPr>
            <w:tcW w:w="7489" w:type="dxa"/>
            <w:vAlign w:val="bottom"/>
          </w:tcPr>
          <w:p w14:paraId="5E581DE7" w14:textId="77777777" w:rsidR="006B0945" w:rsidRPr="00E33EAE" w:rsidRDefault="006B0945">
            <w:pPr>
              <w:spacing w:before="60" w:after="60"/>
              <w:rPr>
                <w:rFonts w:cs="Arial"/>
                <w:sz w:val="18"/>
              </w:rPr>
            </w:pPr>
            <w:r w:rsidRPr="00E33EAE">
              <w:rPr>
                <w:rFonts w:cs="Arial"/>
                <w:sz w:val="18"/>
              </w:rPr>
              <w:t>Acute Leukaemia W Catastrophic CC</w:t>
            </w:r>
          </w:p>
        </w:tc>
      </w:tr>
    </w:tbl>
    <w:p w14:paraId="4BB817FE" w14:textId="77777777" w:rsidR="006B0945" w:rsidRPr="00E33EAE" w:rsidRDefault="006B0945">
      <w:pPr>
        <w:rPr>
          <w:rFonts w:cs="Arial"/>
          <w:b/>
          <w:color w:val="F8F8F8" w:themeColor="background2"/>
          <w:sz w:val="32"/>
        </w:rPr>
        <w:sectPr w:rsidR="006B0945" w:rsidRPr="00E33EAE" w:rsidSect="00F430BA">
          <w:pgSz w:w="11906" w:h="16838"/>
          <w:pgMar w:top="1247" w:right="1440" w:bottom="1440" w:left="851" w:header="709" w:footer="709" w:gutter="0"/>
          <w:cols w:space="708"/>
          <w:docGrid w:linePitch="360"/>
        </w:sectPr>
      </w:pPr>
    </w:p>
    <w:p w14:paraId="707D40EA" w14:textId="77777777" w:rsidR="006B0945" w:rsidRPr="00E33EAE" w:rsidRDefault="006B0945">
      <w:pPr>
        <w:pStyle w:val="Heading1"/>
        <w:sectPr w:rsidR="006B0945" w:rsidRPr="00E33EAE" w:rsidSect="00F430BA">
          <w:type w:val="continuous"/>
          <w:pgSz w:w="11906" w:h="16838"/>
          <w:pgMar w:top="1247" w:right="1440" w:bottom="1440" w:left="851" w:header="170" w:footer="340" w:gutter="0"/>
          <w:cols w:space="708"/>
          <w:docGrid w:linePitch="360"/>
        </w:sectPr>
      </w:pPr>
    </w:p>
    <w:p w14:paraId="6310C339" w14:textId="081D36BF" w:rsidR="00772F7A" w:rsidRPr="00A45259" w:rsidRDefault="00AB30D2">
      <w:pPr>
        <w:pStyle w:val="Heading2"/>
        <w:numPr>
          <w:ilvl w:val="0"/>
          <w:numId w:val="51"/>
        </w:numPr>
      </w:pPr>
      <w:bookmarkStart w:id="960" w:name="_Toc467745646"/>
      <w:bookmarkStart w:id="961" w:name="_Toc467759606"/>
      <w:bookmarkStart w:id="962" w:name="_Toc468204109"/>
      <w:bookmarkStart w:id="963" w:name="_Ref468442265"/>
      <w:bookmarkStart w:id="964" w:name="_Ref468442279"/>
      <w:bookmarkStart w:id="965" w:name="_Toc476305260"/>
      <w:bookmarkStart w:id="966" w:name="_Toc465170060"/>
      <w:bookmarkStart w:id="967" w:name="_Toc466470558"/>
      <w:bookmarkStart w:id="968" w:name="_Toc466535645"/>
      <w:bookmarkStart w:id="969" w:name="_Toc466535858"/>
      <w:bookmarkStart w:id="970" w:name="_Toc466553983"/>
      <w:bookmarkStart w:id="971" w:name="_Toc466556137"/>
      <w:r>
        <w:lastRenderedPageBreak/>
        <w:t>NEC17 Data Preparation</w:t>
      </w:r>
      <w:bookmarkEnd w:id="960"/>
      <w:bookmarkEnd w:id="961"/>
      <w:bookmarkEnd w:id="962"/>
      <w:bookmarkEnd w:id="963"/>
      <w:bookmarkEnd w:id="964"/>
      <w:bookmarkEnd w:id="965"/>
    </w:p>
    <w:bookmarkEnd w:id="966"/>
    <w:bookmarkEnd w:id="967"/>
    <w:bookmarkEnd w:id="968"/>
    <w:bookmarkEnd w:id="969"/>
    <w:bookmarkEnd w:id="970"/>
    <w:bookmarkEnd w:id="971"/>
    <w:p w14:paraId="26720FEB" w14:textId="3ADEE9B3" w:rsidR="006B0945" w:rsidRDefault="00E61740">
      <w:pPr>
        <w:tabs>
          <w:tab w:val="left" w:pos="1162"/>
        </w:tabs>
        <w:rPr>
          <w:szCs w:val="20"/>
        </w:rPr>
        <w:sectPr w:rsidR="006B0945" w:rsidSect="00A4183E">
          <w:pgSz w:w="16839" w:h="11907" w:orient="landscape" w:code="9"/>
          <w:pgMar w:top="1440" w:right="1440" w:bottom="1440" w:left="1440" w:header="709" w:footer="709" w:gutter="0"/>
          <w:cols w:space="708"/>
          <w:docGrid w:linePitch="360"/>
        </w:sectPr>
      </w:pPr>
      <w:r w:rsidRPr="00E61740">
        <w:rPr>
          <w:noProof/>
        </w:rPr>
        <w:drawing>
          <wp:inline distT="0" distB="0" distL="0" distR="0" wp14:anchorId="2F566568" wp14:editId="60C1B6B9">
            <wp:extent cx="7706566" cy="5308144"/>
            <wp:effectExtent l="0" t="0" r="8890" b="6985"/>
            <wp:docPr id="6" name="Picture 6" title="APPENDIX E NEC17 DATA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7708187" cy="5309261"/>
                    </a:xfrm>
                    <a:prstGeom prst="rect">
                      <a:avLst/>
                    </a:prstGeom>
                  </pic:spPr>
                </pic:pic>
              </a:graphicData>
            </a:graphic>
          </wp:inline>
        </w:drawing>
      </w:r>
    </w:p>
    <w:bookmarkEnd w:id="948"/>
    <w:p w14:paraId="00D9718F" w14:textId="77777777" w:rsidR="00494832" w:rsidRPr="00494832" w:rsidRDefault="00494832">
      <w:pPr>
        <w:ind w:right="-28"/>
        <w:rPr>
          <w:b/>
        </w:rPr>
      </w:pPr>
      <w:r w:rsidRPr="00494832">
        <w:rPr>
          <w:b/>
        </w:rPr>
        <w:lastRenderedPageBreak/>
        <w:t>Independent Hospital Pricing Authority</w:t>
      </w:r>
    </w:p>
    <w:p w14:paraId="30E61D7E" w14:textId="77777777" w:rsidR="00494832" w:rsidRDefault="00494832">
      <w:pPr>
        <w:pStyle w:val="NoSpacing"/>
        <w:ind w:right="-28"/>
      </w:pPr>
      <w:r>
        <w:t>Level 6, 1 Oxford Street</w:t>
      </w:r>
    </w:p>
    <w:p w14:paraId="07063A81" w14:textId="77777777" w:rsidR="00494832" w:rsidRDefault="00494832">
      <w:pPr>
        <w:ind w:right="-28"/>
      </w:pPr>
      <w:r>
        <w:t>Sydney NSW 2000</w:t>
      </w:r>
    </w:p>
    <w:p w14:paraId="14FF09AC" w14:textId="77777777" w:rsidR="00494832" w:rsidRDefault="00BD36C4">
      <w:pPr>
        <w:pStyle w:val="NoSpacing"/>
        <w:ind w:right="-28"/>
      </w:pPr>
      <w:r>
        <w:t xml:space="preserve">Phone: </w:t>
      </w:r>
      <w:r w:rsidR="00494832">
        <w:t>02 8215 1100</w:t>
      </w:r>
    </w:p>
    <w:p w14:paraId="1722BA0E" w14:textId="77777777" w:rsidR="00494832" w:rsidRDefault="00494832">
      <w:pPr>
        <w:pStyle w:val="NoSpacing"/>
        <w:ind w:right="-28"/>
      </w:pPr>
      <w:r>
        <w:t>Email: enquiries.ihpa@ihpa.gov.au</w:t>
      </w:r>
    </w:p>
    <w:p w14:paraId="2A486D83" w14:textId="77777777" w:rsidR="00494832" w:rsidRDefault="00494832">
      <w:pPr>
        <w:pStyle w:val="NoSpacing"/>
        <w:ind w:right="-28"/>
      </w:pPr>
      <w:r>
        <w:t>Twitter: @</w:t>
      </w:r>
      <w:proofErr w:type="spellStart"/>
      <w:r>
        <w:t>IHPAnews</w:t>
      </w:r>
      <w:proofErr w:type="spellEnd"/>
    </w:p>
    <w:p w14:paraId="379E022F" w14:textId="77777777" w:rsidR="005D01BE" w:rsidRDefault="0052227C">
      <w:pPr>
        <w:ind w:right="-28"/>
      </w:pPr>
      <w:hyperlink r:id="rId35" w:history="1">
        <w:r w:rsidR="00494832" w:rsidRPr="003F2CB2">
          <w:rPr>
            <w:rStyle w:val="Hyperlink"/>
          </w:rPr>
          <w:t>www.ihpa.gov.au</w:t>
        </w:r>
      </w:hyperlink>
    </w:p>
    <w:p w14:paraId="43C6A120" w14:textId="77777777" w:rsidR="00494832" w:rsidRPr="00B01784" w:rsidRDefault="00494832">
      <w:pPr>
        <w:spacing w:before="480" w:after="0"/>
        <w:ind w:right="-28"/>
      </w:pPr>
      <w:r>
        <w:rPr>
          <w:noProof/>
        </w:rPr>
        <w:drawing>
          <wp:inline distT="0" distB="0" distL="0" distR="0" wp14:anchorId="7856E3B9" wp14:editId="386B2DA3">
            <wp:extent cx="755906" cy="1143002"/>
            <wp:effectExtent l="0" t="0" r="6350" b="0"/>
            <wp:docPr id="8" name="Picture 8" descr="Independent Hospital Pricing Authority (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black.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55906" cy="1143002"/>
                    </a:xfrm>
                    <a:prstGeom prst="rect">
                      <a:avLst/>
                    </a:prstGeom>
                  </pic:spPr>
                </pic:pic>
              </a:graphicData>
            </a:graphic>
          </wp:inline>
        </w:drawing>
      </w:r>
    </w:p>
    <w:sectPr w:rsidR="00494832" w:rsidRPr="00B01784" w:rsidSect="00A83129">
      <w:headerReference w:type="default" r:id="rId37"/>
      <w:footerReference w:type="default" r:id="rId38"/>
      <w:pgSz w:w="11906" w:h="16838" w:code="9"/>
      <w:pgMar w:top="2041" w:right="1274" w:bottom="851" w:left="1021" w:header="567" w:footer="510" w:gutter="0"/>
      <w:cols w:space="708"/>
      <w:vAlign w:val="bottom"/>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E64C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7C455" w14:textId="77777777" w:rsidR="00F84458" w:rsidRDefault="00F84458">
      <w:r>
        <w:separator/>
      </w:r>
    </w:p>
    <w:p w14:paraId="7773DF18" w14:textId="77777777" w:rsidR="00F84458" w:rsidRDefault="00F84458"/>
  </w:endnote>
  <w:endnote w:type="continuationSeparator" w:id="0">
    <w:p w14:paraId="1E83F18D" w14:textId="77777777" w:rsidR="00F84458" w:rsidRDefault="00F84458">
      <w:r>
        <w:continuationSeparator/>
      </w:r>
    </w:p>
    <w:p w14:paraId="46D6721C" w14:textId="77777777" w:rsidR="00F84458" w:rsidRDefault="00F84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BE706" w14:textId="77777777" w:rsidR="009337E7" w:rsidRDefault="00933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05854"/>
      <w:docPartObj>
        <w:docPartGallery w:val="Page Numbers (Bottom of Page)"/>
        <w:docPartUnique/>
      </w:docPartObj>
    </w:sdtPr>
    <w:sdtEndPr>
      <w:rPr>
        <w:noProof/>
      </w:rPr>
    </w:sdtEndPr>
    <w:sdtContent>
      <w:p w14:paraId="59D6A03D" w14:textId="164FF5EC" w:rsidR="00F84458" w:rsidRDefault="00F84458">
        <w:pPr>
          <w:pStyle w:val="Footer"/>
          <w:jc w:val="right"/>
        </w:pPr>
        <w:r>
          <w:fldChar w:fldCharType="begin"/>
        </w:r>
        <w:r>
          <w:instrText xml:space="preserve"> PAGE   \* MERGEFORMAT </w:instrText>
        </w:r>
        <w:r>
          <w:fldChar w:fldCharType="separate"/>
        </w:r>
        <w:r w:rsidR="0052227C">
          <w:rPr>
            <w:noProof/>
          </w:rPr>
          <w:t>1</w:t>
        </w:r>
        <w:r>
          <w:rPr>
            <w:noProof/>
          </w:rPr>
          <w:fldChar w:fldCharType="end"/>
        </w:r>
      </w:p>
    </w:sdtContent>
  </w:sdt>
  <w:p w14:paraId="39C57291" w14:textId="77777777" w:rsidR="00F84458" w:rsidRDefault="00F844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BF9FA" w14:textId="77777777" w:rsidR="009337E7" w:rsidRDefault="009337E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651927"/>
      <w:docPartObj>
        <w:docPartGallery w:val="Page Numbers (Bottom of Page)"/>
        <w:docPartUnique/>
      </w:docPartObj>
    </w:sdtPr>
    <w:sdtEndPr>
      <w:rPr>
        <w:color w:val="808080" w:themeColor="background1" w:themeShade="80"/>
        <w:spacing w:val="60"/>
      </w:rPr>
    </w:sdtEndPr>
    <w:sdtContent>
      <w:p w14:paraId="6C692E90" w14:textId="77777777" w:rsidR="00F84458" w:rsidRDefault="00F84458" w:rsidP="003642EA">
        <w:pPr>
          <w:pStyle w:val="Footer"/>
          <w:pBdr>
            <w:top w:val="single" w:sz="4" w:space="1" w:color="D9D9D9" w:themeColor="background1" w:themeShade="D9"/>
          </w:pBdr>
          <w:rPr>
            <w:b/>
            <w:bCs/>
          </w:rPr>
        </w:pPr>
        <w:r>
          <w:t>Independent Hospital Pricing Authority</w:t>
        </w:r>
        <w:r>
          <w:tab/>
        </w:r>
        <w:r>
          <w:tab/>
        </w:r>
        <w:r>
          <w:fldChar w:fldCharType="begin"/>
        </w:r>
        <w:r>
          <w:instrText xml:space="preserve"> PAGE   \* MERGEFORMAT </w:instrText>
        </w:r>
        <w:r>
          <w:fldChar w:fldCharType="separate"/>
        </w:r>
        <w:r w:rsidRPr="00E95EF1">
          <w:rPr>
            <w:b/>
            <w:bCs/>
            <w:noProof/>
          </w:rPr>
          <w:t>1</w:t>
        </w:r>
        <w:r>
          <w:rPr>
            <w:b/>
            <w:bCs/>
            <w:noProof/>
          </w:rPr>
          <w:fldChar w:fldCharType="end"/>
        </w:r>
        <w:r>
          <w:rPr>
            <w:b/>
            <w:bCs/>
          </w:rPr>
          <w:t xml:space="preserve"> | </w:t>
        </w:r>
        <w:r>
          <w:rPr>
            <w:color w:val="808080" w:themeColor="background1" w:themeShade="80"/>
            <w:spacing w:val="60"/>
          </w:rPr>
          <w:t>Page</w:t>
        </w:r>
      </w:p>
    </w:sdtContent>
  </w:sdt>
  <w:p w14:paraId="1A2C4652" w14:textId="77777777" w:rsidR="00F84458" w:rsidRDefault="00F844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31719"/>
      <w:docPartObj>
        <w:docPartGallery w:val="Page Numbers (Bottom of Page)"/>
        <w:docPartUnique/>
      </w:docPartObj>
    </w:sdtPr>
    <w:sdtEndPr>
      <w:rPr>
        <w:noProof/>
      </w:rPr>
    </w:sdtEndPr>
    <w:sdtContent>
      <w:p w14:paraId="5209D4C0" w14:textId="020E5BE1" w:rsidR="00F84458" w:rsidRDefault="00F84458">
        <w:pPr>
          <w:pStyle w:val="Footer"/>
          <w:jc w:val="right"/>
        </w:pPr>
        <w:r>
          <w:fldChar w:fldCharType="begin"/>
        </w:r>
        <w:r>
          <w:instrText xml:space="preserve"> PAGE   \* MERGEFORMAT </w:instrText>
        </w:r>
        <w:r>
          <w:fldChar w:fldCharType="separate"/>
        </w:r>
        <w:r w:rsidR="0052227C">
          <w:rPr>
            <w:noProof/>
          </w:rPr>
          <w:t>67</w:t>
        </w:r>
        <w:r>
          <w:rPr>
            <w:noProof/>
          </w:rPr>
          <w:fldChar w:fldCharType="end"/>
        </w:r>
      </w:p>
    </w:sdtContent>
  </w:sdt>
  <w:p w14:paraId="41544722" w14:textId="77777777" w:rsidR="00F84458" w:rsidRPr="00B35B4D" w:rsidRDefault="00F84458" w:rsidP="00B35B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0A00" w14:textId="77777777" w:rsidR="00F84458" w:rsidRPr="00B35B4D" w:rsidRDefault="00F84458" w:rsidP="00B35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390D3" w14:textId="77777777" w:rsidR="00F84458" w:rsidRDefault="00F84458">
      <w:r>
        <w:separator/>
      </w:r>
    </w:p>
    <w:p w14:paraId="50A7E291" w14:textId="77777777" w:rsidR="00F84458" w:rsidRDefault="00F84458"/>
  </w:footnote>
  <w:footnote w:type="continuationSeparator" w:id="0">
    <w:p w14:paraId="7C52CF9F" w14:textId="77777777" w:rsidR="00F84458" w:rsidRDefault="00F84458">
      <w:r>
        <w:continuationSeparator/>
      </w:r>
    </w:p>
    <w:p w14:paraId="0FF40685" w14:textId="77777777" w:rsidR="00F84458" w:rsidRDefault="00F84458"/>
  </w:footnote>
  <w:footnote w:id="1">
    <w:p w14:paraId="27954908" w14:textId="3974C4BC" w:rsidR="00F84458" w:rsidRDefault="00F84458">
      <w:pPr>
        <w:pStyle w:val="FootnoteText"/>
      </w:pPr>
      <w:r>
        <w:rPr>
          <w:rStyle w:val="FootnoteReference"/>
        </w:rPr>
        <w:footnoteRef/>
      </w:r>
      <w:r>
        <w:t xml:space="preserve"> See Glossary Item </w:t>
      </w:r>
      <w:r w:rsidRPr="008748DF">
        <w:rPr>
          <w:i/>
        </w:rPr>
        <w:t>Newborn qualification status</w:t>
      </w:r>
      <w:r>
        <w:t xml:space="preserve"> [</w:t>
      </w:r>
      <w:proofErr w:type="spellStart"/>
      <w:r>
        <w:t>METeOR</w:t>
      </w:r>
      <w:proofErr w:type="spellEnd"/>
      <w:r>
        <w:t xml:space="preserve"> identifier: 327254]</w:t>
      </w:r>
    </w:p>
  </w:footnote>
  <w:footnote w:id="2">
    <w:p w14:paraId="2ABA71CB" w14:textId="77777777" w:rsidR="00F84458" w:rsidRDefault="00F84458" w:rsidP="007B29F7">
      <w:pPr>
        <w:pStyle w:val="FootnoteText"/>
      </w:pPr>
      <w:r>
        <w:rPr>
          <w:rStyle w:val="FootnoteReference"/>
        </w:rPr>
        <w:footnoteRef/>
      </w:r>
      <w:r>
        <w:t xml:space="preserve"> For a list of block funded hospitals see Appendix A of the </w:t>
      </w:r>
      <w:r>
        <w:rPr>
          <w:i/>
        </w:rPr>
        <w:t>National Efficient Cost</w:t>
      </w:r>
      <w:r w:rsidRPr="009645A3">
        <w:rPr>
          <w:i/>
        </w:rPr>
        <w:t xml:space="preserve"> Determination </w:t>
      </w:r>
      <w:r>
        <w:rPr>
          <w:i/>
        </w:rPr>
        <w:t>2017-18</w:t>
      </w:r>
    </w:p>
  </w:footnote>
  <w:footnote w:id="3">
    <w:p w14:paraId="69E21CBA" w14:textId="2E4BDE62" w:rsidR="00F84458" w:rsidRPr="003D4326" w:rsidRDefault="00F84458" w:rsidP="00E26387">
      <w:pPr>
        <w:pStyle w:val="FootnoteText"/>
      </w:pPr>
      <w:r w:rsidRPr="003D4326">
        <w:rPr>
          <w:rStyle w:val="FootnoteReference"/>
        </w:rPr>
        <w:footnoteRef/>
      </w:r>
      <w:r w:rsidRPr="003D4326">
        <w:t xml:space="preserve"> See object class </w:t>
      </w:r>
      <w:r w:rsidRPr="003D4326">
        <w:rPr>
          <w:i/>
        </w:rPr>
        <w:t>Episode of admitted patient care</w:t>
      </w:r>
      <w:r w:rsidRPr="003D4326">
        <w:t xml:space="preserve"> [</w:t>
      </w:r>
      <w:proofErr w:type="spellStart"/>
      <w:r w:rsidRPr="003D4326">
        <w:t>METeOR</w:t>
      </w:r>
      <w:proofErr w:type="spellEnd"/>
      <w:r w:rsidRPr="003D4326">
        <w:t xml:space="preserve"> identifier: </w:t>
      </w:r>
      <w:r w:rsidRPr="00E33EAE">
        <w:t>268956</w:t>
      </w:r>
    </w:p>
  </w:footnote>
  <w:footnote w:id="4">
    <w:p w14:paraId="06B168BB" w14:textId="77777777" w:rsidR="00F84458" w:rsidRPr="00BD4DD8" w:rsidRDefault="00F84458" w:rsidP="00E26387">
      <w:pPr>
        <w:pStyle w:val="FootnoteText"/>
      </w:pPr>
      <w:r>
        <w:rPr>
          <w:rStyle w:val="FootnoteReference"/>
        </w:rPr>
        <w:footnoteRef/>
      </w:r>
      <w:r>
        <w:t xml:space="preserve"> “Capital costs are the expenses incurred in acquiring, producing or enhancing non-current (or fixed) assets. They include costs associated with land, buildings, and equipment.” </w:t>
      </w:r>
      <w:proofErr w:type="gramStart"/>
      <w:r>
        <w:t>Page 74, Hospital Patient Costing Standards - Version 3.1.</w:t>
      </w:r>
      <w:proofErr w:type="gramEnd"/>
    </w:p>
  </w:footnote>
  <w:footnote w:id="5">
    <w:p w14:paraId="5B0FEF60" w14:textId="77777777" w:rsidR="00F84458" w:rsidRPr="003D4326" w:rsidRDefault="00F84458" w:rsidP="00E26387">
      <w:pPr>
        <w:pStyle w:val="FootnoteText"/>
      </w:pPr>
      <w:r w:rsidRPr="003D4326">
        <w:rPr>
          <w:rStyle w:val="FootnoteReference"/>
        </w:rPr>
        <w:footnoteRef/>
      </w:r>
      <w:r w:rsidRPr="003D4326">
        <w:t xml:space="preserve"> See data element </w:t>
      </w:r>
      <w:r w:rsidRPr="003D4326">
        <w:rPr>
          <w:i/>
        </w:rPr>
        <w:t>Indigenous status</w:t>
      </w:r>
      <w:r w:rsidRPr="003D4326">
        <w:t xml:space="preserve"> [</w:t>
      </w:r>
      <w:proofErr w:type="spellStart"/>
      <w:r w:rsidRPr="003D4326">
        <w:t>METeOR</w:t>
      </w:r>
      <w:proofErr w:type="spellEnd"/>
      <w:r w:rsidRPr="003D4326">
        <w:t xml:space="preserve"> identifier: 291036].</w:t>
      </w:r>
    </w:p>
  </w:footnote>
  <w:footnote w:id="6">
    <w:p w14:paraId="0D5F0F7E" w14:textId="77777777" w:rsidR="00F84458" w:rsidRPr="003D4326" w:rsidRDefault="00F84458" w:rsidP="00E26387">
      <w:pPr>
        <w:pStyle w:val="FootnoteText"/>
      </w:pPr>
      <w:r w:rsidRPr="003D4326">
        <w:rPr>
          <w:rStyle w:val="FootnoteReference"/>
        </w:rPr>
        <w:footnoteRef/>
      </w:r>
      <w:r w:rsidRPr="003D4326">
        <w:t xml:space="preserve"> Remoteness areas are defined in the </w:t>
      </w:r>
      <w:r w:rsidRPr="003D4326">
        <w:rPr>
          <w:i/>
        </w:rPr>
        <w:t xml:space="preserve">Australian Standard Geographic </w:t>
      </w:r>
      <w:r>
        <w:rPr>
          <w:i/>
        </w:rPr>
        <w:t>Standard</w:t>
      </w:r>
      <w:r w:rsidRPr="003D4326">
        <w:rPr>
          <w:i/>
        </w:rPr>
        <w:t xml:space="preserve"> (ASG</w:t>
      </w:r>
      <w:r>
        <w:rPr>
          <w:i/>
        </w:rPr>
        <w:t>S</w:t>
      </w:r>
      <w:r w:rsidRPr="003D4326">
        <w:rPr>
          <w:i/>
        </w:rPr>
        <w:t xml:space="preserve">), </w:t>
      </w:r>
      <w:r w:rsidRPr="003D4326">
        <w:t xml:space="preserve">which is maintained by the Australian Bureau of </w:t>
      </w:r>
      <w:r w:rsidRPr="00A00895">
        <w:rPr>
          <w:szCs w:val="16"/>
        </w:rPr>
        <w:t xml:space="preserve">Statistics (see: </w:t>
      </w:r>
      <w:hyperlink r:id="rId1" w:history="1">
        <w:r w:rsidRPr="00A00895">
          <w:rPr>
            <w:rStyle w:val="Hyperlink"/>
            <w:sz w:val="16"/>
            <w:szCs w:val="16"/>
          </w:rPr>
          <w:t>www.abs.gov.au</w:t>
        </w:r>
      </w:hyperlink>
      <w:r w:rsidRPr="00A00895">
        <w:rPr>
          <w:szCs w:val="16"/>
        </w:rPr>
        <w:t>).</w:t>
      </w:r>
      <w:r w:rsidRPr="003D4326">
        <w:t xml:space="preserve"> The</w:t>
      </w:r>
      <w:r>
        <w:t xml:space="preserve"> 2011</w:t>
      </w:r>
      <w:r w:rsidRPr="003D4326">
        <w:t xml:space="preserve"> ASG</w:t>
      </w:r>
      <w:r>
        <w:t>S</w:t>
      </w:r>
      <w:r w:rsidRPr="003D4326">
        <w:t xml:space="preserve"> Remoteness Area classification was used to classify patients’ place of residence and locality of hospitals.</w:t>
      </w:r>
    </w:p>
  </w:footnote>
  <w:footnote w:id="7">
    <w:p w14:paraId="12E2118B" w14:textId="77777777" w:rsidR="00F84458" w:rsidRPr="003D4326" w:rsidRDefault="00F84458" w:rsidP="00E26387">
      <w:pPr>
        <w:pStyle w:val="FootnoteText"/>
      </w:pPr>
      <w:r w:rsidRPr="00E33EAE">
        <w:rPr>
          <w:rStyle w:val="FootnoteReference"/>
        </w:rPr>
        <w:footnoteRef/>
      </w:r>
      <w:r w:rsidRPr="00E33EAE">
        <w:t xml:space="preserve"> For activity data before </w:t>
      </w:r>
      <w:r>
        <w:t>2013-14</w:t>
      </w:r>
      <w:r w:rsidRPr="00E33EAE">
        <w:t xml:space="preserve"> see data element </w:t>
      </w:r>
      <w:r w:rsidRPr="00E33EAE">
        <w:rPr>
          <w:i/>
        </w:rPr>
        <w:t xml:space="preserve">Principal source of funding (Funding source for hospital patient) </w:t>
      </w:r>
      <w:r w:rsidRPr="00E33EAE">
        <w:t>[</w:t>
      </w:r>
      <w:proofErr w:type="spellStart"/>
      <w:r w:rsidRPr="00E33EAE">
        <w:t>METeOR</w:t>
      </w:r>
      <w:proofErr w:type="spellEnd"/>
      <w:r w:rsidRPr="00E33EAE">
        <w:t xml:space="preserve"> identifier: 339080], values: 01 Australian Health Care Agreements; 02 Private health insurance; 10 Other hospital or public authority (contracted care); 11 Reciprocal health care agreements (with other countries); 12 other. See Table 3 for relevant codes in </w:t>
      </w:r>
      <w:r>
        <w:t>2017-18</w:t>
      </w:r>
      <w:r w:rsidRPr="00E33EAE">
        <w:t>.</w:t>
      </w:r>
      <w:r>
        <w:t xml:space="preserve"> </w:t>
      </w:r>
    </w:p>
  </w:footnote>
  <w:footnote w:id="8">
    <w:p w14:paraId="0316EFC2" w14:textId="77777777" w:rsidR="00F84458" w:rsidRPr="008B385E" w:rsidRDefault="00F84458" w:rsidP="00CA1D45">
      <w:pPr>
        <w:pStyle w:val="FootnoteText"/>
      </w:pPr>
      <w:r>
        <w:rPr>
          <w:rStyle w:val="FootnoteReference"/>
        </w:rPr>
        <w:footnoteRef/>
      </w:r>
      <w:r>
        <w:t xml:space="preserve"> </w:t>
      </w:r>
      <w:hyperlink r:id="rId2" w:history="1">
        <w:r w:rsidRPr="009F774B">
          <w:rPr>
            <w:rStyle w:val="Hyperlink"/>
            <w:sz w:val="16"/>
          </w:rPr>
          <w:t>https://www.ihpa.gov.au/publications/national-pricing-model-stability-policy</w:t>
        </w:r>
      </w:hyperlink>
      <w:r>
        <w:t xml:space="preserve"> </w:t>
      </w:r>
    </w:p>
  </w:footnote>
  <w:footnote w:id="9">
    <w:p w14:paraId="18177D4D" w14:textId="77777777" w:rsidR="00F84458" w:rsidRPr="003D4326" w:rsidRDefault="00F84458" w:rsidP="00E26387">
      <w:pPr>
        <w:pStyle w:val="FootnoteText"/>
      </w:pPr>
      <w:r w:rsidRPr="003D4326">
        <w:rPr>
          <w:rStyle w:val="FootnoteReference"/>
        </w:rPr>
        <w:footnoteRef/>
      </w:r>
      <w:r w:rsidRPr="003D4326">
        <w:t xml:space="preserve"> Data element </w:t>
      </w:r>
      <w:r w:rsidRPr="003D4326">
        <w:rPr>
          <w:i/>
        </w:rPr>
        <w:t>Funding source for hospital patient</w:t>
      </w:r>
      <w:r w:rsidRPr="003D4326">
        <w:t xml:space="preserve"> [</w:t>
      </w:r>
      <w:proofErr w:type="spellStart"/>
      <w:r w:rsidRPr="003D4326">
        <w:t>METeOR</w:t>
      </w:r>
      <w:proofErr w:type="spellEnd"/>
      <w:r w:rsidRPr="003D4326">
        <w:t xml:space="preserve"> identifier: </w:t>
      </w:r>
      <w:r>
        <w:t>553314</w:t>
      </w:r>
      <w:r w:rsidRPr="003D4326">
        <w:t>]</w:t>
      </w:r>
    </w:p>
  </w:footnote>
  <w:footnote w:id="10">
    <w:p w14:paraId="582EB80E" w14:textId="77777777" w:rsidR="00F84458" w:rsidRPr="003D4326" w:rsidRDefault="00F84458" w:rsidP="008C6279">
      <w:pPr>
        <w:pStyle w:val="FootnoteText"/>
      </w:pPr>
      <w:r w:rsidRPr="003D4326">
        <w:rPr>
          <w:rStyle w:val="FootnoteReference"/>
        </w:rPr>
        <w:footnoteRef/>
      </w:r>
      <w:r w:rsidRPr="003D4326">
        <w:t xml:space="preserve"> See object class </w:t>
      </w:r>
      <w:r w:rsidRPr="003D4326">
        <w:rPr>
          <w:i/>
        </w:rPr>
        <w:t>Episode of admitted patient care</w:t>
      </w:r>
      <w:r w:rsidRPr="003D4326">
        <w:t xml:space="preserve"> [</w:t>
      </w:r>
      <w:proofErr w:type="spellStart"/>
      <w:r w:rsidRPr="003D4326">
        <w:t>METeOR</w:t>
      </w:r>
      <w:proofErr w:type="spellEnd"/>
      <w:r w:rsidRPr="003D4326">
        <w:t xml:space="preserve"> identifier: 268956].</w:t>
      </w:r>
    </w:p>
  </w:footnote>
  <w:footnote w:id="11">
    <w:p w14:paraId="1357DD10" w14:textId="77777777" w:rsidR="00F84458" w:rsidRPr="003D4326" w:rsidRDefault="00F84458" w:rsidP="008C6279">
      <w:pPr>
        <w:pStyle w:val="FootnoteText"/>
      </w:pPr>
      <w:r w:rsidRPr="003D4326">
        <w:rPr>
          <w:rStyle w:val="FootnoteReference"/>
        </w:rPr>
        <w:footnoteRef/>
      </w:r>
      <w:r w:rsidRPr="003D4326">
        <w:t xml:space="preserve"> See glossary item </w:t>
      </w:r>
      <w:r w:rsidRPr="003D4326">
        <w:rPr>
          <w:i/>
        </w:rPr>
        <w:t>Admission</w:t>
      </w:r>
      <w:r w:rsidRPr="003D4326">
        <w:t xml:space="preserve"> [</w:t>
      </w:r>
      <w:proofErr w:type="spellStart"/>
      <w:r w:rsidRPr="003D4326">
        <w:t>METeOR</w:t>
      </w:r>
      <w:proofErr w:type="spellEnd"/>
      <w:r w:rsidRPr="003D4326">
        <w:t xml:space="preserve"> identifier: 327206].</w:t>
      </w:r>
    </w:p>
  </w:footnote>
  <w:footnote w:id="12">
    <w:p w14:paraId="2CC85879" w14:textId="77777777" w:rsidR="00F84458" w:rsidRPr="00BD4DD8" w:rsidRDefault="00F84458" w:rsidP="008C6279">
      <w:pPr>
        <w:pStyle w:val="FootnoteText"/>
      </w:pPr>
      <w:r>
        <w:rPr>
          <w:rStyle w:val="FootnoteReference"/>
        </w:rPr>
        <w:footnoteRef/>
      </w:r>
      <w:r>
        <w:t xml:space="preserve"> L1.5H1.5 refers to the trimming method in which the low trim point is the average length of stay (ALOS) divided by 1.5, and the high trim point is 1.5 times the ALOS.</w:t>
      </w:r>
    </w:p>
  </w:footnote>
  <w:footnote w:id="13">
    <w:p w14:paraId="1CF6F380" w14:textId="77777777" w:rsidR="00F84458" w:rsidRPr="003D4326" w:rsidRDefault="00F84458" w:rsidP="00C6319C">
      <w:pPr>
        <w:pStyle w:val="FootnoteText"/>
      </w:pPr>
      <w:r w:rsidRPr="003D4326">
        <w:rPr>
          <w:rStyle w:val="FootnoteReference"/>
        </w:rPr>
        <w:footnoteRef/>
      </w:r>
      <w:r w:rsidRPr="003D4326">
        <w:t xml:space="preserve"> See object class </w:t>
      </w:r>
      <w:r w:rsidRPr="003D4326">
        <w:rPr>
          <w:i/>
        </w:rPr>
        <w:t>Episode of admitted patient care</w:t>
      </w:r>
      <w:r w:rsidRPr="003D4326">
        <w:t xml:space="preserve"> [</w:t>
      </w:r>
      <w:proofErr w:type="spellStart"/>
      <w:r w:rsidRPr="003D4326">
        <w:t>METeOR</w:t>
      </w:r>
      <w:proofErr w:type="spellEnd"/>
      <w:r w:rsidRPr="003D4326">
        <w:t xml:space="preserve"> identifier: 268956].</w:t>
      </w:r>
    </w:p>
  </w:footnote>
  <w:footnote w:id="14">
    <w:p w14:paraId="48E82B4C" w14:textId="77777777" w:rsidR="00F84458" w:rsidRPr="003D4326" w:rsidRDefault="00F84458" w:rsidP="00C6319C">
      <w:pPr>
        <w:pStyle w:val="FootnoteText"/>
      </w:pPr>
      <w:r w:rsidRPr="003D4326">
        <w:rPr>
          <w:rStyle w:val="FootnoteReference"/>
        </w:rPr>
        <w:footnoteRef/>
      </w:r>
      <w:r w:rsidRPr="003D4326">
        <w:t xml:space="preserve"> Ibid.</w:t>
      </w:r>
    </w:p>
  </w:footnote>
  <w:footnote w:id="15">
    <w:p w14:paraId="0DD1EC7D" w14:textId="77777777" w:rsidR="00F84458" w:rsidRPr="003D4326" w:rsidRDefault="00F84458" w:rsidP="00C6319C">
      <w:pPr>
        <w:pStyle w:val="FootnoteText"/>
      </w:pPr>
      <w:r w:rsidRPr="003D4326">
        <w:rPr>
          <w:rStyle w:val="FootnoteReference"/>
        </w:rPr>
        <w:footnoteRef/>
      </w:r>
      <w:r w:rsidRPr="003D4326">
        <w:t xml:space="preserve"> See glossary item </w:t>
      </w:r>
      <w:r w:rsidRPr="003D4326">
        <w:rPr>
          <w:i/>
        </w:rPr>
        <w:t>Admission</w:t>
      </w:r>
      <w:r w:rsidRPr="003D4326">
        <w:t xml:space="preserve"> [</w:t>
      </w:r>
      <w:proofErr w:type="spellStart"/>
      <w:r w:rsidRPr="003D4326">
        <w:t>METeOR</w:t>
      </w:r>
      <w:proofErr w:type="spellEnd"/>
      <w:r w:rsidRPr="003D4326">
        <w:t xml:space="preserve"> identifier: 327206].</w:t>
      </w:r>
    </w:p>
  </w:footnote>
  <w:footnote w:id="16">
    <w:p w14:paraId="496A1DC6" w14:textId="77777777" w:rsidR="00F84458" w:rsidRPr="003D4326" w:rsidRDefault="00F84458" w:rsidP="00F8056D">
      <w:pPr>
        <w:pStyle w:val="FootnoteText"/>
      </w:pPr>
      <w:r w:rsidRPr="003D4326">
        <w:rPr>
          <w:rStyle w:val="FootnoteReference"/>
        </w:rPr>
        <w:footnoteRef/>
      </w:r>
      <w:r w:rsidRPr="003D4326">
        <w:t xml:space="preserve"> See </w:t>
      </w:r>
      <w:r w:rsidRPr="0047578A">
        <w:rPr>
          <w:i/>
        </w:rPr>
        <w:t xml:space="preserve">Emergency department </w:t>
      </w:r>
      <w:r>
        <w:rPr>
          <w:i/>
        </w:rPr>
        <w:t>stay – presentation date, DDMMYYYY</w:t>
      </w:r>
      <w:r>
        <w:t xml:space="preserve"> [</w:t>
      </w:r>
      <w:proofErr w:type="spellStart"/>
      <w:r>
        <w:t>METeOR</w:t>
      </w:r>
      <w:proofErr w:type="spellEnd"/>
      <w:r>
        <w:t xml:space="preserve"> identifier: 471886].</w:t>
      </w:r>
    </w:p>
  </w:footnote>
  <w:footnote w:id="17">
    <w:p w14:paraId="07050EC6" w14:textId="77777777" w:rsidR="00F84458" w:rsidRPr="003D4326" w:rsidRDefault="00F84458" w:rsidP="003642EA">
      <w:pPr>
        <w:pStyle w:val="FootnoteText"/>
      </w:pPr>
      <w:r w:rsidRPr="003D4326">
        <w:rPr>
          <w:rStyle w:val="FootnoteReference"/>
        </w:rPr>
        <w:footnoteRef/>
      </w:r>
      <w:r w:rsidRPr="003D4326">
        <w:t xml:space="preserve"> See object class </w:t>
      </w:r>
      <w:r w:rsidRPr="003D4326">
        <w:rPr>
          <w:i/>
        </w:rPr>
        <w:t>Non-admitted patient service event</w:t>
      </w:r>
      <w:r w:rsidRPr="003D4326">
        <w:t xml:space="preserve"> [</w:t>
      </w:r>
      <w:proofErr w:type="spellStart"/>
      <w:r w:rsidRPr="003D4326">
        <w:t>METeOR</w:t>
      </w:r>
      <w:proofErr w:type="spellEnd"/>
      <w:r w:rsidRPr="003D4326">
        <w:t xml:space="preserve"> identifier:</w:t>
      </w:r>
      <w:r>
        <w:t xml:space="preserve"> </w:t>
      </w:r>
      <w:r w:rsidRPr="00E120AF">
        <w:t>400604</w:t>
      </w:r>
      <w:r w:rsidRPr="003D4326">
        <w:t>].</w:t>
      </w:r>
    </w:p>
  </w:footnote>
  <w:footnote w:id="18">
    <w:p w14:paraId="73094C16" w14:textId="77777777" w:rsidR="00F84458" w:rsidRDefault="00F84458" w:rsidP="00D313E0">
      <w:pPr>
        <w:pStyle w:val="FootnoteText"/>
      </w:pPr>
      <w:r>
        <w:rPr>
          <w:rStyle w:val="FootnoteReference"/>
        </w:rPr>
        <w:footnoteRef/>
      </w:r>
      <w:r>
        <w:t xml:space="preserve"> That is, activity from patient costed sites within the National Hospital Cost Data Collection (NHCDC).</w:t>
      </w:r>
    </w:p>
  </w:footnote>
  <w:footnote w:id="19">
    <w:p w14:paraId="02C33912" w14:textId="77777777" w:rsidR="00F84458" w:rsidRPr="003D4326" w:rsidRDefault="00F84458" w:rsidP="00CE670F">
      <w:pPr>
        <w:pStyle w:val="FootnoteText"/>
      </w:pPr>
      <w:r w:rsidRPr="003D4326">
        <w:rPr>
          <w:rStyle w:val="FootnoteReference"/>
        </w:rPr>
        <w:footnoteRef/>
      </w:r>
      <w:r w:rsidRPr="003D4326">
        <w:t xml:space="preserve"> Details of each of the classifications are available from:</w:t>
      </w:r>
    </w:p>
    <w:p w14:paraId="16710643" w14:textId="77777777" w:rsidR="00F84458" w:rsidRPr="003D4326" w:rsidRDefault="00F84458" w:rsidP="00CE670F">
      <w:pPr>
        <w:pStyle w:val="FootnoteText"/>
        <w:ind w:right="-143"/>
      </w:pPr>
      <w:r w:rsidRPr="00455EF2">
        <w:t>http://www.ihpa.gov.au/internet/ihpa/publishing.nsf/Content/Classifications</w:t>
      </w:r>
    </w:p>
  </w:footnote>
  <w:footnote w:id="20">
    <w:p w14:paraId="0909FDF4" w14:textId="77777777" w:rsidR="00F84458" w:rsidRPr="00B63E53" w:rsidRDefault="00F84458" w:rsidP="00CE670F">
      <w:pPr>
        <w:pStyle w:val="FootnoteText"/>
      </w:pPr>
      <w:r>
        <w:rPr>
          <w:rStyle w:val="FootnoteReference"/>
        </w:rPr>
        <w:footnoteRef/>
      </w:r>
      <w:r>
        <w:t xml:space="preserve"> Data Set Specification</w:t>
      </w:r>
    </w:p>
  </w:footnote>
  <w:footnote w:id="21">
    <w:p w14:paraId="6B50F48A" w14:textId="77777777" w:rsidR="00F84458" w:rsidRPr="00E33EAE" w:rsidRDefault="00F84458" w:rsidP="00CE670F">
      <w:pPr>
        <w:pStyle w:val="FootnoteText"/>
      </w:pPr>
      <w:r w:rsidRPr="00E33EAE">
        <w:rPr>
          <w:rStyle w:val="FootnoteReference"/>
        </w:rPr>
        <w:footnoteRef/>
      </w:r>
      <w:r w:rsidRPr="00E33EAE">
        <w:t xml:space="preserve"> Or 1 if Funding Source = 2 or 3 for 2011-12 data or earlier. </w:t>
      </w:r>
    </w:p>
  </w:footnote>
  <w:footnote w:id="22">
    <w:p w14:paraId="1BC22FCC" w14:textId="77777777" w:rsidR="00F84458" w:rsidRDefault="00F84458" w:rsidP="00CE670F">
      <w:pPr>
        <w:pStyle w:val="FootnoteText"/>
      </w:pPr>
      <w:r w:rsidRPr="00E33EAE">
        <w:rPr>
          <w:rStyle w:val="FootnoteReference"/>
        </w:rPr>
        <w:footnoteRef/>
      </w:r>
      <w:r w:rsidRPr="00E33EAE">
        <w:t xml:space="preserve"> Or 1 if Funding Source = 1, 10 or 11 for 2011-12 data or earlier.</w:t>
      </w:r>
      <w:r>
        <w:t xml:space="preserve"> </w:t>
      </w:r>
    </w:p>
  </w:footnote>
  <w:footnote w:id="23">
    <w:p w14:paraId="03B05AB0" w14:textId="77777777" w:rsidR="00F84458" w:rsidRPr="006E13C4" w:rsidRDefault="00F84458" w:rsidP="006C42C4">
      <w:pPr>
        <w:pStyle w:val="FootnoteText"/>
      </w:pPr>
      <w:r w:rsidRPr="006E13C4">
        <w:rPr>
          <w:rStyle w:val="FootnoteReference"/>
        </w:rPr>
        <w:footnoteRef/>
      </w:r>
      <w:r w:rsidRPr="006E13C4">
        <w:t xml:space="preserve"> Or 1 if Funding Source = 2 or 3 for 2011-12 data or earlier. </w:t>
      </w:r>
    </w:p>
  </w:footnote>
  <w:footnote w:id="24">
    <w:p w14:paraId="1F93C08C" w14:textId="77777777" w:rsidR="00F84458" w:rsidRDefault="00F84458" w:rsidP="006C42C4">
      <w:pPr>
        <w:pStyle w:val="FootnoteText"/>
      </w:pPr>
      <w:r w:rsidRPr="006E13C4">
        <w:rPr>
          <w:rStyle w:val="FootnoteReference"/>
        </w:rPr>
        <w:footnoteRef/>
      </w:r>
      <w:r w:rsidRPr="006E13C4">
        <w:t xml:space="preserve"> Or 1 if Funding Source = 1, 10 or 11 for 2011-12 data or earlier.</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86B8C" w14:textId="77777777" w:rsidR="009337E7" w:rsidRDefault="009337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8F9E4" w14:textId="77777777" w:rsidR="00F84458" w:rsidRDefault="00F84458">
    <w:pPr>
      <w:pStyle w:val="Header"/>
    </w:pPr>
    <w:r>
      <w:rPr>
        <w:noProof/>
      </w:rPr>
      <w:drawing>
        <wp:anchor distT="0" distB="0" distL="114300" distR="114300" simplePos="0" relativeHeight="251659264" behindDoc="0" locked="0" layoutInCell="0" allowOverlap="1" wp14:anchorId="29062E4D" wp14:editId="6D2B02BB">
          <wp:simplePos x="0" y="0"/>
          <wp:positionH relativeFrom="page">
            <wp:align>left</wp:align>
          </wp:positionH>
          <wp:positionV relativeFrom="page">
            <wp:align>top</wp:align>
          </wp:positionV>
          <wp:extent cx="7560000" cy="10692000"/>
          <wp:effectExtent l="0" t="0" r="3175" b="0"/>
          <wp:wrapNone/>
          <wp:docPr id="10" name="Picture 10" descr="Decorative cover 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39DEC" w14:textId="77777777" w:rsidR="009337E7" w:rsidRDefault="009337E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F6D72" w14:textId="77777777" w:rsidR="00F84458" w:rsidRPr="004B071D" w:rsidRDefault="00F84458" w:rsidP="003642EA">
    <w:pPr>
      <w:pStyle w:val="Header"/>
      <w:pBdr>
        <w:bottom w:val="single" w:sz="4" w:space="1" w:color="auto"/>
      </w:pBdr>
      <w:tabs>
        <w:tab w:val="right" w:pos="8647"/>
      </w:tabs>
      <w:spacing w:after="240"/>
      <w:ind w:right="380"/>
    </w:pPr>
    <w:r>
      <w:t>National Pricing Model Technical Specifications 2017-18</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94D63" w14:textId="77777777" w:rsidR="00F84458" w:rsidRPr="0076228A" w:rsidRDefault="00F84458" w:rsidP="003642EA">
    <w:pPr>
      <w:pStyle w:val="Header"/>
      <w:pBdr>
        <w:bottom w:val="single" w:sz="4" w:space="1" w:color="auto"/>
      </w:pBdr>
      <w:tabs>
        <w:tab w:val="right" w:pos="8647"/>
      </w:tabs>
      <w:spacing w:after="240"/>
      <w:ind w:right="380"/>
    </w:pPr>
    <w:r>
      <w:t>National Pricing Model Technical Specifications 2016-17</w: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992D0" w14:textId="57A1E222" w:rsidR="00F84458" w:rsidRDefault="00F84458" w:rsidP="009337E7">
    <w:pPr>
      <w:pStyle w:val="Header"/>
    </w:pPr>
    <w:r w:rsidRPr="001B385A">
      <w:rPr>
        <w:noProof/>
        <w:color w:val="FFFFFF" w:themeColor="background1"/>
      </w:rPr>
      <w:drawing>
        <wp:anchor distT="0" distB="0" distL="114300" distR="114300" simplePos="0" relativeHeight="251660288" behindDoc="1" locked="0" layoutInCell="0" allowOverlap="1" wp14:anchorId="2614BA12" wp14:editId="466588D7">
          <wp:simplePos x="0" y="0"/>
          <wp:positionH relativeFrom="page">
            <wp:align>left</wp:align>
          </wp:positionH>
          <wp:positionV relativeFrom="page">
            <wp:align>top</wp:align>
          </wp:positionV>
          <wp:extent cx="5788800" cy="918000"/>
          <wp:effectExtent l="0" t="0" r="2540" b="0"/>
          <wp:wrapNone/>
          <wp:docPr id="16" name="Picture 16" title="&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and.jpg"/>
                  <pic:cNvPicPr/>
                </pic:nvPicPr>
                <pic:blipFill>
                  <a:blip r:embed="rId1" cstate="print">
                    <a:extLst>
                      <a:ext uri="{28A0092B-C50C-407E-A947-70E740481C1C}">
                        <a14:useLocalDpi xmlns:a14="http://schemas.microsoft.com/office/drawing/2010/main"/>
                      </a:ext>
                    </a:extLst>
                  </a:blip>
                  <a:stretch>
                    <a:fillRect/>
                  </a:stretch>
                </pic:blipFill>
                <pic:spPr>
                  <a:xfrm>
                    <a:off x="0" y="0"/>
                    <a:ext cx="5788800" cy="918000"/>
                  </a:xfrm>
                  <a:prstGeom prst="rect">
                    <a:avLst/>
                  </a:prstGeom>
                </pic:spPr>
              </pic:pic>
            </a:graphicData>
          </a:graphic>
          <wp14:sizeRelH relativeFrom="margin">
            <wp14:pctWidth>0</wp14:pctWidth>
          </wp14:sizeRelH>
          <wp14:sizeRelV relativeFrom="margin">
            <wp14:pctHeight>0</wp14:pctHeight>
          </wp14:sizeRelV>
        </wp:anchor>
      </w:drawing>
    </w:r>
    <w:r w:rsidRPr="00D63295">
      <w:rPr>
        <w:color w:val="FFFFFF" w:themeColor="background1"/>
        <w:sz w:val="24"/>
      </w:rPr>
      <w:t xml:space="preserve"> National Pricing Model Technical Specifications</w:t>
    </w:r>
    <w:r>
      <w:rPr>
        <w:color w:val="FFFFFF" w:themeColor="background1"/>
        <w:sz w:val="24"/>
      </w:rPr>
      <w:t xml:space="preserve"> 2017-18</w:t>
    </w:r>
  </w:p>
  <w:p w14:paraId="4971EC2F" w14:textId="77777777" w:rsidR="00F84458" w:rsidRDefault="00F8445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AEAA" w14:textId="77777777" w:rsidR="00F84458" w:rsidRPr="00494832" w:rsidRDefault="00F84458" w:rsidP="00494832">
    <w:pPr>
      <w:pStyle w:val="Header"/>
    </w:pPr>
    <w:r>
      <w:rPr>
        <w:noProof/>
      </w:rPr>
      <w:drawing>
        <wp:anchor distT="0" distB="0" distL="114300" distR="114300" simplePos="0" relativeHeight="251661312" behindDoc="0" locked="0" layoutInCell="0" allowOverlap="1" wp14:anchorId="112A9E9C" wp14:editId="2B1380E5">
          <wp:simplePos x="0" y="0"/>
          <wp:positionH relativeFrom="page">
            <wp:align>left</wp:align>
          </wp:positionH>
          <wp:positionV relativeFrom="page">
            <wp:align>top</wp:align>
          </wp:positionV>
          <wp:extent cx="7560000" cy="10692000"/>
          <wp:effectExtent l="0" t="0" r="3175" b="0"/>
          <wp:wrapNone/>
          <wp:docPr id="7" name="Picture 7" descr="Decorative back cover 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_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40BC8"/>
    <w:multiLevelType w:val="hybridMultilevel"/>
    <w:tmpl w:val="3E50036A"/>
    <w:lvl w:ilvl="0" w:tplc="7696D3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2077091"/>
    <w:multiLevelType w:val="hybridMultilevel"/>
    <w:tmpl w:val="DE20F592"/>
    <w:lvl w:ilvl="0" w:tplc="9E26B9C2">
      <w:start w:val="1"/>
      <w:numFmt w:val="lowerLetter"/>
      <w:lvlText w:val="%1."/>
      <w:lvlJc w:val="left"/>
      <w:pPr>
        <w:ind w:left="720" w:hanging="360"/>
      </w:pPr>
      <w:rPr>
        <w:rFonts w:cs="Times New Roman" w:hint="default"/>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CCFED474">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0D163A"/>
    <w:multiLevelType w:val="hybridMultilevel"/>
    <w:tmpl w:val="A296F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3641D9"/>
    <w:multiLevelType w:val="multilevel"/>
    <w:tmpl w:val="1B12EC98"/>
    <w:styleLink w:val="Headingsv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0000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54C5C2C"/>
    <w:multiLevelType w:val="hybridMultilevel"/>
    <w:tmpl w:val="A5BC8C18"/>
    <w:lvl w:ilvl="0" w:tplc="E1504D4A">
      <w:start w:val="1"/>
      <w:numFmt w:val="lowerLetter"/>
      <w:lvlText w:val="%1."/>
      <w:lvlJc w:val="left"/>
      <w:pPr>
        <w:ind w:left="720" w:hanging="360"/>
      </w:pPr>
      <w:rPr>
        <w:rFonts w:cs="Times New Roman" w:hint="default"/>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1778" w:hanging="360"/>
      </w:pPr>
      <w:rPr>
        <w:rFonts w:ascii="Wingdings" w:hAnsi="Wingdings" w:hint="default"/>
      </w:rPr>
    </w:lvl>
    <w:lvl w:ilvl="3" w:tplc="A44C9CE0">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5AE17BA"/>
    <w:multiLevelType w:val="hybridMultilevel"/>
    <w:tmpl w:val="70A85ABA"/>
    <w:lvl w:ilvl="0" w:tplc="2B04B9E2">
      <w:start w:val="1"/>
      <w:numFmt w:val="lowerLetter"/>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5F41671"/>
    <w:multiLevelType w:val="hybridMultilevel"/>
    <w:tmpl w:val="38661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A964743"/>
    <w:multiLevelType w:val="multilevel"/>
    <w:tmpl w:val="53A6982C"/>
    <w:lvl w:ilvl="0">
      <w:start w:val="6"/>
      <w:numFmt w:val="none"/>
      <w:lvlText w:val="3"/>
      <w:lvlJc w:val="left"/>
      <w:pPr>
        <w:ind w:left="405" w:hanging="405"/>
      </w:pPr>
      <w:rPr>
        <w:rFonts w:hint="default"/>
      </w:rPr>
    </w:lvl>
    <w:lvl w:ilvl="1">
      <w:start w:val="1"/>
      <w:numFmt w:val="decimal"/>
      <w:lvlRestart w:val="0"/>
      <w:lvlText w:val="3.%2"/>
      <w:lvlJc w:val="left"/>
      <w:pPr>
        <w:ind w:left="720" w:hanging="720"/>
      </w:pPr>
      <w:rPr>
        <w:rFonts w:hint="default"/>
      </w:rPr>
    </w:lvl>
    <w:lvl w:ilvl="2">
      <w:start w:val="1"/>
      <w:numFmt w:val="decimal"/>
      <w:lvlRestart w:val="0"/>
      <w:lvlText w:val="3.%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B031EE0"/>
    <w:multiLevelType w:val="hybridMultilevel"/>
    <w:tmpl w:val="5384453A"/>
    <w:lvl w:ilvl="0" w:tplc="C51C6370">
      <w:start w:val="1"/>
      <w:numFmt w:val="decimal"/>
      <w:lvlText w:val="%1."/>
      <w:lvlJc w:val="left"/>
      <w:pPr>
        <w:ind w:left="1008" w:hanging="360"/>
      </w:pPr>
    </w:lvl>
    <w:lvl w:ilvl="1" w:tplc="0C090019" w:tentative="1">
      <w:start w:val="1"/>
      <w:numFmt w:val="lowerLetter"/>
      <w:lvlText w:val="%2."/>
      <w:lvlJc w:val="left"/>
      <w:pPr>
        <w:ind w:left="1728" w:hanging="360"/>
      </w:pPr>
    </w:lvl>
    <w:lvl w:ilvl="2" w:tplc="0C09001B" w:tentative="1">
      <w:start w:val="1"/>
      <w:numFmt w:val="lowerRoman"/>
      <w:lvlText w:val="%3."/>
      <w:lvlJc w:val="right"/>
      <w:pPr>
        <w:ind w:left="2448" w:hanging="180"/>
      </w:pPr>
    </w:lvl>
    <w:lvl w:ilvl="3" w:tplc="0C09000F" w:tentative="1">
      <w:start w:val="1"/>
      <w:numFmt w:val="decimal"/>
      <w:lvlText w:val="%4."/>
      <w:lvlJc w:val="left"/>
      <w:pPr>
        <w:ind w:left="3168" w:hanging="360"/>
      </w:pPr>
    </w:lvl>
    <w:lvl w:ilvl="4" w:tplc="0C090019" w:tentative="1">
      <w:start w:val="1"/>
      <w:numFmt w:val="lowerLetter"/>
      <w:lvlText w:val="%5."/>
      <w:lvlJc w:val="left"/>
      <w:pPr>
        <w:ind w:left="3888" w:hanging="360"/>
      </w:pPr>
    </w:lvl>
    <w:lvl w:ilvl="5" w:tplc="0C09001B" w:tentative="1">
      <w:start w:val="1"/>
      <w:numFmt w:val="lowerRoman"/>
      <w:lvlText w:val="%6."/>
      <w:lvlJc w:val="right"/>
      <w:pPr>
        <w:ind w:left="4608" w:hanging="180"/>
      </w:pPr>
    </w:lvl>
    <w:lvl w:ilvl="6" w:tplc="0C09000F" w:tentative="1">
      <w:start w:val="1"/>
      <w:numFmt w:val="decimal"/>
      <w:lvlText w:val="%7."/>
      <w:lvlJc w:val="left"/>
      <w:pPr>
        <w:ind w:left="5328" w:hanging="360"/>
      </w:pPr>
    </w:lvl>
    <w:lvl w:ilvl="7" w:tplc="0C090019" w:tentative="1">
      <w:start w:val="1"/>
      <w:numFmt w:val="lowerLetter"/>
      <w:lvlText w:val="%8."/>
      <w:lvlJc w:val="left"/>
      <w:pPr>
        <w:ind w:left="6048" w:hanging="360"/>
      </w:pPr>
    </w:lvl>
    <w:lvl w:ilvl="8" w:tplc="0C09001B" w:tentative="1">
      <w:start w:val="1"/>
      <w:numFmt w:val="lowerRoman"/>
      <w:lvlText w:val="%9."/>
      <w:lvlJc w:val="right"/>
      <w:pPr>
        <w:ind w:left="6768" w:hanging="180"/>
      </w:pPr>
    </w:lvl>
  </w:abstractNum>
  <w:abstractNum w:abstractNumId="11">
    <w:nsid w:val="0BC83BFE"/>
    <w:multiLevelType w:val="hybridMultilevel"/>
    <w:tmpl w:val="3E50036A"/>
    <w:lvl w:ilvl="0" w:tplc="7696D3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12881FE9"/>
    <w:multiLevelType w:val="hybridMultilevel"/>
    <w:tmpl w:val="BBD22176"/>
    <w:lvl w:ilvl="0" w:tplc="0C090019">
      <w:start w:val="1"/>
      <w:numFmt w:val="lowerLetter"/>
      <w:lvlText w:val="%1."/>
      <w:lvlJc w:val="left"/>
      <w:pPr>
        <w:ind w:left="3276" w:hanging="360"/>
      </w:pPr>
      <w:rPr>
        <w:rFonts w:cs="Times New Roman"/>
      </w:rPr>
    </w:lvl>
    <w:lvl w:ilvl="1" w:tplc="0C090019" w:tentative="1">
      <w:start w:val="1"/>
      <w:numFmt w:val="lowerLetter"/>
      <w:lvlText w:val="%2."/>
      <w:lvlJc w:val="left"/>
      <w:pPr>
        <w:ind w:left="3996" w:hanging="360"/>
      </w:pPr>
      <w:rPr>
        <w:rFonts w:cs="Times New Roman"/>
      </w:rPr>
    </w:lvl>
    <w:lvl w:ilvl="2" w:tplc="0C09001B" w:tentative="1">
      <w:start w:val="1"/>
      <w:numFmt w:val="lowerRoman"/>
      <w:lvlText w:val="%3."/>
      <w:lvlJc w:val="right"/>
      <w:pPr>
        <w:ind w:left="4716" w:hanging="180"/>
      </w:pPr>
      <w:rPr>
        <w:rFonts w:cs="Times New Roman"/>
      </w:rPr>
    </w:lvl>
    <w:lvl w:ilvl="3" w:tplc="0C09000F" w:tentative="1">
      <w:start w:val="1"/>
      <w:numFmt w:val="decimal"/>
      <w:lvlText w:val="%4."/>
      <w:lvlJc w:val="left"/>
      <w:pPr>
        <w:ind w:left="5436" w:hanging="360"/>
      </w:pPr>
      <w:rPr>
        <w:rFonts w:cs="Times New Roman"/>
      </w:rPr>
    </w:lvl>
    <w:lvl w:ilvl="4" w:tplc="0C090019" w:tentative="1">
      <w:start w:val="1"/>
      <w:numFmt w:val="lowerLetter"/>
      <w:lvlText w:val="%5."/>
      <w:lvlJc w:val="left"/>
      <w:pPr>
        <w:ind w:left="6156" w:hanging="360"/>
      </w:pPr>
      <w:rPr>
        <w:rFonts w:cs="Times New Roman"/>
      </w:rPr>
    </w:lvl>
    <w:lvl w:ilvl="5" w:tplc="0C09001B" w:tentative="1">
      <w:start w:val="1"/>
      <w:numFmt w:val="lowerRoman"/>
      <w:lvlText w:val="%6."/>
      <w:lvlJc w:val="right"/>
      <w:pPr>
        <w:ind w:left="6876" w:hanging="180"/>
      </w:pPr>
      <w:rPr>
        <w:rFonts w:cs="Times New Roman"/>
      </w:rPr>
    </w:lvl>
    <w:lvl w:ilvl="6" w:tplc="0C09000F" w:tentative="1">
      <w:start w:val="1"/>
      <w:numFmt w:val="decimal"/>
      <w:lvlText w:val="%7."/>
      <w:lvlJc w:val="left"/>
      <w:pPr>
        <w:ind w:left="7596" w:hanging="360"/>
      </w:pPr>
      <w:rPr>
        <w:rFonts w:cs="Times New Roman"/>
      </w:rPr>
    </w:lvl>
    <w:lvl w:ilvl="7" w:tplc="0C090019" w:tentative="1">
      <w:start w:val="1"/>
      <w:numFmt w:val="lowerLetter"/>
      <w:lvlText w:val="%8."/>
      <w:lvlJc w:val="left"/>
      <w:pPr>
        <w:ind w:left="8316" w:hanging="360"/>
      </w:pPr>
      <w:rPr>
        <w:rFonts w:cs="Times New Roman"/>
      </w:rPr>
    </w:lvl>
    <w:lvl w:ilvl="8" w:tplc="0C09001B" w:tentative="1">
      <w:start w:val="1"/>
      <w:numFmt w:val="lowerRoman"/>
      <w:lvlText w:val="%9."/>
      <w:lvlJc w:val="right"/>
      <w:pPr>
        <w:ind w:left="9036" w:hanging="180"/>
      </w:pPr>
      <w:rPr>
        <w:rFonts w:cs="Times New Roman"/>
      </w:rPr>
    </w:lvl>
  </w:abstractNum>
  <w:abstractNum w:abstractNumId="13">
    <w:nsid w:val="137D5526"/>
    <w:multiLevelType w:val="multilevel"/>
    <w:tmpl w:val="0C09001F"/>
    <w:lvl w:ilvl="0">
      <w:start w:val="1"/>
      <w:numFmt w:val="decimal"/>
      <w:lvlText w:val="%1."/>
      <w:lvlJc w:val="left"/>
      <w:pPr>
        <w:ind w:left="360" w:hanging="360"/>
      </w:pPr>
      <w:rPr>
        <w:rFonts w:hint="default"/>
        <w:sz w:val="52"/>
        <w:szCs w:val="5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5615F0B"/>
    <w:multiLevelType w:val="hybridMultilevel"/>
    <w:tmpl w:val="CB66B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981706"/>
    <w:multiLevelType w:val="hybridMultilevel"/>
    <w:tmpl w:val="9A80B1EA"/>
    <w:lvl w:ilvl="0" w:tplc="D6AE6B94">
      <w:start w:val="1"/>
      <w:numFmt w:val="upperLetter"/>
      <w:pStyle w:val="Attachment"/>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79F766B"/>
    <w:multiLevelType w:val="hybridMultilevel"/>
    <w:tmpl w:val="3E50036A"/>
    <w:lvl w:ilvl="0" w:tplc="7696D3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18650A17"/>
    <w:multiLevelType w:val="hybridMultilevel"/>
    <w:tmpl w:val="3E50036A"/>
    <w:lvl w:ilvl="0" w:tplc="7696D376">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1A2074EC"/>
    <w:multiLevelType w:val="hybridMultilevel"/>
    <w:tmpl w:val="A4ACF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A684348"/>
    <w:multiLevelType w:val="hybridMultilevel"/>
    <w:tmpl w:val="F580F288"/>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E8603306">
      <w:start w:val="1"/>
      <w:numFmt w:val="decimal"/>
      <w:lvlText w:val="%3."/>
      <w:lvlJc w:val="left"/>
      <w:pPr>
        <w:ind w:left="2340" w:hanging="360"/>
      </w:pPr>
      <w:rPr>
        <w:rFonts w:hint="default"/>
        <w:b/>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BFF359E"/>
    <w:multiLevelType w:val="hybridMultilevel"/>
    <w:tmpl w:val="44C259AE"/>
    <w:lvl w:ilvl="0" w:tplc="E1504D4A">
      <w:start w:val="1"/>
      <w:numFmt w:val="lowerLetter"/>
      <w:lvlText w:val="%1."/>
      <w:lvlJc w:val="left"/>
      <w:pPr>
        <w:ind w:left="720" w:hanging="360"/>
      </w:pPr>
      <w:rPr>
        <w:rFonts w:cs="Times New Roman" w:hint="default"/>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1778" w:hanging="360"/>
      </w:pPr>
      <w:rPr>
        <w:rFonts w:ascii="Wingdings" w:hAnsi="Wingdings" w:hint="default"/>
      </w:rPr>
    </w:lvl>
    <w:lvl w:ilvl="3" w:tplc="A44C9CE0">
      <w:start w:val="1"/>
      <w:numFmt w:val="decimal"/>
      <w:lvlText w:val="%4"/>
      <w:lvlJc w:val="left"/>
      <w:pPr>
        <w:ind w:left="2880" w:hanging="360"/>
      </w:pPr>
      <w:rPr>
        <w:rFonts w:hint="default"/>
      </w:rPr>
    </w:lvl>
    <w:lvl w:ilvl="4" w:tplc="F10ABAD6">
      <w:start w:val="1"/>
      <w:numFmt w:val="upperLetter"/>
      <w:lvlText w:val="(%5)"/>
      <w:lvlJc w:val="left"/>
      <w:pPr>
        <w:ind w:left="3615" w:hanging="375"/>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5005EE"/>
    <w:multiLevelType w:val="hybridMultilevel"/>
    <w:tmpl w:val="5D5CE4F2"/>
    <w:lvl w:ilvl="0" w:tplc="0C090019">
      <w:start w:val="1"/>
      <w:numFmt w:val="lowerLetter"/>
      <w:lvlText w:val="%1."/>
      <w:lvlJc w:val="left"/>
      <w:pPr>
        <w:ind w:left="720" w:hanging="360"/>
      </w:pPr>
      <w:rPr>
        <w:rFonts w:cs="Times New Roman"/>
      </w:rPr>
    </w:lvl>
    <w:lvl w:ilvl="1" w:tplc="B82C13B2">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0AA56FA"/>
    <w:multiLevelType w:val="hybridMultilevel"/>
    <w:tmpl w:val="0B369AF6"/>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5C406DB"/>
    <w:multiLevelType w:val="hybridMultilevel"/>
    <w:tmpl w:val="3106124A"/>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6956AE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2A3F6C27"/>
    <w:multiLevelType w:val="multilevel"/>
    <w:tmpl w:val="4AC00D10"/>
    <w:styleLink w:val="Style1"/>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2BAA440E"/>
    <w:multiLevelType w:val="hybridMultilevel"/>
    <w:tmpl w:val="3106124A"/>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C075221"/>
    <w:multiLevelType w:val="hybridMultilevel"/>
    <w:tmpl w:val="287A59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2C26626B"/>
    <w:multiLevelType w:val="hybridMultilevel"/>
    <w:tmpl w:val="DB46B9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32FD5EB1"/>
    <w:multiLevelType w:val="hybridMultilevel"/>
    <w:tmpl w:val="0ECAC6E4"/>
    <w:lvl w:ilvl="0" w:tplc="BE02E5A8">
      <w:start w:val="1"/>
      <w:numFmt w:val="bullet"/>
      <w:pStyle w:val="ListBullet2"/>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330A4987"/>
    <w:multiLevelType w:val="hybridMultilevel"/>
    <w:tmpl w:val="29142DA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89F5BE1"/>
    <w:multiLevelType w:val="hybridMultilevel"/>
    <w:tmpl w:val="0C8A4D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3B3068C4"/>
    <w:multiLevelType w:val="hybridMultilevel"/>
    <w:tmpl w:val="CA1E666A"/>
    <w:lvl w:ilvl="0" w:tplc="0C09000F">
      <w:start w:val="1"/>
      <w:numFmt w:val="decimal"/>
      <w:lvlText w:val="%1."/>
      <w:lvlJc w:val="left"/>
      <w:pPr>
        <w:ind w:left="720" w:hanging="360"/>
      </w:p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nsid w:val="3E34012D"/>
    <w:multiLevelType w:val="hybridMultilevel"/>
    <w:tmpl w:val="7EB0CB42"/>
    <w:lvl w:ilvl="0" w:tplc="0C09000F">
      <w:start w:val="1"/>
      <w:numFmt w:val="decimal"/>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34">
    <w:nsid w:val="4434422E"/>
    <w:multiLevelType w:val="hybridMultilevel"/>
    <w:tmpl w:val="3106124A"/>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4AC46C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48FE005D"/>
    <w:multiLevelType w:val="hybridMultilevel"/>
    <w:tmpl w:val="1CDEDE5C"/>
    <w:lvl w:ilvl="0" w:tplc="38988E6E">
      <w:start w:val="1"/>
      <w:numFmt w:val="decimal"/>
      <w:pStyle w:val="Heading2Level2"/>
      <w:lvlText w:val="2.%1"/>
      <w:lvlJc w:val="left"/>
      <w:pPr>
        <w:ind w:left="720" w:hanging="360"/>
      </w:pPr>
      <w:rPr>
        <w:rFonts w:cs="Times New Roman" w:hint="default"/>
      </w:rPr>
    </w:lvl>
    <w:lvl w:ilvl="1" w:tplc="0C090019">
      <w:start w:val="1"/>
      <w:numFmt w:val="lowerLetter"/>
      <w:pStyle w:val="Heading2Level2"/>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7">
    <w:nsid w:val="4D9B79EE"/>
    <w:multiLevelType w:val="multilevel"/>
    <w:tmpl w:val="ABD48DE0"/>
    <w:lvl w:ilvl="0">
      <w:start w:val="1"/>
      <w:numFmt w:val="upperLetter"/>
      <w:pStyle w:val="Heading1"/>
      <w:lvlText w:val="Appendix %1."/>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Heading4"/>
      <w:lvlText w:val="(%4)"/>
      <w:lvlJc w:val="right"/>
      <w:pPr>
        <w:ind w:left="864" w:hanging="144"/>
      </w:pPr>
      <w:rPr>
        <w:rFonts w:hint="default"/>
        <w:b/>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8">
    <w:nsid w:val="513B7BAA"/>
    <w:multiLevelType w:val="hybridMultilevel"/>
    <w:tmpl w:val="1BE45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14E5FDF"/>
    <w:multiLevelType w:val="multilevel"/>
    <w:tmpl w:val="45263306"/>
    <w:lvl w:ilvl="0">
      <w:start w:val="1"/>
      <w:numFmt w:val="bullet"/>
      <w:pStyle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87"/>
        </w:tabs>
        <w:ind w:left="1087" w:hanging="520"/>
      </w:pPr>
      <w:rPr>
        <w:rFonts w:ascii="Times New Roman" w:hAnsi="Times New Roman"/>
      </w:rPr>
    </w:lvl>
    <w:lvl w:ilvl="2">
      <w:start w:val="1"/>
      <w:numFmt w:val="bullet"/>
      <w:pStyle w:val="DoubleDo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51962BC1"/>
    <w:multiLevelType w:val="hybridMultilevel"/>
    <w:tmpl w:val="6CD007A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nsid w:val="53401397"/>
    <w:multiLevelType w:val="hybridMultilevel"/>
    <w:tmpl w:val="79FAF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A94279E"/>
    <w:multiLevelType w:val="hybridMultilevel"/>
    <w:tmpl w:val="A5BC8C18"/>
    <w:lvl w:ilvl="0" w:tplc="E1504D4A">
      <w:start w:val="1"/>
      <w:numFmt w:val="lowerLetter"/>
      <w:lvlText w:val="%1."/>
      <w:lvlJc w:val="left"/>
      <w:pPr>
        <w:ind w:left="720" w:hanging="360"/>
      </w:pPr>
      <w:rPr>
        <w:rFonts w:cs="Times New Roman" w:hint="default"/>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1778" w:hanging="360"/>
      </w:pPr>
      <w:rPr>
        <w:rFonts w:ascii="Wingdings" w:hAnsi="Wingdings" w:hint="default"/>
      </w:rPr>
    </w:lvl>
    <w:lvl w:ilvl="3" w:tplc="A44C9CE0">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CF85F50"/>
    <w:multiLevelType w:val="hybridMultilevel"/>
    <w:tmpl w:val="8AE29988"/>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5FEF2B95"/>
    <w:multiLevelType w:val="hybridMultilevel"/>
    <w:tmpl w:val="3D0C4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0153F1A"/>
    <w:multiLevelType w:val="multilevel"/>
    <w:tmpl w:val="4842874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nsid w:val="633532A4"/>
    <w:multiLevelType w:val="hybridMultilevel"/>
    <w:tmpl w:val="0B369AF6"/>
    <w:lvl w:ilvl="0" w:tplc="0C090019">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4ED2B1A"/>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65E00199"/>
    <w:multiLevelType w:val="hybridMultilevel"/>
    <w:tmpl w:val="EA241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87801F9"/>
    <w:multiLevelType w:val="hybridMultilevel"/>
    <w:tmpl w:val="A2D8A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971500D"/>
    <w:multiLevelType w:val="hybridMultilevel"/>
    <w:tmpl w:val="B324DD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6A8A7FC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B54383C"/>
    <w:multiLevelType w:val="hybridMultilevel"/>
    <w:tmpl w:val="44C259AE"/>
    <w:lvl w:ilvl="0" w:tplc="E1504D4A">
      <w:start w:val="1"/>
      <w:numFmt w:val="lowerLetter"/>
      <w:lvlText w:val="%1."/>
      <w:lvlJc w:val="left"/>
      <w:pPr>
        <w:ind w:left="720" w:hanging="360"/>
      </w:pPr>
      <w:rPr>
        <w:rFonts w:cs="Times New Roman" w:hint="default"/>
        <w:i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1778" w:hanging="360"/>
      </w:pPr>
      <w:rPr>
        <w:rFonts w:ascii="Wingdings" w:hAnsi="Wingdings" w:hint="default"/>
      </w:rPr>
    </w:lvl>
    <w:lvl w:ilvl="3" w:tplc="A44C9CE0">
      <w:start w:val="1"/>
      <w:numFmt w:val="decimal"/>
      <w:lvlText w:val="%4"/>
      <w:lvlJc w:val="left"/>
      <w:pPr>
        <w:ind w:left="2880" w:hanging="360"/>
      </w:pPr>
      <w:rPr>
        <w:rFonts w:hint="default"/>
      </w:rPr>
    </w:lvl>
    <w:lvl w:ilvl="4" w:tplc="F10ABAD6">
      <w:start w:val="1"/>
      <w:numFmt w:val="upperLetter"/>
      <w:lvlText w:val="(%5)"/>
      <w:lvlJc w:val="left"/>
      <w:pPr>
        <w:ind w:left="3615" w:hanging="375"/>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D216B78"/>
    <w:multiLevelType w:val="hybridMultilevel"/>
    <w:tmpl w:val="0C8A4D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72266BC7"/>
    <w:multiLevelType w:val="multilevel"/>
    <w:tmpl w:val="2256B824"/>
    <w:lvl w:ilvl="0">
      <w:start w:val="1"/>
      <w:numFmt w:val="upperLetter"/>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7784520F"/>
    <w:multiLevelType w:val="hybridMultilevel"/>
    <w:tmpl w:val="9522AB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8523185"/>
    <w:multiLevelType w:val="hybridMultilevel"/>
    <w:tmpl w:val="3106124A"/>
    <w:lvl w:ilvl="0" w:tplc="0C090019">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799F1831"/>
    <w:multiLevelType w:val="multilevel"/>
    <w:tmpl w:val="96EE97D8"/>
    <w:lvl w:ilvl="0">
      <w:start w:val="1"/>
      <w:numFmt w:val="decimal"/>
      <w:lvlText w:val="%1."/>
      <w:lvlJc w:val="left"/>
      <w:pPr>
        <w:ind w:left="360" w:hanging="360"/>
      </w:pPr>
      <w:rPr>
        <w:rFonts w:hint="default"/>
        <w:sz w:val="52"/>
        <w:szCs w:val="52"/>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CE821A1"/>
    <w:multiLevelType w:val="hybridMultilevel"/>
    <w:tmpl w:val="BBD22176"/>
    <w:lvl w:ilvl="0" w:tplc="0C090019">
      <w:start w:val="1"/>
      <w:numFmt w:val="lowerLetter"/>
      <w:lvlText w:val="%1."/>
      <w:lvlJc w:val="left"/>
      <w:pPr>
        <w:ind w:left="3276" w:hanging="360"/>
      </w:pPr>
      <w:rPr>
        <w:rFonts w:cs="Times New Roman"/>
      </w:rPr>
    </w:lvl>
    <w:lvl w:ilvl="1" w:tplc="0C090019" w:tentative="1">
      <w:start w:val="1"/>
      <w:numFmt w:val="lowerLetter"/>
      <w:lvlText w:val="%2."/>
      <w:lvlJc w:val="left"/>
      <w:pPr>
        <w:ind w:left="3996" w:hanging="360"/>
      </w:pPr>
      <w:rPr>
        <w:rFonts w:cs="Times New Roman"/>
      </w:rPr>
    </w:lvl>
    <w:lvl w:ilvl="2" w:tplc="0C09001B" w:tentative="1">
      <w:start w:val="1"/>
      <w:numFmt w:val="lowerRoman"/>
      <w:lvlText w:val="%3."/>
      <w:lvlJc w:val="right"/>
      <w:pPr>
        <w:ind w:left="4716" w:hanging="180"/>
      </w:pPr>
      <w:rPr>
        <w:rFonts w:cs="Times New Roman"/>
      </w:rPr>
    </w:lvl>
    <w:lvl w:ilvl="3" w:tplc="0C09000F" w:tentative="1">
      <w:start w:val="1"/>
      <w:numFmt w:val="decimal"/>
      <w:lvlText w:val="%4."/>
      <w:lvlJc w:val="left"/>
      <w:pPr>
        <w:ind w:left="5436" w:hanging="360"/>
      </w:pPr>
      <w:rPr>
        <w:rFonts w:cs="Times New Roman"/>
      </w:rPr>
    </w:lvl>
    <w:lvl w:ilvl="4" w:tplc="0C090019" w:tentative="1">
      <w:start w:val="1"/>
      <w:numFmt w:val="lowerLetter"/>
      <w:lvlText w:val="%5."/>
      <w:lvlJc w:val="left"/>
      <w:pPr>
        <w:ind w:left="6156" w:hanging="360"/>
      </w:pPr>
      <w:rPr>
        <w:rFonts w:cs="Times New Roman"/>
      </w:rPr>
    </w:lvl>
    <w:lvl w:ilvl="5" w:tplc="0C09001B" w:tentative="1">
      <w:start w:val="1"/>
      <w:numFmt w:val="lowerRoman"/>
      <w:lvlText w:val="%6."/>
      <w:lvlJc w:val="right"/>
      <w:pPr>
        <w:ind w:left="6876" w:hanging="180"/>
      </w:pPr>
      <w:rPr>
        <w:rFonts w:cs="Times New Roman"/>
      </w:rPr>
    </w:lvl>
    <w:lvl w:ilvl="6" w:tplc="0C09000F" w:tentative="1">
      <w:start w:val="1"/>
      <w:numFmt w:val="decimal"/>
      <w:lvlText w:val="%7."/>
      <w:lvlJc w:val="left"/>
      <w:pPr>
        <w:ind w:left="7596" w:hanging="360"/>
      </w:pPr>
      <w:rPr>
        <w:rFonts w:cs="Times New Roman"/>
      </w:rPr>
    </w:lvl>
    <w:lvl w:ilvl="7" w:tplc="0C090019" w:tentative="1">
      <w:start w:val="1"/>
      <w:numFmt w:val="lowerLetter"/>
      <w:lvlText w:val="%8."/>
      <w:lvlJc w:val="left"/>
      <w:pPr>
        <w:ind w:left="8316" w:hanging="360"/>
      </w:pPr>
      <w:rPr>
        <w:rFonts w:cs="Times New Roman"/>
      </w:rPr>
    </w:lvl>
    <w:lvl w:ilvl="8" w:tplc="0C09001B" w:tentative="1">
      <w:start w:val="1"/>
      <w:numFmt w:val="lowerRoman"/>
      <w:lvlText w:val="%9."/>
      <w:lvlJc w:val="right"/>
      <w:pPr>
        <w:ind w:left="9036" w:hanging="180"/>
      </w:pPr>
      <w:rPr>
        <w:rFonts w:cs="Times New Roman"/>
      </w:rPr>
    </w:lvl>
  </w:abstractNum>
  <w:abstractNum w:abstractNumId="59">
    <w:nsid w:val="7F070304"/>
    <w:multiLevelType w:val="hybridMultilevel"/>
    <w:tmpl w:val="D9866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9"/>
  </w:num>
  <w:num w:numId="3">
    <w:abstractNumId w:val="5"/>
  </w:num>
  <w:num w:numId="4">
    <w:abstractNumId w:val="24"/>
  </w:num>
  <w:num w:numId="5">
    <w:abstractNumId w:val="47"/>
  </w:num>
  <w:num w:numId="6">
    <w:abstractNumId w:val="35"/>
  </w:num>
  <w:num w:numId="7">
    <w:abstractNumId w:val="39"/>
  </w:num>
  <w:num w:numId="8">
    <w:abstractNumId w:val="58"/>
  </w:num>
  <w:num w:numId="9">
    <w:abstractNumId w:val="18"/>
  </w:num>
  <w:num w:numId="10">
    <w:abstractNumId w:val="52"/>
  </w:num>
  <w:num w:numId="11">
    <w:abstractNumId w:val="2"/>
  </w:num>
  <w:num w:numId="12">
    <w:abstractNumId w:val="1"/>
  </w:num>
  <w:num w:numId="13">
    <w:abstractNumId w:val="36"/>
  </w:num>
  <w:num w:numId="14">
    <w:abstractNumId w:val="48"/>
  </w:num>
  <w:num w:numId="15">
    <w:abstractNumId w:val="25"/>
  </w:num>
  <w:num w:numId="16">
    <w:abstractNumId w:val="40"/>
  </w:num>
  <w:num w:numId="17">
    <w:abstractNumId w:val="57"/>
  </w:num>
  <w:num w:numId="18">
    <w:abstractNumId w:val="45"/>
  </w:num>
  <w:num w:numId="19">
    <w:abstractNumId w:val="4"/>
  </w:num>
  <w:num w:numId="20">
    <w:abstractNumId w:val="6"/>
  </w:num>
  <w:num w:numId="21">
    <w:abstractNumId w:val="42"/>
  </w:num>
  <w:num w:numId="22">
    <w:abstractNumId w:val="16"/>
  </w:num>
  <w:num w:numId="23">
    <w:abstractNumId w:val="11"/>
  </w:num>
  <w:num w:numId="24">
    <w:abstractNumId w:val="20"/>
  </w:num>
  <w:num w:numId="25">
    <w:abstractNumId w:val="49"/>
  </w:num>
  <w:num w:numId="26">
    <w:abstractNumId w:val="59"/>
  </w:num>
  <w:num w:numId="27">
    <w:abstractNumId w:val="19"/>
  </w:num>
  <w:num w:numId="28">
    <w:abstractNumId w:val="31"/>
  </w:num>
  <w:num w:numId="29">
    <w:abstractNumId w:val="28"/>
  </w:num>
  <w:num w:numId="30">
    <w:abstractNumId w:val="38"/>
  </w:num>
  <w:num w:numId="31">
    <w:abstractNumId w:val="23"/>
  </w:num>
  <w:num w:numId="32">
    <w:abstractNumId w:val="46"/>
  </w:num>
  <w:num w:numId="33">
    <w:abstractNumId w:val="8"/>
  </w:num>
  <w:num w:numId="34">
    <w:abstractNumId w:val="17"/>
  </w:num>
  <w:num w:numId="35">
    <w:abstractNumId w:val="44"/>
  </w:num>
  <w:num w:numId="36">
    <w:abstractNumId w:val="7"/>
  </w:num>
  <w:num w:numId="37">
    <w:abstractNumId w:val="26"/>
  </w:num>
  <w:num w:numId="38">
    <w:abstractNumId w:val="41"/>
  </w:num>
  <w:num w:numId="39">
    <w:abstractNumId w:val="56"/>
  </w:num>
  <w:num w:numId="40">
    <w:abstractNumId w:val="50"/>
  </w:num>
  <w:num w:numId="41">
    <w:abstractNumId w:val="21"/>
  </w:num>
  <w:num w:numId="42">
    <w:abstractNumId w:val="34"/>
  </w:num>
  <w:num w:numId="43">
    <w:abstractNumId w:val="22"/>
  </w:num>
  <w:num w:numId="44">
    <w:abstractNumId w:val="30"/>
  </w:num>
  <w:num w:numId="45">
    <w:abstractNumId w:val="55"/>
  </w:num>
  <w:num w:numId="46">
    <w:abstractNumId w:val="51"/>
  </w:num>
  <w:num w:numId="47">
    <w:abstractNumId w:val="43"/>
  </w:num>
  <w:num w:numId="48">
    <w:abstractNumId w:val="3"/>
  </w:num>
  <w:num w:numId="49">
    <w:abstractNumId w:val="15"/>
  </w:num>
  <w:num w:numId="50">
    <w:abstractNumId w:val="37"/>
  </w:num>
  <w:num w:numId="51">
    <w:abstractNumId w:val="54"/>
  </w:num>
  <w:num w:numId="52">
    <w:abstractNumId w:val="9"/>
  </w:num>
  <w:num w:numId="53">
    <w:abstractNumId w:val="10"/>
  </w:num>
  <w:num w:numId="54">
    <w:abstractNumId w:val="27"/>
  </w:num>
  <w:num w:numId="55">
    <w:abstractNumId w:val="14"/>
  </w:num>
  <w:num w:numId="56">
    <w:abstractNumId w:val="37"/>
  </w:num>
  <w:num w:numId="57">
    <w:abstractNumId w:val="37"/>
  </w:num>
  <w:num w:numId="58">
    <w:abstractNumId w:val="37"/>
  </w:num>
  <w:num w:numId="59">
    <w:abstractNumId w:val="37"/>
  </w:num>
  <w:num w:numId="60">
    <w:abstractNumId w:val="37"/>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num>
  <w:num w:numId="63">
    <w:abstractNumId w:val="13"/>
  </w:num>
  <w:num w:numId="64">
    <w:abstractNumId w:val="37"/>
  </w:num>
  <w:num w:numId="65">
    <w:abstractNumId w:val="37"/>
  </w:num>
  <w:num w:numId="66">
    <w:abstractNumId w:val="37"/>
  </w:num>
  <w:num w:numId="67">
    <w:abstractNumId w:val="37"/>
  </w:num>
  <w:num w:numId="68">
    <w:abstractNumId w:val="12"/>
  </w:num>
  <w:num w:numId="69">
    <w:abstractNumId w:val="33"/>
  </w:num>
  <w:num w:numId="70">
    <w:abstractNumId w:val="32"/>
  </w:num>
  <w:num w:numId="71">
    <w:abstractNumId w:val="37"/>
  </w:num>
  <w:num w:numId="72">
    <w:abstractNumId w:val="37"/>
  </w:num>
  <w:num w:numId="73">
    <w:abstractNumId w:val="37"/>
  </w:num>
  <w:num w:numId="74">
    <w:abstractNumId w:val="37"/>
  </w:num>
  <w:num w:numId="75">
    <w:abstractNumId w:val="37"/>
  </w:num>
  <w:num w:numId="76">
    <w:abstractNumId w:val="37"/>
  </w:num>
  <w:num w:numId="77">
    <w:abstractNumId w:val="37"/>
  </w:num>
  <w:num w:numId="78">
    <w:abstractNumId w:val="37"/>
  </w:num>
  <w:num w:numId="79">
    <w:abstractNumId w:val="37"/>
  </w:num>
  <w:num w:numId="80">
    <w:abstractNumId w:val="37"/>
  </w:num>
  <w:num w:numId="81">
    <w:abstractNumId w:val="37"/>
  </w:num>
  <w:num w:numId="82">
    <w:abstractNumId w:val="37"/>
  </w:num>
  <w:num w:numId="83">
    <w:abstractNumId w:val="37"/>
  </w:num>
  <w:num w:numId="84">
    <w:abstractNumId w:val="3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37"/>
  </w:num>
  <w:num w:numId="95">
    <w:abstractNumId w:val="37"/>
  </w:num>
  <w:num w:numId="96">
    <w:abstractNumId w:val="37"/>
  </w:num>
  <w:num w:numId="97">
    <w:abstractNumId w:val="37"/>
  </w:num>
  <w:num w:numId="98">
    <w:abstractNumId w:val="37"/>
  </w:num>
  <w:num w:numId="99">
    <w:abstractNumId w:val="37"/>
  </w:num>
  <w:num w:numId="1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an Heng">
    <w15:presenceInfo w15:providerId="AD" w15:userId="S-1-5-21-843751289-5470908-3503744838-1198"/>
  </w15:person>
  <w15:person w15:author="Sashi Nimmagadda">
    <w15:presenceInfo w15:providerId="AD" w15:userId="S-1-5-21-843751289-5470908-3503744838-2120"/>
  </w15:person>
  <w15:person w15:author="Samuel Webster">
    <w15:presenceInfo w15:providerId="AD" w15:userId="S-1-5-21-843751289-5470908-3503744838-1201"/>
  </w15:person>
  <w15:person w15:author="Thomas Connor">
    <w15:presenceInfo w15:providerId="AD" w15:userId="S-1-5-21-843751289-5470908-3503744838-1234"/>
  </w15:person>
  <w15:person w15:author="Ilia Chibaev">
    <w15:presenceInfo w15:providerId="AD" w15:userId="S-1-5-21-843751289-5470908-3503744838-1662"/>
  </w15:person>
  <w15:person w15:author="Ken Ren">
    <w15:presenceInfo w15:providerId="AD" w15:userId="S-1-5-21-843751289-5470908-3503744838-2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12"/>
    <w:rsid w:val="00022E9C"/>
    <w:rsid w:val="00025631"/>
    <w:rsid w:val="000267EC"/>
    <w:rsid w:val="00027B26"/>
    <w:rsid w:val="00032861"/>
    <w:rsid w:val="0003469C"/>
    <w:rsid w:val="00034E69"/>
    <w:rsid w:val="000351BD"/>
    <w:rsid w:val="00040F29"/>
    <w:rsid w:val="00043CA7"/>
    <w:rsid w:val="00046F8E"/>
    <w:rsid w:val="00047524"/>
    <w:rsid w:val="0005040E"/>
    <w:rsid w:val="0005087D"/>
    <w:rsid w:val="000547EF"/>
    <w:rsid w:val="00062484"/>
    <w:rsid w:val="00062C77"/>
    <w:rsid w:val="00064EE9"/>
    <w:rsid w:val="00073196"/>
    <w:rsid w:val="0007760F"/>
    <w:rsid w:val="00080A09"/>
    <w:rsid w:val="00081CEB"/>
    <w:rsid w:val="00083082"/>
    <w:rsid w:val="00087B2C"/>
    <w:rsid w:val="00087DBD"/>
    <w:rsid w:val="00090718"/>
    <w:rsid w:val="00091B4E"/>
    <w:rsid w:val="000A0BF3"/>
    <w:rsid w:val="000A2535"/>
    <w:rsid w:val="000A47A8"/>
    <w:rsid w:val="000C014D"/>
    <w:rsid w:val="000C2251"/>
    <w:rsid w:val="000C29B4"/>
    <w:rsid w:val="000C2F37"/>
    <w:rsid w:val="000C5CD8"/>
    <w:rsid w:val="000D1158"/>
    <w:rsid w:val="000D4703"/>
    <w:rsid w:val="000D69EB"/>
    <w:rsid w:val="000E12D4"/>
    <w:rsid w:val="000E39EF"/>
    <w:rsid w:val="000E4E48"/>
    <w:rsid w:val="000E620E"/>
    <w:rsid w:val="000E7C9E"/>
    <w:rsid w:val="000F2063"/>
    <w:rsid w:val="000F3D28"/>
    <w:rsid w:val="000F4DEB"/>
    <w:rsid w:val="00102824"/>
    <w:rsid w:val="00116CFA"/>
    <w:rsid w:val="001247E0"/>
    <w:rsid w:val="001271A1"/>
    <w:rsid w:val="00132F0D"/>
    <w:rsid w:val="00133713"/>
    <w:rsid w:val="001413C5"/>
    <w:rsid w:val="00142956"/>
    <w:rsid w:val="00142C50"/>
    <w:rsid w:val="001432D1"/>
    <w:rsid w:val="00144868"/>
    <w:rsid w:val="001452BC"/>
    <w:rsid w:val="00147855"/>
    <w:rsid w:val="00150E25"/>
    <w:rsid w:val="00151650"/>
    <w:rsid w:val="001555AF"/>
    <w:rsid w:val="00157709"/>
    <w:rsid w:val="00160E91"/>
    <w:rsid w:val="00164D50"/>
    <w:rsid w:val="00165626"/>
    <w:rsid w:val="00167CF4"/>
    <w:rsid w:val="0017140A"/>
    <w:rsid w:val="0017147C"/>
    <w:rsid w:val="0017249B"/>
    <w:rsid w:val="0018150B"/>
    <w:rsid w:val="001824C8"/>
    <w:rsid w:val="00182698"/>
    <w:rsid w:val="00187CE6"/>
    <w:rsid w:val="0019019B"/>
    <w:rsid w:val="001943DD"/>
    <w:rsid w:val="00196BAC"/>
    <w:rsid w:val="001A13F6"/>
    <w:rsid w:val="001B385A"/>
    <w:rsid w:val="001B3AC2"/>
    <w:rsid w:val="001B3AEC"/>
    <w:rsid w:val="001B5259"/>
    <w:rsid w:val="001B57FC"/>
    <w:rsid w:val="001B61CF"/>
    <w:rsid w:val="001B6F28"/>
    <w:rsid w:val="001C4F4F"/>
    <w:rsid w:val="001D141C"/>
    <w:rsid w:val="001D1B19"/>
    <w:rsid w:val="001D2904"/>
    <w:rsid w:val="001D6813"/>
    <w:rsid w:val="001F0BE1"/>
    <w:rsid w:val="001F24EF"/>
    <w:rsid w:val="002069D2"/>
    <w:rsid w:val="00207D84"/>
    <w:rsid w:val="002115AE"/>
    <w:rsid w:val="00216CF5"/>
    <w:rsid w:val="00222C8D"/>
    <w:rsid w:val="00224F29"/>
    <w:rsid w:val="00234BC8"/>
    <w:rsid w:val="0023523A"/>
    <w:rsid w:val="0023757C"/>
    <w:rsid w:val="00241BAC"/>
    <w:rsid w:val="00245A17"/>
    <w:rsid w:val="00245AD7"/>
    <w:rsid w:val="00246FE6"/>
    <w:rsid w:val="002470E3"/>
    <w:rsid w:val="00247F1D"/>
    <w:rsid w:val="00251802"/>
    <w:rsid w:val="00262DF1"/>
    <w:rsid w:val="002660C1"/>
    <w:rsid w:val="002672F1"/>
    <w:rsid w:val="00267EBA"/>
    <w:rsid w:val="00270A05"/>
    <w:rsid w:val="00271922"/>
    <w:rsid w:val="00273412"/>
    <w:rsid w:val="0027382A"/>
    <w:rsid w:val="00274ACF"/>
    <w:rsid w:val="0028159B"/>
    <w:rsid w:val="00284A83"/>
    <w:rsid w:val="00284D5B"/>
    <w:rsid w:val="00287D55"/>
    <w:rsid w:val="00293EA0"/>
    <w:rsid w:val="00296F5E"/>
    <w:rsid w:val="002A08CC"/>
    <w:rsid w:val="002A0BCF"/>
    <w:rsid w:val="002A35B7"/>
    <w:rsid w:val="002A6DF5"/>
    <w:rsid w:val="002A7F0A"/>
    <w:rsid w:val="002A7FC1"/>
    <w:rsid w:val="002B491D"/>
    <w:rsid w:val="002B6406"/>
    <w:rsid w:val="002B6809"/>
    <w:rsid w:val="002B758C"/>
    <w:rsid w:val="002D00B0"/>
    <w:rsid w:val="002D0B81"/>
    <w:rsid w:val="002D2364"/>
    <w:rsid w:val="002D2E16"/>
    <w:rsid w:val="002D606E"/>
    <w:rsid w:val="002D6AAF"/>
    <w:rsid w:val="002D7587"/>
    <w:rsid w:val="002E480F"/>
    <w:rsid w:val="002E50A5"/>
    <w:rsid w:val="002E5A67"/>
    <w:rsid w:val="002E7778"/>
    <w:rsid w:val="002E7C30"/>
    <w:rsid w:val="002F4505"/>
    <w:rsid w:val="002F4843"/>
    <w:rsid w:val="002F7410"/>
    <w:rsid w:val="00304B3E"/>
    <w:rsid w:val="00304D97"/>
    <w:rsid w:val="00307B31"/>
    <w:rsid w:val="00313304"/>
    <w:rsid w:val="003155F4"/>
    <w:rsid w:val="00320B60"/>
    <w:rsid w:val="00326976"/>
    <w:rsid w:val="003311D7"/>
    <w:rsid w:val="00332B8B"/>
    <w:rsid w:val="003331A3"/>
    <w:rsid w:val="00334D40"/>
    <w:rsid w:val="00337CA2"/>
    <w:rsid w:val="00345252"/>
    <w:rsid w:val="00347104"/>
    <w:rsid w:val="003551AD"/>
    <w:rsid w:val="003642EA"/>
    <w:rsid w:val="00366283"/>
    <w:rsid w:val="0036777E"/>
    <w:rsid w:val="003701FA"/>
    <w:rsid w:val="00382D5D"/>
    <w:rsid w:val="003945C0"/>
    <w:rsid w:val="003A25A7"/>
    <w:rsid w:val="003A35C7"/>
    <w:rsid w:val="003B6DA9"/>
    <w:rsid w:val="003C1A7B"/>
    <w:rsid w:val="003D030E"/>
    <w:rsid w:val="003D1F49"/>
    <w:rsid w:val="003D2061"/>
    <w:rsid w:val="003E130F"/>
    <w:rsid w:val="003E32A7"/>
    <w:rsid w:val="003F1A33"/>
    <w:rsid w:val="003F3072"/>
    <w:rsid w:val="003F4F5C"/>
    <w:rsid w:val="004033B9"/>
    <w:rsid w:val="00403541"/>
    <w:rsid w:val="00403FC3"/>
    <w:rsid w:val="00406578"/>
    <w:rsid w:val="00406E8F"/>
    <w:rsid w:val="004074EF"/>
    <w:rsid w:val="00410083"/>
    <w:rsid w:val="004102C3"/>
    <w:rsid w:val="0041307C"/>
    <w:rsid w:val="004131C4"/>
    <w:rsid w:val="004167B4"/>
    <w:rsid w:val="004167BC"/>
    <w:rsid w:val="00423A41"/>
    <w:rsid w:val="00430D7E"/>
    <w:rsid w:val="0043185E"/>
    <w:rsid w:val="00432332"/>
    <w:rsid w:val="00433B04"/>
    <w:rsid w:val="0043784D"/>
    <w:rsid w:val="00441DDD"/>
    <w:rsid w:val="0044388E"/>
    <w:rsid w:val="00446F93"/>
    <w:rsid w:val="004517FF"/>
    <w:rsid w:val="00451A74"/>
    <w:rsid w:val="00454941"/>
    <w:rsid w:val="00467185"/>
    <w:rsid w:val="00467736"/>
    <w:rsid w:val="0047050C"/>
    <w:rsid w:val="004750DB"/>
    <w:rsid w:val="00480F21"/>
    <w:rsid w:val="0048108E"/>
    <w:rsid w:val="0048537F"/>
    <w:rsid w:val="00490A65"/>
    <w:rsid w:val="00492112"/>
    <w:rsid w:val="00494832"/>
    <w:rsid w:val="0049513E"/>
    <w:rsid w:val="00495AF1"/>
    <w:rsid w:val="004A4D3B"/>
    <w:rsid w:val="004A6BE6"/>
    <w:rsid w:val="004A77B7"/>
    <w:rsid w:val="004B081C"/>
    <w:rsid w:val="004B0828"/>
    <w:rsid w:val="004B3304"/>
    <w:rsid w:val="004B3DF1"/>
    <w:rsid w:val="004C05EB"/>
    <w:rsid w:val="004C777E"/>
    <w:rsid w:val="004E6682"/>
    <w:rsid w:val="004E76FC"/>
    <w:rsid w:val="004F1030"/>
    <w:rsid w:val="004F15EF"/>
    <w:rsid w:val="004F774D"/>
    <w:rsid w:val="005015E4"/>
    <w:rsid w:val="00501F5F"/>
    <w:rsid w:val="0050291D"/>
    <w:rsid w:val="00510173"/>
    <w:rsid w:val="005159B3"/>
    <w:rsid w:val="0052227C"/>
    <w:rsid w:val="0053196C"/>
    <w:rsid w:val="005409F0"/>
    <w:rsid w:val="00540AD0"/>
    <w:rsid w:val="00542CD9"/>
    <w:rsid w:val="005523D1"/>
    <w:rsid w:val="0055532E"/>
    <w:rsid w:val="00555BC3"/>
    <w:rsid w:val="00556C5D"/>
    <w:rsid w:val="00557861"/>
    <w:rsid w:val="00557C8E"/>
    <w:rsid w:val="005603F8"/>
    <w:rsid w:val="00560AC0"/>
    <w:rsid w:val="005663FD"/>
    <w:rsid w:val="00571AB1"/>
    <w:rsid w:val="00577E1C"/>
    <w:rsid w:val="005814AC"/>
    <w:rsid w:val="00584676"/>
    <w:rsid w:val="00585BFA"/>
    <w:rsid w:val="0059070B"/>
    <w:rsid w:val="005A6430"/>
    <w:rsid w:val="005B1225"/>
    <w:rsid w:val="005C5F3C"/>
    <w:rsid w:val="005C656B"/>
    <w:rsid w:val="005D01BE"/>
    <w:rsid w:val="005D0E05"/>
    <w:rsid w:val="005D2CAB"/>
    <w:rsid w:val="005D5460"/>
    <w:rsid w:val="005E08CD"/>
    <w:rsid w:val="005E0B71"/>
    <w:rsid w:val="005E1F53"/>
    <w:rsid w:val="005E2928"/>
    <w:rsid w:val="005F127C"/>
    <w:rsid w:val="005F7710"/>
    <w:rsid w:val="00607597"/>
    <w:rsid w:val="006127CC"/>
    <w:rsid w:val="00615595"/>
    <w:rsid w:val="006243C6"/>
    <w:rsid w:val="0063574B"/>
    <w:rsid w:val="00635A6C"/>
    <w:rsid w:val="00641039"/>
    <w:rsid w:val="00641906"/>
    <w:rsid w:val="00643172"/>
    <w:rsid w:val="0064700E"/>
    <w:rsid w:val="006530EF"/>
    <w:rsid w:val="006554DD"/>
    <w:rsid w:val="00660DE8"/>
    <w:rsid w:val="0067233D"/>
    <w:rsid w:val="006739C3"/>
    <w:rsid w:val="006745AE"/>
    <w:rsid w:val="00676AF3"/>
    <w:rsid w:val="00681B11"/>
    <w:rsid w:val="00684FC9"/>
    <w:rsid w:val="00685751"/>
    <w:rsid w:val="00686BC1"/>
    <w:rsid w:val="00686E99"/>
    <w:rsid w:val="00687AED"/>
    <w:rsid w:val="0069174B"/>
    <w:rsid w:val="00691E5A"/>
    <w:rsid w:val="006921AB"/>
    <w:rsid w:val="0069320F"/>
    <w:rsid w:val="00693340"/>
    <w:rsid w:val="006A04C7"/>
    <w:rsid w:val="006A1074"/>
    <w:rsid w:val="006A126E"/>
    <w:rsid w:val="006B05E3"/>
    <w:rsid w:val="006B0945"/>
    <w:rsid w:val="006B09BC"/>
    <w:rsid w:val="006B3BCE"/>
    <w:rsid w:val="006C042B"/>
    <w:rsid w:val="006C0C2C"/>
    <w:rsid w:val="006C42C4"/>
    <w:rsid w:val="006C45D4"/>
    <w:rsid w:val="006D09BD"/>
    <w:rsid w:val="006D2042"/>
    <w:rsid w:val="006D2CA3"/>
    <w:rsid w:val="006E076E"/>
    <w:rsid w:val="006E1003"/>
    <w:rsid w:val="006E16BF"/>
    <w:rsid w:val="00700135"/>
    <w:rsid w:val="007040C9"/>
    <w:rsid w:val="00705180"/>
    <w:rsid w:val="00716FBC"/>
    <w:rsid w:val="00717090"/>
    <w:rsid w:val="00720433"/>
    <w:rsid w:val="00720739"/>
    <w:rsid w:val="0072443D"/>
    <w:rsid w:val="00736A7D"/>
    <w:rsid w:val="00736DCA"/>
    <w:rsid w:val="00741F2F"/>
    <w:rsid w:val="00746358"/>
    <w:rsid w:val="0074662D"/>
    <w:rsid w:val="0075003D"/>
    <w:rsid w:val="00751D97"/>
    <w:rsid w:val="007562D4"/>
    <w:rsid w:val="007570BE"/>
    <w:rsid w:val="00761FCF"/>
    <w:rsid w:val="00765503"/>
    <w:rsid w:val="00767B7E"/>
    <w:rsid w:val="00772F7A"/>
    <w:rsid w:val="007745B7"/>
    <w:rsid w:val="00774E2B"/>
    <w:rsid w:val="007750C8"/>
    <w:rsid w:val="00780EEF"/>
    <w:rsid w:val="00785465"/>
    <w:rsid w:val="00786897"/>
    <w:rsid w:val="00787656"/>
    <w:rsid w:val="007916C6"/>
    <w:rsid w:val="00792B1C"/>
    <w:rsid w:val="00794859"/>
    <w:rsid w:val="007A1013"/>
    <w:rsid w:val="007A124E"/>
    <w:rsid w:val="007A4626"/>
    <w:rsid w:val="007B29F7"/>
    <w:rsid w:val="007B6E0A"/>
    <w:rsid w:val="007C11EE"/>
    <w:rsid w:val="007C636F"/>
    <w:rsid w:val="007D39EB"/>
    <w:rsid w:val="007E74E1"/>
    <w:rsid w:val="007E77A8"/>
    <w:rsid w:val="007F491C"/>
    <w:rsid w:val="0080353D"/>
    <w:rsid w:val="008061C9"/>
    <w:rsid w:val="00813711"/>
    <w:rsid w:val="00821E64"/>
    <w:rsid w:val="00825A7A"/>
    <w:rsid w:val="008263C2"/>
    <w:rsid w:val="008307DB"/>
    <w:rsid w:val="00835D9D"/>
    <w:rsid w:val="008370E3"/>
    <w:rsid w:val="008418FA"/>
    <w:rsid w:val="00842793"/>
    <w:rsid w:val="00842959"/>
    <w:rsid w:val="00843390"/>
    <w:rsid w:val="00852DD1"/>
    <w:rsid w:val="008544DF"/>
    <w:rsid w:val="00855ECB"/>
    <w:rsid w:val="00860AAD"/>
    <w:rsid w:val="00861AA6"/>
    <w:rsid w:val="00873611"/>
    <w:rsid w:val="00873C8F"/>
    <w:rsid w:val="00874FB3"/>
    <w:rsid w:val="00880BE3"/>
    <w:rsid w:val="00881359"/>
    <w:rsid w:val="00882588"/>
    <w:rsid w:val="008856CF"/>
    <w:rsid w:val="00886332"/>
    <w:rsid w:val="00890346"/>
    <w:rsid w:val="00890A1D"/>
    <w:rsid w:val="0089383B"/>
    <w:rsid w:val="008B0A88"/>
    <w:rsid w:val="008B57D8"/>
    <w:rsid w:val="008C123E"/>
    <w:rsid w:val="008C137D"/>
    <w:rsid w:val="008C2042"/>
    <w:rsid w:val="008C22DD"/>
    <w:rsid w:val="008C3ED0"/>
    <w:rsid w:val="008C5E94"/>
    <w:rsid w:val="008C6279"/>
    <w:rsid w:val="008C6F3C"/>
    <w:rsid w:val="008D25DC"/>
    <w:rsid w:val="008D32DE"/>
    <w:rsid w:val="008E2C9A"/>
    <w:rsid w:val="008F2089"/>
    <w:rsid w:val="008F68F7"/>
    <w:rsid w:val="009030CC"/>
    <w:rsid w:val="009034A4"/>
    <w:rsid w:val="009037B6"/>
    <w:rsid w:val="009059C5"/>
    <w:rsid w:val="00906CBE"/>
    <w:rsid w:val="00910384"/>
    <w:rsid w:val="00916F76"/>
    <w:rsid w:val="00917A00"/>
    <w:rsid w:val="0092093B"/>
    <w:rsid w:val="0092298F"/>
    <w:rsid w:val="009337E7"/>
    <w:rsid w:val="00941B8B"/>
    <w:rsid w:val="00942FFE"/>
    <w:rsid w:val="00943FB9"/>
    <w:rsid w:val="00953216"/>
    <w:rsid w:val="009551E0"/>
    <w:rsid w:val="0095654E"/>
    <w:rsid w:val="00956F3C"/>
    <w:rsid w:val="0095747A"/>
    <w:rsid w:val="00957607"/>
    <w:rsid w:val="0096133E"/>
    <w:rsid w:val="00971C34"/>
    <w:rsid w:val="00973F7C"/>
    <w:rsid w:val="0097421D"/>
    <w:rsid w:val="009900F0"/>
    <w:rsid w:val="00991769"/>
    <w:rsid w:val="009B2138"/>
    <w:rsid w:val="009B249E"/>
    <w:rsid w:val="009C0F18"/>
    <w:rsid w:val="009C15F1"/>
    <w:rsid w:val="009C3B4D"/>
    <w:rsid w:val="009D5143"/>
    <w:rsid w:val="009D7148"/>
    <w:rsid w:val="009E02FD"/>
    <w:rsid w:val="009E2E48"/>
    <w:rsid w:val="00A02484"/>
    <w:rsid w:val="00A02FA3"/>
    <w:rsid w:val="00A030C3"/>
    <w:rsid w:val="00A10147"/>
    <w:rsid w:val="00A131E6"/>
    <w:rsid w:val="00A13843"/>
    <w:rsid w:val="00A146A5"/>
    <w:rsid w:val="00A15760"/>
    <w:rsid w:val="00A17466"/>
    <w:rsid w:val="00A21593"/>
    <w:rsid w:val="00A22C21"/>
    <w:rsid w:val="00A242EB"/>
    <w:rsid w:val="00A2604E"/>
    <w:rsid w:val="00A35351"/>
    <w:rsid w:val="00A36723"/>
    <w:rsid w:val="00A4183E"/>
    <w:rsid w:val="00A45259"/>
    <w:rsid w:val="00A47F5F"/>
    <w:rsid w:val="00A5149A"/>
    <w:rsid w:val="00A5256C"/>
    <w:rsid w:val="00A60693"/>
    <w:rsid w:val="00A6196D"/>
    <w:rsid w:val="00A61ADF"/>
    <w:rsid w:val="00A82E14"/>
    <w:rsid w:val="00A83129"/>
    <w:rsid w:val="00A83F3A"/>
    <w:rsid w:val="00A8722B"/>
    <w:rsid w:val="00A901E9"/>
    <w:rsid w:val="00A90200"/>
    <w:rsid w:val="00A91B3B"/>
    <w:rsid w:val="00A94F7A"/>
    <w:rsid w:val="00A95D3B"/>
    <w:rsid w:val="00A97FBF"/>
    <w:rsid w:val="00AA0081"/>
    <w:rsid w:val="00AA0C42"/>
    <w:rsid w:val="00AB09ED"/>
    <w:rsid w:val="00AB30D2"/>
    <w:rsid w:val="00AB4CBB"/>
    <w:rsid w:val="00AB73FA"/>
    <w:rsid w:val="00AC125E"/>
    <w:rsid w:val="00AC13B4"/>
    <w:rsid w:val="00AC45DF"/>
    <w:rsid w:val="00AC474D"/>
    <w:rsid w:val="00AC48AF"/>
    <w:rsid w:val="00AC4DFD"/>
    <w:rsid w:val="00AC58FD"/>
    <w:rsid w:val="00AD1166"/>
    <w:rsid w:val="00AD1A96"/>
    <w:rsid w:val="00AD4684"/>
    <w:rsid w:val="00AD4DD3"/>
    <w:rsid w:val="00AD793A"/>
    <w:rsid w:val="00AE2306"/>
    <w:rsid w:val="00AE3D4A"/>
    <w:rsid w:val="00AE49F0"/>
    <w:rsid w:val="00AE5956"/>
    <w:rsid w:val="00AE619F"/>
    <w:rsid w:val="00AF27EA"/>
    <w:rsid w:val="00B01784"/>
    <w:rsid w:val="00B0388B"/>
    <w:rsid w:val="00B03BEE"/>
    <w:rsid w:val="00B0517E"/>
    <w:rsid w:val="00B10071"/>
    <w:rsid w:val="00B11314"/>
    <w:rsid w:val="00B138E3"/>
    <w:rsid w:val="00B178FA"/>
    <w:rsid w:val="00B23267"/>
    <w:rsid w:val="00B257BF"/>
    <w:rsid w:val="00B27149"/>
    <w:rsid w:val="00B325D8"/>
    <w:rsid w:val="00B35B4D"/>
    <w:rsid w:val="00B36B97"/>
    <w:rsid w:val="00B47090"/>
    <w:rsid w:val="00B557BF"/>
    <w:rsid w:val="00B56B15"/>
    <w:rsid w:val="00B6192B"/>
    <w:rsid w:val="00B61B7C"/>
    <w:rsid w:val="00B67A79"/>
    <w:rsid w:val="00B72AAB"/>
    <w:rsid w:val="00B72D62"/>
    <w:rsid w:val="00B737BE"/>
    <w:rsid w:val="00B74867"/>
    <w:rsid w:val="00B777B6"/>
    <w:rsid w:val="00B831CD"/>
    <w:rsid w:val="00B85329"/>
    <w:rsid w:val="00B91B9D"/>
    <w:rsid w:val="00B966D7"/>
    <w:rsid w:val="00BA0326"/>
    <w:rsid w:val="00BA0669"/>
    <w:rsid w:val="00BA44F4"/>
    <w:rsid w:val="00BA577C"/>
    <w:rsid w:val="00BA607C"/>
    <w:rsid w:val="00BA7BF2"/>
    <w:rsid w:val="00BB0E5A"/>
    <w:rsid w:val="00BB27D5"/>
    <w:rsid w:val="00BB3E2A"/>
    <w:rsid w:val="00BC0479"/>
    <w:rsid w:val="00BC16F5"/>
    <w:rsid w:val="00BC287D"/>
    <w:rsid w:val="00BD32E5"/>
    <w:rsid w:val="00BD36C4"/>
    <w:rsid w:val="00BE0876"/>
    <w:rsid w:val="00BE6767"/>
    <w:rsid w:val="00BF2873"/>
    <w:rsid w:val="00BF46EE"/>
    <w:rsid w:val="00C062C5"/>
    <w:rsid w:val="00C1640E"/>
    <w:rsid w:val="00C17A8E"/>
    <w:rsid w:val="00C21501"/>
    <w:rsid w:val="00C24F70"/>
    <w:rsid w:val="00C25384"/>
    <w:rsid w:val="00C310EB"/>
    <w:rsid w:val="00C33479"/>
    <w:rsid w:val="00C4214D"/>
    <w:rsid w:val="00C432DD"/>
    <w:rsid w:val="00C4423A"/>
    <w:rsid w:val="00C500C7"/>
    <w:rsid w:val="00C6319C"/>
    <w:rsid w:val="00C64D15"/>
    <w:rsid w:val="00C74B5D"/>
    <w:rsid w:val="00C74F74"/>
    <w:rsid w:val="00C7554B"/>
    <w:rsid w:val="00C8205E"/>
    <w:rsid w:val="00C82EB5"/>
    <w:rsid w:val="00C83E69"/>
    <w:rsid w:val="00C87966"/>
    <w:rsid w:val="00C900FA"/>
    <w:rsid w:val="00C902DE"/>
    <w:rsid w:val="00C916AE"/>
    <w:rsid w:val="00C93AAA"/>
    <w:rsid w:val="00C95FCD"/>
    <w:rsid w:val="00CA0639"/>
    <w:rsid w:val="00CA09C8"/>
    <w:rsid w:val="00CA1D45"/>
    <w:rsid w:val="00CA39C3"/>
    <w:rsid w:val="00CA583A"/>
    <w:rsid w:val="00CA5EC6"/>
    <w:rsid w:val="00CB5744"/>
    <w:rsid w:val="00CB7022"/>
    <w:rsid w:val="00CC033E"/>
    <w:rsid w:val="00CC15B6"/>
    <w:rsid w:val="00CC586D"/>
    <w:rsid w:val="00CC7DBC"/>
    <w:rsid w:val="00CD1BA3"/>
    <w:rsid w:val="00CD1D23"/>
    <w:rsid w:val="00CD6B7D"/>
    <w:rsid w:val="00CE0847"/>
    <w:rsid w:val="00CE0B60"/>
    <w:rsid w:val="00CE0B6C"/>
    <w:rsid w:val="00CE11D0"/>
    <w:rsid w:val="00CE4708"/>
    <w:rsid w:val="00CE4C50"/>
    <w:rsid w:val="00CE670F"/>
    <w:rsid w:val="00CE6858"/>
    <w:rsid w:val="00CE7450"/>
    <w:rsid w:val="00CF50BE"/>
    <w:rsid w:val="00D04B94"/>
    <w:rsid w:val="00D1289C"/>
    <w:rsid w:val="00D15844"/>
    <w:rsid w:val="00D16801"/>
    <w:rsid w:val="00D17AD2"/>
    <w:rsid w:val="00D224B2"/>
    <w:rsid w:val="00D236A4"/>
    <w:rsid w:val="00D24DAD"/>
    <w:rsid w:val="00D2660C"/>
    <w:rsid w:val="00D313A0"/>
    <w:rsid w:val="00D313E0"/>
    <w:rsid w:val="00D4146B"/>
    <w:rsid w:val="00D42ABF"/>
    <w:rsid w:val="00D42F40"/>
    <w:rsid w:val="00D45B67"/>
    <w:rsid w:val="00D5034A"/>
    <w:rsid w:val="00D55EE8"/>
    <w:rsid w:val="00D56C05"/>
    <w:rsid w:val="00D5785A"/>
    <w:rsid w:val="00D63295"/>
    <w:rsid w:val="00D6375F"/>
    <w:rsid w:val="00D64C48"/>
    <w:rsid w:val="00D6680B"/>
    <w:rsid w:val="00D70699"/>
    <w:rsid w:val="00D72DEE"/>
    <w:rsid w:val="00D731C4"/>
    <w:rsid w:val="00D74EB4"/>
    <w:rsid w:val="00D801FC"/>
    <w:rsid w:val="00D813DC"/>
    <w:rsid w:val="00D85BE0"/>
    <w:rsid w:val="00D87FD7"/>
    <w:rsid w:val="00D92300"/>
    <w:rsid w:val="00D94FE2"/>
    <w:rsid w:val="00D950E6"/>
    <w:rsid w:val="00D97047"/>
    <w:rsid w:val="00DA3619"/>
    <w:rsid w:val="00DB0B88"/>
    <w:rsid w:val="00DB0FBA"/>
    <w:rsid w:val="00DC49B8"/>
    <w:rsid w:val="00DD4F44"/>
    <w:rsid w:val="00DD686C"/>
    <w:rsid w:val="00DE2D48"/>
    <w:rsid w:val="00DE3FBD"/>
    <w:rsid w:val="00DE43F5"/>
    <w:rsid w:val="00E0054C"/>
    <w:rsid w:val="00E128D8"/>
    <w:rsid w:val="00E167F0"/>
    <w:rsid w:val="00E17709"/>
    <w:rsid w:val="00E2082D"/>
    <w:rsid w:val="00E26387"/>
    <w:rsid w:val="00E27A16"/>
    <w:rsid w:val="00E5091C"/>
    <w:rsid w:val="00E54042"/>
    <w:rsid w:val="00E60E2E"/>
    <w:rsid w:val="00E60FEB"/>
    <w:rsid w:val="00E61740"/>
    <w:rsid w:val="00E61D4E"/>
    <w:rsid w:val="00E66E40"/>
    <w:rsid w:val="00E71A2D"/>
    <w:rsid w:val="00E8066B"/>
    <w:rsid w:val="00E823C1"/>
    <w:rsid w:val="00E85605"/>
    <w:rsid w:val="00E86BD1"/>
    <w:rsid w:val="00E91408"/>
    <w:rsid w:val="00E91B59"/>
    <w:rsid w:val="00E91DE5"/>
    <w:rsid w:val="00EA18DB"/>
    <w:rsid w:val="00EA54AB"/>
    <w:rsid w:val="00EA66DF"/>
    <w:rsid w:val="00EB14DF"/>
    <w:rsid w:val="00EB1A4D"/>
    <w:rsid w:val="00EB35DF"/>
    <w:rsid w:val="00EB3A07"/>
    <w:rsid w:val="00EC32C8"/>
    <w:rsid w:val="00EC3F31"/>
    <w:rsid w:val="00ED3698"/>
    <w:rsid w:val="00ED41CD"/>
    <w:rsid w:val="00EE265C"/>
    <w:rsid w:val="00F00331"/>
    <w:rsid w:val="00F01129"/>
    <w:rsid w:val="00F01CCA"/>
    <w:rsid w:val="00F02104"/>
    <w:rsid w:val="00F05AE5"/>
    <w:rsid w:val="00F05B20"/>
    <w:rsid w:val="00F06C17"/>
    <w:rsid w:val="00F30FA1"/>
    <w:rsid w:val="00F334CB"/>
    <w:rsid w:val="00F370BC"/>
    <w:rsid w:val="00F430BA"/>
    <w:rsid w:val="00F43175"/>
    <w:rsid w:val="00F45BC2"/>
    <w:rsid w:val="00F50562"/>
    <w:rsid w:val="00F50A92"/>
    <w:rsid w:val="00F555C8"/>
    <w:rsid w:val="00F6422F"/>
    <w:rsid w:val="00F65439"/>
    <w:rsid w:val="00F65774"/>
    <w:rsid w:val="00F725DA"/>
    <w:rsid w:val="00F7536E"/>
    <w:rsid w:val="00F8056D"/>
    <w:rsid w:val="00F81CF2"/>
    <w:rsid w:val="00F81F93"/>
    <w:rsid w:val="00F84458"/>
    <w:rsid w:val="00F87E98"/>
    <w:rsid w:val="00F95814"/>
    <w:rsid w:val="00F95CE9"/>
    <w:rsid w:val="00FA01D9"/>
    <w:rsid w:val="00FC1DFB"/>
    <w:rsid w:val="00FC35AB"/>
    <w:rsid w:val="00FC3AC6"/>
    <w:rsid w:val="00FD0555"/>
    <w:rsid w:val="00FD5961"/>
    <w:rsid w:val="00FD6463"/>
    <w:rsid w:val="00FD6A83"/>
    <w:rsid w:val="00FE01DB"/>
    <w:rsid w:val="00FE5C56"/>
    <w:rsid w:val="00FE5CF0"/>
    <w:rsid w:val="00FE5E20"/>
    <w:rsid w:val="00FE7AAC"/>
    <w:rsid w:val="00FE7B06"/>
    <w:rsid w:val="00FE7E98"/>
    <w:rsid w:val="00FF3801"/>
    <w:rsid w:val="00FF3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37A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4" w:unhideWhenUsed="0" w:qFormat="1"/>
    <w:lsdException w:name="heading 2" w:semiHidden="0" w:uiPriority="6" w:unhideWhenUsed="0" w:qFormat="1"/>
    <w:lsdException w:name="heading 3" w:semiHidden="0" w:uiPriority="2" w:unhideWhenUsed="0" w:qFormat="1"/>
    <w:lsdException w:name="heading 4" w:semiHidden="0" w:uiPriority="8"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endnote reference" w:uiPriority="99"/>
    <w:lsdException w:name="List Bullet" w:uiPriority="2" w:qFormat="1"/>
    <w:lsdException w:name="List Number" w:semiHidden="0" w:unhideWhenUsed="0"/>
    <w:lsdException w:name="List 4" w:unhideWhenUsed="0"/>
    <w:lsdException w:name="List 5" w:unhideWhenUsed="0"/>
    <w:lsdException w:name="List Bullet 2" w:uiPriority="3" w:qFormat="1"/>
    <w:lsdException w:name="Title" w:semiHidden="0" w:uiPriority="11" w:unhideWhenUsed="0" w:qFormat="1"/>
    <w:lsdException w:name="Signature" w:uiPriority="99"/>
    <w:lsdException w:name="Subtitle" w:semiHidden="0" w:uiPriority="12" w:unhideWhenUsed="0" w:qFormat="1"/>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8"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17147C"/>
    <w:pPr>
      <w:spacing w:after="120" w:line="260" w:lineRule="atLeast"/>
    </w:pPr>
    <w:rPr>
      <w:rFonts w:ascii="Arial" w:hAnsi="Arial"/>
      <w:sz w:val="22"/>
      <w:szCs w:val="24"/>
    </w:rPr>
  </w:style>
  <w:style w:type="paragraph" w:styleId="Heading1">
    <w:name w:val="heading 1"/>
    <w:basedOn w:val="Normal"/>
    <w:next w:val="Normal"/>
    <w:link w:val="Heading1Char"/>
    <w:uiPriority w:val="4"/>
    <w:qFormat/>
    <w:rsid w:val="00686BC1"/>
    <w:pPr>
      <w:keepNext/>
      <w:keepLines/>
      <w:numPr>
        <w:numId w:val="50"/>
      </w:numPr>
      <w:spacing w:after="1320" w:line="216" w:lineRule="auto"/>
      <w:contextualSpacing/>
      <w:outlineLvl w:val="0"/>
    </w:pPr>
    <w:rPr>
      <w:b/>
      <w:caps/>
      <w:sz w:val="52"/>
      <w:szCs w:val="44"/>
    </w:rPr>
  </w:style>
  <w:style w:type="paragraph" w:styleId="Heading2">
    <w:name w:val="heading 2"/>
    <w:basedOn w:val="Normal"/>
    <w:next w:val="Normal"/>
    <w:link w:val="Heading2Char"/>
    <w:uiPriority w:val="6"/>
    <w:qFormat/>
    <w:rsid w:val="005603F8"/>
    <w:pPr>
      <w:keepNext/>
      <w:keepLines/>
      <w:numPr>
        <w:ilvl w:val="1"/>
        <w:numId w:val="50"/>
      </w:numPr>
      <w:spacing w:before="360" w:after="40" w:line="216" w:lineRule="auto"/>
      <w:contextualSpacing/>
      <w:outlineLvl w:val="1"/>
    </w:pPr>
    <w:rPr>
      <w:b/>
      <w:caps/>
      <w:color w:val="008A00"/>
      <w:sz w:val="24"/>
      <w:szCs w:val="44"/>
    </w:rPr>
  </w:style>
  <w:style w:type="paragraph" w:styleId="Heading3">
    <w:name w:val="heading 3"/>
    <w:basedOn w:val="Normal"/>
    <w:next w:val="Normal"/>
    <w:link w:val="Heading3Char"/>
    <w:uiPriority w:val="2"/>
    <w:qFormat/>
    <w:rsid w:val="00150E25"/>
    <w:pPr>
      <w:keepNext/>
      <w:keepLines/>
      <w:spacing w:before="120" w:after="40"/>
      <w:contextualSpacing/>
      <w:outlineLvl w:val="2"/>
    </w:pPr>
    <w:rPr>
      <w:b/>
      <w:sz w:val="24"/>
      <w:szCs w:val="28"/>
    </w:rPr>
  </w:style>
  <w:style w:type="paragraph" w:styleId="Heading4">
    <w:name w:val="heading 4"/>
    <w:basedOn w:val="Normal"/>
    <w:next w:val="Normal"/>
    <w:link w:val="Heading4Char"/>
    <w:uiPriority w:val="8"/>
    <w:qFormat/>
    <w:rsid w:val="001D2904"/>
    <w:pPr>
      <w:keepNext/>
      <w:keepLines/>
      <w:numPr>
        <w:ilvl w:val="3"/>
        <w:numId w:val="50"/>
      </w:numPr>
      <w:spacing w:before="120" w:after="60"/>
      <w:contextualSpacing/>
      <w:outlineLvl w:val="3"/>
    </w:pPr>
    <w:rPr>
      <w:b/>
    </w:rPr>
  </w:style>
  <w:style w:type="paragraph" w:styleId="Heading5">
    <w:name w:val="heading 5"/>
    <w:basedOn w:val="Normal"/>
    <w:next w:val="Normal"/>
    <w:link w:val="Heading5Char"/>
    <w:uiPriority w:val="9"/>
    <w:qFormat/>
    <w:rsid w:val="002672F1"/>
    <w:pPr>
      <w:keepNext/>
      <w:numPr>
        <w:ilvl w:val="4"/>
        <w:numId w:val="50"/>
      </w:numPr>
      <w:spacing w:before="240"/>
      <w:contextualSpacing/>
      <w:outlineLvl w:val="4"/>
    </w:pPr>
    <w:rPr>
      <w:b/>
      <w:szCs w:val="22"/>
    </w:rPr>
  </w:style>
  <w:style w:type="paragraph" w:styleId="Heading6">
    <w:name w:val="heading 6"/>
    <w:basedOn w:val="Normal"/>
    <w:next w:val="Normal"/>
    <w:link w:val="Heading6Char"/>
    <w:uiPriority w:val="9"/>
    <w:qFormat/>
    <w:rsid w:val="002672F1"/>
    <w:pPr>
      <w:keepNext/>
      <w:numPr>
        <w:ilvl w:val="5"/>
        <w:numId w:val="50"/>
      </w:numPr>
      <w:spacing w:before="240"/>
      <w:contextualSpacing/>
      <w:outlineLvl w:val="5"/>
    </w:pPr>
    <w:rPr>
      <w:b/>
      <w:sz w:val="20"/>
      <w:szCs w:val="22"/>
    </w:rPr>
  </w:style>
  <w:style w:type="paragraph" w:styleId="Heading7">
    <w:name w:val="heading 7"/>
    <w:basedOn w:val="Normal"/>
    <w:next w:val="Normal"/>
    <w:link w:val="Heading7Char"/>
    <w:uiPriority w:val="9"/>
    <w:qFormat/>
    <w:rsid w:val="00E26387"/>
    <w:pPr>
      <w:keepNext/>
      <w:keepLines/>
      <w:numPr>
        <w:ilvl w:val="6"/>
        <w:numId w:val="50"/>
      </w:numPr>
      <w:spacing w:before="200" w:after="0" w:line="240" w:lineRule="auto"/>
      <w:outlineLvl w:val="6"/>
    </w:pPr>
    <w:rPr>
      <w:rFonts w:asciiTheme="majorHAnsi" w:eastAsiaTheme="majorEastAsia" w:hAnsiTheme="majorHAnsi" w:cstheme="majorBidi"/>
      <w:i/>
      <w:iCs/>
      <w:szCs w:val="22"/>
      <w:u w:val="single"/>
      <w:lang w:eastAsia="en-US"/>
    </w:rPr>
  </w:style>
  <w:style w:type="paragraph" w:styleId="Heading8">
    <w:name w:val="heading 8"/>
    <w:basedOn w:val="Normal"/>
    <w:next w:val="Normal"/>
    <w:link w:val="Heading8Char"/>
    <w:uiPriority w:val="9"/>
    <w:unhideWhenUsed/>
    <w:qFormat/>
    <w:rsid w:val="00E26387"/>
    <w:pPr>
      <w:keepNext/>
      <w:keepLines/>
      <w:numPr>
        <w:ilvl w:val="7"/>
        <w:numId w:val="50"/>
      </w:numPr>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E26387"/>
    <w:pPr>
      <w:keepNext/>
      <w:keepLines/>
      <w:numPr>
        <w:ilvl w:val="8"/>
        <w:numId w:val="50"/>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1AB1"/>
    <w:pPr>
      <w:tabs>
        <w:tab w:val="right" w:pos="10319"/>
      </w:tabs>
      <w:spacing w:after="0"/>
    </w:pPr>
    <w:rPr>
      <w:sz w:val="20"/>
    </w:rPr>
  </w:style>
  <w:style w:type="paragraph" w:styleId="Title">
    <w:name w:val="Title"/>
    <w:aliases w:val="Title Artwork"/>
    <w:basedOn w:val="Normal"/>
    <w:link w:val="TitleChar"/>
    <w:uiPriority w:val="11"/>
    <w:qFormat/>
    <w:rsid w:val="00CC586D"/>
    <w:pPr>
      <w:spacing w:before="480" w:after="360" w:line="204" w:lineRule="auto"/>
      <w:contextualSpacing/>
      <w:outlineLvl w:val="0"/>
    </w:pPr>
    <w:rPr>
      <w:rFonts w:cs="Arial"/>
      <w:b/>
      <w:bCs/>
      <w:caps/>
      <w:color w:val="FFFFFF" w:themeColor="background1"/>
      <w:kern w:val="28"/>
      <w:sz w:val="80"/>
      <w:szCs w:val="32"/>
    </w:rPr>
  </w:style>
  <w:style w:type="paragraph" w:styleId="ListBullet">
    <w:name w:val="List Bullet"/>
    <w:basedOn w:val="Normal"/>
    <w:uiPriority w:val="2"/>
    <w:qFormat/>
    <w:rsid w:val="00451A74"/>
    <w:pPr>
      <w:numPr>
        <w:numId w:val="1"/>
      </w:numPr>
      <w:spacing w:before="40" w:after="40"/>
      <w:ind w:left="357" w:hanging="357"/>
    </w:pPr>
  </w:style>
  <w:style w:type="paragraph" w:styleId="Footer">
    <w:name w:val="footer"/>
    <w:basedOn w:val="Header"/>
    <w:link w:val="FooterChar"/>
    <w:uiPriority w:val="99"/>
    <w:rsid w:val="00571AB1"/>
    <w:pPr>
      <w:tabs>
        <w:tab w:val="right" w:pos="9639"/>
      </w:tabs>
    </w:pPr>
  </w:style>
  <w:style w:type="paragraph" w:customStyle="1" w:styleId="Smalltext">
    <w:name w:val="Small text"/>
    <w:basedOn w:val="Normal"/>
    <w:rsid w:val="0055532E"/>
    <w:pPr>
      <w:spacing w:before="60" w:after="60"/>
      <w:ind w:left="210" w:hanging="210"/>
    </w:pPr>
    <w:rPr>
      <w:sz w:val="16"/>
      <w:szCs w:val="16"/>
      <w:lang w:val="en-US"/>
    </w:rPr>
  </w:style>
  <w:style w:type="character" w:styleId="Hyperlink">
    <w:name w:val="Hyperlink"/>
    <w:basedOn w:val="DefaultParagraphFont"/>
    <w:uiPriority w:val="99"/>
    <w:rsid w:val="00494832"/>
    <w:rPr>
      <w:color w:val="auto"/>
      <w:u w:val="none"/>
    </w:r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843390"/>
    <w:pPr>
      <w:spacing w:after="0"/>
      <w:ind w:left="142" w:hanging="142"/>
    </w:pPr>
    <w:rPr>
      <w:sz w:val="20"/>
      <w:szCs w:val="20"/>
    </w:rPr>
  </w:style>
  <w:style w:type="character" w:customStyle="1" w:styleId="FootnoteTextChar">
    <w:name w:val="Footnote Text Char"/>
    <w:basedOn w:val="DefaultParagraphFont"/>
    <w:link w:val="FootnoteText"/>
    <w:uiPriority w:val="99"/>
    <w:rsid w:val="00843390"/>
    <w:rPr>
      <w:rFonts w:ascii="Arial" w:hAnsi="Arial"/>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CB5744"/>
    <w:pPr>
      <w:ind w:left="720"/>
      <w:contextualSpacing/>
    </w:pPr>
  </w:style>
  <w:style w:type="character" w:customStyle="1" w:styleId="Heading2Char">
    <w:name w:val="Heading 2 Char"/>
    <w:basedOn w:val="DefaultParagraphFont"/>
    <w:link w:val="Heading2"/>
    <w:uiPriority w:val="6"/>
    <w:rsid w:val="005603F8"/>
    <w:rPr>
      <w:rFonts w:ascii="Arial" w:hAnsi="Arial"/>
      <w:b/>
      <w:caps/>
      <w:color w:val="008A00"/>
      <w:sz w:val="24"/>
      <w:szCs w:val="44"/>
    </w:rPr>
  </w:style>
  <w:style w:type="paragraph" w:styleId="TOC1">
    <w:name w:val="toc 1"/>
    <w:basedOn w:val="Normal"/>
    <w:next w:val="Normal"/>
    <w:autoRedefine/>
    <w:uiPriority w:val="39"/>
    <w:qFormat/>
    <w:rsid w:val="00073196"/>
    <w:pPr>
      <w:spacing w:before="240"/>
      <w:ind w:right="-28"/>
    </w:pPr>
    <w:rPr>
      <w:b/>
      <w:noProof/>
      <w:sz w:val="28"/>
    </w:rPr>
  </w:style>
  <w:style w:type="paragraph" w:styleId="TOC2">
    <w:name w:val="toc 2"/>
    <w:basedOn w:val="Normal"/>
    <w:next w:val="Normal"/>
    <w:autoRedefine/>
    <w:uiPriority w:val="39"/>
    <w:qFormat/>
    <w:rsid w:val="003331A3"/>
    <w:pPr>
      <w:tabs>
        <w:tab w:val="left" w:pos="880"/>
        <w:tab w:val="right" w:pos="8931"/>
      </w:tabs>
      <w:spacing w:after="100"/>
      <w:ind w:right="-45"/>
    </w:pPr>
    <w:rPr>
      <w:noProof/>
    </w:rPr>
  </w:style>
  <w:style w:type="paragraph" w:customStyle="1" w:styleId="TableText">
    <w:name w:val="Table Text"/>
    <w:basedOn w:val="Normal"/>
    <w:uiPriority w:val="99"/>
    <w:qFormat/>
    <w:rsid w:val="00C4423A"/>
    <w:pPr>
      <w:spacing w:before="40" w:after="40"/>
    </w:p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
    <w:rsid w:val="001D2904"/>
    <w:rPr>
      <w:rFonts w:ascii="Arial" w:hAnsi="Arial"/>
      <w:b/>
      <w:szCs w:val="22"/>
    </w:rPr>
  </w:style>
  <w:style w:type="table" w:customStyle="1" w:styleId="DefaultTable">
    <w:name w:val="Default Table"/>
    <w:basedOn w:val="TableNormal"/>
    <w:uiPriority w:val="99"/>
    <w:rsid w:val="0023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OCHeading">
    <w:name w:val="TOC Heading"/>
    <w:basedOn w:val="Heading1"/>
    <w:next w:val="Normal"/>
    <w:uiPriority w:val="39"/>
    <w:qFormat/>
    <w:rsid w:val="004C777E"/>
    <w:pPr>
      <w:numPr>
        <w:numId w:val="0"/>
      </w:numPr>
      <w:spacing w:after="1200"/>
      <w:outlineLvl w:val="9"/>
    </w:pPr>
    <w:rPr>
      <w:rFonts w:asciiTheme="majorHAnsi" w:eastAsiaTheme="majorEastAsia" w:hAnsiTheme="majorHAnsi" w:cstheme="majorBidi"/>
      <w:bCs/>
      <w:szCs w:val="28"/>
    </w:rPr>
  </w:style>
  <w:style w:type="paragraph" w:customStyle="1" w:styleId="SourceText">
    <w:name w:val="Source Text"/>
    <w:basedOn w:val="Normal"/>
    <w:uiPriority w:val="99"/>
    <w:qFormat/>
    <w:rsid w:val="007E74E1"/>
    <w:pPr>
      <w:spacing w:after="240"/>
      <w:contextualSpacing/>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uiPriority w:val="99"/>
    <w:rsid w:val="001B5259"/>
    <w:rPr>
      <w:rFonts w:ascii="Tahoma" w:hAnsi="Tahoma" w:cs="Tahoma"/>
      <w:sz w:val="16"/>
      <w:szCs w:val="16"/>
    </w:rPr>
  </w:style>
  <w:style w:type="character" w:customStyle="1" w:styleId="BalloonTextChar">
    <w:name w:val="Balloon Text Char"/>
    <w:basedOn w:val="DefaultParagraphFont"/>
    <w:link w:val="BalloonText"/>
    <w:uiPriority w:val="99"/>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rsid w:val="00EE265C"/>
    <w:rPr>
      <w:sz w:val="20"/>
      <w:szCs w:val="20"/>
    </w:rPr>
  </w:style>
  <w:style w:type="character" w:customStyle="1" w:styleId="EndnoteTextChar">
    <w:name w:val="Endnote Text Char"/>
    <w:basedOn w:val="DefaultParagraphFont"/>
    <w:link w:val="EndnoteText"/>
    <w:uiPriority w:val="99"/>
    <w:semiHidden/>
    <w:rsid w:val="001D2904"/>
    <w:rPr>
      <w:rFonts w:ascii="Arial" w:hAnsi="Arial"/>
    </w:rPr>
  </w:style>
  <w:style w:type="character" w:styleId="EndnoteReference">
    <w:name w:val="endnote reference"/>
    <w:basedOn w:val="DefaultParagraphFont"/>
    <w:uiPriority w:val="99"/>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Normal"/>
    <w:link w:val="SubtitleChar"/>
    <w:uiPriority w:val="12"/>
    <w:qFormat/>
    <w:rsid w:val="00CC586D"/>
    <w:pPr>
      <w:numPr>
        <w:ilvl w:val="1"/>
      </w:numPr>
    </w:pPr>
    <w:rPr>
      <w:rFonts w:asciiTheme="majorHAnsi" w:eastAsiaTheme="majorEastAsia" w:hAnsiTheme="majorHAnsi" w:cstheme="majorBidi"/>
      <w:iCs/>
      <w:color w:val="FFFFFF" w:themeColor="background1"/>
      <w:sz w:val="28"/>
    </w:rPr>
  </w:style>
  <w:style w:type="character" w:customStyle="1" w:styleId="SubtitleChar">
    <w:name w:val="Subtitle Char"/>
    <w:basedOn w:val="DefaultParagraphFont"/>
    <w:link w:val="Subtitle"/>
    <w:uiPriority w:val="12"/>
    <w:rsid w:val="00CC586D"/>
    <w:rPr>
      <w:rFonts w:asciiTheme="majorHAnsi" w:eastAsiaTheme="majorEastAsia" w:hAnsiTheme="majorHAnsi" w:cstheme="majorBidi"/>
      <w:iCs/>
      <w:color w:val="FFFFFF" w:themeColor="background1"/>
      <w:sz w:val="28"/>
      <w:szCs w:val="24"/>
    </w:rPr>
  </w:style>
  <w:style w:type="paragraph" w:customStyle="1" w:styleId="Reportcopyright">
    <w:name w:val="Report (copyright)"/>
    <w:basedOn w:val="Normal"/>
    <w:next w:val="Normal"/>
    <w:uiPriority w:val="15"/>
    <w:qFormat/>
    <w:rsid w:val="00492112"/>
    <w:pPr>
      <w:spacing w:before="4000" w:after="200" w:line="240" w:lineRule="auto"/>
    </w:pPr>
    <w:rPr>
      <w:rFonts w:asciiTheme="minorHAnsi" w:eastAsiaTheme="minorHAnsi" w:hAnsiTheme="minorHAnsi" w:cstheme="minorBidi"/>
      <w:b/>
      <w:szCs w:val="22"/>
      <w:lang w:eastAsia="en-US"/>
    </w:rPr>
  </w:style>
  <w:style w:type="character" w:customStyle="1" w:styleId="A5">
    <w:name w:val="A5"/>
    <w:uiPriority w:val="99"/>
    <w:rsid w:val="00492112"/>
    <w:rPr>
      <w:rFonts w:ascii="Swiss 721 BT" w:hAnsi="Swiss 721 BT" w:cs="Swiss 721 BT" w:hint="default"/>
      <w:color w:val="000000"/>
      <w:sz w:val="20"/>
      <w:szCs w:val="20"/>
    </w:rPr>
  </w:style>
  <w:style w:type="character" w:customStyle="1" w:styleId="Heading7Char">
    <w:name w:val="Heading 7 Char"/>
    <w:basedOn w:val="DefaultParagraphFont"/>
    <w:link w:val="Heading7"/>
    <w:uiPriority w:val="9"/>
    <w:rsid w:val="00E26387"/>
    <w:rPr>
      <w:rFonts w:asciiTheme="majorHAnsi" w:eastAsiaTheme="majorEastAsia" w:hAnsiTheme="majorHAnsi" w:cstheme="majorBidi"/>
      <w:i/>
      <w:iCs/>
      <w:sz w:val="22"/>
      <w:szCs w:val="22"/>
      <w:u w:val="single"/>
      <w:lang w:eastAsia="en-US"/>
    </w:rPr>
  </w:style>
  <w:style w:type="character" w:customStyle="1" w:styleId="Heading8Char">
    <w:name w:val="Heading 8 Char"/>
    <w:basedOn w:val="DefaultParagraphFont"/>
    <w:link w:val="Heading8"/>
    <w:uiPriority w:val="9"/>
    <w:rsid w:val="00E2638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E26387"/>
    <w:rPr>
      <w:rFonts w:asciiTheme="majorHAnsi" w:eastAsiaTheme="majorEastAsia" w:hAnsiTheme="majorHAnsi" w:cstheme="majorBidi"/>
      <w:i/>
      <w:iCs/>
      <w:color w:val="404040" w:themeColor="text1" w:themeTint="BF"/>
      <w:lang w:eastAsia="en-US"/>
    </w:rPr>
  </w:style>
  <w:style w:type="character" w:customStyle="1" w:styleId="Heading1Char">
    <w:name w:val="Heading 1 Char"/>
    <w:basedOn w:val="DefaultParagraphFont"/>
    <w:link w:val="Heading1"/>
    <w:uiPriority w:val="4"/>
    <w:rsid w:val="00686BC1"/>
    <w:rPr>
      <w:rFonts w:ascii="Arial" w:hAnsi="Arial"/>
      <w:b/>
      <w:caps/>
      <w:sz w:val="52"/>
      <w:szCs w:val="44"/>
    </w:rPr>
  </w:style>
  <w:style w:type="character" w:customStyle="1" w:styleId="HeaderChar">
    <w:name w:val="Header Char"/>
    <w:basedOn w:val="DefaultParagraphFont"/>
    <w:link w:val="Header"/>
    <w:uiPriority w:val="99"/>
    <w:rsid w:val="00E26387"/>
    <w:rPr>
      <w:rFonts w:ascii="Arial" w:hAnsi="Arial"/>
      <w:szCs w:val="24"/>
    </w:rPr>
  </w:style>
  <w:style w:type="character" w:customStyle="1" w:styleId="FooterChar">
    <w:name w:val="Footer Char"/>
    <w:basedOn w:val="DefaultParagraphFont"/>
    <w:link w:val="Footer"/>
    <w:uiPriority w:val="99"/>
    <w:rsid w:val="00E26387"/>
    <w:rPr>
      <w:rFonts w:ascii="Arial" w:hAnsi="Arial"/>
      <w:szCs w:val="24"/>
    </w:rPr>
  </w:style>
  <w:style w:type="character" w:customStyle="1" w:styleId="Heading3Char">
    <w:name w:val="Heading 3 Char"/>
    <w:basedOn w:val="DefaultParagraphFont"/>
    <w:link w:val="Heading3"/>
    <w:uiPriority w:val="2"/>
    <w:rsid w:val="00E26387"/>
    <w:rPr>
      <w:rFonts w:ascii="Arial" w:hAnsi="Arial"/>
      <w:b/>
      <w:sz w:val="24"/>
      <w:szCs w:val="28"/>
    </w:rPr>
  </w:style>
  <w:style w:type="paragraph" w:styleId="Quote">
    <w:name w:val="Quote"/>
    <w:basedOn w:val="Normal"/>
    <w:next w:val="Normal"/>
    <w:link w:val="QuoteChar"/>
    <w:uiPriority w:val="28"/>
    <w:qFormat/>
    <w:rsid w:val="00E26387"/>
    <w:pPr>
      <w:spacing w:line="240" w:lineRule="auto"/>
    </w:pPr>
    <w:rPr>
      <w:rFonts w:asciiTheme="minorHAnsi" w:eastAsiaTheme="minorHAnsi" w:hAnsiTheme="minorHAnsi" w:cstheme="minorBidi"/>
      <w:i/>
      <w:iCs/>
      <w:color w:val="000000" w:themeColor="text1"/>
      <w:szCs w:val="22"/>
      <w:lang w:eastAsia="en-US"/>
    </w:rPr>
  </w:style>
  <w:style w:type="character" w:customStyle="1" w:styleId="QuoteChar">
    <w:name w:val="Quote Char"/>
    <w:basedOn w:val="DefaultParagraphFont"/>
    <w:link w:val="Quote"/>
    <w:uiPriority w:val="28"/>
    <w:rsid w:val="00E26387"/>
    <w:rPr>
      <w:rFonts w:asciiTheme="minorHAnsi" w:eastAsiaTheme="minorHAnsi" w:hAnsiTheme="minorHAnsi" w:cstheme="minorBidi"/>
      <w:i/>
      <w:iCs/>
      <w:color w:val="000000" w:themeColor="text1"/>
      <w:sz w:val="22"/>
      <w:szCs w:val="22"/>
      <w:lang w:eastAsia="en-US"/>
    </w:rPr>
  </w:style>
  <w:style w:type="paragraph" w:customStyle="1" w:styleId="Bullet1">
    <w:name w:val="Bullet 1"/>
    <w:basedOn w:val="Normal"/>
    <w:uiPriority w:val="34"/>
    <w:semiHidden/>
    <w:rsid w:val="00E26387"/>
    <w:pPr>
      <w:numPr>
        <w:numId w:val="3"/>
      </w:numPr>
      <w:spacing w:line="240" w:lineRule="auto"/>
    </w:pPr>
    <w:rPr>
      <w:rFonts w:asciiTheme="minorHAnsi" w:eastAsiaTheme="minorHAnsi" w:hAnsiTheme="minorHAnsi" w:cstheme="minorBidi"/>
      <w:szCs w:val="22"/>
      <w:lang w:eastAsia="en-US"/>
    </w:rPr>
  </w:style>
  <w:style w:type="character" w:customStyle="1" w:styleId="Act">
    <w:name w:val="Act"/>
    <w:basedOn w:val="DefaultParagraphFont"/>
    <w:uiPriority w:val="23"/>
    <w:qFormat/>
    <w:rsid w:val="00E26387"/>
    <w:rPr>
      <w:i/>
    </w:rPr>
  </w:style>
  <w:style w:type="character" w:customStyle="1" w:styleId="TitleChar">
    <w:name w:val="Title Char"/>
    <w:aliases w:val="Title Artwork Char"/>
    <w:basedOn w:val="DefaultParagraphFont"/>
    <w:link w:val="Title"/>
    <w:uiPriority w:val="11"/>
    <w:rsid w:val="00E26387"/>
    <w:rPr>
      <w:rFonts w:ascii="Arial" w:hAnsi="Arial" w:cs="Arial"/>
      <w:b/>
      <w:bCs/>
      <w:caps/>
      <w:color w:val="FFFFFF" w:themeColor="background1"/>
      <w:kern w:val="28"/>
      <w:sz w:val="80"/>
      <w:szCs w:val="32"/>
    </w:rPr>
  </w:style>
  <w:style w:type="paragraph" w:customStyle="1" w:styleId="VersionandDate">
    <w:name w:val="Version and Date"/>
    <w:basedOn w:val="Normal"/>
    <w:next w:val="Normal"/>
    <w:uiPriority w:val="13"/>
    <w:qFormat/>
    <w:rsid w:val="00E26387"/>
    <w:pPr>
      <w:spacing w:line="240" w:lineRule="auto"/>
      <w:ind w:left="6804" w:right="260"/>
      <w:jc w:val="right"/>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E26387"/>
    <w:pPr>
      <w:spacing w:line="240" w:lineRule="auto"/>
    </w:pPr>
    <w:rPr>
      <w:rFonts w:asciiTheme="minorHAnsi" w:eastAsiaTheme="minorHAnsi" w:hAnsiTheme="minorHAnsi" w:cstheme="minorBidi"/>
      <w:i/>
      <w:szCs w:val="22"/>
      <w:lang w:eastAsia="en-US"/>
    </w:rPr>
  </w:style>
  <w:style w:type="character" w:customStyle="1" w:styleId="Heading4Char">
    <w:name w:val="Heading 4 Char"/>
    <w:basedOn w:val="DefaultParagraphFont"/>
    <w:link w:val="Heading4"/>
    <w:uiPriority w:val="8"/>
    <w:rsid w:val="00E26387"/>
    <w:rPr>
      <w:rFonts w:ascii="Arial" w:hAnsi="Arial"/>
      <w:b/>
      <w:sz w:val="22"/>
      <w:szCs w:val="24"/>
    </w:rPr>
  </w:style>
  <w:style w:type="paragraph" w:customStyle="1" w:styleId="Default">
    <w:name w:val="Default"/>
    <w:rsid w:val="00E26387"/>
    <w:pPr>
      <w:autoSpaceDE w:val="0"/>
      <w:autoSpaceDN w:val="0"/>
      <w:adjustRightInd w:val="0"/>
    </w:pPr>
    <w:rPr>
      <w:rFonts w:ascii="Arial" w:eastAsiaTheme="minorHAnsi" w:hAnsi="Arial" w:cs="Arial"/>
      <w:color w:val="000000"/>
      <w:sz w:val="24"/>
      <w:szCs w:val="24"/>
      <w:lang w:eastAsia="en-US"/>
    </w:rPr>
  </w:style>
  <w:style w:type="table" w:styleId="LightList-Accent6">
    <w:name w:val="Light List Accent 6"/>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4D4D4D" w:themeFill="accent6"/>
      </w:tcPr>
    </w:tblStylePr>
    <w:tblStylePr w:type="lastRow">
      <w:pPr>
        <w:wordWrap/>
        <w:spacing w:beforeLines="0" w:before="40" w:beforeAutospacing="0" w:afterLines="0" w:after="40" w:afterAutospacing="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2Horz">
      <w:tblPr/>
      <w:tcPr>
        <w:shd w:val="clear" w:color="auto" w:fill="D9EDD0" w:themeFill="accent4" w:themeFillTint="66"/>
      </w:tcPr>
    </w:tblStylePr>
  </w:style>
  <w:style w:type="table" w:styleId="LightList-Accent3">
    <w:name w:val="Light List Accent 3"/>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8A00" w:themeColor="accent2"/>
        <w:left w:val="single" w:sz="8" w:space="0" w:color="008A00" w:themeColor="accent2"/>
        <w:bottom w:val="single" w:sz="8" w:space="0" w:color="008A00" w:themeColor="accent2"/>
        <w:right w:val="single" w:sz="8" w:space="0" w:color="008A00" w:themeColor="accent2"/>
        <w:insideH w:val="single" w:sz="8" w:space="0" w:color="008A00" w:themeColor="accent2"/>
        <w:insideV w:val="single" w:sz="8" w:space="0" w:color="008A00"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2FB56A" w:themeFill="accent3"/>
      </w:tcPr>
    </w:tblStylePr>
    <w:tblStylePr w:type="lastRow">
      <w:pPr>
        <w:wordWrap/>
        <w:spacing w:beforeLines="0" w:before="40" w:beforeAutospacing="0" w:afterLines="0" w:after="40" w:afterAutospacing="0" w:line="240" w:lineRule="auto"/>
      </w:pPr>
      <w:rPr>
        <w:b/>
        <w:bCs/>
      </w:rPr>
      <w:tblPr/>
      <w:tcPr>
        <w:tcBorders>
          <w:top w:val="double" w:sz="6" w:space="0" w:color="2FB56A" w:themeColor="accent3"/>
          <w:left w:val="single" w:sz="8" w:space="0" w:color="2FB56A" w:themeColor="accent3"/>
          <w:bottom w:val="single" w:sz="8" w:space="0" w:color="2FB56A" w:themeColor="accent3"/>
          <w:right w:val="single" w:sz="8" w:space="0" w:color="2FB56A" w:themeColor="accent3"/>
        </w:tcBorders>
      </w:tcPr>
    </w:tblStylePr>
    <w:tblStylePr w:type="firstCol">
      <w:rPr>
        <w:b/>
        <w:bCs/>
      </w:rPr>
    </w:tblStylePr>
    <w:tblStylePr w:type="lastCol">
      <w:rPr>
        <w:b/>
        <w:bCs/>
      </w:rPr>
    </w:tblStylePr>
    <w:tblStylePr w:type="band1Vert">
      <w:tblPr/>
      <w:tcPr>
        <w:tcBorders>
          <w:top w:val="single" w:sz="8" w:space="0" w:color="2FB56A" w:themeColor="accent3"/>
          <w:left w:val="single" w:sz="8" w:space="0" w:color="2FB56A" w:themeColor="accent3"/>
          <w:bottom w:val="single" w:sz="8" w:space="0" w:color="2FB56A" w:themeColor="accent3"/>
          <w:right w:val="single" w:sz="8" w:space="0" w:color="2FB56A" w:themeColor="accent3"/>
        </w:tcBorders>
      </w:tcPr>
    </w:tblStylePr>
    <w:tblStylePr w:type="band1Horz">
      <w:tblPr/>
      <w:tcPr>
        <w:tcBorders>
          <w:top w:val="single" w:sz="8" w:space="0" w:color="2FB56A" w:themeColor="accent3"/>
          <w:left w:val="single" w:sz="8" w:space="0" w:color="2FB56A" w:themeColor="accent3"/>
          <w:bottom w:val="single" w:sz="8" w:space="0" w:color="2FB56A" w:themeColor="accent3"/>
          <w:right w:val="single" w:sz="8" w:space="0" w:color="2FB56A" w:themeColor="accent3"/>
        </w:tcBorders>
      </w:tcPr>
    </w:tblStylePr>
    <w:tblStylePr w:type="band2Horz">
      <w:tblPr/>
      <w:tcPr>
        <w:tcBorders>
          <w:top w:val="single" w:sz="8" w:space="0" w:color="008A00" w:themeColor="accent2"/>
          <w:left w:val="single" w:sz="8" w:space="0" w:color="008A00" w:themeColor="accent2"/>
          <w:bottom w:val="single" w:sz="8" w:space="0" w:color="008A00" w:themeColor="accent2"/>
          <w:right w:val="single" w:sz="8" w:space="0" w:color="008A00" w:themeColor="accent2"/>
          <w:insideH w:val="single" w:sz="8" w:space="0" w:color="008A00" w:themeColor="accent2"/>
          <w:insideV w:val="single" w:sz="8" w:space="0" w:color="008A00" w:themeColor="accent2"/>
          <w:tl2br w:val="nil"/>
          <w:tr2bl w:val="nil"/>
        </w:tcBorders>
        <w:shd w:val="clear" w:color="auto" w:fill="A2D28A" w:themeFill="accent4"/>
      </w:tcPr>
    </w:tblStylePr>
  </w:style>
  <w:style w:type="table" w:styleId="LightShading-Accent4">
    <w:name w:val="Light Shading Accent 4"/>
    <w:basedOn w:val="TableNormal"/>
    <w:uiPriority w:val="60"/>
    <w:rsid w:val="00E26387"/>
    <w:rPr>
      <w:rFonts w:asciiTheme="minorHAnsi" w:eastAsiaTheme="minorHAnsi" w:hAnsiTheme="minorHAnsi" w:cstheme="minorBidi"/>
      <w:color w:val="6FB94A" w:themeColor="accent4" w:themeShade="BF"/>
      <w:sz w:val="22"/>
      <w:szCs w:val="22"/>
      <w:lang w:eastAsia="en-US"/>
    </w:rPr>
    <w:tblPr>
      <w:tblStyleRowBandSize w:val="1"/>
      <w:tblStyleColBandSize w:val="1"/>
      <w:tblBorders>
        <w:top w:val="single" w:sz="8" w:space="0" w:color="A2D28A" w:themeColor="accent4"/>
        <w:bottom w:val="single" w:sz="8" w:space="0" w:color="A2D28A" w:themeColor="accent4"/>
      </w:tblBorders>
    </w:tblPr>
    <w:tblStylePr w:type="firstRow">
      <w:pPr>
        <w:spacing w:before="0" w:after="0" w:line="240" w:lineRule="auto"/>
      </w:pPr>
      <w:rPr>
        <w:b/>
        <w:bCs/>
      </w:rPr>
      <w:tblPr/>
      <w:tcPr>
        <w:tcBorders>
          <w:top w:val="single" w:sz="8" w:space="0" w:color="A2D28A" w:themeColor="accent4"/>
          <w:left w:val="nil"/>
          <w:bottom w:val="single" w:sz="8" w:space="0" w:color="A2D28A" w:themeColor="accent4"/>
          <w:right w:val="nil"/>
          <w:insideH w:val="nil"/>
          <w:insideV w:val="nil"/>
        </w:tcBorders>
      </w:tcPr>
    </w:tblStylePr>
    <w:tblStylePr w:type="lastRow">
      <w:pPr>
        <w:spacing w:before="0" w:after="0" w:line="240" w:lineRule="auto"/>
      </w:pPr>
      <w:rPr>
        <w:b/>
        <w:bCs/>
      </w:rPr>
      <w:tblPr/>
      <w:tcPr>
        <w:tcBorders>
          <w:top w:val="single" w:sz="8" w:space="0" w:color="A2D28A" w:themeColor="accent4"/>
          <w:left w:val="nil"/>
          <w:bottom w:val="single" w:sz="8" w:space="0" w:color="A2D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E1" w:themeFill="accent4" w:themeFillTint="3F"/>
      </w:tcPr>
    </w:tblStylePr>
    <w:tblStylePr w:type="band1Horz">
      <w:tblPr/>
      <w:tcPr>
        <w:tcBorders>
          <w:left w:val="nil"/>
          <w:right w:val="nil"/>
          <w:insideH w:val="nil"/>
          <w:insideV w:val="nil"/>
        </w:tcBorders>
        <w:shd w:val="clear" w:color="auto" w:fill="E7F3E1" w:themeFill="accent4" w:themeFillTint="3F"/>
      </w:tcPr>
    </w:tblStylePr>
  </w:style>
  <w:style w:type="paragraph" w:styleId="ListBullet2">
    <w:name w:val="List Bullet 2"/>
    <w:basedOn w:val="ListBullet"/>
    <w:uiPriority w:val="3"/>
    <w:qFormat/>
    <w:rsid w:val="00E26387"/>
    <w:pPr>
      <w:numPr>
        <w:numId w:val="2"/>
      </w:numPr>
      <w:tabs>
        <w:tab w:val="num" w:pos="1080"/>
      </w:tabs>
      <w:spacing w:before="0" w:after="120" w:line="240" w:lineRule="auto"/>
      <w:ind w:left="1080"/>
      <w:contextualSpacing/>
    </w:pPr>
    <w:rPr>
      <w:rFonts w:asciiTheme="minorHAnsi" w:eastAsiaTheme="minorHAnsi" w:hAnsiTheme="minorHAnsi" w:cstheme="minorBidi"/>
      <w:szCs w:val="22"/>
      <w:lang w:eastAsia="en-US"/>
    </w:rPr>
  </w:style>
  <w:style w:type="paragraph" w:customStyle="1" w:styleId="Disclaimer">
    <w:name w:val="Disclaimer"/>
    <w:basedOn w:val="Normal"/>
    <w:uiPriority w:val="16"/>
    <w:qFormat/>
    <w:rsid w:val="00E26387"/>
    <w:pPr>
      <w:spacing w:line="240" w:lineRule="auto"/>
    </w:pPr>
    <w:rPr>
      <w:rFonts w:asciiTheme="minorHAnsi" w:eastAsiaTheme="minorHAnsi" w:hAnsiTheme="minorHAnsi" w:cstheme="minorBidi"/>
      <w:i/>
      <w:szCs w:val="22"/>
      <w:lang w:eastAsia="en-US"/>
    </w:rPr>
  </w:style>
  <w:style w:type="table" w:styleId="MediumShading1">
    <w:name w:val="Medium Shading 1"/>
    <w:basedOn w:val="TableNormal"/>
    <w:uiPriority w:val="63"/>
    <w:rsid w:val="00E26387"/>
    <w:pPr>
      <w:spacing w:before="40" w:after="40" w:line="276" w:lineRule="auto"/>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4">
    <w:name w:val="toc 4"/>
    <w:basedOn w:val="Normal"/>
    <w:next w:val="Normal"/>
    <w:autoRedefine/>
    <w:uiPriority w:val="39"/>
    <w:unhideWhenUsed/>
    <w:rsid w:val="00E26387"/>
    <w:pPr>
      <w:tabs>
        <w:tab w:val="right" w:leader="dot" w:pos="9016"/>
      </w:tabs>
      <w:spacing w:after="100" w:line="240" w:lineRule="auto"/>
    </w:pPr>
    <w:rPr>
      <w:rFonts w:asciiTheme="minorHAnsi" w:eastAsiaTheme="minorHAnsi" w:hAnsiTheme="minorHAnsi" w:cstheme="minorBidi"/>
      <w:i/>
      <w:color w:val="000000" w:themeColor="text1"/>
      <w:szCs w:val="22"/>
      <w:lang w:eastAsia="en-US"/>
    </w:rPr>
  </w:style>
  <w:style w:type="paragraph" w:styleId="TOC3">
    <w:name w:val="toc 3"/>
    <w:basedOn w:val="Normal"/>
    <w:next w:val="Normal"/>
    <w:autoRedefine/>
    <w:uiPriority w:val="39"/>
    <w:unhideWhenUsed/>
    <w:qFormat/>
    <w:rsid w:val="00E26387"/>
    <w:pPr>
      <w:tabs>
        <w:tab w:val="left" w:pos="709"/>
        <w:tab w:val="right" w:leader="dot" w:pos="9016"/>
      </w:tabs>
      <w:spacing w:after="100" w:line="240" w:lineRule="auto"/>
    </w:pPr>
    <w:rPr>
      <w:rFonts w:asciiTheme="minorHAnsi" w:eastAsiaTheme="minorHAnsi" w:hAnsiTheme="minorHAnsi" w:cstheme="minorBidi"/>
      <w:i/>
      <w:noProof/>
      <w:color w:val="000000" w:themeColor="text1"/>
      <w:szCs w:val="22"/>
      <w:lang w:eastAsia="en-US"/>
    </w:rPr>
  </w:style>
  <w:style w:type="table" w:styleId="LightShading-Accent1">
    <w:name w:val="Light Shading Accent 1"/>
    <w:basedOn w:val="TableNormal"/>
    <w:uiPriority w:val="60"/>
    <w:rsid w:val="00E26387"/>
    <w:rPr>
      <w:rFonts w:asciiTheme="minorHAnsi" w:eastAsiaTheme="minorHAnsi" w:hAnsiTheme="minorHAnsi" w:cstheme="minorBidi"/>
      <w:color w:val="003100" w:themeColor="accent1" w:themeShade="BF"/>
      <w:sz w:val="22"/>
      <w:szCs w:val="22"/>
      <w:lang w:eastAsia="en-US"/>
    </w:rPr>
    <w:tblPr>
      <w:tblStyleRowBandSize w:val="1"/>
      <w:tblStyleColBandSize w:val="1"/>
      <w:tblBorders>
        <w:top w:val="single" w:sz="8" w:space="0" w:color="004200" w:themeColor="accent1"/>
        <w:bottom w:val="single" w:sz="8" w:space="0" w:color="004200" w:themeColor="accent1"/>
      </w:tblBorders>
    </w:tblPr>
    <w:tblStylePr w:type="fir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table" w:styleId="LightShading">
    <w:name w:val="Light Shading"/>
    <w:basedOn w:val="TableNormal"/>
    <w:uiPriority w:val="60"/>
    <w:rsid w:val="00E2638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2D28A" w:themeFill="accent4"/>
      </w:tcPr>
    </w:tblStylePr>
  </w:style>
  <w:style w:type="table" w:styleId="LightList-Accent1">
    <w:name w:val="Light List Accent 1"/>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2D28A" w:themeFill="accent4"/>
      </w:tcPr>
    </w:tblStylePr>
  </w:style>
  <w:style w:type="table" w:styleId="LightList-Accent2">
    <w:name w:val="Light List Accent 2"/>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2D28A" w:themeFill="accent4"/>
      </w:tcPr>
    </w:tblStylePr>
  </w:style>
  <w:style w:type="table" w:styleId="MediumShading1-Accent3">
    <w:name w:val="Medium Shading 1 Accent 3"/>
    <w:basedOn w:val="TableNormal"/>
    <w:uiPriority w:val="63"/>
    <w:rsid w:val="00E26387"/>
    <w:pPr>
      <w:spacing w:before="40" w:after="40"/>
    </w:pPr>
    <w:rPr>
      <w:rFonts w:asciiTheme="minorHAnsi" w:eastAsiaTheme="minorHAnsi" w:hAnsiTheme="minorHAnsi" w:cstheme="minorBidi"/>
      <w:sz w:val="22"/>
      <w:szCs w:val="22"/>
      <w:lang w:eastAsia="en-US"/>
    </w:rPr>
    <w:tblPr>
      <w:tblStyleRowBandSize w:val="1"/>
      <w:tblBorders>
        <w:top w:val="single" w:sz="8" w:space="0" w:color="57D38D" w:themeColor="accent3" w:themeTint="BF"/>
        <w:left w:val="single" w:sz="8" w:space="0" w:color="57D38D" w:themeColor="accent3" w:themeTint="BF"/>
        <w:bottom w:val="single" w:sz="8" w:space="0" w:color="57D38D" w:themeColor="accent3" w:themeTint="BF"/>
        <w:right w:val="single" w:sz="8" w:space="0" w:color="57D38D" w:themeColor="accent3" w:themeTint="BF"/>
        <w:insideH w:val="single" w:sz="8" w:space="0" w:color="57D38D"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2FB56A" w:themeFill="accent3"/>
      </w:tcPr>
    </w:tblStylePr>
    <w:tblStylePr w:type="lastRow">
      <w:pPr>
        <w:wordWrap/>
        <w:spacing w:beforeLines="0" w:before="40" w:beforeAutospacing="0" w:afterLines="0" w:after="40" w:afterAutospacing="0" w:line="240" w:lineRule="auto"/>
      </w:pPr>
      <w:rPr>
        <w:b/>
        <w:bCs/>
      </w:rPr>
      <w:tblPr/>
      <w:tcPr>
        <w:tcBorders>
          <w:top w:val="double" w:sz="6" w:space="0" w:color="57D38D" w:themeColor="accent3" w:themeTint="BF"/>
          <w:left w:val="single" w:sz="8" w:space="0" w:color="57D38D" w:themeColor="accent3" w:themeTint="BF"/>
          <w:bottom w:val="single" w:sz="8" w:space="0" w:color="57D38D" w:themeColor="accent3" w:themeTint="BF"/>
          <w:right w:val="single" w:sz="8" w:space="0" w:color="57D38D"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rsid w:val="00E26387"/>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customStyle="1" w:styleId="OrganisationName">
    <w:name w:val="Organisation Name"/>
    <w:basedOn w:val="Normal"/>
    <w:next w:val="Title"/>
    <w:uiPriority w:val="10"/>
    <w:qFormat/>
    <w:rsid w:val="00E26387"/>
    <w:pPr>
      <w:spacing w:line="240" w:lineRule="auto"/>
    </w:pPr>
    <w:rPr>
      <w:rFonts w:asciiTheme="minorHAnsi" w:eastAsiaTheme="minorHAnsi" w:hAnsiTheme="minorHAnsi" w:cstheme="minorBidi"/>
      <w:b/>
      <w:noProof/>
      <w:sz w:val="36"/>
      <w:szCs w:val="36"/>
    </w:rPr>
  </w:style>
  <w:style w:type="paragraph" w:styleId="Caption">
    <w:name w:val="caption"/>
    <w:basedOn w:val="Normal"/>
    <w:next w:val="Normal"/>
    <w:uiPriority w:val="35"/>
    <w:unhideWhenUsed/>
    <w:qFormat/>
    <w:rsid w:val="00E26387"/>
    <w:pPr>
      <w:spacing w:line="240" w:lineRule="auto"/>
    </w:pPr>
    <w:rPr>
      <w:rFonts w:asciiTheme="minorHAnsi" w:eastAsiaTheme="minorHAnsi" w:hAnsiTheme="minorHAnsi" w:cstheme="minorBidi"/>
      <w:bCs/>
      <w:color w:val="004200" w:themeColor="accent1"/>
      <w:szCs w:val="18"/>
      <w:lang w:eastAsia="en-US"/>
    </w:rPr>
  </w:style>
  <w:style w:type="character" w:styleId="PlaceholderText">
    <w:name w:val="Placeholder Text"/>
    <w:basedOn w:val="DefaultParagraphFont"/>
    <w:uiPriority w:val="99"/>
    <w:semiHidden/>
    <w:rsid w:val="00E26387"/>
    <w:rPr>
      <w:color w:val="808080"/>
    </w:rPr>
  </w:style>
  <w:style w:type="table" w:styleId="MediumShading1-Accent1">
    <w:name w:val="Medium Shading 1 Accent 1"/>
    <w:basedOn w:val="TableNormal"/>
    <w:uiPriority w:val="63"/>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single" w:sz="8" w:space="0" w:color="00B10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shd w:val="clear" w:color="auto" w:fill="004200" w:themeFill="accent1"/>
      </w:tcPr>
    </w:tblStylePr>
    <w:tblStylePr w:type="lastRow">
      <w:pPr>
        <w:wordWrap/>
        <w:spacing w:beforeLines="0" w:before="40" w:beforeAutospacing="0" w:afterLines="0" w:after="40" w:afterAutospacing="0" w:line="240" w:lineRule="auto"/>
      </w:pPr>
      <w:rPr>
        <w:b/>
        <w:bCs/>
      </w:rPr>
      <w:tblPr/>
      <w:tcPr>
        <w:tcBorders>
          <w:top w:val="double" w:sz="6"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FF91" w:themeFill="accent1" w:themeFillTint="3F"/>
      </w:tcPr>
    </w:tblStylePr>
    <w:tblStylePr w:type="band1Horz">
      <w:tblPr/>
      <w:tcPr>
        <w:tcBorders>
          <w:insideH w:val="nil"/>
          <w:insideV w:val="nil"/>
        </w:tcBorders>
        <w:shd w:val="clear" w:color="auto" w:fill="91FF91"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E26387"/>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66676A" w:themeFill="accent5" w:themeFillShade="CC"/>
      </w:tcPr>
    </w:tblStylePr>
    <w:tblStylePr w:type="lastRow">
      <w:rPr>
        <w:b/>
        <w:bCs/>
        <w:color w:val="66676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LightList-Accent5">
    <w:name w:val="Light List Accent 5"/>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808285" w:themeColor="accent5"/>
        <w:left w:val="single" w:sz="8" w:space="0" w:color="808285" w:themeColor="accent5"/>
        <w:bottom w:val="single" w:sz="8" w:space="0" w:color="808285" w:themeColor="accent5"/>
        <w:right w:val="single" w:sz="8" w:space="0" w:color="808285" w:themeColor="accent5"/>
        <w:insideH w:val="single" w:sz="8" w:space="0" w:color="808285" w:themeColor="accent5"/>
        <w:insideV w:val="single" w:sz="8" w:space="0" w:color="808285"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5"/>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5"/>
          <w:left w:val="single" w:sz="8" w:space="0" w:color="808285" w:themeColor="accent5"/>
          <w:bottom w:val="single" w:sz="8" w:space="0" w:color="808285" w:themeColor="accent5"/>
          <w:right w:val="single" w:sz="8" w:space="0" w:color="808285" w:themeColor="accent5"/>
        </w:tcBorders>
      </w:tcPr>
    </w:tblStylePr>
    <w:tblStylePr w:type="firstCol">
      <w:rPr>
        <w:b/>
        <w:bCs/>
      </w:rPr>
    </w:tblStylePr>
    <w:tblStylePr w:type="lastCol">
      <w:rPr>
        <w:b/>
        <w:bCs/>
      </w:rPr>
    </w:tblStylePr>
    <w:tblStylePr w:type="band1Vert">
      <w:tblPr/>
      <w:tcPr>
        <w:tcBorders>
          <w:top w:val="single" w:sz="8" w:space="0" w:color="808285" w:themeColor="accent5"/>
          <w:left w:val="single" w:sz="8" w:space="0" w:color="808285" w:themeColor="accent5"/>
          <w:bottom w:val="single" w:sz="8" w:space="0" w:color="808285" w:themeColor="accent5"/>
          <w:right w:val="single" w:sz="8" w:space="0" w:color="808285" w:themeColor="accent5"/>
        </w:tcBorders>
      </w:tcPr>
    </w:tblStylePr>
    <w:tblStylePr w:type="band1Horz">
      <w:tblPr/>
      <w:tcPr>
        <w:tcBorders>
          <w:top w:val="single" w:sz="8" w:space="0" w:color="808285" w:themeColor="accent5"/>
          <w:left w:val="single" w:sz="8" w:space="0" w:color="808285" w:themeColor="accent5"/>
          <w:bottom w:val="single" w:sz="8" w:space="0" w:color="808285" w:themeColor="accent5"/>
          <w:right w:val="single" w:sz="8" w:space="0" w:color="808285" w:themeColor="accent5"/>
        </w:tcBorders>
      </w:tcPr>
    </w:tblStylePr>
    <w:tblStylePr w:type="band2Horz">
      <w:tblPr/>
      <w:tcPr>
        <w:shd w:val="clear" w:color="auto" w:fill="D9EDD0" w:themeFill="accent4" w:themeFillTint="66"/>
      </w:tcPr>
    </w:tblStylePr>
  </w:style>
  <w:style w:type="table" w:styleId="MediumGrid1">
    <w:name w:val="Medium Grid 1"/>
    <w:basedOn w:val="TableNormal"/>
    <w:uiPriority w:val="67"/>
    <w:rsid w:val="00E26387"/>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E26387"/>
    <w:rPr>
      <w:rFonts w:asciiTheme="minorHAnsi" w:eastAsiaTheme="minorHAnsi" w:hAnsiTheme="minorHAnsi" w:cstheme="minorBidi"/>
      <w:color w:val="393939" w:themeColor="accent6" w:themeShade="BF"/>
      <w:sz w:val="22"/>
      <w:szCs w:val="22"/>
      <w:lang w:eastAsia="en-US"/>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MediumShading1-Accent2">
    <w:name w:val="Medium Shading 1 Accent 2"/>
    <w:basedOn w:val="TableNormal"/>
    <w:uiPriority w:val="63"/>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E700" w:themeColor="accent2" w:themeTint="BF"/>
        <w:left w:val="single" w:sz="8" w:space="0" w:color="00E700" w:themeColor="accent2" w:themeTint="BF"/>
        <w:bottom w:val="single" w:sz="8" w:space="0" w:color="00E700" w:themeColor="accent2" w:themeTint="BF"/>
        <w:right w:val="single" w:sz="8" w:space="0" w:color="00E700" w:themeColor="accent2" w:themeTint="BF"/>
        <w:insideH w:val="single" w:sz="8" w:space="0" w:color="00E700"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E700" w:themeColor="accent2" w:themeTint="BF"/>
          <w:left w:val="single" w:sz="8" w:space="0" w:color="00E700" w:themeColor="accent2" w:themeTint="BF"/>
          <w:bottom w:val="single" w:sz="8" w:space="0" w:color="00E700" w:themeColor="accent2" w:themeTint="BF"/>
          <w:right w:val="single" w:sz="8" w:space="0" w:color="00E700" w:themeColor="accent2" w:themeTint="BF"/>
          <w:insideH w:val="nil"/>
          <w:insideV w:val="nil"/>
        </w:tcBorders>
        <w:shd w:val="clear" w:color="auto" w:fill="008A00" w:themeFill="accent2"/>
      </w:tcPr>
    </w:tblStylePr>
    <w:tblStylePr w:type="lastRow">
      <w:pPr>
        <w:wordWrap/>
        <w:spacing w:beforeLines="0" w:before="40" w:beforeAutospacing="0" w:afterLines="0" w:after="400" w:afterAutospacing="0" w:line="240" w:lineRule="auto"/>
      </w:pPr>
      <w:rPr>
        <w:b/>
        <w:bCs/>
      </w:rPr>
      <w:tblPr/>
      <w:tcPr>
        <w:tcBorders>
          <w:top w:val="double" w:sz="6" w:space="0" w:color="00E700" w:themeColor="accent2" w:themeTint="BF"/>
          <w:left w:val="single" w:sz="8" w:space="0" w:color="00E700" w:themeColor="accent2" w:themeTint="BF"/>
          <w:bottom w:val="single" w:sz="8" w:space="0" w:color="00E700" w:themeColor="accent2" w:themeTint="BF"/>
          <w:right w:val="single" w:sz="8" w:space="0" w:color="00E70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3FFA3" w:themeFill="accent2" w:themeFillTint="3F"/>
      </w:tcPr>
    </w:tblStylePr>
    <w:tblStylePr w:type="band1Horz">
      <w:tblPr/>
      <w:tcPr>
        <w:tcBorders>
          <w:insideH w:val="nil"/>
          <w:insideV w:val="nil"/>
        </w:tcBorders>
        <w:shd w:val="clear" w:color="auto" w:fill="A3FFA3"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26387"/>
    <w:rPr>
      <w:rFonts w:asciiTheme="minorHAnsi" w:eastAsiaTheme="minorHAnsi" w:hAnsiTheme="minorHAnsi" w:cstheme="minorBidi"/>
      <w:sz w:val="22"/>
      <w:szCs w:val="22"/>
      <w:lang w:eastAsia="en-US"/>
    </w:rPr>
    <w:tblPr>
      <w:tblStyleRowBandSize w:val="1"/>
      <w:tblStyleColBandSize w:val="1"/>
      <w:tblBorders>
        <w:top w:val="single" w:sz="8"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single" w:sz="8" w:space="0" w:color="B9DDA7" w:themeColor="accent4" w:themeTint="BF"/>
      </w:tblBorders>
    </w:tblPr>
    <w:tblStylePr w:type="firstRow">
      <w:pPr>
        <w:spacing w:before="0" w:after="0" w:line="240" w:lineRule="auto"/>
      </w:pPr>
      <w:rPr>
        <w:b/>
        <w:bCs/>
        <w:color w:val="FFFFFF" w:themeColor="background1"/>
      </w:rPr>
      <w:tblPr/>
      <w:tcPr>
        <w:tcBorders>
          <w:top w:val="single" w:sz="8"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nil"/>
          <w:insideV w:val="nil"/>
        </w:tcBorders>
        <w:shd w:val="clear" w:color="auto" w:fill="A2D28A" w:themeFill="accent4"/>
      </w:tcPr>
    </w:tblStylePr>
    <w:tblStylePr w:type="lastRow">
      <w:pPr>
        <w:spacing w:before="0" w:after="0" w:line="240" w:lineRule="auto"/>
      </w:pPr>
      <w:rPr>
        <w:b/>
        <w:bCs/>
      </w:rPr>
      <w:tblPr/>
      <w:tcPr>
        <w:tcBorders>
          <w:top w:val="double" w:sz="6"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E1" w:themeFill="accent4" w:themeFillTint="3F"/>
      </w:tcPr>
    </w:tblStylePr>
    <w:tblStylePr w:type="band1Horz">
      <w:tblPr/>
      <w:tcPr>
        <w:tcBorders>
          <w:insideH w:val="nil"/>
          <w:insideV w:val="nil"/>
        </w:tcBorders>
        <w:shd w:val="clear" w:color="auto" w:fill="E7F3E1"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E26387"/>
    <w:rPr>
      <w:rFonts w:asciiTheme="minorHAnsi" w:eastAsiaTheme="minorHAnsi" w:hAnsiTheme="minorHAnsi" w:cstheme="minorBidi"/>
      <w:sz w:val="22"/>
      <w:szCs w:val="22"/>
      <w:lang w:eastAsia="en-US"/>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MediumShading1-Accent5">
    <w:name w:val="Medium Shading 1 Accent 5"/>
    <w:basedOn w:val="TableNormal"/>
    <w:uiPriority w:val="63"/>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808285" w:themeColor="accent5"/>
        <w:left w:val="single" w:sz="8" w:space="0" w:color="808285" w:themeColor="accent5"/>
        <w:bottom w:val="single" w:sz="8" w:space="0" w:color="808285" w:themeColor="accent5"/>
        <w:right w:val="single" w:sz="8" w:space="0" w:color="808285" w:themeColor="accent5"/>
        <w:insideH w:val="single" w:sz="8" w:space="0" w:color="808285" w:themeColor="accent5"/>
        <w:insideV w:val="single" w:sz="8" w:space="0" w:color="808285"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5"/>
          <w:left w:val="single" w:sz="8" w:space="0" w:color="808285" w:themeColor="accent5"/>
          <w:bottom w:val="single" w:sz="8" w:space="0" w:color="808285" w:themeColor="accent5"/>
          <w:right w:val="single" w:sz="8" w:space="0" w:color="808285" w:themeColor="accent5"/>
          <w:insideH w:val="single" w:sz="8" w:space="0" w:color="808285" w:themeColor="accent5"/>
          <w:insideV w:val="single" w:sz="8" w:space="0" w:color="808285" w:themeColor="accent5"/>
        </w:tcBorders>
        <w:shd w:val="clear" w:color="auto" w:fill="808285" w:themeFill="accent5"/>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5"/>
          <w:left w:val="single" w:sz="8" w:space="0" w:color="808285" w:themeColor="accent5"/>
          <w:bottom w:val="single" w:sz="8" w:space="0" w:color="808285" w:themeColor="accent5"/>
          <w:right w:val="single" w:sz="8" w:space="0" w:color="808285" w:themeColor="accent5"/>
          <w:insideH w:val="nil"/>
          <w:insideV w:val="nil"/>
        </w:tcBorders>
      </w:tcPr>
    </w:tblStylePr>
    <w:tblStylePr w:type="firstCol">
      <w:rPr>
        <w:b/>
        <w:bCs/>
      </w:rPr>
    </w:tblStylePr>
    <w:tblStylePr w:type="lastCol">
      <w:rPr>
        <w:b/>
        <w:bCs/>
      </w:rPr>
    </w:tblStylePr>
    <w:tblStylePr w:type="band1Vert">
      <w:tblPr/>
      <w:tcPr>
        <w:shd w:val="clear" w:color="auto" w:fill="DFE0E0" w:themeFill="accent5" w:themeFillTint="3F"/>
      </w:tcPr>
    </w:tblStylePr>
    <w:tblStylePr w:type="band1Horz">
      <w:tblPr/>
      <w:tcPr>
        <w:tcBorders>
          <w:insideH w:val="nil"/>
          <w:insideV w:val="nil"/>
        </w:tcBorders>
        <w:shd w:val="clear" w:color="auto" w:fill="DFE0E0"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2FB56A" w:themeColor="accent3"/>
        <w:left w:val="single" w:sz="8" w:space="0" w:color="2FB56A" w:themeColor="accent3"/>
        <w:bottom w:val="single" w:sz="8" w:space="0" w:color="2FB56A" w:themeColor="accent3"/>
        <w:right w:val="single" w:sz="8" w:space="0" w:color="2FB56A" w:themeColor="accent3"/>
        <w:insideH w:val="single" w:sz="8" w:space="0" w:color="2FB56A" w:themeColor="accent3"/>
        <w:insideV w:val="single" w:sz="8" w:space="0" w:color="2FB56A"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2FB56A" w:themeColor="accent3"/>
          <w:left w:val="single" w:sz="8" w:space="0" w:color="2FB56A" w:themeColor="accent3"/>
          <w:bottom w:val="single" w:sz="8" w:space="0" w:color="2FB56A" w:themeColor="accent3"/>
          <w:right w:val="single" w:sz="8" w:space="0" w:color="2FB56A" w:themeColor="accent3"/>
          <w:insideH w:val="single" w:sz="8" w:space="0" w:color="2FB56A" w:themeColor="accent3"/>
          <w:insideV w:val="single" w:sz="8" w:space="0" w:color="2FB56A" w:themeColor="accent3"/>
        </w:tcBorders>
        <w:shd w:val="clear" w:color="auto" w:fill="2FB56A" w:themeFill="accent3"/>
      </w:tcPr>
    </w:tblStylePr>
    <w:tblStylePr w:type="lastRow">
      <w:pPr>
        <w:wordWrap/>
        <w:spacing w:beforeLines="0" w:before="40" w:beforeAutospacing="0" w:afterLines="0" w:after="40" w:afterAutospacing="0" w:line="240" w:lineRule="auto"/>
      </w:pPr>
      <w:rPr>
        <w:b/>
        <w:bCs/>
      </w:rPr>
      <w:tblPr/>
      <w:tcPr>
        <w:tcBorders>
          <w:top w:val="double" w:sz="6" w:space="0" w:color="2FB56A" w:themeColor="accent3"/>
          <w:left w:val="single" w:sz="8" w:space="0" w:color="2FB56A" w:themeColor="accent3"/>
          <w:bottom w:val="single" w:sz="8" w:space="0" w:color="2FB56A" w:themeColor="accent3"/>
          <w:right w:val="single" w:sz="8" w:space="0" w:color="2FB56A" w:themeColor="accent3"/>
          <w:insideH w:val="nil"/>
          <w:insideV w:val="single" w:sz="8" w:space="0" w:color="2FB56A" w:themeColor="accent3"/>
          <w:tl2br w:val="nil"/>
          <w:tr2bl w:val="nil"/>
        </w:tcBorders>
      </w:tcPr>
    </w:tblStylePr>
    <w:tblStylePr w:type="firstCol">
      <w:rPr>
        <w:b/>
        <w:bCs/>
      </w:rPr>
    </w:tblStylePr>
    <w:tblStylePr w:type="lastCol">
      <w:rPr>
        <w:b/>
        <w:bCs/>
      </w:rPr>
    </w:tblStylePr>
    <w:tblStylePr w:type="band1Vert">
      <w:tblPr/>
      <w:tcPr>
        <w:tcBorders>
          <w:top w:val="single" w:sz="8" w:space="0" w:color="A2D28A" w:themeColor="accent4"/>
          <w:left w:val="single" w:sz="8" w:space="0" w:color="A2D28A" w:themeColor="accent4"/>
          <w:bottom w:val="single" w:sz="8" w:space="0" w:color="A2D28A" w:themeColor="accent4"/>
          <w:right w:val="single" w:sz="8" w:space="0" w:color="A2D28A" w:themeColor="accent4"/>
        </w:tcBorders>
      </w:tcPr>
    </w:tblStylePr>
    <w:tblStylePr w:type="band1Horz">
      <w:tblPr/>
      <w:tcPr>
        <w:tcBorders>
          <w:top w:val="single" w:sz="8" w:space="0" w:color="A2D28A" w:themeColor="accent4"/>
          <w:left w:val="single" w:sz="8" w:space="0" w:color="A2D28A" w:themeColor="accent4"/>
          <w:bottom w:val="single" w:sz="8" w:space="0" w:color="A2D28A" w:themeColor="accent4"/>
          <w:right w:val="single" w:sz="8" w:space="0" w:color="A2D28A" w:themeColor="accent4"/>
        </w:tcBorders>
      </w:tcPr>
    </w:tblStylePr>
    <w:tblStylePr w:type="band2Horz">
      <w:tblPr/>
      <w:tcPr>
        <w:shd w:val="clear" w:color="auto" w:fill="A2D28A" w:themeFill="accent4"/>
      </w:tcPr>
    </w:tblStylePr>
  </w:style>
  <w:style w:type="paragraph" w:customStyle="1" w:styleId="TitlePlain">
    <w:name w:val="Title Plain"/>
    <w:basedOn w:val="Title"/>
    <w:link w:val="TitlePlainChar"/>
    <w:qFormat/>
    <w:rsid w:val="00E26387"/>
    <w:pPr>
      <w:spacing w:before="6000" w:after="300" w:line="240" w:lineRule="auto"/>
      <w:ind w:right="3095"/>
      <w:outlineLvl w:val="9"/>
    </w:pPr>
    <w:rPr>
      <w:rFonts w:asciiTheme="majorHAnsi" w:eastAsiaTheme="majorEastAsia" w:hAnsiTheme="majorHAnsi" w:cstheme="majorBidi"/>
      <w:b w:val="0"/>
      <w:bCs w:val="0"/>
      <w:caps w:val="0"/>
      <w:color w:val="000000" w:themeColor="text1"/>
      <w:spacing w:val="5"/>
      <w:sz w:val="72"/>
      <w:szCs w:val="72"/>
    </w:rPr>
  </w:style>
  <w:style w:type="paragraph" w:customStyle="1" w:styleId="VersionandDatePlain">
    <w:name w:val="Version and Date Plain"/>
    <w:basedOn w:val="VersionandDate"/>
    <w:qFormat/>
    <w:rsid w:val="00E26387"/>
    <w:pPr>
      <w:ind w:left="0"/>
      <w:jc w:val="left"/>
    </w:pPr>
  </w:style>
  <w:style w:type="paragraph" w:customStyle="1" w:styleId="SubtitlePlain">
    <w:name w:val="Subtitle Plain"/>
    <w:basedOn w:val="Normal"/>
    <w:qFormat/>
    <w:rsid w:val="00E26387"/>
    <w:pPr>
      <w:spacing w:line="240" w:lineRule="auto"/>
      <w:ind w:right="3095"/>
    </w:pPr>
    <w:rPr>
      <w:rFonts w:asciiTheme="minorHAnsi" w:eastAsiaTheme="minorHAnsi" w:hAnsiTheme="minorHAnsi" w:cstheme="minorBidi"/>
      <w:sz w:val="40"/>
      <w:szCs w:val="40"/>
    </w:rPr>
  </w:style>
  <w:style w:type="paragraph" w:customStyle="1" w:styleId="VesionanddatePlain">
    <w:name w:val="Vesion and date Plain"/>
    <w:basedOn w:val="Normal"/>
    <w:qFormat/>
    <w:rsid w:val="00E26387"/>
    <w:pPr>
      <w:spacing w:line="240" w:lineRule="auto"/>
      <w:ind w:right="3095"/>
    </w:pPr>
    <w:rPr>
      <w:rFonts w:asciiTheme="minorHAnsi" w:eastAsiaTheme="minorHAnsi" w:hAnsiTheme="minorHAnsi" w:cstheme="minorBidi"/>
      <w:sz w:val="28"/>
      <w:szCs w:val="22"/>
      <w:lang w:eastAsia="en-US"/>
    </w:rPr>
  </w:style>
  <w:style w:type="character" w:customStyle="1" w:styleId="TitlePlainChar">
    <w:name w:val="Title Plain Char"/>
    <w:basedOn w:val="TitleChar"/>
    <w:link w:val="TitlePlain"/>
    <w:rsid w:val="00E26387"/>
    <w:rPr>
      <w:rFonts w:asciiTheme="majorHAnsi" w:eastAsiaTheme="majorEastAsia" w:hAnsiTheme="majorHAnsi" w:cstheme="majorBidi"/>
      <w:b w:val="0"/>
      <w:bCs w:val="0"/>
      <w:caps w:val="0"/>
      <w:color w:val="000000" w:themeColor="text1"/>
      <w:spacing w:val="5"/>
      <w:kern w:val="28"/>
      <w:sz w:val="72"/>
      <w:szCs w:val="72"/>
    </w:rPr>
  </w:style>
  <w:style w:type="character" w:styleId="PageNumber">
    <w:name w:val="page number"/>
    <w:rsid w:val="00E26387"/>
    <w:rPr>
      <w:rFonts w:cs="Times New Roman"/>
    </w:rPr>
  </w:style>
  <w:style w:type="paragraph" w:customStyle="1" w:styleId="CEITitle">
    <w:name w:val="CEI Title"/>
    <w:basedOn w:val="Heading1"/>
    <w:autoRedefine/>
    <w:rsid w:val="00E26387"/>
    <w:pPr>
      <w:tabs>
        <w:tab w:val="num" w:pos="1492"/>
      </w:tabs>
      <w:spacing w:before="200" w:after="480" w:line="240" w:lineRule="auto"/>
      <w:ind w:firstLine="357"/>
      <w:contextualSpacing w:val="0"/>
    </w:pPr>
    <w:rPr>
      <w:rFonts w:asciiTheme="majorHAnsi" w:eastAsiaTheme="majorEastAsia" w:hAnsiTheme="majorHAnsi" w:cstheme="majorBidi"/>
      <w:bCs/>
      <w:caps w:val="0"/>
      <w:color w:val="F8F8F8" w:themeColor="background2"/>
      <w:sz w:val="32"/>
      <w:szCs w:val="28"/>
      <w:lang w:eastAsia="en-US"/>
    </w:rPr>
  </w:style>
  <w:style w:type="paragraph" w:styleId="BlockText">
    <w:name w:val="Block Text"/>
    <w:basedOn w:val="Normal"/>
    <w:semiHidden/>
    <w:rsid w:val="00E26387"/>
    <w:pPr>
      <w:spacing w:before="120" w:line="240" w:lineRule="auto"/>
      <w:ind w:left="1440" w:right="1440"/>
    </w:pPr>
    <w:rPr>
      <w:sz w:val="20"/>
      <w:szCs w:val="22"/>
      <w:lang w:eastAsia="en-US"/>
    </w:rPr>
  </w:style>
  <w:style w:type="paragraph" w:styleId="BodyText">
    <w:name w:val="Body Text"/>
    <w:basedOn w:val="Normal"/>
    <w:link w:val="BodyTextChar"/>
    <w:autoRedefine/>
    <w:rsid w:val="00E26387"/>
    <w:pPr>
      <w:spacing w:before="120" w:line="240" w:lineRule="auto"/>
    </w:pPr>
    <w:rPr>
      <w:b/>
      <w:i/>
      <w:sz w:val="20"/>
      <w:szCs w:val="22"/>
      <w:lang w:eastAsia="en-US"/>
    </w:rPr>
  </w:style>
  <w:style w:type="character" w:customStyle="1" w:styleId="BodyTextChar">
    <w:name w:val="Body Text Char"/>
    <w:basedOn w:val="DefaultParagraphFont"/>
    <w:link w:val="BodyText"/>
    <w:rsid w:val="00E26387"/>
    <w:rPr>
      <w:rFonts w:ascii="Arial" w:hAnsi="Arial"/>
      <w:b/>
      <w:i/>
      <w:szCs w:val="22"/>
      <w:lang w:eastAsia="en-US"/>
    </w:rPr>
  </w:style>
  <w:style w:type="paragraph" w:styleId="BodyTextFirstIndent">
    <w:name w:val="Body Text First Indent"/>
    <w:basedOn w:val="BodyText"/>
    <w:link w:val="BodyTextFirstIndentChar"/>
    <w:semiHidden/>
    <w:rsid w:val="00E26387"/>
    <w:pPr>
      <w:ind w:firstLine="210"/>
    </w:pPr>
  </w:style>
  <w:style w:type="character" w:customStyle="1" w:styleId="BodyTextFirstIndentChar">
    <w:name w:val="Body Text First Indent Char"/>
    <w:basedOn w:val="BodyTextChar"/>
    <w:link w:val="BodyTextFirstIndent"/>
    <w:semiHidden/>
    <w:rsid w:val="00E26387"/>
    <w:rPr>
      <w:rFonts w:ascii="Arial" w:hAnsi="Arial"/>
      <w:b/>
      <w:i/>
      <w:szCs w:val="22"/>
      <w:lang w:eastAsia="en-US"/>
    </w:rPr>
  </w:style>
  <w:style w:type="paragraph" w:styleId="BodyTextIndent">
    <w:name w:val="Body Text Indent"/>
    <w:basedOn w:val="Normal"/>
    <w:link w:val="BodyTextIndentChar"/>
    <w:semiHidden/>
    <w:rsid w:val="00E26387"/>
    <w:pPr>
      <w:spacing w:before="120" w:line="240" w:lineRule="auto"/>
      <w:ind w:left="283"/>
    </w:pPr>
    <w:rPr>
      <w:sz w:val="20"/>
      <w:szCs w:val="22"/>
      <w:lang w:eastAsia="en-US"/>
    </w:rPr>
  </w:style>
  <w:style w:type="character" w:customStyle="1" w:styleId="BodyTextIndentChar">
    <w:name w:val="Body Text Indent Char"/>
    <w:basedOn w:val="DefaultParagraphFont"/>
    <w:link w:val="BodyTextIndent"/>
    <w:semiHidden/>
    <w:rsid w:val="00E26387"/>
    <w:rPr>
      <w:rFonts w:ascii="Arial" w:hAnsi="Arial"/>
      <w:szCs w:val="22"/>
      <w:lang w:eastAsia="en-US"/>
    </w:rPr>
  </w:style>
  <w:style w:type="paragraph" w:styleId="BodyTextFirstIndent2">
    <w:name w:val="Body Text First Indent 2"/>
    <w:basedOn w:val="BodyTextIndent"/>
    <w:link w:val="BodyTextFirstIndent2Char"/>
    <w:semiHidden/>
    <w:rsid w:val="00E26387"/>
    <w:pPr>
      <w:ind w:firstLine="210"/>
    </w:pPr>
  </w:style>
  <w:style w:type="character" w:customStyle="1" w:styleId="BodyTextFirstIndent2Char">
    <w:name w:val="Body Text First Indent 2 Char"/>
    <w:basedOn w:val="BodyTextIndentChar"/>
    <w:link w:val="BodyTextFirstIndent2"/>
    <w:semiHidden/>
    <w:rsid w:val="00E26387"/>
    <w:rPr>
      <w:rFonts w:ascii="Arial" w:hAnsi="Arial"/>
      <w:szCs w:val="22"/>
      <w:lang w:eastAsia="en-US"/>
    </w:rPr>
  </w:style>
  <w:style w:type="paragraph" w:styleId="BodyTextIndent2">
    <w:name w:val="Body Text Indent 2"/>
    <w:basedOn w:val="Normal"/>
    <w:link w:val="BodyTextIndent2Char"/>
    <w:semiHidden/>
    <w:rsid w:val="00E26387"/>
    <w:pPr>
      <w:spacing w:before="120" w:line="480" w:lineRule="auto"/>
      <w:ind w:left="283"/>
    </w:pPr>
    <w:rPr>
      <w:sz w:val="20"/>
      <w:szCs w:val="22"/>
      <w:lang w:eastAsia="en-US"/>
    </w:rPr>
  </w:style>
  <w:style w:type="character" w:customStyle="1" w:styleId="BodyTextIndent2Char">
    <w:name w:val="Body Text Indent 2 Char"/>
    <w:basedOn w:val="DefaultParagraphFont"/>
    <w:link w:val="BodyTextIndent2"/>
    <w:semiHidden/>
    <w:rsid w:val="00E26387"/>
    <w:rPr>
      <w:rFonts w:ascii="Arial" w:hAnsi="Arial"/>
      <w:szCs w:val="22"/>
      <w:lang w:eastAsia="en-US"/>
    </w:rPr>
  </w:style>
  <w:style w:type="paragraph" w:styleId="BodyTextIndent3">
    <w:name w:val="Body Text Indent 3"/>
    <w:basedOn w:val="Normal"/>
    <w:link w:val="BodyTextIndent3Char"/>
    <w:semiHidden/>
    <w:rsid w:val="00E26387"/>
    <w:pPr>
      <w:spacing w:before="120" w:line="240" w:lineRule="auto"/>
      <w:ind w:left="283"/>
    </w:pPr>
    <w:rPr>
      <w:sz w:val="16"/>
      <w:szCs w:val="16"/>
      <w:lang w:eastAsia="en-US"/>
    </w:rPr>
  </w:style>
  <w:style w:type="character" w:customStyle="1" w:styleId="BodyTextIndent3Char">
    <w:name w:val="Body Text Indent 3 Char"/>
    <w:basedOn w:val="DefaultParagraphFont"/>
    <w:link w:val="BodyTextIndent3"/>
    <w:semiHidden/>
    <w:rsid w:val="00E26387"/>
    <w:rPr>
      <w:rFonts w:ascii="Arial" w:hAnsi="Arial"/>
      <w:sz w:val="16"/>
      <w:szCs w:val="16"/>
      <w:lang w:eastAsia="en-US"/>
    </w:rPr>
  </w:style>
  <w:style w:type="paragraph" w:styleId="Closing">
    <w:name w:val="Closing"/>
    <w:basedOn w:val="Normal"/>
    <w:link w:val="ClosingChar"/>
    <w:semiHidden/>
    <w:rsid w:val="00E26387"/>
    <w:pPr>
      <w:spacing w:before="120" w:line="240" w:lineRule="auto"/>
      <w:ind w:left="4252"/>
    </w:pPr>
    <w:rPr>
      <w:sz w:val="20"/>
      <w:szCs w:val="22"/>
      <w:lang w:eastAsia="en-US"/>
    </w:rPr>
  </w:style>
  <w:style w:type="character" w:customStyle="1" w:styleId="ClosingChar">
    <w:name w:val="Closing Char"/>
    <w:basedOn w:val="DefaultParagraphFont"/>
    <w:link w:val="Closing"/>
    <w:semiHidden/>
    <w:rsid w:val="00E26387"/>
    <w:rPr>
      <w:rFonts w:ascii="Arial" w:hAnsi="Arial"/>
      <w:szCs w:val="22"/>
      <w:lang w:eastAsia="en-US"/>
    </w:rPr>
  </w:style>
  <w:style w:type="paragraph" w:styleId="E-mailSignature">
    <w:name w:val="E-mail Signature"/>
    <w:basedOn w:val="Normal"/>
    <w:link w:val="E-mailSignatureChar"/>
    <w:semiHidden/>
    <w:rsid w:val="00E26387"/>
    <w:pPr>
      <w:spacing w:before="120" w:line="240" w:lineRule="auto"/>
    </w:pPr>
    <w:rPr>
      <w:sz w:val="20"/>
      <w:szCs w:val="22"/>
      <w:lang w:eastAsia="en-US"/>
    </w:rPr>
  </w:style>
  <w:style w:type="character" w:customStyle="1" w:styleId="E-mailSignatureChar">
    <w:name w:val="E-mail Signature Char"/>
    <w:basedOn w:val="DefaultParagraphFont"/>
    <w:link w:val="E-mailSignature"/>
    <w:semiHidden/>
    <w:rsid w:val="00E26387"/>
    <w:rPr>
      <w:rFonts w:ascii="Arial" w:hAnsi="Arial"/>
      <w:szCs w:val="22"/>
      <w:lang w:eastAsia="en-US"/>
    </w:rPr>
  </w:style>
  <w:style w:type="paragraph" w:styleId="EnvelopeAddress">
    <w:name w:val="envelope address"/>
    <w:basedOn w:val="Normal"/>
    <w:semiHidden/>
    <w:rsid w:val="00E26387"/>
    <w:pPr>
      <w:framePr w:w="7920" w:h="1980" w:hRule="exact" w:hSpace="180" w:wrap="auto" w:hAnchor="page" w:xAlign="center" w:yAlign="bottom"/>
      <w:spacing w:before="120" w:line="240" w:lineRule="auto"/>
      <w:ind w:left="2880"/>
    </w:pPr>
    <w:rPr>
      <w:rFonts w:cs="Arial"/>
      <w:sz w:val="24"/>
      <w:lang w:eastAsia="en-US"/>
    </w:rPr>
  </w:style>
  <w:style w:type="paragraph" w:styleId="EnvelopeReturn">
    <w:name w:val="envelope return"/>
    <w:basedOn w:val="Normal"/>
    <w:semiHidden/>
    <w:rsid w:val="00E26387"/>
    <w:pPr>
      <w:spacing w:before="120" w:line="240" w:lineRule="auto"/>
    </w:pPr>
    <w:rPr>
      <w:rFonts w:cs="Arial"/>
      <w:sz w:val="20"/>
      <w:szCs w:val="20"/>
      <w:lang w:eastAsia="en-US"/>
    </w:rPr>
  </w:style>
  <w:style w:type="character" w:styleId="HTMLAcronym">
    <w:name w:val="HTML Acronym"/>
    <w:semiHidden/>
    <w:rsid w:val="00E26387"/>
    <w:rPr>
      <w:rFonts w:cs="Times New Roman"/>
    </w:rPr>
  </w:style>
  <w:style w:type="paragraph" w:styleId="HTMLAddress">
    <w:name w:val="HTML Address"/>
    <w:basedOn w:val="Normal"/>
    <w:link w:val="HTMLAddressChar"/>
    <w:semiHidden/>
    <w:rsid w:val="00E26387"/>
    <w:pPr>
      <w:spacing w:before="120" w:line="240" w:lineRule="auto"/>
    </w:pPr>
    <w:rPr>
      <w:i/>
      <w:iCs/>
      <w:sz w:val="20"/>
      <w:szCs w:val="22"/>
      <w:lang w:eastAsia="en-US"/>
    </w:rPr>
  </w:style>
  <w:style w:type="character" w:customStyle="1" w:styleId="HTMLAddressChar">
    <w:name w:val="HTML Address Char"/>
    <w:basedOn w:val="DefaultParagraphFont"/>
    <w:link w:val="HTMLAddress"/>
    <w:semiHidden/>
    <w:rsid w:val="00E26387"/>
    <w:rPr>
      <w:rFonts w:ascii="Arial" w:hAnsi="Arial"/>
      <w:i/>
      <w:iCs/>
      <w:szCs w:val="22"/>
      <w:lang w:eastAsia="en-US"/>
    </w:rPr>
  </w:style>
  <w:style w:type="character" w:styleId="HTMLCite">
    <w:name w:val="HTML Cite"/>
    <w:semiHidden/>
    <w:rsid w:val="00E26387"/>
    <w:rPr>
      <w:i/>
    </w:rPr>
  </w:style>
  <w:style w:type="character" w:styleId="HTMLCode">
    <w:name w:val="HTML Code"/>
    <w:semiHidden/>
    <w:rsid w:val="00E26387"/>
    <w:rPr>
      <w:rFonts w:ascii="Courier New" w:hAnsi="Courier New"/>
      <w:sz w:val="20"/>
    </w:rPr>
  </w:style>
  <w:style w:type="character" w:styleId="HTMLDefinition">
    <w:name w:val="HTML Definition"/>
    <w:semiHidden/>
    <w:rsid w:val="00E26387"/>
    <w:rPr>
      <w:i/>
    </w:rPr>
  </w:style>
  <w:style w:type="character" w:styleId="HTMLKeyboard">
    <w:name w:val="HTML Keyboard"/>
    <w:semiHidden/>
    <w:rsid w:val="00E26387"/>
    <w:rPr>
      <w:rFonts w:ascii="Courier New" w:hAnsi="Courier New"/>
      <w:sz w:val="20"/>
    </w:rPr>
  </w:style>
  <w:style w:type="paragraph" w:styleId="HTMLPreformatted">
    <w:name w:val="HTML Preformatted"/>
    <w:basedOn w:val="Normal"/>
    <w:link w:val="HTMLPreformattedChar"/>
    <w:semiHidden/>
    <w:rsid w:val="00E26387"/>
    <w:pPr>
      <w:spacing w:before="12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semiHidden/>
    <w:rsid w:val="00E26387"/>
    <w:rPr>
      <w:rFonts w:ascii="Courier New" w:hAnsi="Courier New" w:cs="Courier New"/>
      <w:lang w:eastAsia="en-US"/>
    </w:rPr>
  </w:style>
  <w:style w:type="character" w:styleId="HTMLSample">
    <w:name w:val="HTML Sample"/>
    <w:semiHidden/>
    <w:rsid w:val="00E26387"/>
    <w:rPr>
      <w:rFonts w:ascii="Courier New" w:hAnsi="Courier New"/>
    </w:rPr>
  </w:style>
  <w:style w:type="character" w:styleId="HTMLTypewriter">
    <w:name w:val="HTML Typewriter"/>
    <w:semiHidden/>
    <w:rsid w:val="00E26387"/>
    <w:rPr>
      <w:rFonts w:ascii="Courier New" w:hAnsi="Courier New"/>
      <w:sz w:val="20"/>
    </w:rPr>
  </w:style>
  <w:style w:type="character" w:styleId="HTMLVariable">
    <w:name w:val="HTML Variable"/>
    <w:semiHidden/>
    <w:rsid w:val="00E26387"/>
    <w:rPr>
      <w:i/>
    </w:rPr>
  </w:style>
  <w:style w:type="character" w:styleId="LineNumber">
    <w:name w:val="line number"/>
    <w:semiHidden/>
    <w:rsid w:val="00E26387"/>
    <w:rPr>
      <w:rFonts w:cs="Times New Roman"/>
    </w:rPr>
  </w:style>
  <w:style w:type="paragraph" w:styleId="List">
    <w:name w:val="List"/>
    <w:basedOn w:val="Normal"/>
    <w:semiHidden/>
    <w:rsid w:val="00E26387"/>
    <w:pPr>
      <w:spacing w:before="120" w:line="240" w:lineRule="auto"/>
      <w:ind w:left="283" w:hanging="283"/>
    </w:pPr>
    <w:rPr>
      <w:sz w:val="20"/>
      <w:szCs w:val="22"/>
      <w:lang w:eastAsia="en-US"/>
    </w:rPr>
  </w:style>
  <w:style w:type="paragraph" w:styleId="List2">
    <w:name w:val="List 2"/>
    <w:basedOn w:val="Normal"/>
    <w:semiHidden/>
    <w:rsid w:val="00E26387"/>
    <w:pPr>
      <w:spacing w:before="120" w:line="240" w:lineRule="auto"/>
      <w:ind w:left="566" w:hanging="283"/>
    </w:pPr>
    <w:rPr>
      <w:sz w:val="20"/>
      <w:szCs w:val="22"/>
      <w:lang w:eastAsia="en-US"/>
    </w:rPr>
  </w:style>
  <w:style w:type="paragraph" w:styleId="List3">
    <w:name w:val="List 3"/>
    <w:basedOn w:val="Normal"/>
    <w:semiHidden/>
    <w:rsid w:val="00E26387"/>
    <w:pPr>
      <w:spacing w:before="120" w:line="240" w:lineRule="auto"/>
      <w:ind w:left="849" w:hanging="283"/>
    </w:pPr>
    <w:rPr>
      <w:sz w:val="20"/>
      <w:szCs w:val="22"/>
      <w:lang w:eastAsia="en-US"/>
    </w:rPr>
  </w:style>
  <w:style w:type="paragraph" w:styleId="List4">
    <w:name w:val="List 4"/>
    <w:basedOn w:val="Normal"/>
    <w:semiHidden/>
    <w:rsid w:val="00E26387"/>
    <w:pPr>
      <w:spacing w:before="120" w:line="240" w:lineRule="auto"/>
      <w:ind w:left="1132" w:hanging="283"/>
    </w:pPr>
    <w:rPr>
      <w:sz w:val="20"/>
      <w:szCs w:val="22"/>
      <w:lang w:eastAsia="en-US"/>
    </w:rPr>
  </w:style>
  <w:style w:type="paragraph" w:styleId="List5">
    <w:name w:val="List 5"/>
    <w:basedOn w:val="Normal"/>
    <w:semiHidden/>
    <w:rsid w:val="00E26387"/>
    <w:pPr>
      <w:spacing w:before="120" w:line="240" w:lineRule="auto"/>
      <w:ind w:left="1415" w:hanging="283"/>
    </w:pPr>
    <w:rPr>
      <w:sz w:val="20"/>
      <w:szCs w:val="22"/>
      <w:lang w:eastAsia="en-US"/>
    </w:rPr>
  </w:style>
  <w:style w:type="paragraph" w:styleId="ListBullet4">
    <w:name w:val="List Bullet 4"/>
    <w:basedOn w:val="Normal"/>
    <w:rsid w:val="00E26387"/>
    <w:pPr>
      <w:tabs>
        <w:tab w:val="num" w:pos="1209"/>
      </w:tabs>
      <w:spacing w:before="120" w:line="240" w:lineRule="auto"/>
      <w:ind w:left="1209" w:hanging="360"/>
    </w:pPr>
    <w:rPr>
      <w:sz w:val="20"/>
      <w:szCs w:val="22"/>
      <w:lang w:eastAsia="en-US"/>
    </w:rPr>
  </w:style>
  <w:style w:type="paragraph" w:styleId="ListBullet5">
    <w:name w:val="List Bullet 5"/>
    <w:basedOn w:val="Normal"/>
    <w:rsid w:val="00E26387"/>
    <w:pPr>
      <w:tabs>
        <w:tab w:val="num" w:pos="1492"/>
      </w:tabs>
      <w:spacing w:before="120" w:line="240" w:lineRule="auto"/>
      <w:ind w:left="1492" w:hanging="360"/>
    </w:pPr>
    <w:rPr>
      <w:sz w:val="20"/>
      <w:szCs w:val="22"/>
      <w:lang w:eastAsia="en-US"/>
    </w:rPr>
  </w:style>
  <w:style w:type="paragraph" w:styleId="ListContinue">
    <w:name w:val="List Continue"/>
    <w:basedOn w:val="Normal"/>
    <w:semiHidden/>
    <w:rsid w:val="00E26387"/>
    <w:pPr>
      <w:spacing w:before="120" w:line="240" w:lineRule="auto"/>
      <w:ind w:left="283"/>
    </w:pPr>
    <w:rPr>
      <w:sz w:val="20"/>
      <w:szCs w:val="22"/>
      <w:lang w:eastAsia="en-US"/>
    </w:rPr>
  </w:style>
  <w:style w:type="paragraph" w:styleId="ListContinue2">
    <w:name w:val="List Continue 2"/>
    <w:basedOn w:val="Normal"/>
    <w:semiHidden/>
    <w:rsid w:val="00E26387"/>
    <w:pPr>
      <w:spacing w:before="120" w:line="240" w:lineRule="auto"/>
      <w:ind w:left="566"/>
    </w:pPr>
    <w:rPr>
      <w:sz w:val="20"/>
      <w:szCs w:val="22"/>
      <w:lang w:eastAsia="en-US"/>
    </w:rPr>
  </w:style>
  <w:style w:type="paragraph" w:styleId="ListContinue3">
    <w:name w:val="List Continue 3"/>
    <w:basedOn w:val="Normal"/>
    <w:semiHidden/>
    <w:rsid w:val="00E26387"/>
    <w:pPr>
      <w:spacing w:before="120" w:line="240" w:lineRule="auto"/>
      <w:ind w:left="849"/>
    </w:pPr>
    <w:rPr>
      <w:sz w:val="20"/>
      <w:szCs w:val="22"/>
      <w:lang w:eastAsia="en-US"/>
    </w:rPr>
  </w:style>
  <w:style w:type="paragraph" w:styleId="ListContinue4">
    <w:name w:val="List Continue 4"/>
    <w:basedOn w:val="Normal"/>
    <w:semiHidden/>
    <w:rsid w:val="00E26387"/>
    <w:pPr>
      <w:spacing w:before="120" w:line="240" w:lineRule="auto"/>
      <w:ind w:left="1132"/>
    </w:pPr>
    <w:rPr>
      <w:sz w:val="20"/>
      <w:szCs w:val="22"/>
      <w:lang w:eastAsia="en-US"/>
    </w:rPr>
  </w:style>
  <w:style w:type="paragraph" w:styleId="ListContinue5">
    <w:name w:val="List Continue 5"/>
    <w:basedOn w:val="Normal"/>
    <w:semiHidden/>
    <w:rsid w:val="00E26387"/>
    <w:pPr>
      <w:spacing w:before="120" w:line="240" w:lineRule="auto"/>
      <w:ind w:left="1415"/>
    </w:pPr>
    <w:rPr>
      <w:sz w:val="20"/>
      <w:szCs w:val="22"/>
      <w:lang w:eastAsia="en-US"/>
    </w:rPr>
  </w:style>
  <w:style w:type="paragraph" w:styleId="ListNumber">
    <w:name w:val="List Number"/>
    <w:basedOn w:val="Normal"/>
    <w:rsid w:val="00E26387"/>
    <w:pPr>
      <w:tabs>
        <w:tab w:val="num" w:pos="360"/>
      </w:tabs>
      <w:spacing w:before="120" w:line="240" w:lineRule="auto"/>
      <w:ind w:left="360" w:hanging="360"/>
    </w:pPr>
    <w:rPr>
      <w:sz w:val="20"/>
      <w:szCs w:val="22"/>
      <w:lang w:eastAsia="en-US"/>
    </w:rPr>
  </w:style>
  <w:style w:type="paragraph" w:styleId="ListNumber2">
    <w:name w:val="List Number 2"/>
    <w:basedOn w:val="Normal"/>
    <w:rsid w:val="00E26387"/>
    <w:pPr>
      <w:tabs>
        <w:tab w:val="num" w:pos="643"/>
      </w:tabs>
      <w:spacing w:before="120" w:line="240" w:lineRule="auto"/>
      <w:ind w:left="643" w:hanging="360"/>
    </w:pPr>
    <w:rPr>
      <w:sz w:val="20"/>
      <w:szCs w:val="22"/>
      <w:lang w:eastAsia="en-US"/>
    </w:rPr>
  </w:style>
  <w:style w:type="paragraph" w:styleId="ListNumber3">
    <w:name w:val="List Number 3"/>
    <w:basedOn w:val="Normal"/>
    <w:rsid w:val="00E26387"/>
    <w:pPr>
      <w:tabs>
        <w:tab w:val="num" w:pos="926"/>
      </w:tabs>
      <w:spacing w:before="120" w:line="240" w:lineRule="auto"/>
      <w:ind w:left="926" w:hanging="360"/>
    </w:pPr>
    <w:rPr>
      <w:sz w:val="20"/>
      <w:szCs w:val="22"/>
      <w:lang w:eastAsia="en-US"/>
    </w:rPr>
  </w:style>
  <w:style w:type="paragraph" w:styleId="ListNumber4">
    <w:name w:val="List Number 4"/>
    <w:basedOn w:val="Normal"/>
    <w:rsid w:val="00E26387"/>
    <w:pPr>
      <w:tabs>
        <w:tab w:val="num" w:pos="1209"/>
      </w:tabs>
      <w:spacing w:before="120" w:line="240" w:lineRule="auto"/>
      <w:ind w:left="1209" w:hanging="360"/>
    </w:pPr>
    <w:rPr>
      <w:sz w:val="20"/>
      <w:szCs w:val="22"/>
      <w:lang w:eastAsia="en-US"/>
    </w:rPr>
  </w:style>
  <w:style w:type="paragraph" w:styleId="ListNumber5">
    <w:name w:val="List Number 5"/>
    <w:basedOn w:val="Normal"/>
    <w:rsid w:val="00E26387"/>
    <w:pPr>
      <w:tabs>
        <w:tab w:val="num" w:pos="1492"/>
      </w:tabs>
      <w:spacing w:before="120" w:line="240" w:lineRule="auto"/>
      <w:ind w:left="1492" w:hanging="360"/>
    </w:pPr>
    <w:rPr>
      <w:sz w:val="20"/>
      <w:szCs w:val="22"/>
      <w:lang w:eastAsia="en-US"/>
    </w:rPr>
  </w:style>
  <w:style w:type="paragraph" w:styleId="MessageHeader">
    <w:name w:val="Message Header"/>
    <w:basedOn w:val="Normal"/>
    <w:link w:val="MessageHeaderChar"/>
    <w:semiHidden/>
    <w:rsid w:val="00E26387"/>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pPr>
    <w:rPr>
      <w:rFonts w:cs="Arial"/>
      <w:sz w:val="20"/>
      <w:lang w:eastAsia="en-US"/>
    </w:rPr>
  </w:style>
  <w:style w:type="character" w:customStyle="1" w:styleId="MessageHeaderChar">
    <w:name w:val="Message Header Char"/>
    <w:basedOn w:val="DefaultParagraphFont"/>
    <w:link w:val="MessageHeader"/>
    <w:semiHidden/>
    <w:rsid w:val="00E26387"/>
    <w:rPr>
      <w:rFonts w:ascii="Arial" w:hAnsi="Arial" w:cs="Arial"/>
      <w:szCs w:val="24"/>
      <w:shd w:val="pct20" w:color="auto" w:fill="auto"/>
      <w:lang w:eastAsia="en-US"/>
    </w:rPr>
  </w:style>
  <w:style w:type="paragraph" w:styleId="NormalWeb">
    <w:name w:val="Normal (Web)"/>
    <w:basedOn w:val="Normal"/>
    <w:uiPriority w:val="99"/>
    <w:rsid w:val="00E26387"/>
    <w:pPr>
      <w:spacing w:before="120" w:line="240" w:lineRule="auto"/>
    </w:pPr>
    <w:rPr>
      <w:rFonts w:ascii="Times New Roman" w:hAnsi="Times New Roman"/>
      <w:sz w:val="24"/>
      <w:lang w:eastAsia="en-US"/>
    </w:rPr>
  </w:style>
  <w:style w:type="paragraph" w:styleId="NormalIndent">
    <w:name w:val="Normal Indent"/>
    <w:basedOn w:val="Normal"/>
    <w:semiHidden/>
    <w:rsid w:val="00E26387"/>
    <w:pPr>
      <w:spacing w:before="120" w:line="240" w:lineRule="auto"/>
      <w:ind w:left="720"/>
    </w:pPr>
    <w:rPr>
      <w:sz w:val="20"/>
      <w:szCs w:val="22"/>
      <w:lang w:eastAsia="en-US"/>
    </w:rPr>
  </w:style>
  <w:style w:type="paragraph" w:styleId="NoteHeading">
    <w:name w:val="Note Heading"/>
    <w:basedOn w:val="Normal"/>
    <w:next w:val="Normal"/>
    <w:link w:val="NoteHeadingChar"/>
    <w:semiHidden/>
    <w:rsid w:val="00E26387"/>
    <w:pPr>
      <w:spacing w:before="120" w:line="240" w:lineRule="auto"/>
    </w:pPr>
    <w:rPr>
      <w:sz w:val="20"/>
      <w:szCs w:val="22"/>
      <w:lang w:eastAsia="en-US"/>
    </w:rPr>
  </w:style>
  <w:style w:type="character" w:customStyle="1" w:styleId="NoteHeadingChar">
    <w:name w:val="Note Heading Char"/>
    <w:basedOn w:val="DefaultParagraphFont"/>
    <w:link w:val="NoteHeading"/>
    <w:semiHidden/>
    <w:rsid w:val="00E26387"/>
    <w:rPr>
      <w:rFonts w:ascii="Arial" w:hAnsi="Arial"/>
      <w:szCs w:val="22"/>
      <w:lang w:eastAsia="en-US"/>
    </w:rPr>
  </w:style>
  <w:style w:type="paragraph" w:styleId="PlainText">
    <w:name w:val="Plain Text"/>
    <w:basedOn w:val="Normal"/>
    <w:link w:val="PlainTextChar"/>
    <w:semiHidden/>
    <w:rsid w:val="00E26387"/>
    <w:pPr>
      <w:spacing w:before="120" w:line="240" w:lineRule="auto"/>
    </w:pPr>
    <w:rPr>
      <w:rFonts w:ascii="Courier New" w:hAnsi="Courier New" w:cs="Courier New"/>
      <w:sz w:val="20"/>
      <w:szCs w:val="20"/>
      <w:lang w:eastAsia="en-US"/>
    </w:rPr>
  </w:style>
  <w:style w:type="character" w:customStyle="1" w:styleId="PlainTextChar">
    <w:name w:val="Plain Text Char"/>
    <w:basedOn w:val="DefaultParagraphFont"/>
    <w:link w:val="PlainText"/>
    <w:semiHidden/>
    <w:rsid w:val="00E26387"/>
    <w:rPr>
      <w:rFonts w:ascii="Courier New" w:hAnsi="Courier New" w:cs="Courier New"/>
      <w:lang w:eastAsia="en-US"/>
    </w:rPr>
  </w:style>
  <w:style w:type="paragraph" w:styleId="Salutation">
    <w:name w:val="Salutation"/>
    <w:basedOn w:val="Normal"/>
    <w:next w:val="Normal"/>
    <w:link w:val="SalutationChar"/>
    <w:semiHidden/>
    <w:rsid w:val="00E26387"/>
    <w:pPr>
      <w:spacing w:before="120" w:line="240" w:lineRule="auto"/>
    </w:pPr>
    <w:rPr>
      <w:sz w:val="20"/>
      <w:szCs w:val="22"/>
      <w:lang w:eastAsia="en-US"/>
    </w:rPr>
  </w:style>
  <w:style w:type="character" w:customStyle="1" w:styleId="SalutationChar">
    <w:name w:val="Salutation Char"/>
    <w:basedOn w:val="DefaultParagraphFont"/>
    <w:link w:val="Salutation"/>
    <w:semiHidden/>
    <w:rsid w:val="00E26387"/>
    <w:rPr>
      <w:rFonts w:ascii="Arial" w:hAnsi="Arial"/>
      <w:szCs w:val="22"/>
      <w:lang w:eastAsia="en-US"/>
    </w:rPr>
  </w:style>
  <w:style w:type="paragraph" w:styleId="Signature">
    <w:name w:val="Signature"/>
    <w:basedOn w:val="Normal"/>
    <w:link w:val="SignatureChar"/>
    <w:uiPriority w:val="99"/>
    <w:rsid w:val="00E26387"/>
    <w:pPr>
      <w:spacing w:before="120" w:line="240" w:lineRule="auto"/>
      <w:ind w:left="4252"/>
    </w:pPr>
    <w:rPr>
      <w:sz w:val="20"/>
      <w:szCs w:val="22"/>
      <w:lang w:eastAsia="en-US"/>
    </w:rPr>
  </w:style>
  <w:style w:type="character" w:customStyle="1" w:styleId="SignatureChar">
    <w:name w:val="Signature Char"/>
    <w:basedOn w:val="DefaultParagraphFont"/>
    <w:link w:val="Signature"/>
    <w:uiPriority w:val="99"/>
    <w:rsid w:val="00E26387"/>
    <w:rPr>
      <w:rFonts w:ascii="Arial" w:hAnsi="Arial"/>
      <w:szCs w:val="22"/>
      <w:lang w:eastAsia="en-US"/>
    </w:rPr>
  </w:style>
  <w:style w:type="table" w:styleId="Table3Deffects1">
    <w:name w:val="Table 3D effects 1"/>
    <w:basedOn w:val="TableNormal"/>
    <w:rsid w:val="00E26387"/>
    <w:pPr>
      <w:spacing w:after="200" w:line="276" w:lineRule="auto"/>
    </w:pPr>
    <w:rPr>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6387"/>
    <w:pPr>
      <w:spacing w:after="200" w:line="276" w:lineRule="auto"/>
    </w:pPr>
    <w:rPr>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E26387"/>
    <w:pPr>
      <w:spacing w:after="200" w:line="276" w:lineRule="auto"/>
    </w:pPr>
    <w:rPr>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E26387"/>
    <w:pPr>
      <w:spacing w:after="200" w:line="276" w:lineRule="auto"/>
    </w:pPr>
    <w:rPr>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E26387"/>
    <w:pPr>
      <w:spacing w:after="200" w:line="276" w:lineRule="auto"/>
    </w:pPr>
    <w:rPr>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E26387"/>
    <w:pPr>
      <w:spacing w:after="200" w:line="276" w:lineRule="auto"/>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E26387"/>
    <w:pPr>
      <w:spacing w:after="200" w:line="276" w:lineRule="auto"/>
    </w:pPr>
    <w:rPr>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E26387"/>
    <w:pPr>
      <w:spacing w:after="200" w:line="276" w:lineRule="auto"/>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6387"/>
    <w:pPr>
      <w:spacing w:after="200" w:line="276" w:lineRule="auto"/>
    </w:pPr>
    <w:rPr>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6387"/>
    <w:pPr>
      <w:spacing w:after="200" w:line="276" w:lineRule="auto"/>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6387"/>
    <w:pPr>
      <w:spacing w:after="200" w:line="276" w:lineRule="auto"/>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E26387"/>
    <w:pPr>
      <w:spacing w:after="200" w:line="276" w:lineRule="auto"/>
    </w:pPr>
    <w:rPr>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E26387"/>
    <w:pPr>
      <w:spacing w:after="200" w:line="276" w:lineRule="auto"/>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E26387"/>
    <w:pPr>
      <w:spacing w:after="200" w:line="276" w:lineRule="auto"/>
    </w:pPr>
    <w:rPr>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E26387"/>
    <w:pPr>
      <w:spacing w:after="200" w:line="276" w:lineRule="auto"/>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E26387"/>
    <w:pPr>
      <w:spacing w:after="200" w:line="276" w:lineRule="auto"/>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6387"/>
    <w:pPr>
      <w:spacing w:after="200" w:line="276"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E26387"/>
    <w:pPr>
      <w:spacing w:after="200" w:line="276" w:lineRule="auto"/>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E26387"/>
    <w:pPr>
      <w:spacing w:after="200" w:line="276" w:lineRule="auto"/>
    </w:pPr>
    <w:rPr>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E26387"/>
    <w:pPr>
      <w:spacing w:after="200" w:line="276" w:lineRule="auto"/>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E26387"/>
    <w:pPr>
      <w:spacing w:after="200" w:line="276" w:lineRule="auto"/>
    </w:pPr>
    <w:rPr>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E26387"/>
    <w:pPr>
      <w:spacing w:after="200" w:line="276" w:lineRule="auto"/>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E26387"/>
    <w:pPr>
      <w:spacing w:after="200" w:line="276" w:lineRule="auto"/>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E26387"/>
    <w:pPr>
      <w:spacing w:after="200" w:line="276" w:lineRule="auto"/>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E26387"/>
    <w:pPr>
      <w:spacing w:after="200" w:line="276" w:lineRule="auto"/>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4">
    <w:name w:val="Table List 4"/>
    <w:basedOn w:val="TableNormal"/>
    <w:rsid w:val="00E26387"/>
    <w:pPr>
      <w:spacing w:after="200" w:line="276" w:lineRule="auto"/>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6387"/>
    <w:pPr>
      <w:spacing w:after="200" w:line="276" w:lineRule="auto"/>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E26387"/>
    <w:pPr>
      <w:spacing w:after="200" w:line="276" w:lineRule="auto"/>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6387"/>
    <w:pPr>
      <w:spacing w:after="200" w:line="276" w:lineRule="auto"/>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6387"/>
    <w:pPr>
      <w:spacing w:after="200" w:line="276" w:lineRule="auto"/>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26387"/>
    <w:pPr>
      <w:spacing w:after="200" w:line="276" w:lineRule="auto"/>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6387"/>
    <w:pPr>
      <w:spacing w:after="200" w:line="276" w:lineRule="auto"/>
    </w:pPr>
    <w:rPr>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6387"/>
    <w:pPr>
      <w:spacing w:after="200" w:line="276" w:lineRule="auto"/>
    </w:pPr>
    <w:rPr>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6387"/>
    <w:pPr>
      <w:spacing w:after="200" w:line="276" w:lineRule="auto"/>
    </w:pPr>
    <w:rPr>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6387"/>
    <w:pPr>
      <w:spacing w:after="200" w:line="276" w:lineRule="auto"/>
    </w:pPr>
    <w:rPr>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E26387"/>
    <w:pPr>
      <w:spacing w:after="200" w:line="276" w:lineRule="auto"/>
    </w:pPr>
    <w:rPr>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E26387"/>
    <w:pPr>
      <w:spacing w:after="200" w:line="276"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6387"/>
    <w:pPr>
      <w:spacing w:after="200" w:line="276" w:lineRule="auto"/>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E26387"/>
    <w:pPr>
      <w:spacing w:after="200" w:line="276" w:lineRule="auto"/>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E26387"/>
    <w:pPr>
      <w:spacing w:after="200" w:line="276" w:lineRule="auto"/>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Bullet3">
    <w:name w:val="List Bullet 3"/>
    <w:basedOn w:val="Normal"/>
    <w:rsid w:val="00E26387"/>
    <w:pPr>
      <w:tabs>
        <w:tab w:val="num" w:pos="926"/>
      </w:tabs>
      <w:spacing w:before="120" w:line="240" w:lineRule="auto"/>
      <w:ind w:left="926" w:hanging="360"/>
    </w:pPr>
    <w:rPr>
      <w:sz w:val="20"/>
      <w:szCs w:val="22"/>
      <w:lang w:eastAsia="en-US"/>
    </w:rPr>
  </w:style>
  <w:style w:type="paragraph" w:styleId="BodyText2">
    <w:name w:val="Body Text 2"/>
    <w:basedOn w:val="Normal"/>
    <w:link w:val="BodyText2Char"/>
    <w:autoRedefine/>
    <w:rsid w:val="00E26387"/>
    <w:pPr>
      <w:spacing w:before="120" w:line="240" w:lineRule="auto"/>
    </w:pPr>
    <w:rPr>
      <w:sz w:val="20"/>
      <w:szCs w:val="22"/>
      <w:lang w:eastAsia="en-US"/>
    </w:rPr>
  </w:style>
  <w:style w:type="character" w:customStyle="1" w:styleId="BodyText2Char">
    <w:name w:val="Body Text 2 Char"/>
    <w:basedOn w:val="DefaultParagraphFont"/>
    <w:link w:val="BodyText2"/>
    <w:rsid w:val="00E26387"/>
    <w:rPr>
      <w:rFonts w:ascii="Arial" w:hAnsi="Arial"/>
      <w:szCs w:val="22"/>
      <w:lang w:eastAsia="en-US"/>
    </w:rPr>
  </w:style>
  <w:style w:type="paragraph" w:customStyle="1" w:styleId="Bullet">
    <w:name w:val="Bullet"/>
    <w:basedOn w:val="Normal"/>
    <w:autoRedefine/>
    <w:rsid w:val="00E26387"/>
    <w:pPr>
      <w:numPr>
        <w:numId w:val="7"/>
      </w:numPr>
      <w:spacing w:before="120" w:after="240" w:line="240" w:lineRule="auto"/>
    </w:pPr>
    <w:rPr>
      <w:sz w:val="20"/>
      <w:szCs w:val="22"/>
      <w:lang w:eastAsia="en-US"/>
    </w:rPr>
  </w:style>
  <w:style w:type="paragraph" w:customStyle="1" w:styleId="Dash">
    <w:name w:val="Dash"/>
    <w:basedOn w:val="Normal"/>
    <w:autoRedefine/>
    <w:rsid w:val="00E26387"/>
    <w:pPr>
      <w:spacing w:before="60" w:after="60" w:line="240" w:lineRule="auto"/>
    </w:pPr>
    <w:rPr>
      <w:sz w:val="24"/>
      <w:szCs w:val="22"/>
      <w:lang w:eastAsia="en-US"/>
    </w:rPr>
  </w:style>
  <w:style w:type="paragraph" w:customStyle="1" w:styleId="DoubleDot">
    <w:name w:val="Double Dot"/>
    <w:basedOn w:val="Normal"/>
    <w:rsid w:val="00E26387"/>
    <w:pPr>
      <w:numPr>
        <w:ilvl w:val="2"/>
        <w:numId w:val="7"/>
      </w:numPr>
      <w:spacing w:before="120" w:after="240" w:line="240" w:lineRule="auto"/>
    </w:pPr>
    <w:rPr>
      <w:sz w:val="24"/>
      <w:szCs w:val="22"/>
      <w:lang w:eastAsia="en-US"/>
    </w:rPr>
  </w:style>
  <w:style w:type="paragraph" w:customStyle="1" w:styleId="Appendix">
    <w:name w:val="Appendix"/>
    <w:basedOn w:val="Heading1"/>
    <w:autoRedefine/>
    <w:rsid w:val="00E26387"/>
    <w:pPr>
      <w:tabs>
        <w:tab w:val="num" w:pos="1492"/>
      </w:tabs>
      <w:spacing w:before="200" w:after="480" w:line="240" w:lineRule="auto"/>
      <w:ind w:firstLine="357"/>
      <w:contextualSpacing w:val="0"/>
    </w:pPr>
    <w:rPr>
      <w:rFonts w:asciiTheme="majorHAnsi" w:eastAsiaTheme="majorEastAsia" w:hAnsiTheme="majorHAnsi" w:cstheme="majorBidi"/>
      <w:bCs/>
      <w:caps w:val="0"/>
      <w:color w:val="F8F8F8" w:themeColor="background2"/>
      <w:sz w:val="32"/>
      <w:szCs w:val="28"/>
      <w:lang w:eastAsia="en-US"/>
    </w:rPr>
  </w:style>
  <w:style w:type="paragraph" w:customStyle="1" w:styleId="Appendix2">
    <w:name w:val="Appendix 2"/>
    <w:basedOn w:val="Appendix"/>
    <w:rsid w:val="00E26387"/>
    <w:pPr>
      <w:pageBreakBefore/>
      <w:spacing w:before="0" w:beforeAutospacing="1" w:after="100" w:afterAutospacing="1" w:line="0" w:lineRule="atLeast"/>
      <w:ind w:left="432" w:hanging="432"/>
      <w:outlineLvl w:val="9"/>
    </w:pPr>
    <w:rPr>
      <w:rFonts w:ascii="Arial" w:eastAsia="Times New Roman" w:hAnsi="Arial" w:cs="Arial"/>
      <w:b w:val="0"/>
      <w:i/>
      <w:color w:val="000000"/>
      <w:kern w:val="32"/>
      <w:sz w:val="18"/>
      <w:szCs w:val="18"/>
    </w:rPr>
  </w:style>
  <w:style w:type="paragraph" w:customStyle="1" w:styleId="InfoMapsubheading">
    <w:name w:val="InfoMap subheading"/>
    <w:basedOn w:val="Normal"/>
    <w:rsid w:val="00E26387"/>
    <w:pPr>
      <w:spacing w:before="180" w:after="60" w:line="240" w:lineRule="auto"/>
      <w:ind w:left="2268" w:right="567"/>
    </w:pPr>
    <w:rPr>
      <w:rFonts w:ascii="Verdana" w:hAnsi="Verdana"/>
      <w:b/>
      <w:i/>
      <w:sz w:val="20"/>
      <w:szCs w:val="22"/>
      <w:lang w:val="en-US" w:eastAsia="en-US"/>
    </w:rPr>
  </w:style>
  <w:style w:type="paragraph" w:customStyle="1" w:styleId="StyleHeading3Before4pt">
    <w:name w:val="Style Heading 3 + Before:  4 pt"/>
    <w:basedOn w:val="Heading3"/>
    <w:rsid w:val="00E26387"/>
    <w:pPr>
      <w:tabs>
        <w:tab w:val="num" w:pos="1492"/>
      </w:tabs>
      <w:spacing w:before="480" w:after="480" w:line="240" w:lineRule="auto"/>
      <w:ind w:left="1492"/>
      <w:contextualSpacing w:val="0"/>
    </w:pPr>
    <w:rPr>
      <w:rFonts w:asciiTheme="majorHAnsi" w:eastAsiaTheme="majorEastAsia" w:hAnsiTheme="majorHAnsi" w:cstheme="majorBidi"/>
      <w:bCs/>
      <w:color w:val="000000" w:themeColor="text2"/>
      <w:sz w:val="26"/>
      <w:szCs w:val="22"/>
      <w:lang w:eastAsia="en-US"/>
    </w:rPr>
  </w:style>
  <w:style w:type="character" w:customStyle="1" w:styleId="StyleCodeLeft0cmLinespacingAtleast12pt">
    <w:name w:val="Style Code + Left:  0 cm Line spacing:  At least 12 pt"/>
    <w:rsid w:val="00E26387"/>
    <w:rPr>
      <w:rFonts w:ascii="Courier New" w:hAnsi="Courier New"/>
    </w:rPr>
  </w:style>
  <w:style w:type="paragraph" w:customStyle="1" w:styleId="Itemfieldtitle">
    <w:name w:val="Item field title"/>
    <w:basedOn w:val="Normal"/>
    <w:rsid w:val="00E26387"/>
    <w:pPr>
      <w:spacing w:before="40" w:after="40" w:line="240" w:lineRule="auto"/>
    </w:pPr>
    <w:rPr>
      <w:rFonts w:ascii="Book Antiqua" w:hAnsi="Book Antiqua"/>
      <w:b/>
      <w:i/>
      <w:sz w:val="20"/>
      <w:szCs w:val="20"/>
      <w:lang w:eastAsia="en-US"/>
    </w:rPr>
  </w:style>
  <w:style w:type="paragraph" w:customStyle="1" w:styleId="Itemfieldvalue">
    <w:name w:val="Item field value"/>
    <w:basedOn w:val="Normal"/>
    <w:rsid w:val="00E26387"/>
    <w:pPr>
      <w:spacing w:before="40" w:after="40" w:line="240" w:lineRule="auto"/>
    </w:pPr>
    <w:rPr>
      <w:rFonts w:ascii="Times New Roman" w:hAnsi="Times New Roman"/>
      <w:sz w:val="20"/>
      <w:szCs w:val="20"/>
      <w:lang w:eastAsia="en-US"/>
    </w:rPr>
  </w:style>
  <w:style w:type="paragraph" w:customStyle="1" w:styleId="Itemtitle">
    <w:name w:val="Item title"/>
    <w:basedOn w:val="Normal"/>
    <w:rsid w:val="00E26387"/>
    <w:pPr>
      <w:pageBreakBefore/>
      <w:pBdr>
        <w:top w:val="single" w:sz="18" w:space="1" w:color="auto"/>
        <w:bottom w:val="single" w:sz="18" w:space="1" w:color="auto"/>
      </w:pBdr>
      <w:spacing w:before="40" w:after="40" w:line="240" w:lineRule="auto"/>
    </w:pPr>
    <w:rPr>
      <w:b/>
      <w:sz w:val="32"/>
      <w:szCs w:val="20"/>
      <w:lang w:eastAsia="en-US"/>
    </w:rPr>
  </w:style>
  <w:style w:type="paragraph" w:customStyle="1" w:styleId="Itemsectiontitle">
    <w:name w:val="Item section title"/>
    <w:basedOn w:val="Normal"/>
    <w:next w:val="Itemfieldtitle"/>
    <w:rsid w:val="00E26387"/>
    <w:pPr>
      <w:spacing w:before="180" w:after="60" w:line="240" w:lineRule="auto"/>
    </w:pPr>
    <w:rPr>
      <w:b/>
      <w:sz w:val="24"/>
      <w:szCs w:val="20"/>
      <w:lang w:eastAsia="en-US"/>
    </w:rPr>
  </w:style>
  <w:style w:type="paragraph" w:customStyle="1" w:styleId="TPVerso">
    <w:name w:val="T/P: Verso"/>
    <w:rsid w:val="00E26387"/>
    <w:pPr>
      <w:keepLines/>
      <w:spacing w:before="60" w:after="60"/>
    </w:pPr>
    <w:rPr>
      <w:rFonts w:ascii="Helvetica" w:hAnsi="Helvetica"/>
      <w:sz w:val="22"/>
      <w:lang w:eastAsia="en-US"/>
    </w:rPr>
  </w:style>
  <w:style w:type="paragraph" w:customStyle="1" w:styleId="Iteminsertedtitle">
    <w:name w:val="Item inserted title"/>
    <w:basedOn w:val="Itemsectiontitle"/>
    <w:rsid w:val="00E26387"/>
    <w:pPr>
      <w:pBdr>
        <w:bottom w:val="single" w:sz="8" w:space="1" w:color="auto"/>
      </w:pBdr>
      <w:spacing w:before="240"/>
    </w:pPr>
    <w:rPr>
      <w:sz w:val="28"/>
    </w:rPr>
  </w:style>
  <w:style w:type="paragraph" w:customStyle="1" w:styleId="Alternatename">
    <w:name w:val="Alternate name"/>
    <w:basedOn w:val="Normal"/>
    <w:rsid w:val="00E26387"/>
    <w:pPr>
      <w:spacing w:before="40" w:after="40" w:line="240" w:lineRule="auto"/>
    </w:pPr>
    <w:rPr>
      <w:rFonts w:ascii="Book Antiqua" w:hAnsi="Book Antiqua"/>
      <w:sz w:val="20"/>
      <w:szCs w:val="20"/>
      <w:lang w:eastAsia="en-US"/>
    </w:rPr>
  </w:style>
  <w:style w:type="paragraph" w:customStyle="1" w:styleId="Sectiontitle">
    <w:name w:val="Section title"/>
    <w:basedOn w:val="Normal"/>
    <w:link w:val="SectiontitleChar"/>
    <w:rsid w:val="00E26387"/>
    <w:pPr>
      <w:pageBreakBefore/>
      <w:spacing w:before="40" w:after="40" w:line="240" w:lineRule="auto"/>
    </w:pPr>
    <w:rPr>
      <w:b/>
      <w:sz w:val="36"/>
      <w:szCs w:val="36"/>
      <w:lang w:val="en-US" w:eastAsia="en-US"/>
    </w:rPr>
  </w:style>
  <w:style w:type="character" w:customStyle="1" w:styleId="SectiontitleChar">
    <w:name w:val="Section title Char"/>
    <w:link w:val="Sectiontitle"/>
    <w:locked/>
    <w:rsid w:val="00E26387"/>
    <w:rPr>
      <w:rFonts w:ascii="Arial" w:hAnsi="Arial"/>
      <w:b/>
      <w:sz w:val="36"/>
      <w:szCs w:val="36"/>
      <w:lang w:val="en-US" w:eastAsia="en-US"/>
    </w:rPr>
  </w:style>
  <w:style w:type="paragraph" w:customStyle="1" w:styleId="table">
    <w:name w:val="table"/>
    <w:basedOn w:val="Normal"/>
    <w:autoRedefine/>
    <w:rsid w:val="005C656B"/>
    <w:pPr>
      <w:spacing w:before="240" w:after="240" w:line="240" w:lineRule="auto"/>
      <w:ind w:right="-28"/>
    </w:pPr>
    <w:rPr>
      <w:rFonts w:asciiTheme="minorHAnsi" w:hAnsiTheme="minorHAnsi" w:cstheme="minorHAnsi"/>
      <w:noProof/>
      <w:color w:val="000000"/>
      <w:szCs w:val="22"/>
    </w:rPr>
  </w:style>
  <w:style w:type="table" w:styleId="TableList3">
    <w:name w:val="Table List 3"/>
    <w:basedOn w:val="TableNormal"/>
    <w:rsid w:val="00E26387"/>
    <w:pPr>
      <w:spacing w:after="200" w:line="276" w:lineRule="auto"/>
    </w:pPr>
    <w:rPr>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LightShading-Accent21">
    <w:name w:val="Light Shading - Accent 21"/>
    <w:rsid w:val="00E26387"/>
    <w:rPr>
      <w:color w:val="943634"/>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11">
    <w:name w:val="Light Shading - Accent 11"/>
    <w:rsid w:val="00E26387"/>
    <w:rPr>
      <w:color w:val="365F91"/>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1">
    <w:name w:val="Light Shading1"/>
    <w:rsid w:val="00E26387"/>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List1">
    <w:name w:val="Table List 1"/>
    <w:basedOn w:val="TableNormal"/>
    <w:rsid w:val="00E26387"/>
    <w:pPr>
      <w:spacing w:after="200" w:line="276" w:lineRule="auto"/>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E26387"/>
    <w:pPr>
      <w:spacing w:after="200" w:line="276" w:lineRule="auto"/>
    </w:pPr>
    <w:rPr>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Shading-Accent31">
    <w:name w:val="Light Shading - Accent 31"/>
    <w:rsid w:val="00E26387"/>
    <w:rPr>
      <w:color w:val="76923C"/>
      <w:lang w:val="en-US"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List-Accent11">
    <w:name w:val="Light List - Accent 11"/>
    <w:rsid w:val="00E26387"/>
    <w:rPr>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Headingnonumber">
    <w:name w:val="Heading no number"/>
    <w:basedOn w:val="Header"/>
    <w:autoRedefine/>
    <w:rsid w:val="00E26387"/>
    <w:pPr>
      <w:tabs>
        <w:tab w:val="clear" w:pos="10319"/>
      </w:tabs>
      <w:spacing w:before="240" w:after="200" w:line="240" w:lineRule="auto"/>
      <w:jc w:val="both"/>
    </w:pPr>
    <w:rPr>
      <w:rFonts w:asciiTheme="minorHAnsi" w:eastAsiaTheme="minorHAnsi" w:hAnsiTheme="minorHAnsi" w:cstheme="minorBidi"/>
      <w:i/>
      <w:sz w:val="22"/>
      <w:szCs w:val="22"/>
      <w:u w:val="single"/>
      <w:lang w:eastAsia="en-US"/>
    </w:rPr>
  </w:style>
  <w:style w:type="paragraph" w:customStyle="1" w:styleId="table2">
    <w:name w:val="table 2"/>
    <w:basedOn w:val="Normal"/>
    <w:autoRedefine/>
    <w:rsid w:val="00E26387"/>
    <w:pPr>
      <w:pBdr>
        <w:top w:val="single" w:sz="4" w:space="1" w:color="FF0000"/>
        <w:left w:val="single" w:sz="4" w:space="4" w:color="FF0000"/>
        <w:bottom w:val="single" w:sz="4" w:space="1" w:color="FF0000"/>
        <w:right w:val="single" w:sz="4" w:space="4" w:color="FF0000"/>
      </w:pBdr>
      <w:spacing w:before="120" w:after="0" w:line="240" w:lineRule="auto"/>
    </w:pPr>
    <w:rPr>
      <w:sz w:val="20"/>
      <w:szCs w:val="22"/>
      <w:lang w:eastAsia="en-US"/>
    </w:rPr>
  </w:style>
  <w:style w:type="paragraph" w:customStyle="1" w:styleId="NormalArial">
    <w:name w:val="Normal + Arial"/>
    <w:aliases w:val="11 pt"/>
    <w:basedOn w:val="Normal"/>
    <w:rsid w:val="00E26387"/>
    <w:pPr>
      <w:spacing w:before="120" w:after="0" w:line="240" w:lineRule="auto"/>
      <w:ind w:left="550"/>
    </w:pPr>
    <w:rPr>
      <w:rFonts w:cs="Arial"/>
      <w:sz w:val="20"/>
      <w:szCs w:val="22"/>
      <w:lang w:eastAsia="zh-CN"/>
    </w:rPr>
  </w:style>
  <w:style w:type="paragraph" w:customStyle="1" w:styleId="diagram">
    <w:name w:val="diagram"/>
    <w:basedOn w:val="Normal"/>
    <w:autoRedefine/>
    <w:rsid w:val="00E26387"/>
    <w:pPr>
      <w:spacing w:after="0" w:line="240" w:lineRule="auto"/>
      <w:jc w:val="center"/>
    </w:pPr>
    <w:rPr>
      <w:noProof/>
      <w:sz w:val="20"/>
      <w:szCs w:val="22"/>
    </w:rPr>
  </w:style>
  <w:style w:type="paragraph" w:customStyle="1" w:styleId="Execsummary1">
    <w:name w:val="Exec summary 1"/>
    <w:basedOn w:val="Normal"/>
    <w:link w:val="Execsummary1Char"/>
    <w:rsid w:val="00E26387"/>
    <w:pPr>
      <w:spacing w:before="120" w:line="240" w:lineRule="auto"/>
    </w:pPr>
    <w:rPr>
      <w:b/>
      <w:color w:val="7F7F7F"/>
      <w:sz w:val="32"/>
      <w:szCs w:val="22"/>
      <w:lang w:val="en-US" w:eastAsia="en-US"/>
    </w:rPr>
  </w:style>
  <w:style w:type="character" w:customStyle="1" w:styleId="Execsummary1Char">
    <w:name w:val="Exec summary 1 Char"/>
    <w:link w:val="Execsummary1"/>
    <w:locked/>
    <w:rsid w:val="00E26387"/>
    <w:rPr>
      <w:rFonts w:ascii="Arial" w:hAnsi="Arial"/>
      <w:b/>
      <w:color w:val="7F7F7F"/>
      <w:sz w:val="32"/>
      <w:szCs w:val="22"/>
      <w:lang w:val="en-US" w:eastAsia="en-US"/>
    </w:rPr>
  </w:style>
  <w:style w:type="paragraph" w:customStyle="1" w:styleId="Streamheading">
    <w:name w:val="Stream heading"/>
    <w:basedOn w:val="Heading1"/>
    <w:link w:val="StreamheadingChar"/>
    <w:rsid w:val="00E26387"/>
    <w:pPr>
      <w:tabs>
        <w:tab w:val="num" w:pos="1492"/>
      </w:tabs>
      <w:spacing w:before="200" w:after="480" w:line="240" w:lineRule="auto"/>
      <w:ind w:firstLine="357"/>
      <w:contextualSpacing w:val="0"/>
    </w:pPr>
    <w:rPr>
      <w:rFonts w:asciiTheme="majorHAnsi" w:eastAsiaTheme="majorEastAsia" w:hAnsiTheme="majorHAnsi" w:cstheme="majorBidi"/>
      <w:bCs/>
      <w:caps w:val="0"/>
      <w:color w:val="F8F8F8" w:themeColor="background2"/>
      <w:sz w:val="32"/>
      <w:szCs w:val="28"/>
      <w:lang w:eastAsia="en-US"/>
    </w:rPr>
  </w:style>
  <w:style w:type="paragraph" w:customStyle="1" w:styleId="Heading2Level2">
    <w:name w:val="Heading 2 Level 2"/>
    <w:basedOn w:val="Heading2"/>
    <w:link w:val="Heading2Level2Char"/>
    <w:rsid w:val="00E26387"/>
    <w:pPr>
      <w:numPr>
        <w:numId w:val="13"/>
      </w:numPr>
      <w:spacing w:before="240" w:after="240" w:line="240" w:lineRule="auto"/>
      <w:ind w:left="0" w:firstLine="0"/>
      <w:contextualSpacing w:val="0"/>
    </w:pPr>
    <w:rPr>
      <w:rFonts w:asciiTheme="majorHAnsi" w:eastAsiaTheme="majorEastAsia" w:hAnsiTheme="majorHAnsi" w:cstheme="majorBidi"/>
      <w:bCs/>
      <w:caps w:val="0"/>
      <w:color w:val="F8F8F8" w:themeColor="background2"/>
      <w:szCs w:val="32"/>
      <w:lang w:eastAsia="en-US"/>
    </w:rPr>
  </w:style>
  <w:style w:type="character" w:customStyle="1" w:styleId="StreamheadingChar">
    <w:name w:val="Stream heading Char"/>
    <w:basedOn w:val="Heading1Char"/>
    <w:link w:val="Streamheading"/>
    <w:locked/>
    <w:rsid w:val="00E26387"/>
    <w:rPr>
      <w:rFonts w:asciiTheme="majorHAnsi" w:eastAsiaTheme="majorEastAsia" w:hAnsiTheme="majorHAnsi" w:cstheme="majorBidi"/>
      <w:b/>
      <w:bCs/>
      <w:caps w:val="0"/>
      <w:color w:val="F8F8F8" w:themeColor="background2"/>
      <w:sz w:val="32"/>
      <w:szCs w:val="28"/>
      <w:lang w:eastAsia="en-US"/>
    </w:rPr>
  </w:style>
  <w:style w:type="character" w:customStyle="1" w:styleId="Heading2Level2Char">
    <w:name w:val="Heading 2 Level 2 Char"/>
    <w:basedOn w:val="Heading2Char"/>
    <w:link w:val="Heading2Level2"/>
    <w:locked/>
    <w:rsid w:val="00E26387"/>
    <w:rPr>
      <w:rFonts w:asciiTheme="majorHAnsi" w:eastAsiaTheme="majorEastAsia" w:hAnsiTheme="majorHAnsi" w:cstheme="majorBidi"/>
      <w:b/>
      <w:bCs/>
      <w:caps w:val="0"/>
      <w:color w:val="F8F8F8" w:themeColor="background2"/>
      <w:sz w:val="24"/>
      <w:szCs w:val="32"/>
      <w:lang w:eastAsia="en-US"/>
    </w:rPr>
  </w:style>
  <w:style w:type="paragraph" w:customStyle="1" w:styleId="xl63">
    <w:name w:val="xl63"/>
    <w:basedOn w:val="Normal"/>
    <w:rsid w:val="00E26387"/>
    <w:pPr>
      <w:spacing w:before="100" w:beforeAutospacing="1" w:after="100" w:afterAutospacing="1" w:line="240" w:lineRule="auto"/>
    </w:pPr>
    <w:rPr>
      <w:rFonts w:ascii="Times New Roman" w:hAnsi="Times New Roman"/>
      <w:sz w:val="18"/>
      <w:szCs w:val="18"/>
    </w:rPr>
  </w:style>
  <w:style w:type="paragraph" w:customStyle="1" w:styleId="xl64">
    <w:name w:val="xl64"/>
    <w:basedOn w:val="Normal"/>
    <w:rsid w:val="00E26387"/>
    <w:pPr>
      <w:spacing w:before="100" w:beforeAutospacing="1" w:after="100" w:afterAutospacing="1" w:line="240" w:lineRule="auto"/>
    </w:pPr>
    <w:rPr>
      <w:rFonts w:ascii="Times New Roman" w:hAnsi="Times New Roman"/>
      <w:sz w:val="18"/>
      <w:szCs w:val="18"/>
    </w:rPr>
  </w:style>
  <w:style w:type="paragraph" w:customStyle="1" w:styleId="xl65">
    <w:name w:val="xl65"/>
    <w:basedOn w:val="Normal"/>
    <w:rsid w:val="00E26387"/>
    <w:pPr>
      <w:spacing w:before="100" w:beforeAutospacing="1" w:after="100" w:afterAutospacing="1" w:line="240" w:lineRule="auto"/>
    </w:pPr>
    <w:rPr>
      <w:rFonts w:ascii="Times New Roman" w:hAnsi="Times New Roman"/>
      <w:sz w:val="18"/>
      <w:szCs w:val="18"/>
    </w:rPr>
  </w:style>
  <w:style w:type="paragraph" w:customStyle="1" w:styleId="xl66">
    <w:name w:val="xl66"/>
    <w:basedOn w:val="Normal"/>
    <w:rsid w:val="00E26387"/>
    <w:pPr>
      <w:shd w:val="clear" w:color="000000" w:fill="339966"/>
      <w:spacing w:before="100" w:beforeAutospacing="1" w:after="100" w:afterAutospacing="1" w:line="240" w:lineRule="auto"/>
      <w:jc w:val="center"/>
      <w:textAlignment w:val="center"/>
    </w:pPr>
    <w:rPr>
      <w:rFonts w:ascii="Times New Roman" w:hAnsi="Times New Roman"/>
      <w:b/>
      <w:bCs/>
      <w:color w:val="FFFFFF"/>
      <w:sz w:val="18"/>
      <w:szCs w:val="18"/>
    </w:rPr>
  </w:style>
  <w:style w:type="paragraph" w:customStyle="1" w:styleId="xl67">
    <w:name w:val="xl67"/>
    <w:basedOn w:val="Normal"/>
    <w:rsid w:val="00E26387"/>
    <w:pPr>
      <w:shd w:val="clear" w:color="000000" w:fill="339966"/>
      <w:spacing w:before="100" w:beforeAutospacing="1" w:after="100" w:afterAutospacing="1" w:line="240" w:lineRule="auto"/>
      <w:jc w:val="center"/>
      <w:textAlignment w:val="center"/>
    </w:pPr>
    <w:rPr>
      <w:rFonts w:ascii="Times New Roman" w:hAnsi="Times New Roman"/>
      <w:b/>
      <w:bCs/>
      <w:color w:val="FFFFFF"/>
      <w:sz w:val="18"/>
      <w:szCs w:val="18"/>
    </w:rPr>
  </w:style>
  <w:style w:type="paragraph" w:customStyle="1" w:styleId="xl68">
    <w:name w:val="xl68"/>
    <w:basedOn w:val="Normal"/>
    <w:rsid w:val="00E26387"/>
    <w:pPr>
      <w:shd w:val="clear" w:color="000000" w:fill="339966"/>
      <w:spacing w:before="100" w:beforeAutospacing="1" w:after="100" w:afterAutospacing="1" w:line="240" w:lineRule="auto"/>
      <w:jc w:val="center"/>
      <w:textAlignment w:val="center"/>
    </w:pPr>
    <w:rPr>
      <w:rFonts w:ascii="Times New Roman" w:hAnsi="Times New Roman"/>
      <w:b/>
      <w:bCs/>
      <w:color w:val="FFFFFF"/>
      <w:sz w:val="18"/>
      <w:szCs w:val="18"/>
    </w:rPr>
  </w:style>
  <w:style w:type="paragraph" w:customStyle="1" w:styleId="xl69">
    <w:name w:val="xl69"/>
    <w:basedOn w:val="Normal"/>
    <w:rsid w:val="00E26387"/>
    <w:pPr>
      <w:spacing w:before="100" w:beforeAutospacing="1" w:after="100" w:afterAutospacing="1" w:line="240" w:lineRule="auto"/>
    </w:pPr>
    <w:rPr>
      <w:rFonts w:ascii="Times New Roman" w:hAnsi="Times New Roman"/>
      <w:sz w:val="18"/>
      <w:szCs w:val="18"/>
    </w:rPr>
  </w:style>
  <w:style w:type="paragraph" w:customStyle="1" w:styleId="xl70">
    <w:name w:val="xl70"/>
    <w:basedOn w:val="Normal"/>
    <w:rsid w:val="00E26387"/>
    <w:pPr>
      <w:shd w:val="clear" w:color="000000" w:fill="339966"/>
      <w:spacing w:before="100" w:beforeAutospacing="1" w:after="100" w:afterAutospacing="1" w:line="240" w:lineRule="auto"/>
      <w:jc w:val="center"/>
      <w:textAlignment w:val="center"/>
    </w:pPr>
    <w:rPr>
      <w:rFonts w:ascii="Times New Roman" w:hAnsi="Times New Roman"/>
      <w:b/>
      <w:bCs/>
      <w:color w:val="FFFFFF"/>
      <w:sz w:val="18"/>
      <w:szCs w:val="18"/>
    </w:rPr>
  </w:style>
  <w:style w:type="paragraph" w:customStyle="1" w:styleId="Heading1nonumber">
    <w:name w:val="Heading 1 no number"/>
    <w:basedOn w:val="Heading1"/>
    <w:link w:val="Heading1nonumberChar"/>
    <w:rsid w:val="00E26387"/>
    <w:pPr>
      <w:tabs>
        <w:tab w:val="num" w:pos="1492"/>
      </w:tabs>
      <w:spacing w:before="200" w:after="480" w:line="240" w:lineRule="auto"/>
      <w:ind w:firstLine="357"/>
      <w:contextualSpacing w:val="0"/>
    </w:pPr>
    <w:rPr>
      <w:rFonts w:asciiTheme="majorHAnsi" w:eastAsiaTheme="majorEastAsia" w:hAnsiTheme="majorHAnsi" w:cstheme="majorBidi"/>
      <w:bCs/>
      <w:caps w:val="0"/>
      <w:color w:val="F8F8F8" w:themeColor="background2"/>
      <w:sz w:val="32"/>
      <w:szCs w:val="28"/>
      <w:lang w:eastAsia="en-US"/>
    </w:rPr>
  </w:style>
  <w:style w:type="character" w:customStyle="1" w:styleId="Heading1nonumberChar">
    <w:name w:val="Heading 1 no number Char"/>
    <w:link w:val="Heading1nonumber"/>
    <w:locked/>
    <w:rsid w:val="00E26387"/>
    <w:rPr>
      <w:rFonts w:asciiTheme="majorHAnsi" w:eastAsiaTheme="majorEastAsia" w:hAnsiTheme="majorHAnsi" w:cstheme="majorBidi"/>
      <w:b/>
      <w:bCs/>
      <w:color w:val="F8F8F8" w:themeColor="background2"/>
      <w:sz w:val="32"/>
      <w:szCs w:val="28"/>
      <w:lang w:eastAsia="en-US"/>
    </w:rPr>
  </w:style>
  <w:style w:type="paragraph" w:customStyle="1" w:styleId="StyleHeadingnonumberSeaGreen">
    <w:name w:val="Style Heading no number + Sea Green"/>
    <w:basedOn w:val="Headingnonumber"/>
    <w:rsid w:val="00E26387"/>
    <w:pPr>
      <w:tabs>
        <w:tab w:val="center" w:pos="4153"/>
        <w:tab w:val="right" w:pos="8306"/>
      </w:tabs>
      <w:spacing w:before="120" w:after="120"/>
    </w:pPr>
    <w:rPr>
      <w:rFonts w:ascii="Times New Roman" w:eastAsia="Times New Roman" w:hAnsi="Times New Roman" w:cs="Calibri"/>
      <w:b/>
      <w:bCs/>
      <w:color w:val="7F7F7F"/>
      <w:sz w:val="32"/>
      <w:szCs w:val="24"/>
      <w:lang w:val="en-US"/>
    </w:rPr>
  </w:style>
  <w:style w:type="character" w:customStyle="1" w:styleId="Style18ptBoldItalicSeaGreen">
    <w:name w:val="Style 18 pt Bold Italic Sea Green"/>
    <w:rsid w:val="00E26387"/>
    <w:rPr>
      <w:rFonts w:cs="Times New Roman"/>
      <w:b/>
      <w:bCs/>
      <w:i/>
      <w:iCs/>
      <w:color w:val="7F7F7F"/>
      <w:sz w:val="36"/>
    </w:rPr>
  </w:style>
  <w:style w:type="character" w:styleId="CommentReference">
    <w:name w:val="annotation reference"/>
    <w:rsid w:val="00E26387"/>
    <w:rPr>
      <w:rFonts w:cs="Times New Roman"/>
      <w:sz w:val="16"/>
      <w:szCs w:val="16"/>
    </w:rPr>
  </w:style>
  <w:style w:type="paragraph" w:styleId="CommentText">
    <w:name w:val="annotation text"/>
    <w:basedOn w:val="Normal"/>
    <w:link w:val="CommentTextChar"/>
    <w:rsid w:val="00E26387"/>
    <w:pPr>
      <w:spacing w:before="120" w:line="240" w:lineRule="auto"/>
    </w:pPr>
    <w:rPr>
      <w:sz w:val="20"/>
      <w:szCs w:val="20"/>
      <w:lang w:eastAsia="en-US"/>
    </w:rPr>
  </w:style>
  <w:style w:type="character" w:customStyle="1" w:styleId="CommentTextChar">
    <w:name w:val="Comment Text Char"/>
    <w:basedOn w:val="DefaultParagraphFont"/>
    <w:link w:val="CommentText"/>
    <w:rsid w:val="00E26387"/>
    <w:rPr>
      <w:rFonts w:ascii="Arial" w:hAnsi="Arial"/>
      <w:lang w:eastAsia="en-US"/>
    </w:rPr>
  </w:style>
  <w:style w:type="paragraph" w:styleId="CommentSubject">
    <w:name w:val="annotation subject"/>
    <w:basedOn w:val="CommentText"/>
    <w:next w:val="CommentText"/>
    <w:link w:val="CommentSubjectChar"/>
    <w:rsid w:val="00E26387"/>
    <w:rPr>
      <w:b/>
      <w:bCs/>
    </w:rPr>
  </w:style>
  <w:style w:type="character" w:customStyle="1" w:styleId="CommentSubjectChar">
    <w:name w:val="Comment Subject Char"/>
    <w:basedOn w:val="CommentTextChar"/>
    <w:link w:val="CommentSubject"/>
    <w:rsid w:val="00E26387"/>
    <w:rPr>
      <w:rFonts w:ascii="Arial" w:hAnsi="Arial"/>
      <w:b/>
      <w:bCs/>
      <w:lang w:eastAsia="en-US"/>
    </w:rPr>
  </w:style>
  <w:style w:type="numbering" w:styleId="111111">
    <w:name w:val="Outline List 2"/>
    <w:basedOn w:val="NoList"/>
    <w:rsid w:val="00E26387"/>
    <w:pPr>
      <w:numPr>
        <w:numId w:val="4"/>
      </w:numPr>
    </w:pPr>
  </w:style>
  <w:style w:type="numbering" w:customStyle="1" w:styleId="Style1">
    <w:name w:val="Style1"/>
    <w:rsid w:val="00E26387"/>
    <w:pPr>
      <w:numPr>
        <w:numId w:val="15"/>
      </w:numPr>
    </w:pPr>
  </w:style>
  <w:style w:type="numbering" w:styleId="ArticleSection">
    <w:name w:val="Outline List 3"/>
    <w:basedOn w:val="NoList"/>
    <w:rsid w:val="00E26387"/>
    <w:pPr>
      <w:numPr>
        <w:numId w:val="6"/>
      </w:numPr>
    </w:pPr>
  </w:style>
  <w:style w:type="numbering" w:styleId="1ai">
    <w:name w:val="Outline List 1"/>
    <w:basedOn w:val="NoList"/>
    <w:rsid w:val="00E26387"/>
    <w:pPr>
      <w:numPr>
        <w:numId w:val="5"/>
      </w:numPr>
    </w:pPr>
  </w:style>
  <w:style w:type="paragraph" w:styleId="TableofFigures">
    <w:name w:val="table of figures"/>
    <w:basedOn w:val="Normal"/>
    <w:next w:val="Normal"/>
    <w:uiPriority w:val="99"/>
    <w:unhideWhenUsed/>
    <w:rsid w:val="00E26387"/>
    <w:pPr>
      <w:spacing w:after="0" w:line="276" w:lineRule="auto"/>
    </w:pPr>
    <w:rPr>
      <w:rFonts w:ascii="Times New Roman" w:eastAsiaTheme="minorHAnsi" w:hAnsi="Times New Roman" w:cstheme="minorBidi"/>
      <w:sz w:val="24"/>
      <w:szCs w:val="22"/>
      <w:lang w:eastAsia="en-US"/>
    </w:rPr>
  </w:style>
  <w:style w:type="paragraph" w:styleId="TOC5">
    <w:name w:val="toc 5"/>
    <w:basedOn w:val="Normal"/>
    <w:next w:val="Normal"/>
    <w:autoRedefine/>
    <w:uiPriority w:val="39"/>
    <w:unhideWhenUsed/>
    <w:rsid w:val="00E26387"/>
    <w:pPr>
      <w:spacing w:after="100" w:line="276" w:lineRule="auto"/>
      <w:ind w:left="880"/>
    </w:pPr>
    <w:rPr>
      <w:rFonts w:asciiTheme="minorHAnsi" w:eastAsiaTheme="minorEastAsia" w:hAnsiTheme="minorHAnsi" w:cstheme="minorBidi"/>
      <w:sz w:val="20"/>
      <w:szCs w:val="22"/>
    </w:rPr>
  </w:style>
  <w:style w:type="paragraph" w:styleId="TOC6">
    <w:name w:val="toc 6"/>
    <w:basedOn w:val="Normal"/>
    <w:next w:val="Normal"/>
    <w:autoRedefine/>
    <w:uiPriority w:val="39"/>
    <w:unhideWhenUsed/>
    <w:rsid w:val="00E26387"/>
    <w:pPr>
      <w:spacing w:after="100" w:line="276" w:lineRule="auto"/>
      <w:ind w:left="1100"/>
    </w:pPr>
    <w:rPr>
      <w:rFonts w:asciiTheme="minorHAnsi" w:eastAsiaTheme="minorEastAsia" w:hAnsiTheme="minorHAnsi" w:cstheme="minorBidi"/>
      <w:sz w:val="20"/>
      <w:szCs w:val="22"/>
    </w:rPr>
  </w:style>
  <w:style w:type="paragraph" w:styleId="TOC7">
    <w:name w:val="toc 7"/>
    <w:basedOn w:val="Normal"/>
    <w:next w:val="Normal"/>
    <w:autoRedefine/>
    <w:uiPriority w:val="39"/>
    <w:unhideWhenUsed/>
    <w:rsid w:val="00E26387"/>
    <w:pPr>
      <w:spacing w:after="100" w:line="276" w:lineRule="auto"/>
      <w:ind w:left="1320"/>
    </w:pPr>
    <w:rPr>
      <w:rFonts w:asciiTheme="minorHAnsi" w:eastAsiaTheme="minorEastAsia" w:hAnsiTheme="minorHAnsi" w:cstheme="minorBidi"/>
      <w:sz w:val="20"/>
      <w:szCs w:val="22"/>
    </w:rPr>
  </w:style>
  <w:style w:type="paragraph" w:styleId="TOC8">
    <w:name w:val="toc 8"/>
    <w:basedOn w:val="Normal"/>
    <w:next w:val="Normal"/>
    <w:autoRedefine/>
    <w:uiPriority w:val="39"/>
    <w:unhideWhenUsed/>
    <w:rsid w:val="00E26387"/>
    <w:pPr>
      <w:spacing w:after="100" w:line="276" w:lineRule="auto"/>
      <w:ind w:left="1540"/>
    </w:pPr>
    <w:rPr>
      <w:rFonts w:asciiTheme="minorHAnsi" w:eastAsiaTheme="minorEastAsia" w:hAnsiTheme="minorHAnsi" w:cstheme="minorBidi"/>
      <w:sz w:val="20"/>
      <w:szCs w:val="22"/>
    </w:rPr>
  </w:style>
  <w:style w:type="paragraph" w:styleId="TOC9">
    <w:name w:val="toc 9"/>
    <w:basedOn w:val="Normal"/>
    <w:next w:val="Normal"/>
    <w:autoRedefine/>
    <w:uiPriority w:val="39"/>
    <w:unhideWhenUsed/>
    <w:rsid w:val="00E26387"/>
    <w:pPr>
      <w:spacing w:after="100" w:line="276" w:lineRule="auto"/>
      <w:ind w:left="1760"/>
    </w:pPr>
    <w:rPr>
      <w:rFonts w:asciiTheme="minorHAnsi" w:eastAsiaTheme="minorEastAsia" w:hAnsiTheme="minorHAnsi" w:cstheme="minorBidi"/>
      <w:sz w:val="20"/>
      <w:szCs w:val="22"/>
    </w:rPr>
  </w:style>
  <w:style w:type="paragraph" w:styleId="Revision">
    <w:name w:val="Revision"/>
    <w:hidden/>
    <w:uiPriority w:val="99"/>
    <w:semiHidden/>
    <w:rsid w:val="00E26387"/>
    <w:rPr>
      <w:rFonts w:ascii="Arial" w:hAnsi="Arial"/>
      <w:szCs w:val="22"/>
      <w:lang w:eastAsia="en-US"/>
    </w:rPr>
  </w:style>
  <w:style w:type="numbering" w:customStyle="1" w:styleId="NoList1">
    <w:name w:val="No List1"/>
    <w:next w:val="NoList"/>
    <w:uiPriority w:val="99"/>
    <w:semiHidden/>
    <w:unhideWhenUsed/>
    <w:rsid w:val="00E26387"/>
  </w:style>
  <w:style w:type="table" w:customStyle="1" w:styleId="TableGrid10">
    <w:name w:val="Table Grid1"/>
    <w:basedOn w:val="TableNormal"/>
    <w:next w:val="TableGrid"/>
    <w:uiPriority w:val="59"/>
    <w:rsid w:val="00E26387"/>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E26387"/>
    <w:pPr>
      <w:numPr>
        <w:numId w:val="18"/>
      </w:numPr>
    </w:pPr>
  </w:style>
  <w:style w:type="character" w:customStyle="1" w:styleId="Heading1Char1">
    <w:name w:val="Heading 1 Char1"/>
    <w:basedOn w:val="DefaultParagraphFont"/>
    <w:uiPriority w:val="9"/>
    <w:rsid w:val="00E26387"/>
    <w:rPr>
      <w:rFonts w:ascii="Calibri" w:eastAsia="Times New Roman" w:hAnsi="Calibri" w:cs="Times New Roman"/>
      <w:b/>
      <w:bCs/>
      <w:szCs w:val="28"/>
    </w:rPr>
  </w:style>
  <w:style w:type="character" w:customStyle="1" w:styleId="Heading2Char1">
    <w:name w:val="Heading 2 Char1"/>
    <w:basedOn w:val="DefaultParagraphFont"/>
    <w:uiPriority w:val="9"/>
    <w:rsid w:val="00E26387"/>
    <w:rPr>
      <w:rFonts w:ascii="Calibri" w:eastAsia="Times New Roman" w:hAnsi="Calibri" w:cs="Times New Roman"/>
      <w:b/>
      <w:szCs w:val="26"/>
    </w:rPr>
  </w:style>
  <w:style w:type="numbering" w:customStyle="1" w:styleId="Headingsv2">
    <w:name w:val="Headings v2"/>
    <w:uiPriority w:val="99"/>
    <w:rsid w:val="00E26387"/>
    <w:pPr>
      <w:numPr>
        <w:numId w:val="19"/>
      </w:numPr>
    </w:pPr>
  </w:style>
  <w:style w:type="paragraph" w:customStyle="1" w:styleId="EndnoteText1">
    <w:name w:val="Endnote Text1"/>
    <w:basedOn w:val="Normal"/>
    <w:next w:val="EndnoteText"/>
    <w:uiPriority w:val="99"/>
    <w:semiHidden/>
    <w:unhideWhenUsed/>
    <w:rsid w:val="00E26387"/>
    <w:pPr>
      <w:spacing w:after="0" w:line="240" w:lineRule="auto"/>
    </w:pPr>
    <w:rPr>
      <w:rFonts w:ascii="Calibri" w:hAnsi="Calibri"/>
      <w:sz w:val="20"/>
      <w:szCs w:val="20"/>
    </w:rPr>
  </w:style>
  <w:style w:type="character" w:customStyle="1" w:styleId="EndnoteTextChar1">
    <w:name w:val="Endnote Text Char1"/>
    <w:basedOn w:val="DefaultParagraphFont"/>
    <w:rsid w:val="00E26387"/>
    <w:rPr>
      <w:rFonts w:ascii="Arial" w:eastAsia="Times New Roman" w:hAnsi="Arial" w:cs="Times New Roman"/>
      <w:sz w:val="20"/>
      <w:szCs w:val="20"/>
    </w:rPr>
  </w:style>
  <w:style w:type="character" w:customStyle="1" w:styleId="ListParagraphChar">
    <w:name w:val="List Paragraph Char"/>
    <w:link w:val="ListParagraph"/>
    <w:uiPriority w:val="34"/>
    <w:locked/>
    <w:rsid w:val="00E26387"/>
    <w:rPr>
      <w:rFonts w:ascii="Arial" w:hAnsi="Arial"/>
      <w:sz w:val="22"/>
      <w:szCs w:val="24"/>
    </w:rPr>
  </w:style>
  <w:style w:type="character" w:customStyle="1" w:styleId="apple-converted-space">
    <w:name w:val="apple-converted-space"/>
    <w:basedOn w:val="DefaultParagraphFont"/>
    <w:rsid w:val="00E26387"/>
  </w:style>
  <w:style w:type="character" w:styleId="IntenseReference">
    <w:name w:val="Intense Reference"/>
    <w:basedOn w:val="DefaultParagraphFont"/>
    <w:uiPriority w:val="32"/>
    <w:qFormat/>
    <w:rsid w:val="00E26387"/>
    <w:rPr>
      <w:b/>
      <w:bCs/>
      <w:i/>
      <w:smallCaps/>
      <w:color w:val="008A00" w:themeColor="accent2"/>
      <w:spacing w:val="5"/>
      <w:u w:val="none"/>
    </w:rPr>
  </w:style>
  <w:style w:type="paragraph" w:customStyle="1" w:styleId="Attachment">
    <w:name w:val="Attachment"/>
    <w:basedOn w:val="Normal"/>
    <w:uiPriority w:val="2"/>
    <w:qFormat/>
    <w:rsid w:val="003642EA"/>
    <w:pPr>
      <w:numPr>
        <w:numId w:val="49"/>
      </w:numPr>
      <w:spacing w:after="200" w:line="276" w:lineRule="auto"/>
      <w:ind w:left="357" w:hanging="357"/>
    </w:pPr>
    <w:rPr>
      <w:rFonts w:asciiTheme="minorHAnsi" w:eastAsiaTheme="minorHAnsi" w:hAnsiTheme="minorHAnsi" w:cstheme="minorBidi"/>
      <w:szCs w:val="22"/>
      <w:lang w:eastAsia="en-US"/>
    </w:rPr>
  </w:style>
  <w:style w:type="paragraph" w:customStyle="1" w:styleId="Attachmentheading">
    <w:name w:val="Attachment heading"/>
    <w:basedOn w:val="Normal"/>
    <w:next w:val="Normal"/>
    <w:link w:val="AttachmentheadingChar"/>
    <w:qFormat/>
    <w:rsid w:val="003642EA"/>
    <w:pPr>
      <w:spacing w:after="200" w:line="276" w:lineRule="auto"/>
      <w:jc w:val="right"/>
    </w:pPr>
    <w:rPr>
      <w:rFonts w:asciiTheme="minorHAnsi" w:eastAsiaTheme="minorHAnsi" w:hAnsiTheme="minorHAnsi" w:cstheme="minorBidi"/>
      <w:b/>
      <w:szCs w:val="22"/>
      <w:lang w:eastAsia="en-US"/>
    </w:rPr>
  </w:style>
  <w:style w:type="character" w:customStyle="1" w:styleId="AttachmentheadingChar">
    <w:name w:val="Attachment heading Char"/>
    <w:basedOn w:val="DefaultParagraphFont"/>
    <w:link w:val="Attachmentheading"/>
    <w:rsid w:val="003642EA"/>
    <w:rPr>
      <w:rFonts w:asciiTheme="minorHAnsi" w:eastAsiaTheme="minorHAnsi" w:hAnsiTheme="minorHAnsi" w:cstheme="minorBidi"/>
      <w:b/>
      <w:sz w:val="22"/>
      <w:szCs w:val="22"/>
      <w:lang w:eastAsia="en-US"/>
    </w:rPr>
  </w:style>
  <w:style w:type="table" w:customStyle="1" w:styleId="TableGridLight1">
    <w:name w:val="Table Grid Light1"/>
    <w:basedOn w:val="TableNormal"/>
    <w:uiPriority w:val="40"/>
    <w:rsid w:val="00207D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4" w:unhideWhenUsed="0" w:qFormat="1"/>
    <w:lsdException w:name="heading 2" w:semiHidden="0" w:uiPriority="6" w:unhideWhenUsed="0" w:qFormat="1"/>
    <w:lsdException w:name="heading 3" w:semiHidden="0" w:uiPriority="2" w:unhideWhenUsed="0" w:qFormat="1"/>
    <w:lsdException w:name="heading 4" w:semiHidden="0" w:uiPriority="8"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uiPriority="35" w:qFormat="1"/>
    <w:lsdException w:name="table of figures" w:uiPriority="99"/>
    <w:lsdException w:name="footnote reference" w:uiPriority="99"/>
    <w:lsdException w:name="endnote reference" w:uiPriority="99"/>
    <w:lsdException w:name="List Bullet" w:uiPriority="2" w:qFormat="1"/>
    <w:lsdException w:name="List Number" w:semiHidden="0" w:unhideWhenUsed="0"/>
    <w:lsdException w:name="List 4" w:unhideWhenUsed="0"/>
    <w:lsdException w:name="List 5" w:unhideWhenUsed="0"/>
    <w:lsdException w:name="List Bullet 2" w:uiPriority="3" w:qFormat="1"/>
    <w:lsdException w:name="Title" w:semiHidden="0" w:uiPriority="11" w:unhideWhenUsed="0" w:qFormat="1"/>
    <w:lsdException w:name="Signature" w:uiPriority="99"/>
    <w:lsdException w:name="Subtitle" w:semiHidden="0" w:uiPriority="12" w:unhideWhenUsed="0" w:qFormat="1"/>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8"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17147C"/>
    <w:pPr>
      <w:spacing w:after="120" w:line="260" w:lineRule="atLeast"/>
    </w:pPr>
    <w:rPr>
      <w:rFonts w:ascii="Arial" w:hAnsi="Arial"/>
      <w:sz w:val="22"/>
      <w:szCs w:val="24"/>
    </w:rPr>
  </w:style>
  <w:style w:type="paragraph" w:styleId="Heading1">
    <w:name w:val="heading 1"/>
    <w:basedOn w:val="Normal"/>
    <w:next w:val="Normal"/>
    <w:link w:val="Heading1Char"/>
    <w:uiPriority w:val="4"/>
    <w:qFormat/>
    <w:rsid w:val="00686BC1"/>
    <w:pPr>
      <w:keepNext/>
      <w:keepLines/>
      <w:numPr>
        <w:numId w:val="50"/>
      </w:numPr>
      <w:spacing w:after="1320" w:line="216" w:lineRule="auto"/>
      <w:contextualSpacing/>
      <w:outlineLvl w:val="0"/>
    </w:pPr>
    <w:rPr>
      <w:b/>
      <w:caps/>
      <w:sz w:val="52"/>
      <w:szCs w:val="44"/>
    </w:rPr>
  </w:style>
  <w:style w:type="paragraph" w:styleId="Heading2">
    <w:name w:val="heading 2"/>
    <w:basedOn w:val="Normal"/>
    <w:next w:val="Normal"/>
    <w:link w:val="Heading2Char"/>
    <w:uiPriority w:val="6"/>
    <w:qFormat/>
    <w:rsid w:val="005603F8"/>
    <w:pPr>
      <w:keepNext/>
      <w:keepLines/>
      <w:numPr>
        <w:ilvl w:val="1"/>
        <w:numId w:val="50"/>
      </w:numPr>
      <w:spacing w:before="360" w:after="40" w:line="216" w:lineRule="auto"/>
      <w:contextualSpacing/>
      <w:outlineLvl w:val="1"/>
    </w:pPr>
    <w:rPr>
      <w:b/>
      <w:caps/>
      <w:color w:val="008A00"/>
      <w:sz w:val="24"/>
      <w:szCs w:val="44"/>
    </w:rPr>
  </w:style>
  <w:style w:type="paragraph" w:styleId="Heading3">
    <w:name w:val="heading 3"/>
    <w:basedOn w:val="Normal"/>
    <w:next w:val="Normal"/>
    <w:link w:val="Heading3Char"/>
    <w:uiPriority w:val="2"/>
    <w:qFormat/>
    <w:rsid w:val="00150E25"/>
    <w:pPr>
      <w:keepNext/>
      <w:keepLines/>
      <w:spacing w:before="120" w:after="40"/>
      <w:contextualSpacing/>
      <w:outlineLvl w:val="2"/>
    </w:pPr>
    <w:rPr>
      <w:b/>
      <w:sz w:val="24"/>
      <w:szCs w:val="28"/>
    </w:rPr>
  </w:style>
  <w:style w:type="paragraph" w:styleId="Heading4">
    <w:name w:val="heading 4"/>
    <w:basedOn w:val="Normal"/>
    <w:next w:val="Normal"/>
    <w:link w:val="Heading4Char"/>
    <w:uiPriority w:val="8"/>
    <w:qFormat/>
    <w:rsid w:val="001D2904"/>
    <w:pPr>
      <w:keepNext/>
      <w:keepLines/>
      <w:numPr>
        <w:ilvl w:val="3"/>
        <w:numId w:val="50"/>
      </w:numPr>
      <w:spacing w:before="120" w:after="60"/>
      <w:contextualSpacing/>
      <w:outlineLvl w:val="3"/>
    </w:pPr>
    <w:rPr>
      <w:b/>
    </w:rPr>
  </w:style>
  <w:style w:type="paragraph" w:styleId="Heading5">
    <w:name w:val="heading 5"/>
    <w:basedOn w:val="Normal"/>
    <w:next w:val="Normal"/>
    <w:link w:val="Heading5Char"/>
    <w:uiPriority w:val="9"/>
    <w:qFormat/>
    <w:rsid w:val="002672F1"/>
    <w:pPr>
      <w:keepNext/>
      <w:numPr>
        <w:ilvl w:val="4"/>
        <w:numId w:val="50"/>
      </w:numPr>
      <w:spacing w:before="240"/>
      <w:contextualSpacing/>
      <w:outlineLvl w:val="4"/>
    </w:pPr>
    <w:rPr>
      <w:b/>
      <w:szCs w:val="22"/>
    </w:rPr>
  </w:style>
  <w:style w:type="paragraph" w:styleId="Heading6">
    <w:name w:val="heading 6"/>
    <w:basedOn w:val="Normal"/>
    <w:next w:val="Normal"/>
    <w:link w:val="Heading6Char"/>
    <w:uiPriority w:val="9"/>
    <w:qFormat/>
    <w:rsid w:val="002672F1"/>
    <w:pPr>
      <w:keepNext/>
      <w:numPr>
        <w:ilvl w:val="5"/>
        <w:numId w:val="50"/>
      </w:numPr>
      <w:spacing w:before="240"/>
      <w:contextualSpacing/>
      <w:outlineLvl w:val="5"/>
    </w:pPr>
    <w:rPr>
      <w:b/>
      <w:sz w:val="20"/>
      <w:szCs w:val="22"/>
    </w:rPr>
  </w:style>
  <w:style w:type="paragraph" w:styleId="Heading7">
    <w:name w:val="heading 7"/>
    <w:basedOn w:val="Normal"/>
    <w:next w:val="Normal"/>
    <w:link w:val="Heading7Char"/>
    <w:uiPriority w:val="9"/>
    <w:qFormat/>
    <w:rsid w:val="00E26387"/>
    <w:pPr>
      <w:keepNext/>
      <w:keepLines/>
      <w:numPr>
        <w:ilvl w:val="6"/>
        <w:numId w:val="50"/>
      </w:numPr>
      <w:spacing w:before="200" w:after="0" w:line="240" w:lineRule="auto"/>
      <w:outlineLvl w:val="6"/>
    </w:pPr>
    <w:rPr>
      <w:rFonts w:asciiTheme="majorHAnsi" w:eastAsiaTheme="majorEastAsia" w:hAnsiTheme="majorHAnsi" w:cstheme="majorBidi"/>
      <w:i/>
      <w:iCs/>
      <w:szCs w:val="22"/>
      <w:u w:val="single"/>
      <w:lang w:eastAsia="en-US"/>
    </w:rPr>
  </w:style>
  <w:style w:type="paragraph" w:styleId="Heading8">
    <w:name w:val="heading 8"/>
    <w:basedOn w:val="Normal"/>
    <w:next w:val="Normal"/>
    <w:link w:val="Heading8Char"/>
    <w:uiPriority w:val="9"/>
    <w:unhideWhenUsed/>
    <w:qFormat/>
    <w:rsid w:val="00E26387"/>
    <w:pPr>
      <w:keepNext/>
      <w:keepLines/>
      <w:numPr>
        <w:ilvl w:val="7"/>
        <w:numId w:val="50"/>
      </w:numPr>
      <w:spacing w:before="200" w:after="0" w:line="240"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E26387"/>
    <w:pPr>
      <w:keepNext/>
      <w:keepLines/>
      <w:numPr>
        <w:ilvl w:val="8"/>
        <w:numId w:val="50"/>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71AB1"/>
    <w:pPr>
      <w:tabs>
        <w:tab w:val="right" w:pos="10319"/>
      </w:tabs>
      <w:spacing w:after="0"/>
    </w:pPr>
    <w:rPr>
      <w:sz w:val="20"/>
    </w:rPr>
  </w:style>
  <w:style w:type="paragraph" w:styleId="Title">
    <w:name w:val="Title"/>
    <w:aliases w:val="Title Artwork"/>
    <w:basedOn w:val="Normal"/>
    <w:link w:val="TitleChar"/>
    <w:uiPriority w:val="11"/>
    <w:qFormat/>
    <w:rsid w:val="00CC586D"/>
    <w:pPr>
      <w:spacing w:before="480" w:after="360" w:line="204" w:lineRule="auto"/>
      <w:contextualSpacing/>
      <w:outlineLvl w:val="0"/>
    </w:pPr>
    <w:rPr>
      <w:rFonts w:cs="Arial"/>
      <w:b/>
      <w:bCs/>
      <w:caps/>
      <w:color w:val="FFFFFF" w:themeColor="background1"/>
      <w:kern w:val="28"/>
      <w:sz w:val="80"/>
      <w:szCs w:val="32"/>
    </w:rPr>
  </w:style>
  <w:style w:type="paragraph" w:styleId="ListBullet">
    <w:name w:val="List Bullet"/>
    <w:basedOn w:val="Normal"/>
    <w:uiPriority w:val="2"/>
    <w:qFormat/>
    <w:rsid w:val="00451A74"/>
    <w:pPr>
      <w:numPr>
        <w:numId w:val="1"/>
      </w:numPr>
      <w:spacing w:before="40" w:after="40"/>
      <w:ind w:left="357" w:hanging="357"/>
    </w:pPr>
  </w:style>
  <w:style w:type="paragraph" w:styleId="Footer">
    <w:name w:val="footer"/>
    <w:basedOn w:val="Header"/>
    <w:link w:val="FooterChar"/>
    <w:uiPriority w:val="99"/>
    <w:rsid w:val="00571AB1"/>
    <w:pPr>
      <w:tabs>
        <w:tab w:val="right" w:pos="9639"/>
      </w:tabs>
    </w:pPr>
  </w:style>
  <w:style w:type="paragraph" w:customStyle="1" w:styleId="Smalltext">
    <w:name w:val="Small text"/>
    <w:basedOn w:val="Normal"/>
    <w:rsid w:val="0055532E"/>
    <w:pPr>
      <w:spacing w:before="60" w:after="60"/>
      <w:ind w:left="210" w:hanging="210"/>
    </w:pPr>
    <w:rPr>
      <w:sz w:val="16"/>
      <w:szCs w:val="16"/>
      <w:lang w:val="en-US"/>
    </w:rPr>
  </w:style>
  <w:style w:type="character" w:styleId="Hyperlink">
    <w:name w:val="Hyperlink"/>
    <w:basedOn w:val="DefaultParagraphFont"/>
    <w:uiPriority w:val="99"/>
    <w:rsid w:val="00494832"/>
    <w:rPr>
      <w:color w:val="auto"/>
      <w:u w:val="none"/>
    </w:r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843390"/>
    <w:pPr>
      <w:spacing w:after="0"/>
      <w:ind w:left="142" w:hanging="142"/>
    </w:pPr>
    <w:rPr>
      <w:sz w:val="20"/>
      <w:szCs w:val="20"/>
    </w:rPr>
  </w:style>
  <w:style w:type="character" w:customStyle="1" w:styleId="FootnoteTextChar">
    <w:name w:val="Footnote Text Char"/>
    <w:basedOn w:val="DefaultParagraphFont"/>
    <w:link w:val="FootnoteText"/>
    <w:uiPriority w:val="99"/>
    <w:rsid w:val="00843390"/>
    <w:rPr>
      <w:rFonts w:ascii="Arial" w:hAnsi="Arial"/>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link w:val="ListParagraphChar"/>
    <w:uiPriority w:val="34"/>
    <w:qFormat/>
    <w:rsid w:val="00CB5744"/>
    <w:pPr>
      <w:ind w:left="720"/>
      <w:contextualSpacing/>
    </w:pPr>
  </w:style>
  <w:style w:type="character" w:customStyle="1" w:styleId="Heading2Char">
    <w:name w:val="Heading 2 Char"/>
    <w:basedOn w:val="DefaultParagraphFont"/>
    <w:link w:val="Heading2"/>
    <w:uiPriority w:val="6"/>
    <w:rsid w:val="005603F8"/>
    <w:rPr>
      <w:rFonts w:ascii="Arial" w:hAnsi="Arial"/>
      <w:b/>
      <w:caps/>
      <w:color w:val="008A00"/>
      <w:sz w:val="24"/>
      <w:szCs w:val="44"/>
    </w:rPr>
  </w:style>
  <w:style w:type="paragraph" w:styleId="TOC1">
    <w:name w:val="toc 1"/>
    <w:basedOn w:val="Normal"/>
    <w:next w:val="Normal"/>
    <w:autoRedefine/>
    <w:uiPriority w:val="39"/>
    <w:qFormat/>
    <w:rsid w:val="00073196"/>
    <w:pPr>
      <w:spacing w:before="240"/>
      <w:ind w:right="-28"/>
    </w:pPr>
    <w:rPr>
      <w:b/>
      <w:noProof/>
      <w:sz w:val="28"/>
    </w:rPr>
  </w:style>
  <w:style w:type="paragraph" w:styleId="TOC2">
    <w:name w:val="toc 2"/>
    <w:basedOn w:val="Normal"/>
    <w:next w:val="Normal"/>
    <w:autoRedefine/>
    <w:uiPriority w:val="39"/>
    <w:qFormat/>
    <w:rsid w:val="003331A3"/>
    <w:pPr>
      <w:tabs>
        <w:tab w:val="left" w:pos="880"/>
        <w:tab w:val="right" w:pos="8931"/>
      </w:tabs>
      <w:spacing w:after="100"/>
      <w:ind w:right="-45"/>
    </w:pPr>
    <w:rPr>
      <w:noProof/>
    </w:rPr>
  </w:style>
  <w:style w:type="paragraph" w:customStyle="1" w:styleId="TableText">
    <w:name w:val="Table Text"/>
    <w:basedOn w:val="Normal"/>
    <w:uiPriority w:val="99"/>
    <w:qFormat/>
    <w:rsid w:val="00C4423A"/>
    <w:pPr>
      <w:spacing w:before="40" w:after="40"/>
    </w:p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
    <w:rsid w:val="001D2904"/>
    <w:rPr>
      <w:rFonts w:ascii="Arial" w:hAnsi="Arial"/>
      <w:b/>
      <w:szCs w:val="22"/>
    </w:rPr>
  </w:style>
  <w:style w:type="table" w:customStyle="1" w:styleId="DefaultTable">
    <w:name w:val="Default Table"/>
    <w:basedOn w:val="TableNormal"/>
    <w:uiPriority w:val="99"/>
    <w:rsid w:val="0023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styleId="TOCHeading">
    <w:name w:val="TOC Heading"/>
    <w:basedOn w:val="Heading1"/>
    <w:next w:val="Normal"/>
    <w:uiPriority w:val="39"/>
    <w:qFormat/>
    <w:rsid w:val="004C777E"/>
    <w:pPr>
      <w:numPr>
        <w:numId w:val="0"/>
      </w:numPr>
      <w:spacing w:after="1200"/>
      <w:outlineLvl w:val="9"/>
    </w:pPr>
    <w:rPr>
      <w:rFonts w:asciiTheme="majorHAnsi" w:eastAsiaTheme="majorEastAsia" w:hAnsiTheme="majorHAnsi" w:cstheme="majorBidi"/>
      <w:bCs/>
      <w:szCs w:val="28"/>
    </w:rPr>
  </w:style>
  <w:style w:type="paragraph" w:customStyle="1" w:styleId="SourceText">
    <w:name w:val="Source Text"/>
    <w:basedOn w:val="Normal"/>
    <w:uiPriority w:val="99"/>
    <w:qFormat/>
    <w:rsid w:val="007E74E1"/>
    <w:pPr>
      <w:spacing w:after="240"/>
      <w:contextualSpacing/>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uiPriority w:val="99"/>
    <w:rsid w:val="001B5259"/>
    <w:rPr>
      <w:rFonts w:ascii="Tahoma" w:hAnsi="Tahoma" w:cs="Tahoma"/>
      <w:sz w:val="16"/>
      <w:szCs w:val="16"/>
    </w:rPr>
  </w:style>
  <w:style w:type="character" w:customStyle="1" w:styleId="BalloonTextChar">
    <w:name w:val="Balloon Text Char"/>
    <w:basedOn w:val="DefaultParagraphFont"/>
    <w:link w:val="BalloonText"/>
    <w:uiPriority w:val="99"/>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rsid w:val="00EE265C"/>
    <w:rPr>
      <w:sz w:val="20"/>
      <w:szCs w:val="20"/>
    </w:rPr>
  </w:style>
  <w:style w:type="character" w:customStyle="1" w:styleId="EndnoteTextChar">
    <w:name w:val="Endnote Text Char"/>
    <w:basedOn w:val="DefaultParagraphFont"/>
    <w:link w:val="EndnoteText"/>
    <w:uiPriority w:val="99"/>
    <w:semiHidden/>
    <w:rsid w:val="001D2904"/>
    <w:rPr>
      <w:rFonts w:ascii="Arial" w:hAnsi="Arial"/>
    </w:rPr>
  </w:style>
  <w:style w:type="character" w:styleId="EndnoteReference">
    <w:name w:val="endnote reference"/>
    <w:basedOn w:val="DefaultParagraphFont"/>
    <w:uiPriority w:val="99"/>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Normal"/>
    <w:link w:val="SubtitleChar"/>
    <w:uiPriority w:val="12"/>
    <w:qFormat/>
    <w:rsid w:val="00CC586D"/>
    <w:pPr>
      <w:numPr>
        <w:ilvl w:val="1"/>
      </w:numPr>
    </w:pPr>
    <w:rPr>
      <w:rFonts w:asciiTheme="majorHAnsi" w:eastAsiaTheme="majorEastAsia" w:hAnsiTheme="majorHAnsi" w:cstheme="majorBidi"/>
      <w:iCs/>
      <w:color w:val="FFFFFF" w:themeColor="background1"/>
      <w:sz w:val="28"/>
    </w:rPr>
  </w:style>
  <w:style w:type="character" w:customStyle="1" w:styleId="SubtitleChar">
    <w:name w:val="Subtitle Char"/>
    <w:basedOn w:val="DefaultParagraphFont"/>
    <w:link w:val="Subtitle"/>
    <w:uiPriority w:val="12"/>
    <w:rsid w:val="00CC586D"/>
    <w:rPr>
      <w:rFonts w:asciiTheme="majorHAnsi" w:eastAsiaTheme="majorEastAsia" w:hAnsiTheme="majorHAnsi" w:cstheme="majorBidi"/>
      <w:iCs/>
      <w:color w:val="FFFFFF" w:themeColor="background1"/>
      <w:sz w:val="28"/>
      <w:szCs w:val="24"/>
    </w:rPr>
  </w:style>
  <w:style w:type="paragraph" w:customStyle="1" w:styleId="Reportcopyright">
    <w:name w:val="Report (copyright)"/>
    <w:basedOn w:val="Normal"/>
    <w:next w:val="Normal"/>
    <w:uiPriority w:val="15"/>
    <w:qFormat/>
    <w:rsid w:val="00492112"/>
    <w:pPr>
      <w:spacing w:before="4000" w:after="200" w:line="240" w:lineRule="auto"/>
    </w:pPr>
    <w:rPr>
      <w:rFonts w:asciiTheme="minorHAnsi" w:eastAsiaTheme="minorHAnsi" w:hAnsiTheme="minorHAnsi" w:cstheme="minorBidi"/>
      <w:b/>
      <w:szCs w:val="22"/>
      <w:lang w:eastAsia="en-US"/>
    </w:rPr>
  </w:style>
  <w:style w:type="character" w:customStyle="1" w:styleId="A5">
    <w:name w:val="A5"/>
    <w:uiPriority w:val="99"/>
    <w:rsid w:val="00492112"/>
    <w:rPr>
      <w:rFonts w:ascii="Swiss 721 BT" w:hAnsi="Swiss 721 BT" w:cs="Swiss 721 BT" w:hint="default"/>
      <w:color w:val="000000"/>
      <w:sz w:val="20"/>
      <w:szCs w:val="20"/>
    </w:rPr>
  </w:style>
  <w:style w:type="character" w:customStyle="1" w:styleId="Heading7Char">
    <w:name w:val="Heading 7 Char"/>
    <w:basedOn w:val="DefaultParagraphFont"/>
    <w:link w:val="Heading7"/>
    <w:uiPriority w:val="9"/>
    <w:rsid w:val="00E26387"/>
    <w:rPr>
      <w:rFonts w:asciiTheme="majorHAnsi" w:eastAsiaTheme="majorEastAsia" w:hAnsiTheme="majorHAnsi" w:cstheme="majorBidi"/>
      <w:i/>
      <w:iCs/>
      <w:sz w:val="22"/>
      <w:szCs w:val="22"/>
      <w:u w:val="single"/>
      <w:lang w:eastAsia="en-US"/>
    </w:rPr>
  </w:style>
  <w:style w:type="character" w:customStyle="1" w:styleId="Heading8Char">
    <w:name w:val="Heading 8 Char"/>
    <w:basedOn w:val="DefaultParagraphFont"/>
    <w:link w:val="Heading8"/>
    <w:uiPriority w:val="9"/>
    <w:rsid w:val="00E2638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E26387"/>
    <w:rPr>
      <w:rFonts w:asciiTheme="majorHAnsi" w:eastAsiaTheme="majorEastAsia" w:hAnsiTheme="majorHAnsi" w:cstheme="majorBidi"/>
      <w:i/>
      <w:iCs/>
      <w:color w:val="404040" w:themeColor="text1" w:themeTint="BF"/>
      <w:lang w:eastAsia="en-US"/>
    </w:rPr>
  </w:style>
  <w:style w:type="character" w:customStyle="1" w:styleId="Heading1Char">
    <w:name w:val="Heading 1 Char"/>
    <w:basedOn w:val="DefaultParagraphFont"/>
    <w:link w:val="Heading1"/>
    <w:uiPriority w:val="4"/>
    <w:rsid w:val="00686BC1"/>
    <w:rPr>
      <w:rFonts w:ascii="Arial" w:hAnsi="Arial"/>
      <w:b/>
      <w:caps/>
      <w:sz w:val="52"/>
      <w:szCs w:val="44"/>
    </w:rPr>
  </w:style>
  <w:style w:type="character" w:customStyle="1" w:styleId="HeaderChar">
    <w:name w:val="Header Char"/>
    <w:basedOn w:val="DefaultParagraphFont"/>
    <w:link w:val="Header"/>
    <w:uiPriority w:val="99"/>
    <w:rsid w:val="00E26387"/>
    <w:rPr>
      <w:rFonts w:ascii="Arial" w:hAnsi="Arial"/>
      <w:szCs w:val="24"/>
    </w:rPr>
  </w:style>
  <w:style w:type="character" w:customStyle="1" w:styleId="FooterChar">
    <w:name w:val="Footer Char"/>
    <w:basedOn w:val="DefaultParagraphFont"/>
    <w:link w:val="Footer"/>
    <w:uiPriority w:val="99"/>
    <w:rsid w:val="00E26387"/>
    <w:rPr>
      <w:rFonts w:ascii="Arial" w:hAnsi="Arial"/>
      <w:szCs w:val="24"/>
    </w:rPr>
  </w:style>
  <w:style w:type="character" w:customStyle="1" w:styleId="Heading3Char">
    <w:name w:val="Heading 3 Char"/>
    <w:basedOn w:val="DefaultParagraphFont"/>
    <w:link w:val="Heading3"/>
    <w:uiPriority w:val="2"/>
    <w:rsid w:val="00E26387"/>
    <w:rPr>
      <w:rFonts w:ascii="Arial" w:hAnsi="Arial"/>
      <w:b/>
      <w:sz w:val="24"/>
      <w:szCs w:val="28"/>
    </w:rPr>
  </w:style>
  <w:style w:type="paragraph" w:styleId="Quote">
    <w:name w:val="Quote"/>
    <w:basedOn w:val="Normal"/>
    <w:next w:val="Normal"/>
    <w:link w:val="QuoteChar"/>
    <w:uiPriority w:val="28"/>
    <w:qFormat/>
    <w:rsid w:val="00E26387"/>
    <w:pPr>
      <w:spacing w:line="240" w:lineRule="auto"/>
    </w:pPr>
    <w:rPr>
      <w:rFonts w:asciiTheme="minorHAnsi" w:eastAsiaTheme="minorHAnsi" w:hAnsiTheme="minorHAnsi" w:cstheme="minorBidi"/>
      <w:i/>
      <w:iCs/>
      <w:color w:val="000000" w:themeColor="text1"/>
      <w:szCs w:val="22"/>
      <w:lang w:eastAsia="en-US"/>
    </w:rPr>
  </w:style>
  <w:style w:type="character" w:customStyle="1" w:styleId="QuoteChar">
    <w:name w:val="Quote Char"/>
    <w:basedOn w:val="DefaultParagraphFont"/>
    <w:link w:val="Quote"/>
    <w:uiPriority w:val="28"/>
    <w:rsid w:val="00E26387"/>
    <w:rPr>
      <w:rFonts w:asciiTheme="minorHAnsi" w:eastAsiaTheme="minorHAnsi" w:hAnsiTheme="minorHAnsi" w:cstheme="minorBidi"/>
      <w:i/>
      <w:iCs/>
      <w:color w:val="000000" w:themeColor="text1"/>
      <w:sz w:val="22"/>
      <w:szCs w:val="22"/>
      <w:lang w:eastAsia="en-US"/>
    </w:rPr>
  </w:style>
  <w:style w:type="paragraph" w:customStyle="1" w:styleId="Bullet1">
    <w:name w:val="Bullet 1"/>
    <w:basedOn w:val="Normal"/>
    <w:uiPriority w:val="34"/>
    <w:semiHidden/>
    <w:rsid w:val="00E26387"/>
    <w:pPr>
      <w:numPr>
        <w:numId w:val="3"/>
      </w:numPr>
      <w:spacing w:line="240" w:lineRule="auto"/>
    </w:pPr>
    <w:rPr>
      <w:rFonts w:asciiTheme="minorHAnsi" w:eastAsiaTheme="minorHAnsi" w:hAnsiTheme="minorHAnsi" w:cstheme="minorBidi"/>
      <w:szCs w:val="22"/>
      <w:lang w:eastAsia="en-US"/>
    </w:rPr>
  </w:style>
  <w:style w:type="character" w:customStyle="1" w:styleId="Act">
    <w:name w:val="Act"/>
    <w:basedOn w:val="DefaultParagraphFont"/>
    <w:uiPriority w:val="23"/>
    <w:qFormat/>
    <w:rsid w:val="00E26387"/>
    <w:rPr>
      <w:i/>
    </w:rPr>
  </w:style>
  <w:style w:type="character" w:customStyle="1" w:styleId="TitleChar">
    <w:name w:val="Title Char"/>
    <w:aliases w:val="Title Artwork Char"/>
    <w:basedOn w:val="DefaultParagraphFont"/>
    <w:link w:val="Title"/>
    <w:uiPriority w:val="11"/>
    <w:rsid w:val="00E26387"/>
    <w:rPr>
      <w:rFonts w:ascii="Arial" w:hAnsi="Arial" w:cs="Arial"/>
      <w:b/>
      <w:bCs/>
      <w:caps/>
      <w:color w:val="FFFFFF" w:themeColor="background1"/>
      <w:kern w:val="28"/>
      <w:sz w:val="80"/>
      <w:szCs w:val="32"/>
    </w:rPr>
  </w:style>
  <w:style w:type="paragraph" w:customStyle="1" w:styleId="VersionandDate">
    <w:name w:val="Version and Date"/>
    <w:basedOn w:val="Normal"/>
    <w:next w:val="Normal"/>
    <w:uiPriority w:val="13"/>
    <w:qFormat/>
    <w:rsid w:val="00E26387"/>
    <w:pPr>
      <w:spacing w:line="240" w:lineRule="auto"/>
      <w:ind w:left="6804" w:right="260"/>
      <w:jc w:val="right"/>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E26387"/>
    <w:pPr>
      <w:spacing w:line="240" w:lineRule="auto"/>
    </w:pPr>
    <w:rPr>
      <w:rFonts w:asciiTheme="minorHAnsi" w:eastAsiaTheme="minorHAnsi" w:hAnsiTheme="minorHAnsi" w:cstheme="minorBidi"/>
      <w:i/>
      <w:szCs w:val="22"/>
      <w:lang w:eastAsia="en-US"/>
    </w:rPr>
  </w:style>
  <w:style w:type="character" w:customStyle="1" w:styleId="Heading4Char">
    <w:name w:val="Heading 4 Char"/>
    <w:basedOn w:val="DefaultParagraphFont"/>
    <w:link w:val="Heading4"/>
    <w:uiPriority w:val="8"/>
    <w:rsid w:val="00E26387"/>
    <w:rPr>
      <w:rFonts w:ascii="Arial" w:hAnsi="Arial"/>
      <w:b/>
      <w:sz w:val="22"/>
      <w:szCs w:val="24"/>
    </w:rPr>
  </w:style>
  <w:style w:type="paragraph" w:customStyle="1" w:styleId="Default">
    <w:name w:val="Default"/>
    <w:rsid w:val="00E26387"/>
    <w:pPr>
      <w:autoSpaceDE w:val="0"/>
      <w:autoSpaceDN w:val="0"/>
      <w:adjustRightInd w:val="0"/>
    </w:pPr>
    <w:rPr>
      <w:rFonts w:ascii="Arial" w:eastAsiaTheme="minorHAnsi" w:hAnsi="Arial" w:cs="Arial"/>
      <w:color w:val="000000"/>
      <w:sz w:val="24"/>
      <w:szCs w:val="24"/>
      <w:lang w:eastAsia="en-US"/>
    </w:rPr>
  </w:style>
  <w:style w:type="table" w:styleId="LightList-Accent6">
    <w:name w:val="Light List Accent 6"/>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4D4D4D" w:themeFill="accent6"/>
      </w:tcPr>
    </w:tblStylePr>
    <w:tblStylePr w:type="lastRow">
      <w:pPr>
        <w:wordWrap/>
        <w:spacing w:beforeLines="0" w:before="40" w:beforeAutospacing="0" w:afterLines="0" w:after="40" w:afterAutospacing="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2Horz">
      <w:tblPr/>
      <w:tcPr>
        <w:shd w:val="clear" w:color="auto" w:fill="D9EDD0" w:themeFill="accent4" w:themeFillTint="66"/>
      </w:tcPr>
    </w:tblStylePr>
  </w:style>
  <w:style w:type="table" w:styleId="LightList-Accent3">
    <w:name w:val="Light List Accent 3"/>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8A00" w:themeColor="accent2"/>
        <w:left w:val="single" w:sz="8" w:space="0" w:color="008A00" w:themeColor="accent2"/>
        <w:bottom w:val="single" w:sz="8" w:space="0" w:color="008A00" w:themeColor="accent2"/>
        <w:right w:val="single" w:sz="8" w:space="0" w:color="008A00" w:themeColor="accent2"/>
        <w:insideH w:val="single" w:sz="8" w:space="0" w:color="008A00" w:themeColor="accent2"/>
        <w:insideV w:val="single" w:sz="8" w:space="0" w:color="008A00"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2FB56A" w:themeFill="accent3"/>
      </w:tcPr>
    </w:tblStylePr>
    <w:tblStylePr w:type="lastRow">
      <w:pPr>
        <w:wordWrap/>
        <w:spacing w:beforeLines="0" w:before="40" w:beforeAutospacing="0" w:afterLines="0" w:after="40" w:afterAutospacing="0" w:line="240" w:lineRule="auto"/>
      </w:pPr>
      <w:rPr>
        <w:b/>
        <w:bCs/>
      </w:rPr>
      <w:tblPr/>
      <w:tcPr>
        <w:tcBorders>
          <w:top w:val="double" w:sz="6" w:space="0" w:color="2FB56A" w:themeColor="accent3"/>
          <w:left w:val="single" w:sz="8" w:space="0" w:color="2FB56A" w:themeColor="accent3"/>
          <w:bottom w:val="single" w:sz="8" w:space="0" w:color="2FB56A" w:themeColor="accent3"/>
          <w:right w:val="single" w:sz="8" w:space="0" w:color="2FB56A" w:themeColor="accent3"/>
        </w:tcBorders>
      </w:tcPr>
    </w:tblStylePr>
    <w:tblStylePr w:type="firstCol">
      <w:rPr>
        <w:b/>
        <w:bCs/>
      </w:rPr>
    </w:tblStylePr>
    <w:tblStylePr w:type="lastCol">
      <w:rPr>
        <w:b/>
        <w:bCs/>
      </w:rPr>
    </w:tblStylePr>
    <w:tblStylePr w:type="band1Vert">
      <w:tblPr/>
      <w:tcPr>
        <w:tcBorders>
          <w:top w:val="single" w:sz="8" w:space="0" w:color="2FB56A" w:themeColor="accent3"/>
          <w:left w:val="single" w:sz="8" w:space="0" w:color="2FB56A" w:themeColor="accent3"/>
          <w:bottom w:val="single" w:sz="8" w:space="0" w:color="2FB56A" w:themeColor="accent3"/>
          <w:right w:val="single" w:sz="8" w:space="0" w:color="2FB56A" w:themeColor="accent3"/>
        </w:tcBorders>
      </w:tcPr>
    </w:tblStylePr>
    <w:tblStylePr w:type="band1Horz">
      <w:tblPr/>
      <w:tcPr>
        <w:tcBorders>
          <w:top w:val="single" w:sz="8" w:space="0" w:color="2FB56A" w:themeColor="accent3"/>
          <w:left w:val="single" w:sz="8" w:space="0" w:color="2FB56A" w:themeColor="accent3"/>
          <w:bottom w:val="single" w:sz="8" w:space="0" w:color="2FB56A" w:themeColor="accent3"/>
          <w:right w:val="single" w:sz="8" w:space="0" w:color="2FB56A" w:themeColor="accent3"/>
        </w:tcBorders>
      </w:tcPr>
    </w:tblStylePr>
    <w:tblStylePr w:type="band2Horz">
      <w:tblPr/>
      <w:tcPr>
        <w:tcBorders>
          <w:top w:val="single" w:sz="8" w:space="0" w:color="008A00" w:themeColor="accent2"/>
          <w:left w:val="single" w:sz="8" w:space="0" w:color="008A00" w:themeColor="accent2"/>
          <w:bottom w:val="single" w:sz="8" w:space="0" w:color="008A00" w:themeColor="accent2"/>
          <w:right w:val="single" w:sz="8" w:space="0" w:color="008A00" w:themeColor="accent2"/>
          <w:insideH w:val="single" w:sz="8" w:space="0" w:color="008A00" w:themeColor="accent2"/>
          <w:insideV w:val="single" w:sz="8" w:space="0" w:color="008A00" w:themeColor="accent2"/>
          <w:tl2br w:val="nil"/>
          <w:tr2bl w:val="nil"/>
        </w:tcBorders>
        <w:shd w:val="clear" w:color="auto" w:fill="A2D28A" w:themeFill="accent4"/>
      </w:tcPr>
    </w:tblStylePr>
  </w:style>
  <w:style w:type="table" w:styleId="LightShading-Accent4">
    <w:name w:val="Light Shading Accent 4"/>
    <w:basedOn w:val="TableNormal"/>
    <w:uiPriority w:val="60"/>
    <w:rsid w:val="00E26387"/>
    <w:rPr>
      <w:rFonts w:asciiTheme="minorHAnsi" w:eastAsiaTheme="minorHAnsi" w:hAnsiTheme="minorHAnsi" w:cstheme="minorBidi"/>
      <w:color w:val="6FB94A" w:themeColor="accent4" w:themeShade="BF"/>
      <w:sz w:val="22"/>
      <w:szCs w:val="22"/>
      <w:lang w:eastAsia="en-US"/>
    </w:rPr>
    <w:tblPr>
      <w:tblStyleRowBandSize w:val="1"/>
      <w:tblStyleColBandSize w:val="1"/>
      <w:tblBorders>
        <w:top w:val="single" w:sz="8" w:space="0" w:color="A2D28A" w:themeColor="accent4"/>
        <w:bottom w:val="single" w:sz="8" w:space="0" w:color="A2D28A" w:themeColor="accent4"/>
      </w:tblBorders>
    </w:tblPr>
    <w:tblStylePr w:type="firstRow">
      <w:pPr>
        <w:spacing w:before="0" w:after="0" w:line="240" w:lineRule="auto"/>
      </w:pPr>
      <w:rPr>
        <w:b/>
        <w:bCs/>
      </w:rPr>
      <w:tblPr/>
      <w:tcPr>
        <w:tcBorders>
          <w:top w:val="single" w:sz="8" w:space="0" w:color="A2D28A" w:themeColor="accent4"/>
          <w:left w:val="nil"/>
          <w:bottom w:val="single" w:sz="8" w:space="0" w:color="A2D28A" w:themeColor="accent4"/>
          <w:right w:val="nil"/>
          <w:insideH w:val="nil"/>
          <w:insideV w:val="nil"/>
        </w:tcBorders>
      </w:tcPr>
    </w:tblStylePr>
    <w:tblStylePr w:type="lastRow">
      <w:pPr>
        <w:spacing w:before="0" w:after="0" w:line="240" w:lineRule="auto"/>
      </w:pPr>
      <w:rPr>
        <w:b/>
        <w:bCs/>
      </w:rPr>
      <w:tblPr/>
      <w:tcPr>
        <w:tcBorders>
          <w:top w:val="single" w:sz="8" w:space="0" w:color="A2D28A" w:themeColor="accent4"/>
          <w:left w:val="nil"/>
          <w:bottom w:val="single" w:sz="8" w:space="0" w:color="A2D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E1" w:themeFill="accent4" w:themeFillTint="3F"/>
      </w:tcPr>
    </w:tblStylePr>
    <w:tblStylePr w:type="band1Horz">
      <w:tblPr/>
      <w:tcPr>
        <w:tcBorders>
          <w:left w:val="nil"/>
          <w:right w:val="nil"/>
          <w:insideH w:val="nil"/>
          <w:insideV w:val="nil"/>
        </w:tcBorders>
        <w:shd w:val="clear" w:color="auto" w:fill="E7F3E1" w:themeFill="accent4" w:themeFillTint="3F"/>
      </w:tcPr>
    </w:tblStylePr>
  </w:style>
  <w:style w:type="paragraph" w:styleId="ListBullet2">
    <w:name w:val="List Bullet 2"/>
    <w:basedOn w:val="ListBullet"/>
    <w:uiPriority w:val="3"/>
    <w:qFormat/>
    <w:rsid w:val="00E26387"/>
    <w:pPr>
      <w:numPr>
        <w:numId w:val="2"/>
      </w:numPr>
      <w:tabs>
        <w:tab w:val="num" w:pos="1080"/>
      </w:tabs>
      <w:spacing w:before="0" w:after="120" w:line="240" w:lineRule="auto"/>
      <w:ind w:left="1080"/>
      <w:contextualSpacing/>
    </w:pPr>
    <w:rPr>
      <w:rFonts w:asciiTheme="minorHAnsi" w:eastAsiaTheme="minorHAnsi" w:hAnsiTheme="minorHAnsi" w:cstheme="minorBidi"/>
      <w:szCs w:val="22"/>
      <w:lang w:eastAsia="en-US"/>
    </w:rPr>
  </w:style>
  <w:style w:type="paragraph" w:customStyle="1" w:styleId="Disclaimer">
    <w:name w:val="Disclaimer"/>
    <w:basedOn w:val="Normal"/>
    <w:uiPriority w:val="16"/>
    <w:qFormat/>
    <w:rsid w:val="00E26387"/>
    <w:pPr>
      <w:spacing w:line="240" w:lineRule="auto"/>
    </w:pPr>
    <w:rPr>
      <w:rFonts w:asciiTheme="minorHAnsi" w:eastAsiaTheme="minorHAnsi" w:hAnsiTheme="minorHAnsi" w:cstheme="minorBidi"/>
      <w:i/>
      <w:szCs w:val="22"/>
      <w:lang w:eastAsia="en-US"/>
    </w:rPr>
  </w:style>
  <w:style w:type="table" w:styleId="MediumShading1">
    <w:name w:val="Medium Shading 1"/>
    <w:basedOn w:val="TableNormal"/>
    <w:uiPriority w:val="63"/>
    <w:rsid w:val="00E26387"/>
    <w:pPr>
      <w:spacing w:before="40" w:after="40" w:line="276" w:lineRule="auto"/>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4">
    <w:name w:val="toc 4"/>
    <w:basedOn w:val="Normal"/>
    <w:next w:val="Normal"/>
    <w:autoRedefine/>
    <w:uiPriority w:val="39"/>
    <w:unhideWhenUsed/>
    <w:rsid w:val="00E26387"/>
    <w:pPr>
      <w:tabs>
        <w:tab w:val="right" w:leader="dot" w:pos="9016"/>
      </w:tabs>
      <w:spacing w:after="100" w:line="240" w:lineRule="auto"/>
    </w:pPr>
    <w:rPr>
      <w:rFonts w:asciiTheme="minorHAnsi" w:eastAsiaTheme="minorHAnsi" w:hAnsiTheme="minorHAnsi" w:cstheme="minorBidi"/>
      <w:i/>
      <w:color w:val="000000" w:themeColor="text1"/>
      <w:szCs w:val="22"/>
      <w:lang w:eastAsia="en-US"/>
    </w:rPr>
  </w:style>
  <w:style w:type="paragraph" w:styleId="TOC3">
    <w:name w:val="toc 3"/>
    <w:basedOn w:val="Normal"/>
    <w:next w:val="Normal"/>
    <w:autoRedefine/>
    <w:uiPriority w:val="39"/>
    <w:unhideWhenUsed/>
    <w:qFormat/>
    <w:rsid w:val="00E26387"/>
    <w:pPr>
      <w:tabs>
        <w:tab w:val="left" w:pos="709"/>
        <w:tab w:val="right" w:leader="dot" w:pos="9016"/>
      </w:tabs>
      <w:spacing w:after="100" w:line="240" w:lineRule="auto"/>
    </w:pPr>
    <w:rPr>
      <w:rFonts w:asciiTheme="minorHAnsi" w:eastAsiaTheme="minorHAnsi" w:hAnsiTheme="minorHAnsi" w:cstheme="minorBidi"/>
      <w:i/>
      <w:noProof/>
      <w:color w:val="000000" w:themeColor="text1"/>
      <w:szCs w:val="22"/>
      <w:lang w:eastAsia="en-US"/>
    </w:rPr>
  </w:style>
  <w:style w:type="table" w:styleId="LightShading-Accent1">
    <w:name w:val="Light Shading Accent 1"/>
    <w:basedOn w:val="TableNormal"/>
    <w:uiPriority w:val="60"/>
    <w:rsid w:val="00E26387"/>
    <w:rPr>
      <w:rFonts w:asciiTheme="minorHAnsi" w:eastAsiaTheme="minorHAnsi" w:hAnsiTheme="minorHAnsi" w:cstheme="minorBidi"/>
      <w:color w:val="003100" w:themeColor="accent1" w:themeShade="BF"/>
      <w:sz w:val="22"/>
      <w:szCs w:val="22"/>
      <w:lang w:eastAsia="en-US"/>
    </w:rPr>
    <w:tblPr>
      <w:tblStyleRowBandSize w:val="1"/>
      <w:tblStyleColBandSize w:val="1"/>
      <w:tblBorders>
        <w:top w:val="single" w:sz="8" w:space="0" w:color="004200" w:themeColor="accent1"/>
        <w:bottom w:val="single" w:sz="8" w:space="0" w:color="004200" w:themeColor="accent1"/>
      </w:tblBorders>
    </w:tblPr>
    <w:tblStylePr w:type="fir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table" w:styleId="LightShading">
    <w:name w:val="Light Shading"/>
    <w:basedOn w:val="TableNormal"/>
    <w:uiPriority w:val="60"/>
    <w:rsid w:val="00E2638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2D28A" w:themeFill="accent4"/>
      </w:tcPr>
    </w:tblStylePr>
  </w:style>
  <w:style w:type="table" w:styleId="LightList-Accent1">
    <w:name w:val="Light List Accent 1"/>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2D28A" w:themeFill="accent4"/>
      </w:tcPr>
    </w:tblStylePr>
  </w:style>
  <w:style w:type="table" w:styleId="LightList-Accent2">
    <w:name w:val="Light List Accent 2"/>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2D28A" w:themeFill="accent4"/>
      </w:tcPr>
    </w:tblStylePr>
  </w:style>
  <w:style w:type="table" w:styleId="MediumShading1-Accent3">
    <w:name w:val="Medium Shading 1 Accent 3"/>
    <w:basedOn w:val="TableNormal"/>
    <w:uiPriority w:val="63"/>
    <w:rsid w:val="00E26387"/>
    <w:pPr>
      <w:spacing w:before="40" w:after="40"/>
    </w:pPr>
    <w:rPr>
      <w:rFonts w:asciiTheme="minorHAnsi" w:eastAsiaTheme="minorHAnsi" w:hAnsiTheme="minorHAnsi" w:cstheme="minorBidi"/>
      <w:sz w:val="22"/>
      <w:szCs w:val="22"/>
      <w:lang w:eastAsia="en-US"/>
    </w:rPr>
    <w:tblPr>
      <w:tblStyleRowBandSize w:val="1"/>
      <w:tblBorders>
        <w:top w:val="single" w:sz="8" w:space="0" w:color="57D38D" w:themeColor="accent3" w:themeTint="BF"/>
        <w:left w:val="single" w:sz="8" w:space="0" w:color="57D38D" w:themeColor="accent3" w:themeTint="BF"/>
        <w:bottom w:val="single" w:sz="8" w:space="0" w:color="57D38D" w:themeColor="accent3" w:themeTint="BF"/>
        <w:right w:val="single" w:sz="8" w:space="0" w:color="57D38D" w:themeColor="accent3" w:themeTint="BF"/>
        <w:insideH w:val="single" w:sz="8" w:space="0" w:color="57D38D"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2FB56A" w:themeFill="accent3"/>
      </w:tcPr>
    </w:tblStylePr>
    <w:tblStylePr w:type="lastRow">
      <w:pPr>
        <w:wordWrap/>
        <w:spacing w:beforeLines="0" w:before="40" w:beforeAutospacing="0" w:afterLines="0" w:after="40" w:afterAutospacing="0" w:line="240" w:lineRule="auto"/>
      </w:pPr>
      <w:rPr>
        <w:b/>
        <w:bCs/>
      </w:rPr>
      <w:tblPr/>
      <w:tcPr>
        <w:tcBorders>
          <w:top w:val="double" w:sz="6" w:space="0" w:color="57D38D" w:themeColor="accent3" w:themeTint="BF"/>
          <w:left w:val="single" w:sz="8" w:space="0" w:color="57D38D" w:themeColor="accent3" w:themeTint="BF"/>
          <w:bottom w:val="single" w:sz="8" w:space="0" w:color="57D38D" w:themeColor="accent3" w:themeTint="BF"/>
          <w:right w:val="single" w:sz="8" w:space="0" w:color="57D38D"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rsid w:val="00E26387"/>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customStyle="1" w:styleId="OrganisationName">
    <w:name w:val="Organisation Name"/>
    <w:basedOn w:val="Normal"/>
    <w:next w:val="Title"/>
    <w:uiPriority w:val="10"/>
    <w:qFormat/>
    <w:rsid w:val="00E26387"/>
    <w:pPr>
      <w:spacing w:line="240" w:lineRule="auto"/>
    </w:pPr>
    <w:rPr>
      <w:rFonts w:asciiTheme="minorHAnsi" w:eastAsiaTheme="minorHAnsi" w:hAnsiTheme="minorHAnsi" w:cstheme="minorBidi"/>
      <w:b/>
      <w:noProof/>
      <w:sz w:val="36"/>
      <w:szCs w:val="36"/>
    </w:rPr>
  </w:style>
  <w:style w:type="paragraph" w:styleId="Caption">
    <w:name w:val="caption"/>
    <w:basedOn w:val="Normal"/>
    <w:next w:val="Normal"/>
    <w:uiPriority w:val="35"/>
    <w:unhideWhenUsed/>
    <w:qFormat/>
    <w:rsid w:val="00E26387"/>
    <w:pPr>
      <w:spacing w:line="240" w:lineRule="auto"/>
    </w:pPr>
    <w:rPr>
      <w:rFonts w:asciiTheme="minorHAnsi" w:eastAsiaTheme="minorHAnsi" w:hAnsiTheme="minorHAnsi" w:cstheme="minorBidi"/>
      <w:bCs/>
      <w:color w:val="004200" w:themeColor="accent1"/>
      <w:szCs w:val="18"/>
      <w:lang w:eastAsia="en-US"/>
    </w:rPr>
  </w:style>
  <w:style w:type="character" w:styleId="PlaceholderText">
    <w:name w:val="Placeholder Text"/>
    <w:basedOn w:val="DefaultParagraphFont"/>
    <w:uiPriority w:val="99"/>
    <w:semiHidden/>
    <w:rsid w:val="00E26387"/>
    <w:rPr>
      <w:color w:val="808080"/>
    </w:rPr>
  </w:style>
  <w:style w:type="table" w:styleId="MediumShading1-Accent1">
    <w:name w:val="Medium Shading 1 Accent 1"/>
    <w:basedOn w:val="TableNormal"/>
    <w:uiPriority w:val="63"/>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single" w:sz="8" w:space="0" w:color="00B10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shd w:val="clear" w:color="auto" w:fill="004200" w:themeFill="accent1"/>
      </w:tcPr>
    </w:tblStylePr>
    <w:tblStylePr w:type="lastRow">
      <w:pPr>
        <w:wordWrap/>
        <w:spacing w:beforeLines="0" w:before="40" w:beforeAutospacing="0" w:afterLines="0" w:after="40" w:afterAutospacing="0" w:line="240" w:lineRule="auto"/>
      </w:pPr>
      <w:rPr>
        <w:b/>
        <w:bCs/>
      </w:rPr>
      <w:tblPr/>
      <w:tcPr>
        <w:tcBorders>
          <w:top w:val="double" w:sz="6"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FF91" w:themeFill="accent1" w:themeFillTint="3F"/>
      </w:tcPr>
    </w:tblStylePr>
    <w:tblStylePr w:type="band1Horz">
      <w:tblPr/>
      <w:tcPr>
        <w:tcBorders>
          <w:insideH w:val="nil"/>
          <w:insideV w:val="nil"/>
        </w:tcBorders>
        <w:shd w:val="clear" w:color="auto" w:fill="91FF91"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E26387"/>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66676A" w:themeFill="accent5" w:themeFillShade="CC"/>
      </w:tcPr>
    </w:tblStylePr>
    <w:tblStylePr w:type="lastRow">
      <w:rPr>
        <w:b/>
        <w:bCs/>
        <w:color w:val="66676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LightList-Accent5">
    <w:name w:val="Light List Accent 5"/>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808285" w:themeColor="accent5"/>
        <w:left w:val="single" w:sz="8" w:space="0" w:color="808285" w:themeColor="accent5"/>
        <w:bottom w:val="single" w:sz="8" w:space="0" w:color="808285" w:themeColor="accent5"/>
        <w:right w:val="single" w:sz="8" w:space="0" w:color="808285" w:themeColor="accent5"/>
        <w:insideH w:val="single" w:sz="8" w:space="0" w:color="808285" w:themeColor="accent5"/>
        <w:insideV w:val="single" w:sz="8" w:space="0" w:color="808285"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5"/>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5"/>
          <w:left w:val="single" w:sz="8" w:space="0" w:color="808285" w:themeColor="accent5"/>
          <w:bottom w:val="single" w:sz="8" w:space="0" w:color="808285" w:themeColor="accent5"/>
          <w:right w:val="single" w:sz="8" w:space="0" w:color="808285" w:themeColor="accent5"/>
        </w:tcBorders>
      </w:tcPr>
    </w:tblStylePr>
    <w:tblStylePr w:type="firstCol">
      <w:rPr>
        <w:b/>
        <w:bCs/>
      </w:rPr>
    </w:tblStylePr>
    <w:tblStylePr w:type="lastCol">
      <w:rPr>
        <w:b/>
        <w:bCs/>
      </w:rPr>
    </w:tblStylePr>
    <w:tblStylePr w:type="band1Vert">
      <w:tblPr/>
      <w:tcPr>
        <w:tcBorders>
          <w:top w:val="single" w:sz="8" w:space="0" w:color="808285" w:themeColor="accent5"/>
          <w:left w:val="single" w:sz="8" w:space="0" w:color="808285" w:themeColor="accent5"/>
          <w:bottom w:val="single" w:sz="8" w:space="0" w:color="808285" w:themeColor="accent5"/>
          <w:right w:val="single" w:sz="8" w:space="0" w:color="808285" w:themeColor="accent5"/>
        </w:tcBorders>
      </w:tcPr>
    </w:tblStylePr>
    <w:tblStylePr w:type="band1Horz">
      <w:tblPr/>
      <w:tcPr>
        <w:tcBorders>
          <w:top w:val="single" w:sz="8" w:space="0" w:color="808285" w:themeColor="accent5"/>
          <w:left w:val="single" w:sz="8" w:space="0" w:color="808285" w:themeColor="accent5"/>
          <w:bottom w:val="single" w:sz="8" w:space="0" w:color="808285" w:themeColor="accent5"/>
          <w:right w:val="single" w:sz="8" w:space="0" w:color="808285" w:themeColor="accent5"/>
        </w:tcBorders>
      </w:tcPr>
    </w:tblStylePr>
    <w:tblStylePr w:type="band2Horz">
      <w:tblPr/>
      <w:tcPr>
        <w:shd w:val="clear" w:color="auto" w:fill="D9EDD0" w:themeFill="accent4" w:themeFillTint="66"/>
      </w:tcPr>
    </w:tblStylePr>
  </w:style>
  <w:style w:type="table" w:styleId="MediumGrid1">
    <w:name w:val="Medium Grid 1"/>
    <w:basedOn w:val="TableNormal"/>
    <w:uiPriority w:val="67"/>
    <w:rsid w:val="00E26387"/>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E26387"/>
    <w:rPr>
      <w:rFonts w:asciiTheme="minorHAnsi" w:eastAsiaTheme="minorHAnsi" w:hAnsiTheme="minorHAnsi" w:cstheme="minorBidi"/>
      <w:color w:val="393939" w:themeColor="accent6" w:themeShade="BF"/>
      <w:sz w:val="22"/>
      <w:szCs w:val="22"/>
      <w:lang w:eastAsia="en-US"/>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MediumShading1-Accent2">
    <w:name w:val="Medium Shading 1 Accent 2"/>
    <w:basedOn w:val="TableNormal"/>
    <w:uiPriority w:val="63"/>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E700" w:themeColor="accent2" w:themeTint="BF"/>
        <w:left w:val="single" w:sz="8" w:space="0" w:color="00E700" w:themeColor="accent2" w:themeTint="BF"/>
        <w:bottom w:val="single" w:sz="8" w:space="0" w:color="00E700" w:themeColor="accent2" w:themeTint="BF"/>
        <w:right w:val="single" w:sz="8" w:space="0" w:color="00E700" w:themeColor="accent2" w:themeTint="BF"/>
        <w:insideH w:val="single" w:sz="8" w:space="0" w:color="00E700"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E700" w:themeColor="accent2" w:themeTint="BF"/>
          <w:left w:val="single" w:sz="8" w:space="0" w:color="00E700" w:themeColor="accent2" w:themeTint="BF"/>
          <w:bottom w:val="single" w:sz="8" w:space="0" w:color="00E700" w:themeColor="accent2" w:themeTint="BF"/>
          <w:right w:val="single" w:sz="8" w:space="0" w:color="00E700" w:themeColor="accent2" w:themeTint="BF"/>
          <w:insideH w:val="nil"/>
          <w:insideV w:val="nil"/>
        </w:tcBorders>
        <w:shd w:val="clear" w:color="auto" w:fill="008A00" w:themeFill="accent2"/>
      </w:tcPr>
    </w:tblStylePr>
    <w:tblStylePr w:type="lastRow">
      <w:pPr>
        <w:wordWrap/>
        <w:spacing w:beforeLines="0" w:before="40" w:beforeAutospacing="0" w:afterLines="0" w:after="400" w:afterAutospacing="0" w:line="240" w:lineRule="auto"/>
      </w:pPr>
      <w:rPr>
        <w:b/>
        <w:bCs/>
      </w:rPr>
      <w:tblPr/>
      <w:tcPr>
        <w:tcBorders>
          <w:top w:val="double" w:sz="6" w:space="0" w:color="00E700" w:themeColor="accent2" w:themeTint="BF"/>
          <w:left w:val="single" w:sz="8" w:space="0" w:color="00E700" w:themeColor="accent2" w:themeTint="BF"/>
          <w:bottom w:val="single" w:sz="8" w:space="0" w:color="00E700" w:themeColor="accent2" w:themeTint="BF"/>
          <w:right w:val="single" w:sz="8" w:space="0" w:color="00E70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3FFA3" w:themeFill="accent2" w:themeFillTint="3F"/>
      </w:tcPr>
    </w:tblStylePr>
    <w:tblStylePr w:type="band1Horz">
      <w:tblPr/>
      <w:tcPr>
        <w:tcBorders>
          <w:insideH w:val="nil"/>
          <w:insideV w:val="nil"/>
        </w:tcBorders>
        <w:shd w:val="clear" w:color="auto" w:fill="A3FFA3"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26387"/>
    <w:rPr>
      <w:rFonts w:asciiTheme="minorHAnsi" w:eastAsiaTheme="minorHAnsi" w:hAnsiTheme="minorHAnsi" w:cstheme="minorBidi"/>
      <w:sz w:val="22"/>
      <w:szCs w:val="22"/>
      <w:lang w:eastAsia="en-US"/>
    </w:rPr>
    <w:tblPr>
      <w:tblStyleRowBandSize w:val="1"/>
      <w:tblStyleColBandSize w:val="1"/>
      <w:tblBorders>
        <w:top w:val="single" w:sz="8"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single" w:sz="8" w:space="0" w:color="B9DDA7" w:themeColor="accent4" w:themeTint="BF"/>
      </w:tblBorders>
    </w:tblPr>
    <w:tblStylePr w:type="firstRow">
      <w:pPr>
        <w:spacing w:before="0" w:after="0" w:line="240" w:lineRule="auto"/>
      </w:pPr>
      <w:rPr>
        <w:b/>
        <w:bCs/>
        <w:color w:val="FFFFFF" w:themeColor="background1"/>
      </w:rPr>
      <w:tblPr/>
      <w:tcPr>
        <w:tcBorders>
          <w:top w:val="single" w:sz="8"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nil"/>
          <w:insideV w:val="nil"/>
        </w:tcBorders>
        <w:shd w:val="clear" w:color="auto" w:fill="A2D28A" w:themeFill="accent4"/>
      </w:tcPr>
    </w:tblStylePr>
    <w:tblStylePr w:type="lastRow">
      <w:pPr>
        <w:spacing w:before="0" w:after="0" w:line="240" w:lineRule="auto"/>
      </w:pPr>
      <w:rPr>
        <w:b/>
        <w:bCs/>
      </w:rPr>
      <w:tblPr/>
      <w:tcPr>
        <w:tcBorders>
          <w:top w:val="double" w:sz="6" w:space="0" w:color="B9DDA7" w:themeColor="accent4" w:themeTint="BF"/>
          <w:left w:val="single" w:sz="8" w:space="0" w:color="B9DDA7" w:themeColor="accent4" w:themeTint="BF"/>
          <w:bottom w:val="single" w:sz="8" w:space="0" w:color="B9DDA7" w:themeColor="accent4" w:themeTint="BF"/>
          <w:right w:val="single" w:sz="8" w:space="0" w:color="B9D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E1" w:themeFill="accent4" w:themeFillTint="3F"/>
      </w:tcPr>
    </w:tblStylePr>
    <w:tblStylePr w:type="band1Horz">
      <w:tblPr/>
      <w:tcPr>
        <w:tcBorders>
          <w:insideH w:val="nil"/>
          <w:insideV w:val="nil"/>
        </w:tcBorders>
        <w:shd w:val="clear" w:color="auto" w:fill="E7F3E1"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E26387"/>
    <w:rPr>
      <w:rFonts w:asciiTheme="minorHAnsi" w:eastAsiaTheme="minorHAnsi" w:hAnsiTheme="minorHAnsi" w:cstheme="minorBidi"/>
      <w:sz w:val="22"/>
      <w:szCs w:val="22"/>
      <w:lang w:eastAsia="en-US"/>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MediumShading1-Accent5">
    <w:name w:val="Medium Shading 1 Accent 5"/>
    <w:basedOn w:val="TableNormal"/>
    <w:uiPriority w:val="63"/>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808285" w:themeColor="accent5"/>
        <w:left w:val="single" w:sz="8" w:space="0" w:color="808285" w:themeColor="accent5"/>
        <w:bottom w:val="single" w:sz="8" w:space="0" w:color="808285" w:themeColor="accent5"/>
        <w:right w:val="single" w:sz="8" w:space="0" w:color="808285" w:themeColor="accent5"/>
        <w:insideH w:val="single" w:sz="8" w:space="0" w:color="808285" w:themeColor="accent5"/>
        <w:insideV w:val="single" w:sz="8" w:space="0" w:color="808285"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5"/>
          <w:left w:val="single" w:sz="8" w:space="0" w:color="808285" w:themeColor="accent5"/>
          <w:bottom w:val="single" w:sz="8" w:space="0" w:color="808285" w:themeColor="accent5"/>
          <w:right w:val="single" w:sz="8" w:space="0" w:color="808285" w:themeColor="accent5"/>
          <w:insideH w:val="single" w:sz="8" w:space="0" w:color="808285" w:themeColor="accent5"/>
          <w:insideV w:val="single" w:sz="8" w:space="0" w:color="808285" w:themeColor="accent5"/>
        </w:tcBorders>
        <w:shd w:val="clear" w:color="auto" w:fill="808285" w:themeFill="accent5"/>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5"/>
          <w:left w:val="single" w:sz="8" w:space="0" w:color="808285" w:themeColor="accent5"/>
          <w:bottom w:val="single" w:sz="8" w:space="0" w:color="808285" w:themeColor="accent5"/>
          <w:right w:val="single" w:sz="8" w:space="0" w:color="808285" w:themeColor="accent5"/>
          <w:insideH w:val="nil"/>
          <w:insideV w:val="nil"/>
        </w:tcBorders>
      </w:tcPr>
    </w:tblStylePr>
    <w:tblStylePr w:type="firstCol">
      <w:rPr>
        <w:b/>
        <w:bCs/>
      </w:rPr>
    </w:tblStylePr>
    <w:tblStylePr w:type="lastCol">
      <w:rPr>
        <w:b/>
        <w:bCs/>
      </w:rPr>
    </w:tblStylePr>
    <w:tblStylePr w:type="band1Vert">
      <w:tblPr/>
      <w:tcPr>
        <w:shd w:val="clear" w:color="auto" w:fill="DFE0E0" w:themeFill="accent5" w:themeFillTint="3F"/>
      </w:tcPr>
    </w:tblStylePr>
    <w:tblStylePr w:type="band1Horz">
      <w:tblPr/>
      <w:tcPr>
        <w:tcBorders>
          <w:insideH w:val="nil"/>
          <w:insideV w:val="nil"/>
        </w:tcBorders>
        <w:shd w:val="clear" w:color="auto" w:fill="DFE0E0"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E26387"/>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2FB56A" w:themeColor="accent3"/>
        <w:left w:val="single" w:sz="8" w:space="0" w:color="2FB56A" w:themeColor="accent3"/>
        <w:bottom w:val="single" w:sz="8" w:space="0" w:color="2FB56A" w:themeColor="accent3"/>
        <w:right w:val="single" w:sz="8" w:space="0" w:color="2FB56A" w:themeColor="accent3"/>
        <w:insideH w:val="single" w:sz="8" w:space="0" w:color="2FB56A" w:themeColor="accent3"/>
        <w:insideV w:val="single" w:sz="8" w:space="0" w:color="2FB56A"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2FB56A" w:themeColor="accent3"/>
          <w:left w:val="single" w:sz="8" w:space="0" w:color="2FB56A" w:themeColor="accent3"/>
          <w:bottom w:val="single" w:sz="8" w:space="0" w:color="2FB56A" w:themeColor="accent3"/>
          <w:right w:val="single" w:sz="8" w:space="0" w:color="2FB56A" w:themeColor="accent3"/>
          <w:insideH w:val="single" w:sz="8" w:space="0" w:color="2FB56A" w:themeColor="accent3"/>
          <w:insideV w:val="single" w:sz="8" w:space="0" w:color="2FB56A" w:themeColor="accent3"/>
        </w:tcBorders>
        <w:shd w:val="clear" w:color="auto" w:fill="2FB56A" w:themeFill="accent3"/>
      </w:tcPr>
    </w:tblStylePr>
    <w:tblStylePr w:type="lastRow">
      <w:pPr>
        <w:wordWrap/>
        <w:spacing w:beforeLines="0" w:before="40" w:beforeAutospacing="0" w:afterLines="0" w:after="40" w:afterAutospacing="0" w:line="240" w:lineRule="auto"/>
      </w:pPr>
      <w:rPr>
        <w:b/>
        <w:bCs/>
      </w:rPr>
      <w:tblPr/>
      <w:tcPr>
        <w:tcBorders>
          <w:top w:val="double" w:sz="6" w:space="0" w:color="2FB56A" w:themeColor="accent3"/>
          <w:left w:val="single" w:sz="8" w:space="0" w:color="2FB56A" w:themeColor="accent3"/>
          <w:bottom w:val="single" w:sz="8" w:space="0" w:color="2FB56A" w:themeColor="accent3"/>
          <w:right w:val="single" w:sz="8" w:space="0" w:color="2FB56A" w:themeColor="accent3"/>
          <w:insideH w:val="nil"/>
          <w:insideV w:val="single" w:sz="8" w:space="0" w:color="2FB56A" w:themeColor="accent3"/>
          <w:tl2br w:val="nil"/>
          <w:tr2bl w:val="nil"/>
        </w:tcBorders>
      </w:tcPr>
    </w:tblStylePr>
    <w:tblStylePr w:type="firstCol">
      <w:rPr>
        <w:b/>
        <w:bCs/>
      </w:rPr>
    </w:tblStylePr>
    <w:tblStylePr w:type="lastCol">
      <w:rPr>
        <w:b/>
        <w:bCs/>
      </w:rPr>
    </w:tblStylePr>
    <w:tblStylePr w:type="band1Vert">
      <w:tblPr/>
      <w:tcPr>
        <w:tcBorders>
          <w:top w:val="single" w:sz="8" w:space="0" w:color="A2D28A" w:themeColor="accent4"/>
          <w:left w:val="single" w:sz="8" w:space="0" w:color="A2D28A" w:themeColor="accent4"/>
          <w:bottom w:val="single" w:sz="8" w:space="0" w:color="A2D28A" w:themeColor="accent4"/>
          <w:right w:val="single" w:sz="8" w:space="0" w:color="A2D28A" w:themeColor="accent4"/>
        </w:tcBorders>
      </w:tcPr>
    </w:tblStylePr>
    <w:tblStylePr w:type="band1Horz">
      <w:tblPr/>
      <w:tcPr>
        <w:tcBorders>
          <w:top w:val="single" w:sz="8" w:space="0" w:color="A2D28A" w:themeColor="accent4"/>
          <w:left w:val="single" w:sz="8" w:space="0" w:color="A2D28A" w:themeColor="accent4"/>
          <w:bottom w:val="single" w:sz="8" w:space="0" w:color="A2D28A" w:themeColor="accent4"/>
          <w:right w:val="single" w:sz="8" w:space="0" w:color="A2D28A" w:themeColor="accent4"/>
        </w:tcBorders>
      </w:tcPr>
    </w:tblStylePr>
    <w:tblStylePr w:type="band2Horz">
      <w:tblPr/>
      <w:tcPr>
        <w:shd w:val="clear" w:color="auto" w:fill="A2D28A" w:themeFill="accent4"/>
      </w:tcPr>
    </w:tblStylePr>
  </w:style>
  <w:style w:type="paragraph" w:customStyle="1" w:styleId="TitlePlain">
    <w:name w:val="Title Plain"/>
    <w:basedOn w:val="Title"/>
    <w:link w:val="TitlePlainChar"/>
    <w:qFormat/>
    <w:rsid w:val="00E26387"/>
    <w:pPr>
      <w:spacing w:before="6000" w:after="300" w:line="240" w:lineRule="auto"/>
      <w:ind w:right="3095"/>
      <w:outlineLvl w:val="9"/>
    </w:pPr>
    <w:rPr>
      <w:rFonts w:asciiTheme="majorHAnsi" w:eastAsiaTheme="majorEastAsia" w:hAnsiTheme="majorHAnsi" w:cstheme="majorBidi"/>
      <w:b w:val="0"/>
      <w:bCs w:val="0"/>
      <w:caps w:val="0"/>
      <w:color w:val="000000" w:themeColor="text1"/>
      <w:spacing w:val="5"/>
      <w:sz w:val="72"/>
      <w:szCs w:val="72"/>
    </w:rPr>
  </w:style>
  <w:style w:type="paragraph" w:customStyle="1" w:styleId="VersionandDatePlain">
    <w:name w:val="Version and Date Plain"/>
    <w:basedOn w:val="VersionandDate"/>
    <w:qFormat/>
    <w:rsid w:val="00E26387"/>
    <w:pPr>
      <w:ind w:left="0"/>
      <w:jc w:val="left"/>
    </w:pPr>
  </w:style>
  <w:style w:type="paragraph" w:customStyle="1" w:styleId="SubtitlePlain">
    <w:name w:val="Subtitle Plain"/>
    <w:basedOn w:val="Normal"/>
    <w:qFormat/>
    <w:rsid w:val="00E26387"/>
    <w:pPr>
      <w:spacing w:line="240" w:lineRule="auto"/>
      <w:ind w:right="3095"/>
    </w:pPr>
    <w:rPr>
      <w:rFonts w:asciiTheme="minorHAnsi" w:eastAsiaTheme="minorHAnsi" w:hAnsiTheme="minorHAnsi" w:cstheme="minorBidi"/>
      <w:sz w:val="40"/>
      <w:szCs w:val="40"/>
    </w:rPr>
  </w:style>
  <w:style w:type="paragraph" w:customStyle="1" w:styleId="VesionanddatePlain">
    <w:name w:val="Vesion and date Plain"/>
    <w:basedOn w:val="Normal"/>
    <w:qFormat/>
    <w:rsid w:val="00E26387"/>
    <w:pPr>
      <w:spacing w:line="240" w:lineRule="auto"/>
      <w:ind w:right="3095"/>
    </w:pPr>
    <w:rPr>
      <w:rFonts w:asciiTheme="minorHAnsi" w:eastAsiaTheme="minorHAnsi" w:hAnsiTheme="minorHAnsi" w:cstheme="minorBidi"/>
      <w:sz w:val="28"/>
      <w:szCs w:val="22"/>
      <w:lang w:eastAsia="en-US"/>
    </w:rPr>
  </w:style>
  <w:style w:type="character" w:customStyle="1" w:styleId="TitlePlainChar">
    <w:name w:val="Title Plain Char"/>
    <w:basedOn w:val="TitleChar"/>
    <w:link w:val="TitlePlain"/>
    <w:rsid w:val="00E26387"/>
    <w:rPr>
      <w:rFonts w:asciiTheme="majorHAnsi" w:eastAsiaTheme="majorEastAsia" w:hAnsiTheme="majorHAnsi" w:cstheme="majorBidi"/>
      <w:b w:val="0"/>
      <w:bCs w:val="0"/>
      <w:caps w:val="0"/>
      <w:color w:val="000000" w:themeColor="text1"/>
      <w:spacing w:val="5"/>
      <w:kern w:val="28"/>
      <w:sz w:val="72"/>
      <w:szCs w:val="72"/>
    </w:rPr>
  </w:style>
  <w:style w:type="character" w:styleId="PageNumber">
    <w:name w:val="page number"/>
    <w:rsid w:val="00E26387"/>
    <w:rPr>
      <w:rFonts w:cs="Times New Roman"/>
    </w:rPr>
  </w:style>
  <w:style w:type="paragraph" w:customStyle="1" w:styleId="CEITitle">
    <w:name w:val="CEI Title"/>
    <w:basedOn w:val="Heading1"/>
    <w:autoRedefine/>
    <w:rsid w:val="00E26387"/>
    <w:pPr>
      <w:tabs>
        <w:tab w:val="num" w:pos="1492"/>
      </w:tabs>
      <w:spacing w:before="200" w:after="480" w:line="240" w:lineRule="auto"/>
      <w:ind w:firstLine="357"/>
      <w:contextualSpacing w:val="0"/>
    </w:pPr>
    <w:rPr>
      <w:rFonts w:asciiTheme="majorHAnsi" w:eastAsiaTheme="majorEastAsia" w:hAnsiTheme="majorHAnsi" w:cstheme="majorBidi"/>
      <w:bCs/>
      <w:caps w:val="0"/>
      <w:color w:val="F8F8F8" w:themeColor="background2"/>
      <w:sz w:val="32"/>
      <w:szCs w:val="28"/>
      <w:lang w:eastAsia="en-US"/>
    </w:rPr>
  </w:style>
  <w:style w:type="paragraph" w:styleId="BlockText">
    <w:name w:val="Block Text"/>
    <w:basedOn w:val="Normal"/>
    <w:semiHidden/>
    <w:rsid w:val="00E26387"/>
    <w:pPr>
      <w:spacing w:before="120" w:line="240" w:lineRule="auto"/>
      <w:ind w:left="1440" w:right="1440"/>
    </w:pPr>
    <w:rPr>
      <w:sz w:val="20"/>
      <w:szCs w:val="22"/>
      <w:lang w:eastAsia="en-US"/>
    </w:rPr>
  </w:style>
  <w:style w:type="paragraph" w:styleId="BodyText">
    <w:name w:val="Body Text"/>
    <w:basedOn w:val="Normal"/>
    <w:link w:val="BodyTextChar"/>
    <w:autoRedefine/>
    <w:rsid w:val="00E26387"/>
    <w:pPr>
      <w:spacing w:before="120" w:line="240" w:lineRule="auto"/>
    </w:pPr>
    <w:rPr>
      <w:b/>
      <w:i/>
      <w:sz w:val="20"/>
      <w:szCs w:val="22"/>
      <w:lang w:eastAsia="en-US"/>
    </w:rPr>
  </w:style>
  <w:style w:type="character" w:customStyle="1" w:styleId="BodyTextChar">
    <w:name w:val="Body Text Char"/>
    <w:basedOn w:val="DefaultParagraphFont"/>
    <w:link w:val="BodyText"/>
    <w:rsid w:val="00E26387"/>
    <w:rPr>
      <w:rFonts w:ascii="Arial" w:hAnsi="Arial"/>
      <w:b/>
      <w:i/>
      <w:szCs w:val="22"/>
      <w:lang w:eastAsia="en-US"/>
    </w:rPr>
  </w:style>
  <w:style w:type="paragraph" w:styleId="BodyTextFirstIndent">
    <w:name w:val="Body Text First Indent"/>
    <w:basedOn w:val="BodyText"/>
    <w:link w:val="BodyTextFirstIndentChar"/>
    <w:semiHidden/>
    <w:rsid w:val="00E26387"/>
    <w:pPr>
      <w:ind w:firstLine="210"/>
    </w:pPr>
  </w:style>
  <w:style w:type="character" w:customStyle="1" w:styleId="BodyTextFirstIndentChar">
    <w:name w:val="Body Text First Indent Char"/>
    <w:basedOn w:val="BodyTextChar"/>
    <w:link w:val="BodyTextFirstIndent"/>
    <w:semiHidden/>
    <w:rsid w:val="00E26387"/>
    <w:rPr>
      <w:rFonts w:ascii="Arial" w:hAnsi="Arial"/>
      <w:b/>
      <w:i/>
      <w:szCs w:val="22"/>
      <w:lang w:eastAsia="en-US"/>
    </w:rPr>
  </w:style>
  <w:style w:type="paragraph" w:styleId="BodyTextIndent">
    <w:name w:val="Body Text Indent"/>
    <w:basedOn w:val="Normal"/>
    <w:link w:val="BodyTextIndentChar"/>
    <w:semiHidden/>
    <w:rsid w:val="00E26387"/>
    <w:pPr>
      <w:spacing w:before="120" w:line="240" w:lineRule="auto"/>
      <w:ind w:left="283"/>
    </w:pPr>
    <w:rPr>
      <w:sz w:val="20"/>
      <w:szCs w:val="22"/>
      <w:lang w:eastAsia="en-US"/>
    </w:rPr>
  </w:style>
  <w:style w:type="character" w:customStyle="1" w:styleId="BodyTextIndentChar">
    <w:name w:val="Body Text Indent Char"/>
    <w:basedOn w:val="DefaultParagraphFont"/>
    <w:link w:val="BodyTextIndent"/>
    <w:semiHidden/>
    <w:rsid w:val="00E26387"/>
    <w:rPr>
      <w:rFonts w:ascii="Arial" w:hAnsi="Arial"/>
      <w:szCs w:val="22"/>
      <w:lang w:eastAsia="en-US"/>
    </w:rPr>
  </w:style>
  <w:style w:type="paragraph" w:styleId="BodyTextFirstIndent2">
    <w:name w:val="Body Text First Indent 2"/>
    <w:basedOn w:val="BodyTextIndent"/>
    <w:link w:val="BodyTextFirstIndent2Char"/>
    <w:semiHidden/>
    <w:rsid w:val="00E26387"/>
    <w:pPr>
      <w:ind w:firstLine="210"/>
    </w:pPr>
  </w:style>
  <w:style w:type="character" w:customStyle="1" w:styleId="BodyTextFirstIndent2Char">
    <w:name w:val="Body Text First Indent 2 Char"/>
    <w:basedOn w:val="BodyTextIndentChar"/>
    <w:link w:val="BodyTextFirstIndent2"/>
    <w:semiHidden/>
    <w:rsid w:val="00E26387"/>
    <w:rPr>
      <w:rFonts w:ascii="Arial" w:hAnsi="Arial"/>
      <w:szCs w:val="22"/>
      <w:lang w:eastAsia="en-US"/>
    </w:rPr>
  </w:style>
  <w:style w:type="paragraph" w:styleId="BodyTextIndent2">
    <w:name w:val="Body Text Indent 2"/>
    <w:basedOn w:val="Normal"/>
    <w:link w:val="BodyTextIndent2Char"/>
    <w:semiHidden/>
    <w:rsid w:val="00E26387"/>
    <w:pPr>
      <w:spacing w:before="120" w:line="480" w:lineRule="auto"/>
      <w:ind w:left="283"/>
    </w:pPr>
    <w:rPr>
      <w:sz w:val="20"/>
      <w:szCs w:val="22"/>
      <w:lang w:eastAsia="en-US"/>
    </w:rPr>
  </w:style>
  <w:style w:type="character" w:customStyle="1" w:styleId="BodyTextIndent2Char">
    <w:name w:val="Body Text Indent 2 Char"/>
    <w:basedOn w:val="DefaultParagraphFont"/>
    <w:link w:val="BodyTextIndent2"/>
    <w:semiHidden/>
    <w:rsid w:val="00E26387"/>
    <w:rPr>
      <w:rFonts w:ascii="Arial" w:hAnsi="Arial"/>
      <w:szCs w:val="22"/>
      <w:lang w:eastAsia="en-US"/>
    </w:rPr>
  </w:style>
  <w:style w:type="paragraph" w:styleId="BodyTextIndent3">
    <w:name w:val="Body Text Indent 3"/>
    <w:basedOn w:val="Normal"/>
    <w:link w:val="BodyTextIndent3Char"/>
    <w:semiHidden/>
    <w:rsid w:val="00E26387"/>
    <w:pPr>
      <w:spacing w:before="120" w:line="240" w:lineRule="auto"/>
      <w:ind w:left="283"/>
    </w:pPr>
    <w:rPr>
      <w:sz w:val="16"/>
      <w:szCs w:val="16"/>
      <w:lang w:eastAsia="en-US"/>
    </w:rPr>
  </w:style>
  <w:style w:type="character" w:customStyle="1" w:styleId="BodyTextIndent3Char">
    <w:name w:val="Body Text Indent 3 Char"/>
    <w:basedOn w:val="DefaultParagraphFont"/>
    <w:link w:val="BodyTextIndent3"/>
    <w:semiHidden/>
    <w:rsid w:val="00E26387"/>
    <w:rPr>
      <w:rFonts w:ascii="Arial" w:hAnsi="Arial"/>
      <w:sz w:val="16"/>
      <w:szCs w:val="16"/>
      <w:lang w:eastAsia="en-US"/>
    </w:rPr>
  </w:style>
  <w:style w:type="paragraph" w:styleId="Closing">
    <w:name w:val="Closing"/>
    <w:basedOn w:val="Normal"/>
    <w:link w:val="ClosingChar"/>
    <w:semiHidden/>
    <w:rsid w:val="00E26387"/>
    <w:pPr>
      <w:spacing w:before="120" w:line="240" w:lineRule="auto"/>
      <w:ind w:left="4252"/>
    </w:pPr>
    <w:rPr>
      <w:sz w:val="20"/>
      <w:szCs w:val="22"/>
      <w:lang w:eastAsia="en-US"/>
    </w:rPr>
  </w:style>
  <w:style w:type="character" w:customStyle="1" w:styleId="ClosingChar">
    <w:name w:val="Closing Char"/>
    <w:basedOn w:val="DefaultParagraphFont"/>
    <w:link w:val="Closing"/>
    <w:semiHidden/>
    <w:rsid w:val="00E26387"/>
    <w:rPr>
      <w:rFonts w:ascii="Arial" w:hAnsi="Arial"/>
      <w:szCs w:val="22"/>
      <w:lang w:eastAsia="en-US"/>
    </w:rPr>
  </w:style>
  <w:style w:type="paragraph" w:styleId="E-mailSignature">
    <w:name w:val="E-mail Signature"/>
    <w:basedOn w:val="Normal"/>
    <w:link w:val="E-mailSignatureChar"/>
    <w:semiHidden/>
    <w:rsid w:val="00E26387"/>
    <w:pPr>
      <w:spacing w:before="120" w:line="240" w:lineRule="auto"/>
    </w:pPr>
    <w:rPr>
      <w:sz w:val="20"/>
      <w:szCs w:val="22"/>
      <w:lang w:eastAsia="en-US"/>
    </w:rPr>
  </w:style>
  <w:style w:type="character" w:customStyle="1" w:styleId="E-mailSignatureChar">
    <w:name w:val="E-mail Signature Char"/>
    <w:basedOn w:val="DefaultParagraphFont"/>
    <w:link w:val="E-mailSignature"/>
    <w:semiHidden/>
    <w:rsid w:val="00E26387"/>
    <w:rPr>
      <w:rFonts w:ascii="Arial" w:hAnsi="Arial"/>
      <w:szCs w:val="22"/>
      <w:lang w:eastAsia="en-US"/>
    </w:rPr>
  </w:style>
  <w:style w:type="paragraph" w:styleId="EnvelopeAddress">
    <w:name w:val="envelope address"/>
    <w:basedOn w:val="Normal"/>
    <w:semiHidden/>
    <w:rsid w:val="00E26387"/>
    <w:pPr>
      <w:framePr w:w="7920" w:h="1980" w:hRule="exact" w:hSpace="180" w:wrap="auto" w:hAnchor="page" w:xAlign="center" w:yAlign="bottom"/>
      <w:spacing w:before="120" w:line="240" w:lineRule="auto"/>
      <w:ind w:left="2880"/>
    </w:pPr>
    <w:rPr>
      <w:rFonts w:cs="Arial"/>
      <w:sz w:val="24"/>
      <w:lang w:eastAsia="en-US"/>
    </w:rPr>
  </w:style>
  <w:style w:type="paragraph" w:styleId="EnvelopeReturn">
    <w:name w:val="envelope return"/>
    <w:basedOn w:val="Normal"/>
    <w:semiHidden/>
    <w:rsid w:val="00E26387"/>
    <w:pPr>
      <w:spacing w:before="120" w:line="240" w:lineRule="auto"/>
    </w:pPr>
    <w:rPr>
      <w:rFonts w:cs="Arial"/>
      <w:sz w:val="20"/>
      <w:szCs w:val="20"/>
      <w:lang w:eastAsia="en-US"/>
    </w:rPr>
  </w:style>
  <w:style w:type="character" w:styleId="HTMLAcronym">
    <w:name w:val="HTML Acronym"/>
    <w:semiHidden/>
    <w:rsid w:val="00E26387"/>
    <w:rPr>
      <w:rFonts w:cs="Times New Roman"/>
    </w:rPr>
  </w:style>
  <w:style w:type="paragraph" w:styleId="HTMLAddress">
    <w:name w:val="HTML Address"/>
    <w:basedOn w:val="Normal"/>
    <w:link w:val="HTMLAddressChar"/>
    <w:semiHidden/>
    <w:rsid w:val="00E26387"/>
    <w:pPr>
      <w:spacing w:before="120" w:line="240" w:lineRule="auto"/>
    </w:pPr>
    <w:rPr>
      <w:i/>
      <w:iCs/>
      <w:sz w:val="20"/>
      <w:szCs w:val="22"/>
      <w:lang w:eastAsia="en-US"/>
    </w:rPr>
  </w:style>
  <w:style w:type="character" w:customStyle="1" w:styleId="HTMLAddressChar">
    <w:name w:val="HTML Address Char"/>
    <w:basedOn w:val="DefaultParagraphFont"/>
    <w:link w:val="HTMLAddress"/>
    <w:semiHidden/>
    <w:rsid w:val="00E26387"/>
    <w:rPr>
      <w:rFonts w:ascii="Arial" w:hAnsi="Arial"/>
      <w:i/>
      <w:iCs/>
      <w:szCs w:val="22"/>
      <w:lang w:eastAsia="en-US"/>
    </w:rPr>
  </w:style>
  <w:style w:type="character" w:styleId="HTMLCite">
    <w:name w:val="HTML Cite"/>
    <w:semiHidden/>
    <w:rsid w:val="00E26387"/>
    <w:rPr>
      <w:i/>
    </w:rPr>
  </w:style>
  <w:style w:type="character" w:styleId="HTMLCode">
    <w:name w:val="HTML Code"/>
    <w:semiHidden/>
    <w:rsid w:val="00E26387"/>
    <w:rPr>
      <w:rFonts w:ascii="Courier New" w:hAnsi="Courier New"/>
      <w:sz w:val="20"/>
    </w:rPr>
  </w:style>
  <w:style w:type="character" w:styleId="HTMLDefinition">
    <w:name w:val="HTML Definition"/>
    <w:semiHidden/>
    <w:rsid w:val="00E26387"/>
    <w:rPr>
      <w:i/>
    </w:rPr>
  </w:style>
  <w:style w:type="character" w:styleId="HTMLKeyboard">
    <w:name w:val="HTML Keyboard"/>
    <w:semiHidden/>
    <w:rsid w:val="00E26387"/>
    <w:rPr>
      <w:rFonts w:ascii="Courier New" w:hAnsi="Courier New"/>
      <w:sz w:val="20"/>
    </w:rPr>
  </w:style>
  <w:style w:type="paragraph" w:styleId="HTMLPreformatted">
    <w:name w:val="HTML Preformatted"/>
    <w:basedOn w:val="Normal"/>
    <w:link w:val="HTMLPreformattedChar"/>
    <w:semiHidden/>
    <w:rsid w:val="00E26387"/>
    <w:pPr>
      <w:spacing w:before="120" w:line="240" w:lineRule="auto"/>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semiHidden/>
    <w:rsid w:val="00E26387"/>
    <w:rPr>
      <w:rFonts w:ascii="Courier New" w:hAnsi="Courier New" w:cs="Courier New"/>
      <w:lang w:eastAsia="en-US"/>
    </w:rPr>
  </w:style>
  <w:style w:type="character" w:styleId="HTMLSample">
    <w:name w:val="HTML Sample"/>
    <w:semiHidden/>
    <w:rsid w:val="00E26387"/>
    <w:rPr>
      <w:rFonts w:ascii="Courier New" w:hAnsi="Courier New"/>
    </w:rPr>
  </w:style>
  <w:style w:type="character" w:styleId="HTMLTypewriter">
    <w:name w:val="HTML Typewriter"/>
    <w:semiHidden/>
    <w:rsid w:val="00E26387"/>
    <w:rPr>
      <w:rFonts w:ascii="Courier New" w:hAnsi="Courier New"/>
      <w:sz w:val="20"/>
    </w:rPr>
  </w:style>
  <w:style w:type="character" w:styleId="HTMLVariable">
    <w:name w:val="HTML Variable"/>
    <w:semiHidden/>
    <w:rsid w:val="00E26387"/>
    <w:rPr>
      <w:i/>
    </w:rPr>
  </w:style>
  <w:style w:type="character" w:styleId="LineNumber">
    <w:name w:val="line number"/>
    <w:semiHidden/>
    <w:rsid w:val="00E26387"/>
    <w:rPr>
      <w:rFonts w:cs="Times New Roman"/>
    </w:rPr>
  </w:style>
  <w:style w:type="paragraph" w:styleId="List">
    <w:name w:val="List"/>
    <w:basedOn w:val="Normal"/>
    <w:semiHidden/>
    <w:rsid w:val="00E26387"/>
    <w:pPr>
      <w:spacing w:before="120" w:line="240" w:lineRule="auto"/>
      <w:ind w:left="283" w:hanging="283"/>
    </w:pPr>
    <w:rPr>
      <w:sz w:val="20"/>
      <w:szCs w:val="22"/>
      <w:lang w:eastAsia="en-US"/>
    </w:rPr>
  </w:style>
  <w:style w:type="paragraph" w:styleId="List2">
    <w:name w:val="List 2"/>
    <w:basedOn w:val="Normal"/>
    <w:semiHidden/>
    <w:rsid w:val="00E26387"/>
    <w:pPr>
      <w:spacing w:before="120" w:line="240" w:lineRule="auto"/>
      <w:ind w:left="566" w:hanging="283"/>
    </w:pPr>
    <w:rPr>
      <w:sz w:val="20"/>
      <w:szCs w:val="22"/>
      <w:lang w:eastAsia="en-US"/>
    </w:rPr>
  </w:style>
  <w:style w:type="paragraph" w:styleId="List3">
    <w:name w:val="List 3"/>
    <w:basedOn w:val="Normal"/>
    <w:semiHidden/>
    <w:rsid w:val="00E26387"/>
    <w:pPr>
      <w:spacing w:before="120" w:line="240" w:lineRule="auto"/>
      <w:ind w:left="849" w:hanging="283"/>
    </w:pPr>
    <w:rPr>
      <w:sz w:val="20"/>
      <w:szCs w:val="22"/>
      <w:lang w:eastAsia="en-US"/>
    </w:rPr>
  </w:style>
  <w:style w:type="paragraph" w:styleId="List4">
    <w:name w:val="List 4"/>
    <w:basedOn w:val="Normal"/>
    <w:semiHidden/>
    <w:rsid w:val="00E26387"/>
    <w:pPr>
      <w:spacing w:before="120" w:line="240" w:lineRule="auto"/>
      <w:ind w:left="1132" w:hanging="283"/>
    </w:pPr>
    <w:rPr>
      <w:sz w:val="20"/>
      <w:szCs w:val="22"/>
      <w:lang w:eastAsia="en-US"/>
    </w:rPr>
  </w:style>
  <w:style w:type="paragraph" w:styleId="List5">
    <w:name w:val="List 5"/>
    <w:basedOn w:val="Normal"/>
    <w:semiHidden/>
    <w:rsid w:val="00E26387"/>
    <w:pPr>
      <w:spacing w:before="120" w:line="240" w:lineRule="auto"/>
      <w:ind w:left="1415" w:hanging="283"/>
    </w:pPr>
    <w:rPr>
      <w:sz w:val="20"/>
      <w:szCs w:val="22"/>
      <w:lang w:eastAsia="en-US"/>
    </w:rPr>
  </w:style>
  <w:style w:type="paragraph" w:styleId="ListBullet4">
    <w:name w:val="List Bullet 4"/>
    <w:basedOn w:val="Normal"/>
    <w:rsid w:val="00E26387"/>
    <w:pPr>
      <w:tabs>
        <w:tab w:val="num" w:pos="1209"/>
      </w:tabs>
      <w:spacing w:before="120" w:line="240" w:lineRule="auto"/>
      <w:ind w:left="1209" w:hanging="360"/>
    </w:pPr>
    <w:rPr>
      <w:sz w:val="20"/>
      <w:szCs w:val="22"/>
      <w:lang w:eastAsia="en-US"/>
    </w:rPr>
  </w:style>
  <w:style w:type="paragraph" w:styleId="ListBullet5">
    <w:name w:val="List Bullet 5"/>
    <w:basedOn w:val="Normal"/>
    <w:rsid w:val="00E26387"/>
    <w:pPr>
      <w:tabs>
        <w:tab w:val="num" w:pos="1492"/>
      </w:tabs>
      <w:spacing w:before="120" w:line="240" w:lineRule="auto"/>
      <w:ind w:left="1492" w:hanging="360"/>
    </w:pPr>
    <w:rPr>
      <w:sz w:val="20"/>
      <w:szCs w:val="22"/>
      <w:lang w:eastAsia="en-US"/>
    </w:rPr>
  </w:style>
  <w:style w:type="paragraph" w:styleId="ListContinue">
    <w:name w:val="List Continue"/>
    <w:basedOn w:val="Normal"/>
    <w:semiHidden/>
    <w:rsid w:val="00E26387"/>
    <w:pPr>
      <w:spacing w:before="120" w:line="240" w:lineRule="auto"/>
      <w:ind w:left="283"/>
    </w:pPr>
    <w:rPr>
      <w:sz w:val="20"/>
      <w:szCs w:val="22"/>
      <w:lang w:eastAsia="en-US"/>
    </w:rPr>
  </w:style>
  <w:style w:type="paragraph" w:styleId="ListContinue2">
    <w:name w:val="List Continue 2"/>
    <w:basedOn w:val="Normal"/>
    <w:semiHidden/>
    <w:rsid w:val="00E26387"/>
    <w:pPr>
      <w:spacing w:before="120" w:line="240" w:lineRule="auto"/>
      <w:ind w:left="566"/>
    </w:pPr>
    <w:rPr>
      <w:sz w:val="20"/>
      <w:szCs w:val="22"/>
      <w:lang w:eastAsia="en-US"/>
    </w:rPr>
  </w:style>
  <w:style w:type="paragraph" w:styleId="ListContinue3">
    <w:name w:val="List Continue 3"/>
    <w:basedOn w:val="Normal"/>
    <w:semiHidden/>
    <w:rsid w:val="00E26387"/>
    <w:pPr>
      <w:spacing w:before="120" w:line="240" w:lineRule="auto"/>
      <w:ind w:left="849"/>
    </w:pPr>
    <w:rPr>
      <w:sz w:val="20"/>
      <w:szCs w:val="22"/>
      <w:lang w:eastAsia="en-US"/>
    </w:rPr>
  </w:style>
  <w:style w:type="paragraph" w:styleId="ListContinue4">
    <w:name w:val="List Continue 4"/>
    <w:basedOn w:val="Normal"/>
    <w:semiHidden/>
    <w:rsid w:val="00E26387"/>
    <w:pPr>
      <w:spacing w:before="120" w:line="240" w:lineRule="auto"/>
      <w:ind w:left="1132"/>
    </w:pPr>
    <w:rPr>
      <w:sz w:val="20"/>
      <w:szCs w:val="22"/>
      <w:lang w:eastAsia="en-US"/>
    </w:rPr>
  </w:style>
  <w:style w:type="paragraph" w:styleId="ListContinue5">
    <w:name w:val="List Continue 5"/>
    <w:basedOn w:val="Normal"/>
    <w:semiHidden/>
    <w:rsid w:val="00E26387"/>
    <w:pPr>
      <w:spacing w:before="120" w:line="240" w:lineRule="auto"/>
      <w:ind w:left="1415"/>
    </w:pPr>
    <w:rPr>
      <w:sz w:val="20"/>
      <w:szCs w:val="22"/>
      <w:lang w:eastAsia="en-US"/>
    </w:rPr>
  </w:style>
  <w:style w:type="paragraph" w:styleId="ListNumber">
    <w:name w:val="List Number"/>
    <w:basedOn w:val="Normal"/>
    <w:rsid w:val="00E26387"/>
    <w:pPr>
      <w:tabs>
        <w:tab w:val="num" w:pos="360"/>
      </w:tabs>
      <w:spacing w:before="120" w:line="240" w:lineRule="auto"/>
      <w:ind w:left="360" w:hanging="360"/>
    </w:pPr>
    <w:rPr>
      <w:sz w:val="20"/>
      <w:szCs w:val="22"/>
      <w:lang w:eastAsia="en-US"/>
    </w:rPr>
  </w:style>
  <w:style w:type="paragraph" w:styleId="ListNumber2">
    <w:name w:val="List Number 2"/>
    <w:basedOn w:val="Normal"/>
    <w:rsid w:val="00E26387"/>
    <w:pPr>
      <w:tabs>
        <w:tab w:val="num" w:pos="643"/>
      </w:tabs>
      <w:spacing w:before="120" w:line="240" w:lineRule="auto"/>
      <w:ind w:left="643" w:hanging="360"/>
    </w:pPr>
    <w:rPr>
      <w:sz w:val="20"/>
      <w:szCs w:val="22"/>
      <w:lang w:eastAsia="en-US"/>
    </w:rPr>
  </w:style>
  <w:style w:type="paragraph" w:styleId="ListNumber3">
    <w:name w:val="List Number 3"/>
    <w:basedOn w:val="Normal"/>
    <w:rsid w:val="00E26387"/>
    <w:pPr>
      <w:tabs>
        <w:tab w:val="num" w:pos="926"/>
      </w:tabs>
      <w:spacing w:before="120" w:line="240" w:lineRule="auto"/>
      <w:ind w:left="926" w:hanging="360"/>
    </w:pPr>
    <w:rPr>
      <w:sz w:val="20"/>
      <w:szCs w:val="22"/>
      <w:lang w:eastAsia="en-US"/>
    </w:rPr>
  </w:style>
  <w:style w:type="paragraph" w:styleId="ListNumber4">
    <w:name w:val="List Number 4"/>
    <w:basedOn w:val="Normal"/>
    <w:rsid w:val="00E26387"/>
    <w:pPr>
      <w:tabs>
        <w:tab w:val="num" w:pos="1209"/>
      </w:tabs>
      <w:spacing w:before="120" w:line="240" w:lineRule="auto"/>
      <w:ind w:left="1209" w:hanging="360"/>
    </w:pPr>
    <w:rPr>
      <w:sz w:val="20"/>
      <w:szCs w:val="22"/>
      <w:lang w:eastAsia="en-US"/>
    </w:rPr>
  </w:style>
  <w:style w:type="paragraph" w:styleId="ListNumber5">
    <w:name w:val="List Number 5"/>
    <w:basedOn w:val="Normal"/>
    <w:rsid w:val="00E26387"/>
    <w:pPr>
      <w:tabs>
        <w:tab w:val="num" w:pos="1492"/>
      </w:tabs>
      <w:spacing w:before="120" w:line="240" w:lineRule="auto"/>
      <w:ind w:left="1492" w:hanging="360"/>
    </w:pPr>
    <w:rPr>
      <w:sz w:val="20"/>
      <w:szCs w:val="22"/>
      <w:lang w:eastAsia="en-US"/>
    </w:rPr>
  </w:style>
  <w:style w:type="paragraph" w:styleId="MessageHeader">
    <w:name w:val="Message Header"/>
    <w:basedOn w:val="Normal"/>
    <w:link w:val="MessageHeaderChar"/>
    <w:semiHidden/>
    <w:rsid w:val="00E26387"/>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pPr>
    <w:rPr>
      <w:rFonts w:cs="Arial"/>
      <w:sz w:val="20"/>
      <w:lang w:eastAsia="en-US"/>
    </w:rPr>
  </w:style>
  <w:style w:type="character" w:customStyle="1" w:styleId="MessageHeaderChar">
    <w:name w:val="Message Header Char"/>
    <w:basedOn w:val="DefaultParagraphFont"/>
    <w:link w:val="MessageHeader"/>
    <w:semiHidden/>
    <w:rsid w:val="00E26387"/>
    <w:rPr>
      <w:rFonts w:ascii="Arial" w:hAnsi="Arial" w:cs="Arial"/>
      <w:szCs w:val="24"/>
      <w:shd w:val="pct20" w:color="auto" w:fill="auto"/>
      <w:lang w:eastAsia="en-US"/>
    </w:rPr>
  </w:style>
  <w:style w:type="paragraph" w:styleId="NormalWeb">
    <w:name w:val="Normal (Web)"/>
    <w:basedOn w:val="Normal"/>
    <w:uiPriority w:val="99"/>
    <w:rsid w:val="00E26387"/>
    <w:pPr>
      <w:spacing w:before="120" w:line="240" w:lineRule="auto"/>
    </w:pPr>
    <w:rPr>
      <w:rFonts w:ascii="Times New Roman" w:hAnsi="Times New Roman"/>
      <w:sz w:val="24"/>
      <w:lang w:eastAsia="en-US"/>
    </w:rPr>
  </w:style>
  <w:style w:type="paragraph" w:styleId="NormalIndent">
    <w:name w:val="Normal Indent"/>
    <w:basedOn w:val="Normal"/>
    <w:semiHidden/>
    <w:rsid w:val="00E26387"/>
    <w:pPr>
      <w:spacing w:before="120" w:line="240" w:lineRule="auto"/>
      <w:ind w:left="720"/>
    </w:pPr>
    <w:rPr>
      <w:sz w:val="20"/>
      <w:szCs w:val="22"/>
      <w:lang w:eastAsia="en-US"/>
    </w:rPr>
  </w:style>
  <w:style w:type="paragraph" w:styleId="NoteHeading">
    <w:name w:val="Note Heading"/>
    <w:basedOn w:val="Normal"/>
    <w:next w:val="Normal"/>
    <w:link w:val="NoteHeadingChar"/>
    <w:semiHidden/>
    <w:rsid w:val="00E26387"/>
    <w:pPr>
      <w:spacing w:before="120" w:line="240" w:lineRule="auto"/>
    </w:pPr>
    <w:rPr>
      <w:sz w:val="20"/>
      <w:szCs w:val="22"/>
      <w:lang w:eastAsia="en-US"/>
    </w:rPr>
  </w:style>
  <w:style w:type="character" w:customStyle="1" w:styleId="NoteHeadingChar">
    <w:name w:val="Note Heading Char"/>
    <w:basedOn w:val="DefaultParagraphFont"/>
    <w:link w:val="NoteHeading"/>
    <w:semiHidden/>
    <w:rsid w:val="00E26387"/>
    <w:rPr>
      <w:rFonts w:ascii="Arial" w:hAnsi="Arial"/>
      <w:szCs w:val="22"/>
      <w:lang w:eastAsia="en-US"/>
    </w:rPr>
  </w:style>
  <w:style w:type="paragraph" w:styleId="PlainText">
    <w:name w:val="Plain Text"/>
    <w:basedOn w:val="Normal"/>
    <w:link w:val="PlainTextChar"/>
    <w:semiHidden/>
    <w:rsid w:val="00E26387"/>
    <w:pPr>
      <w:spacing w:before="120" w:line="240" w:lineRule="auto"/>
    </w:pPr>
    <w:rPr>
      <w:rFonts w:ascii="Courier New" w:hAnsi="Courier New" w:cs="Courier New"/>
      <w:sz w:val="20"/>
      <w:szCs w:val="20"/>
      <w:lang w:eastAsia="en-US"/>
    </w:rPr>
  </w:style>
  <w:style w:type="character" w:customStyle="1" w:styleId="PlainTextChar">
    <w:name w:val="Plain Text Char"/>
    <w:basedOn w:val="DefaultParagraphFont"/>
    <w:link w:val="PlainText"/>
    <w:semiHidden/>
    <w:rsid w:val="00E26387"/>
    <w:rPr>
      <w:rFonts w:ascii="Courier New" w:hAnsi="Courier New" w:cs="Courier New"/>
      <w:lang w:eastAsia="en-US"/>
    </w:rPr>
  </w:style>
  <w:style w:type="paragraph" w:styleId="Salutation">
    <w:name w:val="Salutation"/>
    <w:basedOn w:val="Normal"/>
    <w:next w:val="Normal"/>
    <w:link w:val="SalutationChar"/>
    <w:semiHidden/>
    <w:rsid w:val="00E26387"/>
    <w:pPr>
      <w:spacing w:before="120" w:line="240" w:lineRule="auto"/>
    </w:pPr>
    <w:rPr>
      <w:sz w:val="20"/>
      <w:szCs w:val="22"/>
      <w:lang w:eastAsia="en-US"/>
    </w:rPr>
  </w:style>
  <w:style w:type="character" w:customStyle="1" w:styleId="SalutationChar">
    <w:name w:val="Salutation Char"/>
    <w:basedOn w:val="DefaultParagraphFont"/>
    <w:link w:val="Salutation"/>
    <w:semiHidden/>
    <w:rsid w:val="00E26387"/>
    <w:rPr>
      <w:rFonts w:ascii="Arial" w:hAnsi="Arial"/>
      <w:szCs w:val="22"/>
      <w:lang w:eastAsia="en-US"/>
    </w:rPr>
  </w:style>
  <w:style w:type="paragraph" w:styleId="Signature">
    <w:name w:val="Signature"/>
    <w:basedOn w:val="Normal"/>
    <w:link w:val="SignatureChar"/>
    <w:uiPriority w:val="99"/>
    <w:rsid w:val="00E26387"/>
    <w:pPr>
      <w:spacing w:before="120" w:line="240" w:lineRule="auto"/>
      <w:ind w:left="4252"/>
    </w:pPr>
    <w:rPr>
      <w:sz w:val="20"/>
      <w:szCs w:val="22"/>
      <w:lang w:eastAsia="en-US"/>
    </w:rPr>
  </w:style>
  <w:style w:type="character" w:customStyle="1" w:styleId="SignatureChar">
    <w:name w:val="Signature Char"/>
    <w:basedOn w:val="DefaultParagraphFont"/>
    <w:link w:val="Signature"/>
    <w:uiPriority w:val="99"/>
    <w:rsid w:val="00E26387"/>
    <w:rPr>
      <w:rFonts w:ascii="Arial" w:hAnsi="Arial"/>
      <w:szCs w:val="22"/>
      <w:lang w:eastAsia="en-US"/>
    </w:rPr>
  </w:style>
  <w:style w:type="table" w:styleId="Table3Deffects1">
    <w:name w:val="Table 3D effects 1"/>
    <w:basedOn w:val="TableNormal"/>
    <w:rsid w:val="00E26387"/>
    <w:pPr>
      <w:spacing w:after="200" w:line="276" w:lineRule="auto"/>
    </w:pPr>
    <w:rPr>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6387"/>
    <w:pPr>
      <w:spacing w:after="200" w:line="276" w:lineRule="auto"/>
    </w:pPr>
    <w:rPr>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E26387"/>
    <w:pPr>
      <w:spacing w:after="200" w:line="276" w:lineRule="auto"/>
    </w:pPr>
    <w:rPr>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E26387"/>
    <w:pPr>
      <w:spacing w:after="200" w:line="276" w:lineRule="auto"/>
    </w:pPr>
    <w:rPr>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E26387"/>
    <w:pPr>
      <w:spacing w:after="200" w:line="276" w:lineRule="auto"/>
    </w:pPr>
    <w:rPr>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E26387"/>
    <w:pPr>
      <w:spacing w:after="200" w:line="276" w:lineRule="auto"/>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E26387"/>
    <w:pPr>
      <w:spacing w:after="200" w:line="276" w:lineRule="auto"/>
    </w:pPr>
    <w:rPr>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E26387"/>
    <w:pPr>
      <w:spacing w:after="200" w:line="276" w:lineRule="auto"/>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6387"/>
    <w:pPr>
      <w:spacing w:after="200" w:line="276" w:lineRule="auto"/>
    </w:pPr>
    <w:rPr>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6387"/>
    <w:pPr>
      <w:spacing w:after="200" w:line="276" w:lineRule="auto"/>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6387"/>
    <w:pPr>
      <w:spacing w:after="200" w:line="276" w:lineRule="auto"/>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E26387"/>
    <w:pPr>
      <w:spacing w:after="200" w:line="276" w:lineRule="auto"/>
    </w:pPr>
    <w:rPr>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E26387"/>
    <w:pPr>
      <w:spacing w:after="200" w:line="276" w:lineRule="auto"/>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E26387"/>
    <w:pPr>
      <w:spacing w:after="200" w:line="276" w:lineRule="auto"/>
    </w:pPr>
    <w:rPr>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E26387"/>
    <w:pPr>
      <w:spacing w:after="200" w:line="276" w:lineRule="auto"/>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E26387"/>
    <w:pPr>
      <w:spacing w:after="200" w:line="276" w:lineRule="auto"/>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6387"/>
    <w:pPr>
      <w:spacing w:after="200" w:line="276"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E26387"/>
    <w:pPr>
      <w:spacing w:after="200" w:line="276" w:lineRule="auto"/>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E26387"/>
    <w:pPr>
      <w:spacing w:after="200" w:line="276" w:lineRule="auto"/>
    </w:pPr>
    <w:rPr>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E26387"/>
    <w:pPr>
      <w:spacing w:after="200" w:line="276" w:lineRule="auto"/>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E26387"/>
    <w:pPr>
      <w:spacing w:after="200" w:line="276" w:lineRule="auto"/>
    </w:pPr>
    <w:rPr>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E26387"/>
    <w:pPr>
      <w:spacing w:after="200" w:line="276" w:lineRule="auto"/>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E26387"/>
    <w:pPr>
      <w:spacing w:after="200" w:line="276" w:lineRule="auto"/>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E26387"/>
    <w:pPr>
      <w:spacing w:after="200" w:line="276" w:lineRule="auto"/>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E26387"/>
    <w:pPr>
      <w:spacing w:after="200" w:line="276" w:lineRule="auto"/>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4">
    <w:name w:val="Table List 4"/>
    <w:basedOn w:val="TableNormal"/>
    <w:rsid w:val="00E26387"/>
    <w:pPr>
      <w:spacing w:after="200" w:line="276" w:lineRule="auto"/>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6387"/>
    <w:pPr>
      <w:spacing w:after="200" w:line="276" w:lineRule="auto"/>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E26387"/>
    <w:pPr>
      <w:spacing w:after="200" w:line="276" w:lineRule="auto"/>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6387"/>
    <w:pPr>
      <w:spacing w:after="200" w:line="276" w:lineRule="auto"/>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6387"/>
    <w:pPr>
      <w:spacing w:after="200" w:line="276" w:lineRule="auto"/>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26387"/>
    <w:pPr>
      <w:spacing w:after="200" w:line="276" w:lineRule="auto"/>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6387"/>
    <w:pPr>
      <w:spacing w:after="200" w:line="276" w:lineRule="auto"/>
    </w:pPr>
    <w:rPr>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6387"/>
    <w:pPr>
      <w:spacing w:after="200" w:line="276" w:lineRule="auto"/>
    </w:pPr>
    <w:rPr>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6387"/>
    <w:pPr>
      <w:spacing w:after="200" w:line="276" w:lineRule="auto"/>
    </w:pPr>
    <w:rPr>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6387"/>
    <w:pPr>
      <w:spacing w:after="200" w:line="276" w:lineRule="auto"/>
    </w:pPr>
    <w:rPr>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E26387"/>
    <w:pPr>
      <w:spacing w:after="200" w:line="276" w:lineRule="auto"/>
    </w:pPr>
    <w:rPr>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E26387"/>
    <w:pPr>
      <w:spacing w:after="200" w:line="276"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6387"/>
    <w:pPr>
      <w:spacing w:after="200" w:line="276" w:lineRule="auto"/>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E26387"/>
    <w:pPr>
      <w:spacing w:after="200" w:line="276" w:lineRule="auto"/>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E26387"/>
    <w:pPr>
      <w:spacing w:after="200" w:line="276" w:lineRule="auto"/>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Bullet3">
    <w:name w:val="List Bullet 3"/>
    <w:basedOn w:val="Normal"/>
    <w:rsid w:val="00E26387"/>
    <w:pPr>
      <w:tabs>
        <w:tab w:val="num" w:pos="926"/>
      </w:tabs>
      <w:spacing w:before="120" w:line="240" w:lineRule="auto"/>
      <w:ind w:left="926" w:hanging="360"/>
    </w:pPr>
    <w:rPr>
      <w:sz w:val="20"/>
      <w:szCs w:val="22"/>
      <w:lang w:eastAsia="en-US"/>
    </w:rPr>
  </w:style>
  <w:style w:type="paragraph" w:styleId="BodyText2">
    <w:name w:val="Body Text 2"/>
    <w:basedOn w:val="Normal"/>
    <w:link w:val="BodyText2Char"/>
    <w:autoRedefine/>
    <w:rsid w:val="00E26387"/>
    <w:pPr>
      <w:spacing w:before="120" w:line="240" w:lineRule="auto"/>
    </w:pPr>
    <w:rPr>
      <w:sz w:val="20"/>
      <w:szCs w:val="22"/>
      <w:lang w:eastAsia="en-US"/>
    </w:rPr>
  </w:style>
  <w:style w:type="character" w:customStyle="1" w:styleId="BodyText2Char">
    <w:name w:val="Body Text 2 Char"/>
    <w:basedOn w:val="DefaultParagraphFont"/>
    <w:link w:val="BodyText2"/>
    <w:rsid w:val="00E26387"/>
    <w:rPr>
      <w:rFonts w:ascii="Arial" w:hAnsi="Arial"/>
      <w:szCs w:val="22"/>
      <w:lang w:eastAsia="en-US"/>
    </w:rPr>
  </w:style>
  <w:style w:type="paragraph" w:customStyle="1" w:styleId="Bullet">
    <w:name w:val="Bullet"/>
    <w:basedOn w:val="Normal"/>
    <w:autoRedefine/>
    <w:rsid w:val="00E26387"/>
    <w:pPr>
      <w:numPr>
        <w:numId w:val="7"/>
      </w:numPr>
      <w:spacing w:before="120" w:after="240" w:line="240" w:lineRule="auto"/>
    </w:pPr>
    <w:rPr>
      <w:sz w:val="20"/>
      <w:szCs w:val="22"/>
      <w:lang w:eastAsia="en-US"/>
    </w:rPr>
  </w:style>
  <w:style w:type="paragraph" w:customStyle="1" w:styleId="Dash">
    <w:name w:val="Dash"/>
    <w:basedOn w:val="Normal"/>
    <w:autoRedefine/>
    <w:rsid w:val="00E26387"/>
    <w:pPr>
      <w:spacing w:before="60" w:after="60" w:line="240" w:lineRule="auto"/>
    </w:pPr>
    <w:rPr>
      <w:sz w:val="24"/>
      <w:szCs w:val="22"/>
      <w:lang w:eastAsia="en-US"/>
    </w:rPr>
  </w:style>
  <w:style w:type="paragraph" w:customStyle="1" w:styleId="DoubleDot">
    <w:name w:val="Double Dot"/>
    <w:basedOn w:val="Normal"/>
    <w:rsid w:val="00E26387"/>
    <w:pPr>
      <w:numPr>
        <w:ilvl w:val="2"/>
        <w:numId w:val="7"/>
      </w:numPr>
      <w:spacing w:before="120" w:after="240" w:line="240" w:lineRule="auto"/>
    </w:pPr>
    <w:rPr>
      <w:sz w:val="24"/>
      <w:szCs w:val="22"/>
      <w:lang w:eastAsia="en-US"/>
    </w:rPr>
  </w:style>
  <w:style w:type="paragraph" w:customStyle="1" w:styleId="Appendix">
    <w:name w:val="Appendix"/>
    <w:basedOn w:val="Heading1"/>
    <w:autoRedefine/>
    <w:rsid w:val="00E26387"/>
    <w:pPr>
      <w:tabs>
        <w:tab w:val="num" w:pos="1492"/>
      </w:tabs>
      <w:spacing w:before="200" w:after="480" w:line="240" w:lineRule="auto"/>
      <w:ind w:firstLine="357"/>
      <w:contextualSpacing w:val="0"/>
    </w:pPr>
    <w:rPr>
      <w:rFonts w:asciiTheme="majorHAnsi" w:eastAsiaTheme="majorEastAsia" w:hAnsiTheme="majorHAnsi" w:cstheme="majorBidi"/>
      <w:bCs/>
      <w:caps w:val="0"/>
      <w:color w:val="F8F8F8" w:themeColor="background2"/>
      <w:sz w:val="32"/>
      <w:szCs w:val="28"/>
      <w:lang w:eastAsia="en-US"/>
    </w:rPr>
  </w:style>
  <w:style w:type="paragraph" w:customStyle="1" w:styleId="Appendix2">
    <w:name w:val="Appendix 2"/>
    <w:basedOn w:val="Appendix"/>
    <w:rsid w:val="00E26387"/>
    <w:pPr>
      <w:pageBreakBefore/>
      <w:spacing w:before="0" w:beforeAutospacing="1" w:after="100" w:afterAutospacing="1" w:line="0" w:lineRule="atLeast"/>
      <w:ind w:left="432" w:hanging="432"/>
      <w:outlineLvl w:val="9"/>
    </w:pPr>
    <w:rPr>
      <w:rFonts w:ascii="Arial" w:eastAsia="Times New Roman" w:hAnsi="Arial" w:cs="Arial"/>
      <w:b w:val="0"/>
      <w:i/>
      <w:color w:val="000000"/>
      <w:kern w:val="32"/>
      <w:sz w:val="18"/>
      <w:szCs w:val="18"/>
    </w:rPr>
  </w:style>
  <w:style w:type="paragraph" w:customStyle="1" w:styleId="InfoMapsubheading">
    <w:name w:val="InfoMap subheading"/>
    <w:basedOn w:val="Normal"/>
    <w:rsid w:val="00E26387"/>
    <w:pPr>
      <w:spacing w:before="180" w:after="60" w:line="240" w:lineRule="auto"/>
      <w:ind w:left="2268" w:right="567"/>
    </w:pPr>
    <w:rPr>
      <w:rFonts w:ascii="Verdana" w:hAnsi="Verdana"/>
      <w:b/>
      <w:i/>
      <w:sz w:val="20"/>
      <w:szCs w:val="22"/>
      <w:lang w:val="en-US" w:eastAsia="en-US"/>
    </w:rPr>
  </w:style>
  <w:style w:type="paragraph" w:customStyle="1" w:styleId="StyleHeading3Before4pt">
    <w:name w:val="Style Heading 3 + Before:  4 pt"/>
    <w:basedOn w:val="Heading3"/>
    <w:rsid w:val="00E26387"/>
    <w:pPr>
      <w:tabs>
        <w:tab w:val="num" w:pos="1492"/>
      </w:tabs>
      <w:spacing w:before="480" w:after="480" w:line="240" w:lineRule="auto"/>
      <w:ind w:left="1492"/>
      <w:contextualSpacing w:val="0"/>
    </w:pPr>
    <w:rPr>
      <w:rFonts w:asciiTheme="majorHAnsi" w:eastAsiaTheme="majorEastAsia" w:hAnsiTheme="majorHAnsi" w:cstheme="majorBidi"/>
      <w:bCs/>
      <w:color w:val="000000" w:themeColor="text2"/>
      <w:sz w:val="26"/>
      <w:szCs w:val="22"/>
      <w:lang w:eastAsia="en-US"/>
    </w:rPr>
  </w:style>
  <w:style w:type="character" w:customStyle="1" w:styleId="StyleCodeLeft0cmLinespacingAtleast12pt">
    <w:name w:val="Style Code + Left:  0 cm Line spacing:  At least 12 pt"/>
    <w:rsid w:val="00E26387"/>
    <w:rPr>
      <w:rFonts w:ascii="Courier New" w:hAnsi="Courier New"/>
    </w:rPr>
  </w:style>
  <w:style w:type="paragraph" w:customStyle="1" w:styleId="Itemfieldtitle">
    <w:name w:val="Item field title"/>
    <w:basedOn w:val="Normal"/>
    <w:rsid w:val="00E26387"/>
    <w:pPr>
      <w:spacing w:before="40" w:after="40" w:line="240" w:lineRule="auto"/>
    </w:pPr>
    <w:rPr>
      <w:rFonts w:ascii="Book Antiqua" w:hAnsi="Book Antiqua"/>
      <w:b/>
      <w:i/>
      <w:sz w:val="20"/>
      <w:szCs w:val="20"/>
      <w:lang w:eastAsia="en-US"/>
    </w:rPr>
  </w:style>
  <w:style w:type="paragraph" w:customStyle="1" w:styleId="Itemfieldvalue">
    <w:name w:val="Item field value"/>
    <w:basedOn w:val="Normal"/>
    <w:rsid w:val="00E26387"/>
    <w:pPr>
      <w:spacing w:before="40" w:after="40" w:line="240" w:lineRule="auto"/>
    </w:pPr>
    <w:rPr>
      <w:rFonts w:ascii="Times New Roman" w:hAnsi="Times New Roman"/>
      <w:sz w:val="20"/>
      <w:szCs w:val="20"/>
      <w:lang w:eastAsia="en-US"/>
    </w:rPr>
  </w:style>
  <w:style w:type="paragraph" w:customStyle="1" w:styleId="Itemtitle">
    <w:name w:val="Item title"/>
    <w:basedOn w:val="Normal"/>
    <w:rsid w:val="00E26387"/>
    <w:pPr>
      <w:pageBreakBefore/>
      <w:pBdr>
        <w:top w:val="single" w:sz="18" w:space="1" w:color="auto"/>
        <w:bottom w:val="single" w:sz="18" w:space="1" w:color="auto"/>
      </w:pBdr>
      <w:spacing w:before="40" w:after="40" w:line="240" w:lineRule="auto"/>
    </w:pPr>
    <w:rPr>
      <w:b/>
      <w:sz w:val="32"/>
      <w:szCs w:val="20"/>
      <w:lang w:eastAsia="en-US"/>
    </w:rPr>
  </w:style>
  <w:style w:type="paragraph" w:customStyle="1" w:styleId="Itemsectiontitle">
    <w:name w:val="Item section title"/>
    <w:basedOn w:val="Normal"/>
    <w:next w:val="Itemfieldtitle"/>
    <w:rsid w:val="00E26387"/>
    <w:pPr>
      <w:spacing w:before="180" w:after="60" w:line="240" w:lineRule="auto"/>
    </w:pPr>
    <w:rPr>
      <w:b/>
      <w:sz w:val="24"/>
      <w:szCs w:val="20"/>
      <w:lang w:eastAsia="en-US"/>
    </w:rPr>
  </w:style>
  <w:style w:type="paragraph" w:customStyle="1" w:styleId="TPVerso">
    <w:name w:val="T/P: Verso"/>
    <w:rsid w:val="00E26387"/>
    <w:pPr>
      <w:keepLines/>
      <w:spacing w:before="60" w:after="60"/>
    </w:pPr>
    <w:rPr>
      <w:rFonts w:ascii="Helvetica" w:hAnsi="Helvetica"/>
      <w:sz w:val="22"/>
      <w:lang w:eastAsia="en-US"/>
    </w:rPr>
  </w:style>
  <w:style w:type="paragraph" w:customStyle="1" w:styleId="Iteminsertedtitle">
    <w:name w:val="Item inserted title"/>
    <w:basedOn w:val="Itemsectiontitle"/>
    <w:rsid w:val="00E26387"/>
    <w:pPr>
      <w:pBdr>
        <w:bottom w:val="single" w:sz="8" w:space="1" w:color="auto"/>
      </w:pBdr>
      <w:spacing w:before="240"/>
    </w:pPr>
    <w:rPr>
      <w:sz w:val="28"/>
    </w:rPr>
  </w:style>
  <w:style w:type="paragraph" w:customStyle="1" w:styleId="Alternatename">
    <w:name w:val="Alternate name"/>
    <w:basedOn w:val="Normal"/>
    <w:rsid w:val="00E26387"/>
    <w:pPr>
      <w:spacing w:before="40" w:after="40" w:line="240" w:lineRule="auto"/>
    </w:pPr>
    <w:rPr>
      <w:rFonts w:ascii="Book Antiqua" w:hAnsi="Book Antiqua"/>
      <w:sz w:val="20"/>
      <w:szCs w:val="20"/>
      <w:lang w:eastAsia="en-US"/>
    </w:rPr>
  </w:style>
  <w:style w:type="paragraph" w:customStyle="1" w:styleId="Sectiontitle">
    <w:name w:val="Section title"/>
    <w:basedOn w:val="Normal"/>
    <w:link w:val="SectiontitleChar"/>
    <w:rsid w:val="00E26387"/>
    <w:pPr>
      <w:pageBreakBefore/>
      <w:spacing w:before="40" w:after="40" w:line="240" w:lineRule="auto"/>
    </w:pPr>
    <w:rPr>
      <w:b/>
      <w:sz w:val="36"/>
      <w:szCs w:val="36"/>
      <w:lang w:val="en-US" w:eastAsia="en-US"/>
    </w:rPr>
  </w:style>
  <w:style w:type="character" w:customStyle="1" w:styleId="SectiontitleChar">
    <w:name w:val="Section title Char"/>
    <w:link w:val="Sectiontitle"/>
    <w:locked/>
    <w:rsid w:val="00E26387"/>
    <w:rPr>
      <w:rFonts w:ascii="Arial" w:hAnsi="Arial"/>
      <w:b/>
      <w:sz w:val="36"/>
      <w:szCs w:val="36"/>
      <w:lang w:val="en-US" w:eastAsia="en-US"/>
    </w:rPr>
  </w:style>
  <w:style w:type="paragraph" w:customStyle="1" w:styleId="table">
    <w:name w:val="table"/>
    <w:basedOn w:val="Normal"/>
    <w:autoRedefine/>
    <w:rsid w:val="005C656B"/>
    <w:pPr>
      <w:spacing w:before="240" w:after="240" w:line="240" w:lineRule="auto"/>
      <w:ind w:right="-28"/>
    </w:pPr>
    <w:rPr>
      <w:rFonts w:asciiTheme="minorHAnsi" w:hAnsiTheme="minorHAnsi" w:cstheme="minorHAnsi"/>
      <w:noProof/>
      <w:color w:val="000000"/>
      <w:szCs w:val="22"/>
    </w:rPr>
  </w:style>
  <w:style w:type="table" w:styleId="TableList3">
    <w:name w:val="Table List 3"/>
    <w:basedOn w:val="TableNormal"/>
    <w:rsid w:val="00E26387"/>
    <w:pPr>
      <w:spacing w:after="200" w:line="276" w:lineRule="auto"/>
    </w:pPr>
    <w:rPr>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LightShading-Accent21">
    <w:name w:val="Light Shading - Accent 21"/>
    <w:rsid w:val="00E26387"/>
    <w:rPr>
      <w:color w:val="943634"/>
      <w:lang w:val="en-US"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LightShading-Accent11">
    <w:name w:val="Light Shading - Accent 11"/>
    <w:rsid w:val="00E26387"/>
    <w:rPr>
      <w:color w:val="365F91"/>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1">
    <w:name w:val="Light Shading1"/>
    <w:rsid w:val="00E26387"/>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List1">
    <w:name w:val="Table List 1"/>
    <w:basedOn w:val="TableNormal"/>
    <w:rsid w:val="00E26387"/>
    <w:pPr>
      <w:spacing w:after="200" w:line="276" w:lineRule="auto"/>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E26387"/>
    <w:pPr>
      <w:spacing w:after="200" w:line="276" w:lineRule="auto"/>
    </w:pPr>
    <w:rPr>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Shading-Accent31">
    <w:name w:val="Light Shading - Accent 31"/>
    <w:rsid w:val="00E26387"/>
    <w:rPr>
      <w:color w:val="76923C"/>
      <w:lang w:val="en-US"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List-Accent11">
    <w:name w:val="Light List - Accent 11"/>
    <w:rsid w:val="00E26387"/>
    <w:rPr>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Headingnonumber">
    <w:name w:val="Heading no number"/>
    <w:basedOn w:val="Header"/>
    <w:autoRedefine/>
    <w:rsid w:val="00E26387"/>
    <w:pPr>
      <w:tabs>
        <w:tab w:val="clear" w:pos="10319"/>
      </w:tabs>
      <w:spacing w:before="240" w:after="200" w:line="240" w:lineRule="auto"/>
      <w:jc w:val="both"/>
    </w:pPr>
    <w:rPr>
      <w:rFonts w:asciiTheme="minorHAnsi" w:eastAsiaTheme="minorHAnsi" w:hAnsiTheme="minorHAnsi" w:cstheme="minorBidi"/>
      <w:i/>
      <w:sz w:val="22"/>
      <w:szCs w:val="22"/>
      <w:u w:val="single"/>
      <w:lang w:eastAsia="en-US"/>
    </w:rPr>
  </w:style>
  <w:style w:type="paragraph" w:customStyle="1" w:styleId="table2">
    <w:name w:val="table 2"/>
    <w:basedOn w:val="Normal"/>
    <w:autoRedefine/>
    <w:rsid w:val="00E26387"/>
    <w:pPr>
      <w:pBdr>
        <w:top w:val="single" w:sz="4" w:space="1" w:color="FF0000"/>
        <w:left w:val="single" w:sz="4" w:space="4" w:color="FF0000"/>
        <w:bottom w:val="single" w:sz="4" w:space="1" w:color="FF0000"/>
        <w:right w:val="single" w:sz="4" w:space="4" w:color="FF0000"/>
      </w:pBdr>
      <w:spacing w:before="120" w:after="0" w:line="240" w:lineRule="auto"/>
    </w:pPr>
    <w:rPr>
      <w:sz w:val="20"/>
      <w:szCs w:val="22"/>
      <w:lang w:eastAsia="en-US"/>
    </w:rPr>
  </w:style>
  <w:style w:type="paragraph" w:customStyle="1" w:styleId="NormalArial">
    <w:name w:val="Normal + Arial"/>
    <w:aliases w:val="11 pt"/>
    <w:basedOn w:val="Normal"/>
    <w:rsid w:val="00E26387"/>
    <w:pPr>
      <w:spacing w:before="120" w:after="0" w:line="240" w:lineRule="auto"/>
      <w:ind w:left="550"/>
    </w:pPr>
    <w:rPr>
      <w:rFonts w:cs="Arial"/>
      <w:sz w:val="20"/>
      <w:szCs w:val="22"/>
      <w:lang w:eastAsia="zh-CN"/>
    </w:rPr>
  </w:style>
  <w:style w:type="paragraph" w:customStyle="1" w:styleId="diagram">
    <w:name w:val="diagram"/>
    <w:basedOn w:val="Normal"/>
    <w:autoRedefine/>
    <w:rsid w:val="00E26387"/>
    <w:pPr>
      <w:spacing w:after="0" w:line="240" w:lineRule="auto"/>
      <w:jc w:val="center"/>
    </w:pPr>
    <w:rPr>
      <w:noProof/>
      <w:sz w:val="20"/>
      <w:szCs w:val="22"/>
    </w:rPr>
  </w:style>
  <w:style w:type="paragraph" w:customStyle="1" w:styleId="Execsummary1">
    <w:name w:val="Exec summary 1"/>
    <w:basedOn w:val="Normal"/>
    <w:link w:val="Execsummary1Char"/>
    <w:rsid w:val="00E26387"/>
    <w:pPr>
      <w:spacing w:before="120" w:line="240" w:lineRule="auto"/>
    </w:pPr>
    <w:rPr>
      <w:b/>
      <w:color w:val="7F7F7F"/>
      <w:sz w:val="32"/>
      <w:szCs w:val="22"/>
      <w:lang w:val="en-US" w:eastAsia="en-US"/>
    </w:rPr>
  </w:style>
  <w:style w:type="character" w:customStyle="1" w:styleId="Execsummary1Char">
    <w:name w:val="Exec summary 1 Char"/>
    <w:link w:val="Execsummary1"/>
    <w:locked/>
    <w:rsid w:val="00E26387"/>
    <w:rPr>
      <w:rFonts w:ascii="Arial" w:hAnsi="Arial"/>
      <w:b/>
      <w:color w:val="7F7F7F"/>
      <w:sz w:val="32"/>
      <w:szCs w:val="22"/>
      <w:lang w:val="en-US" w:eastAsia="en-US"/>
    </w:rPr>
  </w:style>
  <w:style w:type="paragraph" w:customStyle="1" w:styleId="Streamheading">
    <w:name w:val="Stream heading"/>
    <w:basedOn w:val="Heading1"/>
    <w:link w:val="StreamheadingChar"/>
    <w:rsid w:val="00E26387"/>
    <w:pPr>
      <w:tabs>
        <w:tab w:val="num" w:pos="1492"/>
      </w:tabs>
      <w:spacing w:before="200" w:after="480" w:line="240" w:lineRule="auto"/>
      <w:ind w:firstLine="357"/>
      <w:contextualSpacing w:val="0"/>
    </w:pPr>
    <w:rPr>
      <w:rFonts w:asciiTheme="majorHAnsi" w:eastAsiaTheme="majorEastAsia" w:hAnsiTheme="majorHAnsi" w:cstheme="majorBidi"/>
      <w:bCs/>
      <w:caps w:val="0"/>
      <w:color w:val="F8F8F8" w:themeColor="background2"/>
      <w:sz w:val="32"/>
      <w:szCs w:val="28"/>
      <w:lang w:eastAsia="en-US"/>
    </w:rPr>
  </w:style>
  <w:style w:type="paragraph" w:customStyle="1" w:styleId="Heading2Level2">
    <w:name w:val="Heading 2 Level 2"/>
    <w:basedOn w:val="Heading2"/>
    <w:link w:val="Heading2Level2Char"/>
    <w:rsid w:val="00E26387"/>
    <w:pPr>
      <w:numPr>
        <w:numId w:val="13"/>
      </w:numPr>
      <w:spacing w:before="240" w:after="240" w:line="240" w:lineRule="auto"/>
      <w:ind w:left="0" w:firstLine="0"/>
      <w:contextualSpacing w:val="0"/>
    </w:pPr>
    <w:rPr>
      <w:rFonts w:asciiTheme="majorHAnsi" w:eastAsiaTheme="majorEastAsia" w:hAnsiTheme="majorHAnsi" w:cstheme="majorBidi"/>
      <w:bCs/>
      <w:caps w:val="0"/>
      <w:color w:val="F8F8F8" w:themeColor="background2"/>
      <w:szCs w:val="32"/>
      <w:lang w:eastAsia="en-US"/>
    </w:rPr>
  </w:style>
  <w:style w:type="character" w:customStyle="1" w:styleId="StreamheadingChar">
    <w:name w:val="Stream heading Char"/>
    <w:basedOn w:val="Heading1Char"/>
    <w:link w:val="Streamheading"/>
    <w:locked/>
    <w:rsid w:val="00E26387"/>
    <w:rPr>
      <w:rFonts w:asciiTheme="majorHAnsi" w:eastAsiaTheme="majorEastAsia" w:hAnsiTheme="majorHAnsi" w:cstheme="majorBidi"/>
      <w:b/>
      <w:bCs/>
      <w:caps w:val="0"/>
      <w:color w:val="F8F8F8" w:themeColor="background2"/>
      <w:sz w:val="32"/>
      <w:szCs w:val="28"/>
      <w:lang w:eastAsia="en-US"/>
    </w:rPr>
  </w:style>
  <w:style w:type="character" w:customStyle="1" w:styleId="Heading2Level2Char">
    <w:name w:val="Heading 2 Level 2 Char"/>
    <w:basedOn w:val="Heading2Char"/>
    <w:link w:val="Heading2Level2"/>
    <w:locked/>
    <w:rsid w:val="00E26387"/>
    <w:rPr>
      <w:rFonts w:asciiTheme="majorHAnsi" w:eastAsiaTheme="majorEastAsia" w:hAnsiTheme="majorHAnsi" w:cstheme="majorBidi"/>
      <w:b/>
      <w:bCs/>
      <w:caps w:val="0"/>
      <w:color w:val="F8F8F8" w:themeColor="background2"/>
      <w:sz w:val="24"/>
      <w:szCs w:val="32"/>
      <w:lang w:eastAsia="en-US"/>
    </w:rPr>
  </w:style>
  <w:style w:type="paragraph" w:customStyle="1" w:styleId="xl63">
    <w:name w:val="xl63"/>
    <w:basedOn w:val="Normal"/>
    <w:rsid w:val="00E26387"/>
    <w:pPr>
      <w:spacing w:before="100" w:beforeAutospacing="1" w:after="100" w:afterAutospacing="1" w:line="240" w:lineRule="auto"/>
    </w:pPr>
    <w:rPr>
      <w:rFonts w:ascii="Times New Roman" w:hAnsi="Times New Roman"/>
      <w:sz w:val="18"/>
      <w:szCs w:val="18"/>
    </w:rPr>
  </w:style>
  <w:style w:type="paragraph" w:customStyle="1" w:styleId="xl64">
    <w:name w:val="xl64"/>
    <w:basedOn w:val="Normal"/>
    <w:rsid w:val="00E26387"/>
    <w:pPr>
      <w:spacing w:before="100" w:beforeAutospacing="1" w:after="100" w:afterAutospacing="1" w:line="240" w:lineRule="auto"/>
    </w:pPr>
    <w:rPr>
      <w:rFonts w:ascii="Times New Roman" w:hAnsi="Times New Roman"/>
      <w:sz w:val="18"/>
      <w:szCs w:val="18"/>
    </w:rPr>
  </w:style>
  <w:style w:type="paragraph" w:customStyle="1" w:styleId="xl65">
    <w:name w:val="xl65"/>
    <w:basedOn w:val="Normal"/>
    <w:rsid w:val="00E26387"/>
    <w:pPr>
      <w:spacing w:before="100" w:beforeAutospacing="1" w:after="100" w:afterAutospacing="1" w:line="240" w:lineRule="auto"/>
    </w:pPr>
    <w:rPr>
      <w:rFonts w:ascii="Times New Roman" w:hAnsi="Times New Roman"/>
      <w:sz w:val="18"/>
      <w:szCs w:val="18"/>
    </w:rPr>
  </w:style>
  <w:style w:type="paragraph" w:customStyle="1" w:styleId="xl66">
    <w:name w:val="xl66"/>
    <w:basedOn w:val="Normal"/>
    <w:rsid w:val="00E26387"/>
    <w:pPr>
      <w:shd w:val="clear" w:color="000000" w:fill="339966"/>
      <w:spacing w:before="100" w:beforeAutospacing="1" w:after="100" w:afterAutospacing="1" w:line="240" w:lineRule="auto"/>
      <w:jc w:val="center"/>
      <w:textAlignment w:val="center"/>
    </w:pPr>
    <w:rPr>
      <w:rFonts w:ascii="Times New Roman" w:hAnsi="Times New Roman"/>
      <w:b/>
      <w:bCs/>
      <w:color w:val="FFFFFF"/>
      <w:sz w:val="18"/>
      <w:szCs w:val="18"/>
    </w:rPr>
  </w:style>
  <w:style w:type="paragraph" w:customStyle="1" w:styleId="xl67">
    <w:name w:val="xl67"/>
    <w:basedOn w:val="Normal"/>
    <w:rsid w:val="00E26387"/>
    <w:pPr>
      <w:shd w:val="clear" w:color="000000" w:fill="339966"/>
      <w:spacing w:before="100" w:beforeAutospacing="1" w:after="100" w:afterAutospacing="1" w:line="240" w:lineRule="auto"/>
      <w:jc w:val="center"/>
      <w:textAlignment w:val="center"/>
    </w:pPr>
    <w:rPr>
      <w:rFonts w:ascii="Times New Roman" w:hAnsi="Times New Roman"/>
      <w:b/>
      <w:bCs/>
      <w:color w:val="FFFFFF"/>
      <w:sz w:val="18"/>
      <w:szCs w:val="18"/>
    </w:rPr>
  </w:style>
  <w:style w:type="paragraph" w:customStyle="1" w:styleId="xl68">
    <w:name w:val="xl68"/>
    <w:basedOn w:val="Normal"/>
    <w:rsid w:val="00E26387"/>
    <w:pPr>
      <w:shd w:val="clear" w:color="000000" w:fill="339966"/>
      <w:spacing w:before="100" w:beforeAutospacing="1" w:after="100" w:afterAutospacing="1" w:line="240" w:lineRule="auto"/>
      <w:jc w:val="center"/>
      <w:textAlignment w:val="center"/>
    </w:pPr>
    <w:rPr>
      <w:rFonts w:ascii="Times New Roman" w:hAnsi="Times New Roman"/>
      <w:b/>
      <w:bCs/>
      <w:color w:val="FFFFFF"/>
      <w:sz w:val="18"/>
      <w:szCs w:val="18"/>
    </w:rPr>
  </w:style>
  <w:style w:type="paragraph" w:customStyle="1" w:styleId="xl69">
    <w:name w:val="xl69"/>
    <w:basedOn w:val="Normal"/>
    <w:rsid w:val="00E26387"/>
    <w:pPr>
      <w:spacing w:before="100" w:beforeAutospacing="1" w:after="100" w:afterAutospacing="1" w:line="240" w:lineRule="auto"/>
    </w:pPr>
    <w:rPr>
      <w:rFonts w:ascii="Times New Roman" w:hAnsi="Times New Roman"/>
      <w:sz w:val="18"/>
      <w:szCs w:val="18"/>
    </w:rPr>
  </w:style>
  <w:style w:type="paragraph" w:customStyle="1" w:styleId="xl70">
    <w:name w:val="xl70"/>
    <w:basedOn w:val="Normal"/>
    <w:rsid w:val="00E26387"/>
    <w:pPr>
      <w:shd w:val="clear" w:color="000000" w:fill="339966"/>
      <w:spacing w:before="100" w:beforeAutospacing="1" w:after="100" w:afterAutospacing="1" w:line="240" w:lineRule="auto"/>
      <w:jc w:val="center"/>
      <w:textAlignment w:val="center"/>
    </w:pPr>
    <w:rPr>
      <w:rFonts w:ascii="Times New Roman" w:hAnsi="Times New Roman"/>
      <w:b/>
      <w:bCs/>
      <w:color w:val="FFFFFF"/>
      <w:sz w:val="18"/>
      <w:szCs w:val="18"/>
    </w:rPr>
  </w:style>
  <w:style w:type="paragraph" w:customStyle="1" w:styleId="Heading1nonumber">
    <w:name w:val="Heading 1 no number"/>
    <w:basedOn w:val="Heading1"/>
    <w:link w:val="Heading1nonumberChar"/>
    <w:rsid w:val="00E26387"/>
    <w:pPr>
      <w:tabs>
        <w:tab w:val="num" w:pos="1492"/>
      </w:tabs>
      <w:spacing w:before="200" w:after="480" w:line="240" w:lineRule="auto"/>
      <w:ind w:firstLine="357"/>
      <w:contextualSpacing w:val="0"/>
    </w:pPr>
    <w:rPr>
      <w:rFonts w:asciiTheme="majorHAnsi" w:eastAsiaTheme="majorEastAsia" w:hAnsiTheme="majorHAnsi" w:cstheme="majorBidi"/>
      <w:bCs/>
      <w:caps w:val="0"/>
      <w:color w:val="F8F8F8" w:themeColor="background2"/>
      <w:sz w:val="32"/>
      <w:szCs w:val="28"/>
      <w:lang w:eastAsia="en-US"/>
    </w:rPr>
  </w:style>
  <w:style w:type="character" w:customStyle="1" w:styleId="Heading1nonumberChar">
    <w:name w:val="Heading 1 no number Char"/>
    <w:link w:val="Heading1nonumber"/>
    <w:locked/>
    <w:rsid w:val="00E26387"/>
    <w:rPr>
      <w:rFonts w:asciiTheme="majorHAnsi" w:eastAsiaTheme="majorEastAsia" w:hAnsiTheme="majorHAnsi" w:cstheme="majorBidi"/>
      <w:b/>
      <w:bCs/>
      <w:color w:val="F8F8F8" w:themeColor="background2"/>
      <w:sz w:val="32"/>
      <w:szCs w:val="28"/>
      <w:lang w:eastAsia="en-US"/>
    </w:rPr>
  </w:style>
  <w:style w:type="paragraph" w:customStyle="1" w:styleId="StyleHeadingnonumberSeaGreen">
    <w:name w:val="Style Heading no number + Sea Green"/>
    <w:basedOn w:val="Headingnonumber"/>
    <w:rsid w:val="00E26387"/>
    <w:pPr>
      <w:tabs>
        <w:tab w:val="center" w:pos="4153"/>
        <w:tab w:val="right" w:pos="8306"/>
      </w:tabs>
      <w:spacing w:before="120" w:after="120"/>
    </w:pPr>
    <w:rPr>
      <w:rFonts w:ascii="Times New Roman" w:eastAsia="Times New Roman" w:hAnsi="Times New Roman" w:cs="Calibri"/>
      <w:b/>
      <w:bCs/>
      <w:color w:val="7F7F7F"/>
      <w:sz w:val="32"/>
      <w:szCs w:val="24"/>
      <w:lang w:val="en-US"/>
    </w:rPr>
  </w:style>
  <w:style w:type="character" w:customStyle="1" w:styleId="Style18ptBoldItalicSeaGreen">
    <w:name w:val="Style 18 pt Bold Italic Sea Green"/>
    <w:rsid w:val="00E26387"/>
    <w:rPr>
      <w:rFonts w:cs="Times New Roman"/>
      <w:b/>
      <w:bCs/>
      <w:i/>
      <w:iCs/>
      <w:color w:val="7F7F7F"/>
      <w:sz w:val="36"/>
    </w:rPr>
  </w:style>
  <w:style w:type="character" w:styleId="CommentReference">
    <w:name w:val="annotation reference"/>
    <w:rsid w:val="00E26387"/>
    <w:rPr>
      <w:rFonts w:cs="Times New Roman"/>
      <w:sz w:val="16"/>
      <w:szCs w:val="16"/>
    </w:rPr>
  </w:style>
  <w:style w:type="paragraph" w:styleId="CommentText">
    <w:name w:val="annotation text"/>
    <w:basedOn w:val="Normal"/>
    <w:link w:val="CommentTextChar"/>
    <w:rsid w:val="00E26387"/>
    <w:pPr>
      <w:spacing w:before="120" w:line="240" w:lineRule="auto"/>
    </w:pPr>
    <w:rPr>
      <w:sz w:val="20"/>
      <w:szCs w:val="20"/>
      <w:lang w:eastAsia="en-US"/>
    </w:rPr>
  </w:style>
  <w:style w:type="character" w:customStyle="1" w:styleId="CommentTextChar">
    <w:name w:val="Comment Text Char"/>
    <w:basedOn w:val="DefaultParagraphFont"/>
    <w:link w:val="CommentText"/>
    <w:rsid w:val="00E26387"/>
    <w:rPr>
      <w:rFonts w:ascii="Arial" w:hAnsi="Arial"/>
      <w:lang w:eastAsia="en-US"/>
    </w:rPr>
  </w:style>
  <w:style w:type="paragraph" w:styleId="CommentSubject">
    <w:name w:val="annotation subject"/>
    <w:basedOn w:val="CommentText"/>
    <w:next w:val="CommentText"/>
    <w:link w:val="CommentSubjectChar"/>
    <w:rsid w:val="00E26387"/>
    <w:rPr>
      <w:b/>
      <w:bCs/>
    </w:rPr>
  </w:style>
  <w:style w:type="character" w:customStyle="1" w:styleId="CommentSubjectChar">
    <w:name w:val="Comment Subject Char"/>
    <w:basedOn w:val="CommentTextChar"/>
    <w:link w:val="CommentSubject"/>
    <w:rsid w:val="00E26387"/>
    <w:rPr>
      <w:rFonts w:ascii="Arial" w:hAnsi="Arial"/>
      <w:b/>
      <w:bCs/>
      <w:lang w:eastAsia="en-US"/>
    </w:rPr>
  </w:style>
  <w:style w:type="numbering" w:styleId="111111">
    <w:name w:val="Outline List 2"/>
    <w:basedOn w:val="NoList"/>
    <w:rsid w:val="00E26387"/>
    <w:pPr>
      <w:numPr>
        <w:numId w:val="4"/>
      </w:numPr>
    </w:pPr>
  </w:style>
  <w:style w:type="numbering" w:customStyle="1" w:styleId="Style1">
    <w:name w:val="Style1"/>
    <w:rsid w:val="00E26387"/>
    <w:pPr>
      <w:numPr>
        <w:numId w:val="15"/>
      </w:numPr>
    </w:pPr>
  </w:style>
  <w:style w:type="numbering" w:styleId="ArticleSection">
    <w:name w:val="Outline List 3"/>
    <w:basedOn w:val="NoList"/>
    <w:rsid w:val="00E26387"/>
    <w:pPr>
      <w:numPr>
        <w:numId w:val="6"/>
      </w:numPr>
    </w:pPr>
  </w:style>
  <w:style w:type="numbering" w:styleId="1ai">
    <w:name w:val="Outline List 1"/>
    <w:basedOn w:val="NoList"/>
    <w:rsid w:val="00E26387"/>
    <w:pPr>
      <w:numPr>
        <w:numId w:val="5"/>
      </w:numPr>
    </w:pPr>
  </w:style>
  <w:style w:type="paragraph" w:styleId="TableofFigures">
    <w:name w:val="table of figures"/>
    <w:basedOn w:val="Normal"/>
    <w:next w:val="Normal"/>
    <w:uiPriority w:val="99"/>
    <w:unhideWhenUsed/>
    <w:rsid w:val="00E26387"/>
    <w:pPr>
      <w:spacing w:after="0" w:line="276" w:lineRule="auto"/>
    </w:pPr>
    <w:rPr>
      <w:rFonts w:ascii="Times New Roman" w:eastAsiaTheme="minorHAnsi" w:hAnsi="Times New Roman" w:cstheme="minorBidi"/>
      <w:sz w:val="24"/>
      <w:szCs w:val="22"/>
      <w:lang w:eastAsia="en-US"/>
    </w:rPr>
  </w:style>
  <w:style w:type="paragraph" w:styleId="TOC5">
    <w:name w:val="toc 5"/>
    <w:basedOn w:val="Normal"/>
    <w:next w:val="Normal"/>
    <w:autoRedefine/>
    <w:uiPriority w:val="39"/>
    <w:unhideWhenUsed/>
    <w:rsid w:val="00E26387"/>
    <w:pPr>
      <w:spacing w:after="100" w:line="276" w:lineRule="auto"/>
      <w:ind w:left="880"/>
    </w:pPr>
    <w:rPr>
      <w:rFonts w:asciiTheme="minorHAnsi" w:eastAsiaTheme="minorEastAsia" w:hAnsiTheme="minorHAnsi" w:cstheme="minorBidi"/>
      <w:sz w:val="20"/>
      <w:szCs w:val="22"/>
    </w:rPr>
  </w:style>
  <w:style w:type="paragraph" w:styleId="TOC6">
    <w:name w:val="toc 6"/>
    <w:basedOn w:val="Normal"/>
    <w:next w:val="Normal"/>
    <w:autoRedefine/>
    <w:uiPriority w:val="39"/>
    <w:unhideWhenUsed/>
    <w:rsid w:val="00E26387"/>
    <w:pPr>
      <w:spacing w:after="100" w:line="276" w:lineRule="auto"/>
      <w:ind w:left="1100"/>
    </w:pPr>
    <w:rPr>
      <w:rFonts w:asciiTheme="minorHAnsi" w:eastAsiaTheme="minorEastAsia" w:hAnsiTheme="minorHAnsi" w:cstheme="minorBidi"/>
      <w:sz w:val="20"/>
      <w:szCs w:val="22"/>
    </w:rPr>
  </w:style>
  <w:style w:type="paragraph" w:styleId="TOC7">
    <w:name w:val="toc 7"/>
    <w:basedOn w:val="Normal"/>
    <w:next w:val="Normal"/>
    <w:autoRedefine/>
    <w:uiPriority w:val="39"/>
    <w:unhideWhenUsed/>
    <w:rsid w:val="00E26387"/>
    <w:pPr>
      <w:spacing w:after="100" w:line="276" w:lineRule="auto"/>
      <w:ind w:left="1320"/>
    </w:pPr>
    <w:rPr>
      <w:rFonts w:asciiTheme="minorHAnsi" w:eastAsiaTheme="minorEastAsia" w:hAnsiTheme="minorHAnsi" w:cstheme="minorBidi"/>
      <w:sz w:val="20"/>
      <w:szCs w:val="22"/>
    </w:rPr>
  </w:style>
  <w:style w:type="paragraph" w:styleId="TOC8">
    <w:name w:val="toc 8"/>
    <w:basedOn w:val="Normal"/>
    <w:next w:val="Normal"/>
    <w:autoRedefine/>
    <w:uiPriority w:val="39"/>
    <w:unhideWhenUsed/>
    <w:rsid w:val="00E26387"/>
    <w:pPr>
      <w:spacing w:after="100" w:line="276" w:lineRule="auto"/>
      <w:ind w:left="1540"/>
    </w:pPr>
    <w:rPr>
      <w:rFonts w:asciiTheme="minorHAnsi" w:eastAsiaTheme="minorEastAsia" w:hAnsiTheme="minorHAnsi" w:cstheme="minorBidi"/>
      <w:sz w:val="20"/>
      <w:szCs w:val="22"/>
    </w:rPr>
  </w:style>
  <w:style w:type="paragraph" w:styleId="TOC9">
    <w:name w:val="toc 9"/>
    <w:basedOn w:val="Normal"/>
    <w:next w:val="Normal"/>
    <w:autoRedefine/>
    <w:uiPriority w:val="39"/>
    <w:unhideWhenUsed/>
    <w:rsid w:val="00E26387"/>
    <w:pPr>
      <w:spacing w:after="100" w:line="276" w:lineRule="auto"/>
      <w:ind w:left="1760"/>
    </w:pPr>
    <w:rPr>
      <w:rFonts w:asciiTheme="minorHAnsi" w:eastAsiaTheme="minorEastAsia" w:hAnsiTheme="minorHAnsi" w:cstheme="minorBidi"/>
      <w:sz w:val="20"/>
      <w:szCs w:val="22"/>
    </w:rPr>
  </w:style>
  <w:style w:type="paragraph" w:styleId="Revision">
    <w:name w:val="Revision"/>
    <w:hidden/>
    <w:uiPriority w:val="99"/>
    <w:semiHidden/>
    <w:rsid w:val="00E26387"/>
    <w:rPr>
      <w:rFonts w:ascii="Arial" w:hAnsi="Arial"/>
      <w:szCs w:val="22"/>
      <w:lang w:eastAsia="en-US"/>
    </w:rPr>
  </w:style>
  <w:style w:type="numbering" w:customStyle="1" w:styleId="NoList1">
    <w:name w:val="No List1"/>
    <w:next w:val="NoList"/>
    <w:uiPriority w:val="99"/>
    <w:semiHidden/>
    <w:unhideWhenUsed/>
    <w:rsid w:val="00E26387"/>
  </w:style>
  <w:style w:type="table" w:customStyle="1" w:styleId="TableGrid10">
    <w:name w:val="Table Grid1"/>
    <w:basedOn w:val="TableNormal"/>
    <w:next w:val="TableGrid"/>
    <w:uiPriority w:val="59"/>
    <w:rsid w:val="00E26387"/>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E26387"/>
    <w:pPr>
      <w:numPr>
        <w:numId w:val="18"/>
      </w:numPr>
    </w:pPr>
  </w:style>
  <w:style w:type="character" w:customStyle="1" w:styleId="Heading1Char1">
    <w:name w:val="Heading 1 Char1"/>
    <w:basedOn w:val="DefaultParagraphFont"/>
    <w:uiPriority w:val="9"/>
    <w:rsid w:val="00E26387"/>
    <w:rPr>
      <w:rFonts w:ascii="Calibri" w:eastAsia="Times New Roman" w:hAnsi="Calibri" w:cs="Times New Roman"/>
      <w:b/>
      <w:bCs/>
      <w:szCs w:val="28"/>
    </w:rPr>
  </w:style>
  <w:style w:type="character" w:customStyle="1" w:styleId="Heading2Char1">
    <w:name w:val="Heading 2 Char1"/>
    <w:basedOn w:val="DefaultParagraphFont"/>
    <w:uiPriority w:val="9"/>
    <w:rsid w:val="00E26387"/>
    <w:rPr>
      <w:rFonts w:ascii="Calibri" w:eastAsia="Times New Roman" w:hAnsi="Calibri" w:cs="Times New Roman"/>
      <w:b/>
      <w:szCs w:val="26"/>
    </w:rPr>
  </w:style>
  <w:style w:type="numbering" w:customStyle="1" w:styleId="Headingsv2">
    <w:name w:val="Headings v2"/>
    <w:uiPriority w:val="99"/>
    <w:rsid w:val="00E26387"/>
    <w:pPr>
      <w:numPr>
        <w:numId w:val="19"/>
      </w:numPr>
    </w:pPr>
  </w:style>
  <w:style w:type="paragraph" w:customStyle="1" w:styleId="EndnoteText1">
    <w:name w:val="Endnote Text1"/>
    <w:basedOn w:val="Normal"/>
    <w:next w:val="EndnoteText"/>
    <w:uiPriority w:val="99"/>
    <w:semiHidden/>
    <w:unhideWhenUsed/>
    <w:rsid w:val="00E26387"/>
    <w:pPr>
      <w:spacing w:after="0" w:line="240" w:lineRule="auto"/>
    </w:pPr>
    <w:rPr>
      <w:rFonts w:ascii="Calibri" w:hAnsi="Calibri"/>
      <w:sz w:val="20"/>
      <w:szCs w:val="20"/>
    </w:rPr>
  </w:style>
  <w:style w:type="character" w:customStyle="1" w:styleId="EndnoteTextChar1">
    <w:name w:val="Endnote Text Char1"/>
    <w:basedOn w:val="DefaultParagraphFont"/>
    <w:rsid w:val="00E26387"/>
    <w:rPr>
      <w:rFonts w:ascii="Arial" w:eastAsia="Times New Roman" w:hAnsi="Arial" w:cs="Times New Roman"/>
      <w:sz w:val="20"/>
      <w:szCs w:val="20"/>
    </w:rPr>
  </w:style>
  <w:style w:type="character" w:customStyle="1" w:styleId="ListParagraphChar">
    <w:name w:val="List Paragraph Char"/>
    <w:link w:val="ListParagraph"/>
    <w:uiPriority w:val="34"/>
    <w:locked/>
    <w:rsid w:val="00E26387"/>
    <w:rPr>
      <w:rFonts w:ascii="Arial" w:hAnsi="Arial"/>
      <w:sz w:val="22"/>
      <w:szCs w:val="24"/>
    </w:rPr>
  </w:style>
  <w:style w:type="character" w:customStyle="1" w:styleId="apple-converted-space">
    <w:name w:val="apple-converted-space"/>
    <w:basedOn w:val="DefaultParagraphFont"/>
    <w:rsid w:val="00E26387"/>
  </w:style>
  <w:style w:type="character" w:styleId="IntenseReference">
    <w:name w:val="Intense Reference"/>
    <w:basedOn w:val="DefaultParagraphFont"/>
    <w:uiPriority w:val="32"/>
    <w:qFormat/>
    <w:rsid w:val="00E26387"/>
    <w:rPr>
      <w:b/>
      <w:bCs/>
      <w:i/>
      <w:smallCaps/>
      <w:color w:val="008A00" w:themeColor="accent2"/>
      <w:spacing w:val="5"/>
      <w:u w:val="none"/>
    </w:rPr>
  </w:style>
  <w:style w:type="paragraph" w:customStyle="1" w:styleId="Attachment">
    <w:name w:val="Attachment"/>
    <w:basedOn w:val="Normal"/>
    <w:uiPriority w:val="2"/>
    <w:qFormat/>
    <w:rsid w:val="003642EA"/>
    <w:pPr>
      <w:numPr>
        <w:numId w:val="49"/>
      </w:numPr>
      <w:spacing w:after="200" w:line="276" w:lineRule="auto"/>
      <w:ind w:left="357" w:hanging="357"/>
    </w:pPr>
    <w:rPr>
      <w:rFonts w:asciiTheme="minorHAnsi" w:eastAsiaTheme="minorHAnsi" w:hAnsiTheme="minorHAnsi" w:cstheme="minorBidi"/>
      <w:szCs w:val="22"/>
      <w:lang w:eastAsia="en-US"/>
    </w:rPr>
  </w:style>
  <w:style w:type="paragraph" w:customStyle="1" w:styleId="Attachmentheading">
    <w:name w:val="Attachment heading"/>
    <w:basedOn w:val="Normal"/>
    <w:next w:val="Normal"/>
    <w:link w:val="AttachmentheadingChar"/>
    <w:qFormat/>
    <w:rsid w:val="003642EA"/>
    <w:pPr>
      <w:spacing w:after="200" w:line="276" w:lineRule="auto"/>
      <w:jc w:val="right"/>
    </w:pPr>
    <w:rPr>
      <w:rFonts w:asciiTheme="minorHAnsi" w:eastAsiaTheme="minorHAnsi" w:hAnsiTheme="minorHAnsi" w:cstheme="minorBidi"/>
      <w:b/>
      <w:szCs w:val="22"/>
      <w:lang w:eastAsia="en-US"/>
    </w:rPr>
  </w:style>
  <w:style w:type="character" w:customStyle="1" w:styleId="AttachmentheadingChar">
    <w:name w:val="Attachment heading Char"/>
    <w:basedOn w:val="DefaultParagraphFont"/>
    <w:link w:val="Attachmentheading"/>
    <w:rsid w:val="003642EA"/>
    <w:rPr>
      <w:rFonts w:asciiTheme="minorHAnsi" w:eastAsiaTheme="minorHAnsi" w:hAnsiTheme="minorHAnsi" w:cstheme="minorBidi"/>
      <w:b/>
      <w:sz w:val="22"/>
      <w:szCs w:val="22"/>
      <w:lang w:eastAsia="en-US"/>
    </w:rPr>
  </w:style>
  <w:style w:type="table" w:customStyle="1" w:styleId="TableGridLight1">
    <w:name w:val="Table Grid Light1"/>
    <w:basedOn w:val="TableNormal"/>
    <w:uiPriority w:val="40"/>
    <w:rsid w:val="00207D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7490">
      <w:bodyDiv w:val="1"/>
      <w:marLeft w:val="0"/>
      <w:marRight w:val="0"/>
      <w:marTop w:val="0"/>
      <w:marBottom w:val="0"/>
      <w:divBdr>
        <w:top w:val="none" w:sz="0" w:space="0" w:color="auto"/>
        <w:left w:val="none" w:sz="0" w:space="0" w:color="auto"/>
        <w:bottom w:val="none" w:sz="0" w:space="0" w:color="auto"/>
        <w:right w:val="none" w:sz="0" w:space="0" w:color="auto"/>
      </w:divBdr>
      <w:divsChild>
        <w:div w:id="1986856003">
          <w:marLeft w:val="0"/>
          <w:marRight w:val="0"/>
          <w:marTop w:val="0"/>
          <w:marBottom w:val="0"/>
          <w:divBdr>
            <w:top w:val="none" w:sz="0" w:space="0" w:color="auto"/>
            <w:left w:val="none" w:sz="0" w:space="0" w:color="auto"/>
            <w:bottom w:val="none" w:sz="0" w:space="0" w:color="auto"/>
            <w:right w:val="none" w:sz="0" w:space="0" w:color="auto"/>
          </w:divBdr>
        </w:div>
        <w:div w:id="1991058631">
          <w:marLeft w:val="0"/>
          <w:marRight w:val="0"/>
          <w:marTop w:val="0"/>
          <w:marBottom w:val="0"/>
          <w:divBdr>
            <w:top w:val="none" w:sz="0" w:space="0" w:color="auto"/>
            <w:left w:val="none" w:sz="0" w:space="0" w:color="auto"/>
            <w:bottom w:val="none" w:sz="0" w:space="0" w:color="auto"/>
            <w:right w:val="none" w:sz="0" w:space="0" w:color="auto"/>
          </w:divBdr>
        </w:div>
        <w:div w:id="2140563290">
          <w:marLeft w:val="0"/>
          <w:marRight w:val="0"/>
          <w:marTop w:val="0"/>
          <w:marBottom w:val="0"/>
          <w:divBdr>
            <w:top w:val="none" w:sz="0" w:space="0" w:color="auto"/>
            <w:left w:val="none" w:sz="0" w:space="0" w:color="auto"/>
            <w:bottom w:val="none" w:sz="0" w:space="0" w:color="auto"/>
            <w:right w:val="none" w:sz="0" w:space="0" w:color="auto"/>
          </w:divBdr>
        </w:div>
        <w:div w:id="177888219">
          <w:marLeft w:val="0"/>
          <w:marRight w:val="0"/>
          <w:marTop w:val="0"/>
          <w:marBottom w:val="0"/>
          <w:divBdr>
            <w:top w:val="none" w:sz="0" w:space="0" w:color="auto"/>
            <w:left w:val="none" w:sz="0" w:space="0" w:color="auto"/>
            <w:bottom w:val="none" w:sz="0" w:space="0" w:color="auto"/>
            <w:right w:val="none" w:sz="0" w:space="0" w:color="auto"/>
          </w:divBdr>
        </w:div>
        <w:div w:id="343166653">
          <w:marLeft w:val="0"/>
          <w:marRight w:val="0"/>
          <w:marTop w:val="0"/>
          <w:marBottom w:val="0"/>
          <w:divBdr>
            <w:top w:val="none" w:sz="0" w:space="0" w:color="auto"/>
            <w:left w:val="none" w:sz="0" w:space="0" w:color="auto"/>
            <w:bottom w:val="none" w:sz="0" w:space="0" w:color="auto"/>
            <w:right w:val="none" w:sz="0" w:space="0" w:color="auto"/>
          </w:divBdr>
        </w:div>
        <w:div w:id="1086534967">
          <w:marLeft w:val="0"/>
          <w:marRight w:val="0"/>
          <w:marTop w:val="0"/>
          <w:marBottom w:val="0"/>
          <w:divBdr>
            <w:top w:val="none" w:sz="0" w:space="0" w:color="auto"/>
            <w:left w:val="none" w:sz="0" w:space="0" w:color="auto"/>
            <w:bottom w:val="none" w:sz="0" w:space="0" w:color="auto"/>
            <w:right w:val="none" w:sz="0" w:space="0" w:color="auto"/>
          </w:divBdr>
        </w:div>
        <w:div w:id="591201262">
          <w:marLeft w:val="0"/>
          <w:marRight w:val="0"/>
          <w:marTop w:val="0"/>
          <w:marBottom w:val="0"/>
          <w:divBdr>
            <w:top w:val="none" w:sz="0" w:space="0" w:color="auto"/>
            <w:left w:val="none" w:sz="0" w:space="0" w:color="auto"/>
            <w:bottom w:val="none" w:sz="0" w:space="0" w:color="auto"/>
            <w:right w:val="none" w:sz="0" w:space="0" w:color="auto"/>
          </w:divBdr>
        </w:div>
        <w:div w:id="1278368918">
          <w:marLeft w:val="0"/>
          <w:marRight w:val="0"/>
          <w:marTop w:val="0"/>
          <w:marBottom w:val="0"/>
          <w:divBdr>
            <w:top w:val="none" w:sz="0" w:space="0" w:color="auto"/>
            <w:left w:val="none" w:sz="0" w:space="0" w:color="auto"/>
            <w:bottom w:val="none" w:sz="0" w:space="0" w:color="auto"/>
            <w:right w:val="none" w:sz="0" w:space="0" w:color="auto"/>
          </w:divBdr>
        </w:div>
        <w:div w:id="2060013216">
          <w:marLeft w:val="0"/>
          <w:marRight w:val="0"/>
          <w:marTop w:val="0"/>
          <w:marBottom w:val="0"/>
          <w:divBdr>
            <w:top w:val="none" w:sz="0" w:space="0" w:color="auto"/>
            <w:left w:val="none" w:sz="0" w:space="0" w:color="auto"/>
            <w:bottom w:val="none" w:sz="0" w:space="0" w:color="auto"/>
            <w:right w:val="none" w:sz="0" w:space="0" w:color="auto"/>
          </w:divBdr>
        </w:div>
        <w:div w:id="1695379179">
          <w:marLeft w:val="0"/>
          <w:marRight w:val="0"/>
          <w:marTop w:val="0"/>
          <w:marBottom w:val="0"/>
          <w:divBdr>
            <w:top w:val="none" w:sz="0" w:space="0" w:color="auto"/>
            <w:left w:val="none" w:sz="0" w:space="0" w:color="auto"/>
            <w:bottom w:val="none" w:sz="0" w:space="0" w:color="auto"/>
            <w:right w:val="none" w:sz="0" w:space="0" w:color="auto"/>
          </w:divBdr>
        </w:div>
        <w:div w:id="1734616808">
          <w:marLeft w:val="0"/>
          <w:marRight w:val="0"/>
          <w:marTop w:val="0"/>
          <w:marBottom w:val="0"/>
          <w:divBdr>
            <w:top w:val="none" w:sz="0" w:space="0" w:color="auto"/>
            <w:left w:val="none" w:sz="0" w:space="0" w:color="auto"/>
            <w:bottom w:val="none" w:sz="0" w:space="0" w:color="auto"/>
            <w:right w:val="none" w:sz="0" w:space="0" w:color="auto"/>
          </w:divBdr>
        </w:div>
        <w:div w:id="779108680">
          <w:marLeft w:val="0"/>
          <w:marRight w:val="0"/>
          <w:marTop w:val="0"/>
          <w:marBottom w:val="0"/>
          <w:divBdr>
            <w:top w:val="none" w:sz="0" w:space="0" w:color="auto"/>
            <w:left w:val="none" w:sz="0" w:space="0" w:color="auto"/>
            <w:bottom w:val="none" w:sz="0" w:space="0" w:color="auto"/>
            <w:right w:val="none" w:sz="0" w:space="0" w:color="auto"/>
          </w:divBdr>
        </w:div>
        <w:div w:id="199249663">
          <w:marLeft w:val="0"/>
          <w:marRight w:val="0"/>
          <w:marTop w:val="0"/>
          <w:marBottom w:val="0"/>
          <w:divBdr>
            <w:top w:val="none" w:sz="0" w:space="0" w:color="auto"/>
            <w:left w:val="none" w:sz="0" w:space="0" w:color="auto"/>
            <w:bottom w:val="none" w:sz="0" w:space="0" w:color="auto"/>
            <w:right w:val="none" w:sz="0" w:space="0" w:color="auto"/>
          </w:divBdr>
        </w:div>
        <w:div w:id="536549831">
          <w:marLeft w:val="0"/>
          <w:marRight w:val="0"/>
          <w:marTop w:val="0"/>
          <w:marBottom w:val="0"/>
          <w:divBdr>
            <w:top w:val="none" w:sz="0" w:space="0" w:color="auto"/>
            <w:left w:val="none" w:sz="0" w:space="0" w:color="auto"/>
            <w:bottom w:val="none" w:sz="0" w:space="0" w:color="auto"/>
            <w:right w:val="none" w:sz="0" w:space="0" w:color="auto"/>
          </w:divBdr>
        </w:div>
      </w:divsChild>
    </w:div>
    <w:div w:id="733970032">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64631134">
      <w:bodyDiv w:val="1"/>
      <w:marLeft w:val="0"/>
      <w:marRight w:val="0"/>
      <w:marTop w:val="0"/>
      <w:marBottom w:val="0"/>
      <w:divBdr>
        <w:top w:val="none" w:sz="0" w:space="0" w:color="auto"/>
        <w:left w:val="none" w:sz="0" w:space="0" w:color="auto"/>
        <w:bottom w:val="none" w:sz="0" w:space="0" w:color="auto"/>
        <w:right w:val="none" w:sz="0" w:space="0" w:color="auto"/>
      </w:divBdr>
      <w:divsChild>
        <w:div w:id="451486409">
          <w:marLeft w:val="0"/>
          <w:marRight w:val="0"/>
          <w:marTop w:val="0"/>
          <w:marBottom w:val="0"/>
          <w:divBdr>
            <w:top w:val="none" w:sz="0" w:space="0" w:color="auto"/>
            <w:left w:val="none" w:sz="0" w:space="0" w:color="auto"/>
            <w:bottom w:val="none" w:sz="0" w:space="0" w:color="auto"/>
            <w:right w:val="none" w:sz="0" w:space="0" w:color="auto"/>
          </w:divBdr>
        </w:div>
        <w:div w:id="127089335">
          <w:marLeft w:val="0"/>
          <w:marRight w:val="0"/>
          <w:marTop w:val="0"/>
          <w:marBottom w:val="0"/>
          <w:divBdr>
            <w:top w:val="none" w:sz="0" w:space="0" w:color="auto"/>
            <w:left w:val="none" w:sz="0" w:space="0" w:color="auto"/>
            <w:bottom w:val="none" w:sz="0" w:space="0" w:color="auto"/>
            <w:right w:val="none" w:sz="0" w:space="0" w:color="auto"/>
          </w:divBdr>
        </w:div>
        <w:div w:id="573245208">
          <w:marLeft w:val="0"/>
          <w:marRight w:val="0"/>
          <w:marTop w:val="0"/>
          <w:marBottom w:val="0"/>
          <w:divBdr>
            <w:top w:val="none" w:sz="0" w:space="0" w:color="auto"/>
            <w:left w:val="none" w:sz="0" w:space="0" w:color="auto"/>
            <w:bottom w:val="none" w:sz="0" w:space="0" w:color="auto"/>
            <w:right w:val="none" w:sz="0" w:space="0" w:color="auto"/>
          </w:divBdr>
        </w:div>
        <w:div w:id="717512162">
          <w:marLeft w:val="0"/>
          <w:marRight w:val="0"/>
          <w:marTop w:val="0"/>
          <w:marBottom w:val="0"/>
          <w:divBdr>
            <w:top w:val="none" w:sz="0" w:space="0" w:color="auto"/>
            <w:left w:val="none" w:sz="0" w:space="0" w:color="auto"/>
            <w:bottom w:val="none" w:sz="0" w:space="0" w:color="auto"/>
            <w:right w:val="none" w:sz="0" w:space="0" w:color="auto"/>
          </w:divBdr>
        </w:div>
        <w:div w:id="1220437550">
          <w:marLeft w:val="0"/>
          <w:marRight w:val="0"/>
          <w:marTop w:val="0"/>
          <w:marBottom w:val="0"/>
          <w:divBdr>
            <w:top w:val="none" w:sz="0" w:space="0" w:color="auto"/>
            <w:left w:val="none" w:sz="0" w:space="0" w:color="auto"/>
            <w:bottom w:val="none" w:sz="0" w:space="0" w:color="auto"/>
            <w:right w:val="none" w:sz="0" w:space="0" w:color="auto"/>
          </w:divBdr>
        </w:div>
        <w:div w:id="207960133">
          <w:marLeft w:val="0"/>
          <w:marRight w:val="0"/>
          <w:marTop w:val="0"/>
          <w:marBottom w:val="0"/>
          <w:divBdr>
            <w:top w:val="none" w:sz="0" w:space="0" w:color="auto"/>
            <w:left w:val="none" w:sz="0" w:space="0" w:color="auto"/>
            <w:bottom w:val="none" w:sz="0" w:space="0" w:color="auto"/>
            <w:right w:val="none" w:sz="0" w:space="0" w:color="auto"/>
          </w:divBdr>
        </w:div>
        <w:div w:id="1299918878">
          <w:marLeft w:val="0"/>
          <w:marRight w:val="0"/>
          <w:marTop w:val="0"/>
          <w:marBottom w:val="0"/>
          <w:divBdr>
            <w:top w:val="none" w:sz="0" w:space="0" w:color="auto"/>
            <w:left w:val="none" w:sz="0" w:space="0" w:color="auto"/>
            <w:bottom w:val="none" w:sz="0" w:space="0" w:color="auto"/>
            <w:right w:val="none" w:sz="0" w:space="0" w:color="auto"/>
          </w:divBdr>
        </w:div>
        <w:div w:id="159926002">
          <w:marLeft w:val="0"/>
          <w:marRight w:val="0"/>
          <w:marTop w:val="0"/>
          <w:marBottom w:val="0"/>
          <w:divBdr>
            <w:top w:val="none" w:sz="0" w:space="0" w:color="auto"/>
            <w:left w:val="none" w:sz="0" w:space="0" w:color="auto"/>
            <w:bottom w:val="none" w:sz="0" w:space="0" w:color="auto"/>
            <w:right w:val="none" w:sz="0" w:space="0" w:color="auto"/>
          </w:divBdr>
        </w:div>
        <w:div w:id="1482650637">
          <w:marLeft w:val="0"/>
          <w:marRight w:val="0"/>
          <w:marTop w:val="0"/>
          <w:marBottom w:val="0"/>
          <w:divBdr>
            <w:top w:val="none" w:sz="0" w:space="0" w:color="auto"/>
            <w:left w:val="none" w:sz="0" w:space="0" w:color="auto"/>
            <w:bottom w:val="none" w:sz="0" w:space="0" w:color="auto"/>
            <w:right w:val="none" w:sz="0" w:space="0" w:color="auto"/>
          </w:divBdr>
        </w:div>
        <w:div w:id="876814476">
          <w:marLeft w:val="0"/>
          <w:marRight w:val="0"/>
          <w:marTop w:val="0"/>
          <w:marBottom w:val="0"/>
          <w:divBdr>
            <w:top w:val="none" w:sz="0" w:space="0" w:color="auto"/>
            <w:left w:val="none" w:sz="0" w:space="0" w:color="auto"/>
            <w:bottom w:val="none" w:sz="0" w:space="0" w:color="auto"/>
            <w:right w:val="none" w:sz="0" w:space="0" w:color="auto"/>
          </w:divBdr>
        </w:div>
        <w:div w:id="815872740">
          <w:marLeft w:val="0"/>
          <w:marRight w:val="0"/>
          <w:marTop w:val="0"/>
          <w:marBottom w:val="0"/>
          <w:divBdr>
            <w:top w:val="none" w:sz="0" w:space="0" w:color="auto"/>
            <w:left w:val="none" w:sz="0" w:space="0" w:color="auto"/>
            <w:bottom w:val="none" w:sz="0" w:space="0" w:color="auto"/>
            <w:right w:val="none" w:sz="0" w:space="0" w:color="auto"/>
          </w:divBdr>
        </w:div>
        <w:div w:id="1694988690">
          <w:marLeft w:val="0"/>
          <w:marRight w:val="0"/>
          <w:marTop w:val="0"/>
          <w:marBottom w:val="0"/>
          <w:divBdr>
            <w:top w:val="none" w:sz="0" w:space="0" w:color="auto"/>
            <w:left w:val="none" w:sz="0" w:space="0" w:color="auto"/>
            <w:bottom w:val="none" w:sz="0" w:space="0" w:color="auto"/>
            <w:right w:val="none" w:sz="0" w:space="0" w:color="auto"/>
          </w:divBdr>
        </w:div>
        <w:div w:id="1932007156">
          <w:marLeft w:val="0"/>
          <w:marRight w:val="0"/>
          <w:marTop w:val="0"/>
          <w:marBottom w:val="0"/>
          <w:divBdr>
            <w:top w:val="none" w:sz="0" w:space="0" w:color="auto"/>
            <w:left w:val="none" w:sz="0" w:space="0" w:color="auto"/>
            <w:bottom w:val="none" w:sz="0" w:space="0" w:color="auto"/>
            <w:right w:val="none" w:sz="0" w:space="0" w:color="auto"/>
          </w:divBdr>
        </w:div>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929581395">
      <w:bodyDiv w:val="1"/>
      <w:marLeft w:val="0"/>
      <w:marRight w:val="0"/>
      <w:marTop w:val="0"/>
      <w:marBottom w:val="0"/>
      <w:divBdr>
        <w:top w:val="none" w:sz="0" w:space="0" w:color="auto"/>
        <w:left w:val="none" w:sz="0" w:space="0" w:color="auto"/>
        <w:bottom w:val="none" w:sz="0" w:space="0" w:color="auto"/>
        <w:right w:val="none" w:sz="0" w:space="0" w:color="auto"/>
      </w:divBdr>
    </w:div>
    <w:div w:id="1036735602">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1.png"/><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header" Target="header4.xml"/><Relationship Id="rId33" Type="http://schemas.openxmlformats.org/officeDocument/2006/relationships/footer" Target="footer5.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oleObject" Target="embeddings/oleObject1.bin"/><Relationship Id="rId29" Type="http://schemas.openxmlformats.org/officeDocument/2006/relationships/image" Target="media/image9.emf"/><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header" Target="header6.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image" Target="media/image6.png"/><Relationship Id="rId28" Type="http://schemas.openxmlformats.org/officeDocument/2006/relationships/image" Target="media/image8.png"/><Relationship Id="rId36"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chart" Target="charts/chart1.xml"/><Relationship Id="rId35" Type="http://schemas.openxmlformats.org/officeDocument/2006/relationships/hyperlink" Target="http://www.ihp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hpa.gov.au/publications/national-pricing-model-stability-policy" TargetMode="External"/><Relationship Id="rId1" Type="http://schemas.openxmlformats.org/officeDocument/2006/relationships/hyperlink" Target="http://www.abs.gov.au/websitedbs/D3310114.nsf/home/remoteness+structu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0.jpeg"/></Relationships>
</file>

<file path=word/_rels/header7.xml.rels><?xml version="1.0" encoding="UTF-8" standalone="yes"?>
<Relationships xmlns="http://schemas.openxmlformats.org/package/2006/relationships"><Relationship Id="rId1" Type="http://schemas.openxmlformats.org/officeDocument/2006/relationships/image" Target="media/image13.jpe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Sam\Working\SBGW\M002%20-%20NEP17\04%20Indexation\Indexation1415_final.xlsb"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'NEP17'!$H$30</c:f>
          <c:strCache>
            <c:ptCount val="1"/>
            <c:pt idx="0">
              <c:v>Cost per NWAU (National)</c:v>
            </c:pt>
          </c:strCache>
        </c:strRef>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'NEP17'!$H$30</c:f>
              <c:strCache>
                <c:ptCount val="1"/>
                <c:pt idx="0">
                  <c:v>Cost per NWAU (National)</c:v>
                </c:pt>
              </c:strCache>
            </c:strRef>
          </c:tx>
          <c:spPr>
            <a:ln w="19050" cap="rnd">
              <a:noFill/>
              <a:round/>
            </a:ln>
            <a:effectLst/>
          </c:spPr>
          <c:marker>
            <c:symbol val="circle"/>
            <c:size val="5"/>
            <c:spPr>
              <a:solidFill>
                <a:schemeClr val="accent6">
                  <a:lumMod val="60000"/>
                  <a:lumOff val="40000"/>
                </a:schemeClr>
              </a:solidFill>
              <a:ln w="9525">
                <a:solidFill>
                  <a:schemeClr val="accent6">
                    <a:lumMod val="75000"/>
                  </a:schemeClr>
                </a:solidFill>
              </a:ln>
              <a:effectLst/>
            </c:spPr>
          </c:marker>
          <c:trendline>
            <c:name>Slope + Intercept</c:name>
            <c:spPr>
              <a:ln w="19050" cap="rnd">
                <a:solidFill>
                  <a:srgbClr val="FF0000"/>
                </a:solidFill>
                <a:prstDash val="sysDot"/>
              </a:ln>
              <a:effectLst/>
            </c:spPr>
            <c:trendlineType val="exp"/>
            <c:forward val="3"/>
            <c:intercept val="4682"/>
            <c:dispRSqr val="0"/>
            <c:dispEq val="1"/>
            <c:trendlineLbl>
              <c:layout>
                <c:manualLayout>
                  <c:x val="-5.2565740439726602E-2"/>
                  <c:y val="0.14759266801370233"/>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rendlineLbl>
          </c:trendline>
          <c:xVal>
            <c:numRef>
              <c:f>'NEP17'!$D$34:$D$39</c:f>
              <c:numCache>
                <c:formatCode>General</c:formatCode>
                <c:ptCount val="6"/>
                <c:pt idx="0">
                  <c:v>-5</c:v>
                </c:pt>
                <c:pt idx="1">
                  <c:v>-4</c:v>
                </c:pt>
                <c:pt idx="2">
                  <c:v>-3</c:v>
                </c:pt>
                <c:pt idx="3">
                  <c:v>-2</c:v>
                </c:pt>
                <c:pt idx="4">
                  <c:v>-1</c:v>
                </c:pt>
                <c:pt idx="5">
                  <c:v>0</c:v>
                </c:pt>
              </c:numCache>
            </c:numRef>
          </c:xVal>
          <c:yVal>
            <c:numRef>
              <c:f>'NEP17'!$H$34:$H$39</c:f>
              <c:numCache>
                <c:formatCode>"$"#,##0</c:formatCode>
                <c:ptCount val="6"/>
                <c:pt idx="0">
                  <c:v>4291.3878668534644</c:v>
                </c:pt>
                <c:pt idx="1">
                  <c:v>4379.0317500169112</c:v>
                </c:pt>
                <c:pt idx="2">
                  <c:v>4527.332339246791</c:v>
                </c:pt>
                <c:pt idx="3">
                  <c:v>4529.7958891576845</c:v>
                </c:pt>
                <c:pt idx="4">
                  <c:v>4588.293552006965</c:v>
                </c:pt>
                <c:pt idx="5">
                  <c:v>4682</c:v>
                </c:pt>
              </c:numCache>
            </c:numRef>
          </c:yVal>
          <c:smooth val="0"/>
        </c:ser>
        <c:dLbls>
          <c:showLegendKey val="0"/>
          <c:showVal val="0"/>
          <c:showCatName val="0"/>
          <c:showSerName val="0"/>
          <c:showPercent val="0"/>
          <c:showBubbleSize val="0"/>
        </c:dLbls>
        <c:axId val="171362944"/>
        <c:axId val="171373312"/>
      </c:scatterChart>
      <c:scatterChart>
        <c:scatterStyle val="lineMarker"/>
        <c:varyColors val="0"/>
        <c:ser>
          <c:idx val="1"/>
          <c:order val="1"/>
          <c:tx>
            <c:v>Cost ratio (National)</c:v>
          </c:tx>
          <c:spPr>
            <a:ln w="25400" cap="rnd">
              <a:noFill/>
              <a:round/>
            </a:ln>
            <a:effectLst/>
          </c:spPr>
          <c:marker>
            <c:symbol val="none"/>
          </c:marker>
          <c:trendline>
            <c:spPr>
              <a:ln w="19050" cap="rnd">
                <a:noFill/>
                <a:prstDash val="sysDot"/>
              </a:ln>
              <a:effectLst/>
            </c:spPr>
            <c:trendlineType val="exp"/>
            <c:intercept val="1"/>
            <c:dispRSqr val="0"/>
            <c:dispEq val="1"/>
            <c:trendlineLbl>
              <c:layout>
                <c:manualLayout>
                  <c:x val="0.12241217115382209"/>
                  <c:y val="-0.49373180282666601"/>
                </c:manualLayout>
              </c:layout>
              <c:numFmt formatCode="General" sourceLinked="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rendlineLbl>
          </c:trendline>
          <c:xVal>
            <c:numRef>
              <c:f>'NEP17'!$D$34:$D$39</c:f>
              <c:numCache>
                <c:formatCode>General</c:formatCode>
                <c:ptCount val="6"/>
                <c:pt idx="0">
                  <c:v>-5</c:v>
                </c:pt>
                <c:pt idx="1">
                  <c:v>-4</c:v>
                </c:pt>
                <c:pt idx="2">
                  <c:v>-3</c:v>
                </c:pt>
                <c:pt idx="3">
                  <c:v>-2</c:v>
                </c:pt>
                <c:pt idx="4">
                  <c:v>-1</c:v>
                </c:pt>
                <c:pt idx="5">
                  <c:v>0</c:v>
                </c:pt>
              </c:numCache>
            </c:numRef>
          </c:xVal>
          <c:yVal>
            <c:numRef>
              <c:f>'NEP17'!$F$34:$F$39</c:f>
              <c:numCache>
                <c:formatCode>0.0000</c:formatCode>
                <c:ptCount val="6"/>
                <c:pt idx="0">
                  <c:v>0.91657152218143201</c:v>
                </c:pt>
                <c:pt idx="1">
                  <c:v>0.9352908479318478</c:v>
                </c:pt>
                <c:pt idx="2">
                  <c:v>0.96696547185963067</c:v>
                </c:pt>
                <c:pt idx="3">
                  <c:v>0.96749164655226061</c:v>
                </c:pt>
                <c:pt idx="4">
                  <c:v>0.97998580777594302</c:v>
                </c:pt>
                <c:pt idx="5">
                  <c:v>1</c:v>
                </c:pt>
              </c:numCache>
            </c:numRef>
          </c:yVal>
          <c:smooth val="0"/>
        </c:ser>
        <c:dLbls>
          <c:showLegendKey val="0"/>
          <c:showVal val="0"/>
          <c:showCatName val="0"/>
          <c:showSerName val="0"/>
          <c:showPercent val="0"/>
          <c:showBubbleSize val="0"/>
        </c:dLbls>
        <c:axId val="171254144"/>
        <c:axId val="171375232"/>
      </c:scatterChart>
      <c:valAx>
        <c:axId val="171362944"/>
        <c:scaling>
          <c:orientation val="minMax"/>
          <c:max val="3"/>
          <c:min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Financial year relative to 2014-15</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73312"/>
        <c:crosses val="autoZero"/>
        <c:crossBetween val="midCat"/>
      </c:valAx>
      <c:valAx>
        <c:axId val="171373312"/>
        <c:scaling>
          <c:orientation val="minMax"/>
          <c:max val="5000"/>
          <c:min val="4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Cost per weighted separation</a:t>
                </a:r>
              </a:p>
            </c:rich>
          </c:tx>
          <c:overlay val="0"/>
          <c:spPr>
            <a:noFill/>
            <a:ln>
              <a:noFill/>
            </a:ln>
            <a:effectLst/>
          </c:spPr>
        </c:title>
        <c:numFmt formatCode="&quot;$&quot;#,##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62944"/>
        <c:crossesAt val="-6"/>
        <c:crossBetween val="midCat"/>
        <c:majorUnit val="200"/>
        <c:minorUnit val="100"/>
      </c:valAx>
      <c:valAx>
        <c:axId val="171375232"/>
        <c:scaling>
          <c:orientation val="minMax"/>
        </c:scaling>
        <c:delete val="1"/>
        <c:axPos val="r"/>
        <c:numFmt formatCode="0.0000" sourceLinked="1"/>
        <c:majorTickMark val="out"/>
        <c:minorTickMark val="none"/>
        <c:tickLblPos val="nextTo"/>
        <c:crossAx val="171254144"/>
        <c:crosses val="max"/>
        <c:crossBetween val="midCat"/>
      </c:valAx>
      <c:valAx>
        <c:axId val="171254144"/>
        <c:scaling>
          <c:orientation val="minMax"/>
        </c:scaling>
        <c:delete val="1"/>
        <c:axPos val="b"/>
        <c:numFmt formatCode="General" sourceLinked="1"/>
        <c:majorTickMark val="out"/>
        <c:minorTickMark val="none"/>
        <c:tickLblPos val="nextTo"/>
        <c:crossAx val="17137523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AU" b="1"/>
              <a:t>Rates of Growth in Expenditure</a:t>
            </a:r>
          </a:p>
        </c:rich>
      </c:tx>
      <c:overlay val="0"/>
      <c:spPr>
        <a:noFill/>
        <a:ln>
          <a:noFill/>
        </a:ln>
        <a:effectLst/>
      </c:spPr>
    </c:title>
    <c:autoTitleDeleted val="0"/>
    <c:plotArea>
      <c:layout>
        <c:manualLayout>
          <c:layoutTarget val="inner"/>
          <c:xMode val="edge"/>
          <c:yMode val="edge"/>
          <c:x val="0.12805529708541907"/>
          <c:y val="9.4038765988624554E-2"/>
          <c:w val="0.84959968698767041"/>
          <c:h val="0.70355686089639236"/>
        </c:manualLayout>
      </c:layout>
      <c:scatterChart>
        <c:scatterStyle val="lineMarker"/>
        <c:varyColors val="0"/>
        <c:ser>
          <c:idx val="1"/>
          <c:order val="0"/>
          <c:tx>
            <c:v>Relative cost ratio</c:v>
          </c:tx>
          <c:spPr>
            <a:ln w="25400" cap="rnd">
              <a:noFill/>
              <a:round/>
            </a:ln>
            <a:effectLst/>
          </c:spPr>
          <c:marker>
            <c:symbol val="circle"/>
            <c:size val="6"/>
            <c:spPr>
              <a:solidFill>
                <a:schemeClr val="accent5">
                  <a:lumMod val="75000"/>
                </a:schemeClr>
              </a:solidFill>
              <a:ln w="9525">
                <a:solidFill>
                  <a:schemeClr val="accent5">
                    <a:lumMod val="75000"/>
                  </a:schemeClr>
                </a:solidFill>
              </a:ln>
              <a:effectLst/>
            </c:spPr>
          </c:marker>
          <c:trendline>
            <c:name>NEC17 Fit</c:name>
            <c:spPr>
              <a:ln w="12700" cap="rnd">
                <a:solidFill>
                  <a:schemeClr val="accent5">
                    <a:lumMod val="75000"/>
                  </a:schemeClr>
                </a:solidFill>
                <a:prstDash val="dash"/>
              </a:ln>
              <a:effectLst/>
            </c:spPr>
            <c:trendlineType val="exp"/>
            <c:forward val="3"/>
            <c:intercept val="1"/>
            <c:dispRSqr val="0"/>
            <c:dispEq val="1"/>
            <c:trendlineLbl>
              <c:layout>
                <c:manualLayout>
                  <c:x val="-0.10268293562541324"/>
                  <c:y val="0.1468138053815592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rendlineLbl>
          </c:trendline>
          <c:xVal>
            <c:numRef>
              <c:f>Indexation_fit!$N$13:$N$17</c:f>
              <c:numCache>
                <c:formatCode>General</c:formatCode>
                <c:ptCount val="5"/>
                <c:pt idx="0">
                  <c:v>-4</c:v>
                </c:pt>
                <c:pt idx="1">
                  <c:v>-3</c:v>
                </c:pt>
                <c:pt idx="2">
                  <c:v>-2</c:v>
                </c:pt>
                <c:pt idx="3">
                  <c:v>-1</c:v>
                </c:pt>
                <c:pt idx="4">
                  <c:v>0</c:v>
                </c:pt>
              </c:numCache>
            </c:numRef>
          </c:xVal>
          <c:yVal>
            <c:numRef>
              <c:f>Indexation_fit!$P$13:$P$17</c:f>
              <c:numCache>
                <c:formatCode>0.0000</c:formatCode>
                <c:ptCount val="5"/>
                <c:pt idx="0">
                  <c:v>0.83489033575577398</c:v>
                </c:pt>
                <c:pt idx="1">
                  <c:v>0.85759453974554545</c:v>
                </c:pt>
                <c:pt idx="2">
                  <c:v>0.92082231804196601</c:v>
                </c:pt>
                <c:pt idx="3">
                  <c:v>0.97667965768464071</c:v>
                </c:pt>
                <c:pt idx="4">
                  <c:v>1</c:v>
                </c:pt>
              </c:numCache>
            </c:numRef>
          </c:yVal>
          <c:smooth val="0"/>
        </c:ser>
        <c:dLbls>
          <c:showLegendKey val="0"/>
          <c:showVal val="0"/>
          <c:showCatName val="0"/>
          <c:showSerName val="0"/>
          <c:showPercent val="0"/>
          <c:showBubbleSize val="0"/>
        </c:dLbls>
        <c:axId val="171299968"/>
        <c:axId val="171301888"/>
        <c:extLst>
          <c:ext xmlns:c15="http://schemas.microsoft.com/office/drawing/2012/chart" uri="{02D57815-91ED-43cb-92C2-25804820EDAC}">
            <c15:filteredScatterSeries>
              <c15:ser>
                <c:idx val="0"/>
                <c:order val="0"/>
                <c:spPr>
                  <a:ln w="25400" cap="rnd">
                    <a:noFill/>
                    <a:round/>
                  </a:ln>
                  <a:effectLst/>
                </c:spPr>
                <c:marker>
                  <c:symbol val="circle"/>
                  <c:size val="6"/>
                  <c:spPr>
                    <a:solidFill>
                      <a:srgbClr val="FF0000"/>
                    </a:solidFill>
                    <a:ln w="9525">
                      <a:solidFill>
                        <a:srgbClr val="FF0000"/>
                      </a:solidFill>
                    </a:ln>
                    <a:effectLst/>
                  </c:spPr>
                </c:marker>
                <c:trendline>
                  <c:name>NEC16 Method Fit</c:name>
                  <c:spPr>
                    <a:ln w="12700" cap="rnd">
                      <a:solidFill>
                        <a:srgbClr val="FF0000"/>
                      </a:solidFill>
                      <a:prstDash val="dash"/>
                    </a:ln>
                    <a:effectLst/>
                  </c:spPr>
                  <c:trendlineType val="exp"/>
                  <c:forward val="3"/>
                  <c:intercept val="1.0623"/>
                  <c:dispRSqr val="0"/>
                  <c:dispEq val="0"/>
                </c:trendline>
                <c:xVal>
                  <c:numRef>
                    <c:extLst>
                      <c:ext uri="{02D57815-91ED-43cb-92C2-25804820EDAC}">
                        <c15:formulaRef>
                          <c15:sqref>Indexation_fit!$N$13:$N$17</c15:sqref>
                        </c15:formulaRef>
                      </c:ext>
                    </c:extLst>
                    <c:numCache>
                      <c:formatCode>General</c:formatCode>
                      <c:ptCount val="5"/>
                      <c:pt idx="0">
                        <c:v>-4</c:v>
                      </c:pt>
                      <c:pt idx="1">
                        <c:v>-3</c:v>
                      </c:pt>
                      <c:pt idx="2">
                        <c:v>-2</c:v>
                      </c:pt>
                      <c:pt idx="3">
                        <c:v>-1</c:v>
                      </c:pt>
                      <c:pt idx="4">
                        <c:v>0</c:v>
                      </c:pt>
                    </c:numCache>
                  </c:numRef>
                </c:xVal>
                <c:yVal>
                  <c:numRef>
                    <c:extLst>
                      <c:ext uri="{02D57815-91ED-43cb-92C2-25804820EDAC}">
                        <c15:formulaRef>
                          <c15:sqref>Indexation_fit!$S$13:$S$17</c15:sqref>
                        </c15:formulaRef>
                      </c:ext>
                    </c:extLst>
                    <c:numCache>
                      <c:formatCode>0.0000</c:formatCode>
                      <c:ptCount val="5"/>
                      <c:pt idx="0">
                        <c:v>0.83489033575577398</c:v>
                      </c:pt>
                      <c:pt idx="1">
                        <c:v>0.85759453974554545</c:v>
                      </c:pt>
                      <c:pt idx="2">
                        <c:v>0.92082231804196601</c:v>
                      </c:pt>
                      <c:pt idx="3">
                        <c:v>0.97667965768464071</c:v>
                      </c:pt>
                      <c:pt idx="4">
                        <c:v>1.062250948244202</c:v>
                      </c:pt>
                    </c:numCache>
                  </c:numRef>
                </c:yVal>
                <c:smooth val="0"/>
              </c15:ser>
            </c15:filteredScatterSeries>
          </c:ext>
        </c:extLst>
      </c:scatterChart>
      <c:valAx>
        <c:axId val="171299968"/>
        <c:scaling>
          <c:orientation val="minMax"/>
          <c:max val="3"/>
          <c:min val="-4"/>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AU" sz="1100" b="1"/>
                  <a:t>Year relative</a:t>
                </a:r>
                <a:r>
                  <a:rPr lang="en-AU" sz="1100" b="1" baseline="0"/>
                  <a:t> to 2014-15</a:t>
                </a:r>
                <a:endParaRPr lang="en-AU" sz="1100"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01888"/>
        <c:crosses val="autoZero"/>
        <c:crossBetween val="midCat"/>
      </c:valAx>
      <c:valAx>
        <c:axId val="171301888"/>
        <c:scaling>
          <c:orientation val="minMax"/>
          <c:max val="1.3"/>
          <c:min val="0.70000000000000007"/>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AU" sz="1100"/>
                  <a:t>Cost ratio relative to 2014-15</a:t>
                </a:r>
              </a:p>
            </c:rich>
          </c:tx>
          <c:layout>
            <c:manualLayout>
              <c:xMode val="edge"/>
              <c:yMode val="edge"/>
              <c:x val="1.9475516302917949E-2"/>
              <c:y val="0.24479227413748864"/>
            </c:manualLayout>
          </c:layout>
          <c:overlay val="0"/>
          <c:spPr>
            <a:noFill/>
            <a:ln>
              <a:noFill/>
            </a:ln>
            <a:effectLst/>
          </c:spPr>
        </c:title>
        <c:numFmt formatCode="0.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299968"/>
        <c:crossesAt val="-8"/>
        <c:crossBetween val="midCat"/>
      </c:valAx>
      <c:spPr>
        <a:noFill/>
        <a:ln>
          <a:noFill/>
        </a:ln>
        <a:effectLst/>
      </c:spPr>
    </c:plotArea>
    <c:legend>
      <c:legendPos val="b"/>
      <c:layout>
        <c:manualLayout>
          <c:xMode val="edge"/>
          <c:yMode val="edge"/>
          <c:x val="0.27579642388032027"/>
          <c:y val="0.91494233107134948"/>
          <c:w val="0.49239960339015315"/>
          <c:h val="6.4388968664405952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IHPA">
      <a:dk1>
        <a:sysClr val="windowText" lastClr="000000"/>
      </a:dk1>
      <a:lt1>
        <a:sysClr val="window" lastClr="FFFFFF"/>
      </a:lt1>
      <a:dk2>
        <a:srgbClr val="000000"/>
      </a:dk2>
      <a:lt2>
        <a:srgbClr val="F8F8F8"/>
      </a:lt2>
      <a:accent1>
        <a:srgbClr val="004200"/>
      </a:accent1>
      <a:accent2>
        <a:srgbClr val="008A00"/>
      </a:accent2>
      <a:accent3>
        <a:srgbClr val="2FB56A"/>
      </a:accent3>
      <a:accent4>
        <a:srgbClr val="A2D28A"/>
      </a:accent4>
      <a:accent5>
        <a:srgbClr val="808285"/>
      </a:accent5>
      <a:accent6>
        <a:srgbClr val="4D4D4D"/>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D6C12-E2CE-4923-8DEA-6EA46BF4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18686</Words>
  <Characters>106985</Characters>
  <Application>Microsoft Office Word</Application>
  <DocSecurity>4</DocSecurity>
  <Lines>891</Lines>
  <Paragraphs>250</Paragraphs>
  <ScaleCrop>false</ScaleCrop>
  <HeadingPairs>
    <vt:vector size="2" baseType="variant">
      <vt:variant>
        <vt:lpstr>Title</vt:lpstr>
      </vt:variant>
      <vt:variant>
        <vt:i4>1</vt:i4>
      </vt:variant>
    </vt:vector>
  </HeadingPairs>
  <TitlesOfParts>
    <vt:vector size="1" baseType="lpstr">
      <vt:lpstr>TECHNICAL SPECIFICATIONS _x000d_
2017-18_x000d_
National Pricing Model _x000d_
March 2017</vt:lpstr>
    </vt:vector>
  </TitlesOfParts>
  <Company>Dept Health And Ageing</Company>
  <LinksUpToDate>false</LinksUpToDate>
  <CharactersWithSpaces>125421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SPECIFICATIONS _x000d_
2017-18_x000d_
National Pricing Model _x000d_
March 2017</dc:title>
  <dc:creator>WILLIAMS, Alison</dc:creator>
  <cp:lastModifiedBy>SPIELMAN, Ingrid</cp:lastModifiedBy>
  <cp:revision>2</cp:revision>
  <cp:lastPrinted>2017-03-03T01:12:00Z</cp:lastPrinted>
  <dcterms:created xsi:type="dcterms:W3CDTF">2017-03-06T01:17:00Z</dcterms:created>
  <dcterms:modified xsi:type="dcterms:W3CDTF">2017-03-06T01:17:00Z</dcterms:modified>
</cp:coreProperties>
</file>