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DADA" w14:textId="10EC0061" w:rsidR="00110745" w:rsidRPr="00E4527E" w:rsidRDefault="00B36652" w:rsidP="00AB099F">
      <w:pPr>
        <w:pStyle w:val="Organisationname"/>
      </w:pPr>
      <w:bookmarkStart w:id="0" w:name="_GoBack"/>
      <w:bookmarkEnd w:id="0"/>
      <w:r w:rsidRPr="00E4527E">
        <w:drawing>
          <wp:anchor distT="0" distB="0" distL="114300" distR="114300" simplePos="0" relativeHeight="251656192" behindDoc="1" locked="0" layoutInCell="0" allowOverlap="1" wp14:anchorId="6DB26363" wp14:editId="2C8C063C">
            <wp:simplePos x="0" y="0"/>
            <wp:positionH relativeFrom="page">
              <wp:align>right</wp:align>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F7B6F" w:rsidRPr="00E4527E">
        <w:t>Independent Hospital Pricing Authority</w:t>
      </w:r>
      <w:r w:rsidR="00110745" w:rsidRPr="00E4527E">
        <w:t xml:space="preserve"> </w:t>
      </w:r>
    </w:p>
    <w:p w14:paraId="2E19F7C9" w14:textId="51E6629B" w:rsidR="003D7E16" w:rsidRPr="00E4527E" w:rsidRDefault="002C5144" w:rsidP="002C5144">
      <w:pPr>
        <w:rPr>
          <w:b/>
          <w:color w:val="FFFFFF" w:themeColor="background1"/>
          <w:sz w:val="84"/>
          <w:szCs w:val="84"/>
        </w:rPr>
      </w:pPr>
      <w:r w:rsidRPr="00E4527E">
        <w:rPr>
          <w:b/>
          <w:color w:val="FFFFFF" w:themeColor="background1"/>
          <w:sz w:val="84"/>
          <w:szCs w:val="84"/>
        </w:rPr>
        <w:t>National Hospital Cost Data Collection</w:t>
      </w:r>
      <w:r w:rsidR="003D7E16" w:rsidRPr="00E4527E">
        <w:rPr>
          <w:b/>
          <w:color w:val="FFFFFF" w:themeColor="background1"/>
          <w:sz w:val="84"/>
          <w:szCs w:val="84"/>
        </w:rPr>
        <w:t>:</w:t>
      </w:r>
      <w:r w:rsidR="003C54B6" w:rsidRPr="00E4527E">
        <w:rPr>
          <w:b/>
          <w:color w:val="FFFFFF" w:themeColor="background1"/>
          <w:sz w:val="84"/>
          <w:szCs w:val="84"/>
        </w:rPr>
        <w:t xml:space="preserve"> </w:t>
      </w:r>
    </w:p>
    <w:p w14:paraId="039AB06C" w14:textId="22C9A1F7" w:rsidR="00E7439E" w:rsidRPr="00E4527E" w:rsidRDefault="003D7E16" w:rsidP="002C5144">
      <w:pPr>
        <w:rPr>
          <w:b/>
          <w:color w:val="FFFFFF" w:themeColor="background1"/>
          <w:sz w:val="84"/>
          <w:szCs w:val="84"/>
        </w:rPr>
      </w:pPr>
      <w:r w:rsidRPr="00E4527E">
        <w:rPr>
          <w:b/>
          <w:color w:val="FFFFFF" w:themeColor="background1"/>
          <w:sz w:val="84"/>
          <w:szCs w:val="84"/>
        </w:rPr>
        <w:t xml:space="preserve">Private Hospital Report </w:t>
      </w:r>
    </w:p>
    <w:p w14:paraId="7A3FBC11" w14:textId="77777777" w:rsidR="002C5144" w:rsidRPr="00E4527E" w:rsidRDefault="002C5144" w:rsidP="00651BAF">
      <w:pPr>
        <w:pStyle w:val="Versionanddate"/>
        <w:spacing w:before="0" w:after="0"/>
        <w:rPr>
          <w:color w:val="FFFFFF" w:themeColor="background1"/>
          <w:sz w:val="40"/>
        </w:rPr>
      </w:pPr>
    </w:p>
    <w:p w14:paraId="100CB5DD" w14:textId="25ECCDF9" w:rsidR="00110745" w:rsidRDefault="003D7E16" w:rsidP="00651BAF">
      <w:pPr>
        <w:pStyle w:val="Versionanddate"/>
        <w:spacing w:before="0" w:after="0"/>
        <w:rPr>
          <w:color w:val="FFFFFF" w:themeColor="background1"/>
          <w:sz w:val="40"/>
        </w:rPr>
      </w:pPr>
      <w:r w:rsidRPr="00E4527E">
        <w:rPr>
          <w:color w:val="FFFFFF" w:themeColor="background1"/>
          <w:sz w:val="40"/>
        </w:rPr>
        <w:t>Round 2</w:t>
      </w:r>
      <w:r w:rsidR="00E4527E" w:rsidRPr="00E4527E">
        <w:rPr>
          <w:color w:val="FFFFFF" w:themeColor="background1"/>
          <w:sz w:val="40"/>
        </w:rPr>
        <w:t>1</w:t>
      </w:r>
      <w:r w:rsidRPr="00E4527E">
        <w:rPr>
          <w:color w:val="FFFFFF" w:themeColor="background1"/>
          <w:sz w:val="40"/>
        </w:rPr>
        <w:t xml:space="preserve"> (Financial year 201</w:t>
      </w:r>
      <w:r w:rsidR="00E4527E" w:rsidRPr="00E4527E">
        <w:rPr>
          <w:color w:val="FFFFFF" w:themeColor="background1"/>
          <w:sz w:val="40"/>
        </w:rPr>
        <w:t>6</w:t>
      </w:r>
      <w:r w:rsidRPr="00E4527E">
        <w:rPr>
          <w:color w:val="FFFFFF" w:themeColor="background1"/>
          <w:sz w:val="40"/>
        </w:rPr>
        <w:t>-1</w:t>
      </w:r>
      <w:r w:rsidR="00E4527E" w:rsidRPr="00E4527E">
        <w:rPr>
          <w:color w:val="FFFFFF" w:themeColor="background1"/>
          <w:sz w:val="40"/>
        </w:rPr>
        <w:t>7</w:t>
      </w:r>
      <w:r w:rsidRPr="00E4527E">
        <w:rPr>
          <w:color w:val="FFFFFF" w:themeColor="background1"/>
          <w:sz w:val="40"/>
        </w:rPr>
        <w:t>)</w:t>
      </w:r>
    </w:p>
    <w:p w14:paraId="2FB9559D" w14:textId="2BF760AE" w:rsidR="005713A6" w:rsidRPr="0009001E" w:rsidRDefault="008733C5" w:rsidP="00A9446D">
      <w:pPr>
        <w:pStyle w:val="Versionanddate"/>
        <w:rPr>
          <w:i/>
          <w:color w:val="FFFFFF" w:themeColor="background1"/>
        </w:rPr>
        <w:sectPr w:rsidR="005713A6" w:rsidRPr="0009001E" w:rsidSect="00384647">
          <w:headerReference w:type="default" r:id="rId10"/>
          <w:footerReference w:type="default" r:id="rId11"/>
          <w:pgSz w:w="11907" w:h="16840" w:code="9"/>
          <w:pgMar w:top="1843" w:right="1440" w:bottom="1021" w:left="1021" w:header="567" w:footer="567" w:gutter="0"/>
          <w:cols w:space="720"/>
        </w:sectPr>
      </w:pPr>
      <w:r w:rsidRPr="008733C5">
        <w:rPr>
          <w:i/>
        </w:rPr>
        <w:t>February 2019</w:t>
      </w:r>
      <w:r>
        <w:rPr>
          <w:i/>
        </w:rPr>
        <w:t xml:space="preserve"> </w:t>
      </w:r>
    </w:p>
    <w:p w14:paraId="4B1AE04C" w14:textId="6CB77F3A" w:rsidR="00FD0ACC" w:rsidRPr="00E4527E" w:rsidRDefault="00FD0ACC" w:rsidP="005713A6">
      <w:pPr>
        <w:pStyle w:val="Report"/>
      </w:pPr>
      <w:r w:rsidRPr="00E4527E">
        <w:lastRenderedPageBreak/>
        <w:t>Nationa</w:t>
      </w:r>
      <w:r w:rsidR="00F657FC" w:rsidRPr="00E4527E">
        <w:t>l Hospital Cost Data Collection</w:t>
      </w:r>
      <w:r w:rsidR="003D7E16" w:rsidRPr="00E4527E">
        <w:t>,</w:t>
      </w:r>
      <w:r w:rsidR="00F657FC" w:rsidRPr="00E4527E">
        <w:t xml:space="preserve"> Private </w:t>
      </w:r>
      <w:r w:rsidR="003D7E16" w:rsidRPr="00E4527E">
        <w:t>Hospital Report,</w:t>
      </w:r>
      <w:r w:rsidR="00E4527E" w:rsidRPr="00E4527E">
        <w:t xml:space="preserve"> Round 21</w:t>
      </w:r>
      <w:r w:rsidR="008C2CB1">
        <w:t xml:space="preserve">         </w:t>
      </w:r>
      <w:r w:rsidR="003D7E16" w:rsidRPr="00E4527E">
        <w:t>(Financial year 201</w:t>
      </w:r>
      <w:r w:rsidR="00E4527E" w:rsidRPr="00E4527E">
        <w:t>6</w:t>
      </w:r>
      <w:r w:rsidR="003D7E16" w:rsidRPr="00E4527E">
        <w:t>-1</w:t>
      </w:r>
      <w:r w:rsidR="00E4527E" w:rsidRPr="00E4527E">
        <w:t>7</w:t>
      </w:r>
      <w:r w:rsidR="003D7E16" w:rsidRPr="00E4527E">
        <w:t xml:space="preserve">) </w:t>
      </w:r>
    </w:p>
    <w:p w14:paraId="6B99A94B" w14:textId="3546854F" w:rsidR="002A4C1B" w:rsidRPr="00E4527E" w:rsidRDefault="002A4C1B" w:rsidP="002A4C1B">
      <w:r w:rsidRPr="00E4527E">
        <w:t>© Independent Hospital Pricing Authority 201</w:t>
      </w:r>
      <w:r w:rsidR="00E4527E" w:rsidRPr="00E4527E">
        <w:t>9</w:t>
      </w:r>
    </w:p>
    <w:p w14:paraId="01009FAE" w14:textId="0049D6ED" w:rsidR="002A4C1B" w:rsidRPr="00E4527E" w:rsidRDefault="002A4C1B" w:rsidP="002A4C1B">
      <w:r w:rsidRPr="00E4527E">
        <w:t xml:space="preserve">This publication is available for your use under a </w:t>
      </w:r>
      <w:hyperlink r:id="rId12" w:history="1">
        <w:r w:rsidRPr="00E4527E">
          <w:rPr>
            <w:rStyle w:val="Hyperlink"/>
          </w:rPr>
          <w:t>Creative Commons BY Attribution 3.0 Australia</w:t>
        </w:r>
      </w:hyperlink>
      <w:r w:rsidRPr="00E4527E">
        <w:t xml:space="preserve"> licence, with the exception of the Independent Hospital Pricing Authority logo, photographs, images, signatures and where otherwise stated. The full licence terms are available from </w:t>
      </w:r>
      <w:hyperlink r:id="rId13" w:history="1">
        <w:r w:rsidRPr="00E4527E">
          <w:rPr>
            <w:rStyle w:val="Hyperlink"/>
          </w:rPr>
          <w:t>the Creative Commons website</w:t>
        </w:r>
      </w:hyperlink>
      <w:r w:rsidRPr="00E4527E">
        <w:t>.</w:t>
      </w:r>
    </w:p>
    <w:p w14:paraId="0FFA8C63" w14:textId="77777777" w:rsidR="002A4C1B" w:rsidRPr="00E4527E" w:rsidRDefault="002A4C1B" w:rsidP="002A4C1B">
      <w:r w:rsidRPr="00E4527E">
        <w:rPr>
          <w:rFonts w:cs="Calibri"/>
          <w:noProof/>
          <w:sz w:val="24"/>
        </w:rPr>
        <w:drawing>
          <wp:inline distT="0" distB="0" distL="0" distR="0" wp14:anchorId="4E521F9E" wp14:editId="4D474190">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9E871F5" w14:textId="2BC70071" w:rsidR="002A4C1B" w:rsidRPr="00E4527E" w:rsidRDefault="002A4C1B" w:rsidP="002A4C1B">
      <w:r w:rsidRPr="00E4527E">
        <w:t xml:space="preserve">Use of Independent Hospital Pricing Authority material under a </w:t>
      </w:r>
      <w:hyperlink r:id="rId15" w:history="1">
        <w:r w:rsidRPr="00E4527E">
          <w:rPr>
            <w:rStyle w:val="Hyperlink"/>
          </w:rPr>
          <w:t>Creative Commons BY Attribution 3.0 Australia</w:t>
        </w:r>
      </w:hyperlink>
      <w:r w:rsidRPr="00E4527E">
        <w:t xml:space="preserve"> licence requires you to attribute the work (but not in any way that suggests that the Independent Hospital Pricing Authority endorses you or your use of the work).</w:t>
      </w:r>
    </w:p>
    <w:p w14:paraId="056887A1" w14:textId="77777777" w:rsidR="002A4C1B" w:rsidRPr="00E4527E" w:rsidRDefault="002A4C1B" w:rsidP="002A4C1B">
      <w:pPr>
        <w:rPr>
          <w:i/>
        </w:rPr>
      </w:pPr>
      <w:r w:rsidRPr="00E4527E">
        <w:rPr>
          <w:i/>
        </w:rPr>
        <w:t>Independent Hospital Pricing Authority material used 'as supplied'.</w:t>
      </w:r>
    </w:p>
    <w:p w14:paraId="1627EF7D" w14:textId="77777777" w:rsidR="002A4C1B" w:rsidRPr="00E4527E" w:rsidRDefault="002A4C1B" w:rsidP="002A4C1B">
      <w:r w:rsidRPr="00E4527E">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96EC3AB" w14:textId="77777777" w:rsidR="00A9446D" w:rsidRPr="00E4527E" w:rsidRDefault="002A4C1B" w:rsidP="008A23FE">
      <w:pPr>
        <w:pStyle w:val="Intro"/>
        <w:rPr>
          <w:highlight w:val="yellow"/>
        </w:rPr>
      </w:pPr>
      <w:r w:rsidRPr="00E4527E">
        <w:t>Source: The Independent Hospital Pricing Authority</w:t>
      </w:r>
      <w:r w:rsidRPr="00E4527E">
        <w:rPr>
          <w:highlight w:val="yellow"/>
        </w:rPr>
        <w:br w:type="page"/>
      </w:r>
      <w:bookmarkStart w:id="1" w:name="_Toc435611202"/>
      <w:bookmarkStart w:id="2" w:name="_Toc433975506"/>
      <w:bookmarkStart w:id="3" w:name="_Toc430010941"/>
      <w:bookmarkStart w:id="4" w:name="_Toc401133806"/>
      <w:bookmarkStart w:id="5" w:name="_Toc401133772"/>
      <w:bookmarkStart w:id="6" w:name="_Toc353945517"/>
    </w:p>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rFonts w:ascii="Arial" w:eastAsia="Times New Roman" w:hAnsi="Arial" w:cs="Times New Roman"/>
          <w:b w:val="0"/>
          <w:bCs w:val="0"/>
          <w:sz w:val="22"/>
          <w:szCs w:val="24"/>
          <w:highlight w:val="yellow"/>
        </w:rPr>
        <w:id w:val="-1559084749"/>
        <w:docPartObj>
          <w:docPartGallery w:val="Table of Contents"/>
          <w:docPartUnique/>
        </w:docPartObj>
      </w:sdtPr>
      <w:sdtEndPr>
        <w:rPr>
          <w:rFonts w:cs="Arial"/>
          <w:noProof/>
          <w:szCs w:val="20"/>
        </w:rPr>
      </w:sdtEndPr>
      <w:sdtContent>
        <w:p w14:paraId="0A0894F2" w14:textId="2D55D998" w:rsidR="002315CF" w:rsidRPr="00F467C8" w:rsidRDefault="002315CF" w:rsidP="00AD580E">
          <w:pPr>
            <w:pStyle w:val="TOCHeading"/>
            <w:rPr>
              <w:rFonts w:eastAsia="Times New Roman"/>
            </w:rPr>
          </w:pPr>
          <w:r w:rsidRPr="00F467C8">
            <w:rPr>
              <w:rFonts w:eastAsia="Times New Roman"/>
            </w:rPr>
            <w:t>Contents</w:t>
          </w:r>
        </w:p>
        <w:p w14:paraId="3BA4BAC4" w14:textId="07CA434E" w:rsidR="00755D99" w:rsidRDefault="004A249A">
          <w:pPr>
            <w:pStyle w:val="TOC1"/>
            <w:rPr>
              <w:rFonts w:asciiTheme="minorHAnsi" w:eastAsiaTheme="minorEastAsia" w:hAnsiTheme="minorHAnsi" w:cstheme="minorBidi"/>
              <w:szCs w:val="22"/>
              <w:lang w:val="en-US" w:eastAsia="en-US"/>
            </w:rPr>
          </w:pPr>
          <w:r w:rsidRPr="00E4527E">
            <w:rPr>
              <w:b/>
              <w:highlight w:val="yellow"/>
            </w:rPr>
            <w:fldChar w:fldCharType="begin"/>
          </w:r>
          <w:r w:rsidRPr="00E4527E">
            <w:rPr>
              <w:b/>
              <w:highlight w:val="yellow"/>
            </w:rPr>
            <w:instrText xml:space="preserve"> TOC \o "1-1" \h \z \u </w:instrText>
          </w:r>
          <w:r w:rsidRPr="00E4527E">
            <w:rPr>
              <w:b/>
              <w:highlight w:val="yellow"/>
            </w:rPr>
            <w:fldChar w:fldCharType="separate"/>
          </w:r>
          <w:hyperlink w:anchor="_Toc161970" w:history="1">
            <w:r w:rsidR="00755D99" w:rsidRPr="0030646F">
              <w:rPr>
                <w:rStyle w:val="Hyperlink"/>
              </w:rPr>
              <w:t>Tables and figures</w:t>
            </w:r>
            <w:r w:rsidR="00755D99">
              <w:rPr>
                <w:webHidden/>
              </w:rPr>
              <w:tab/>
            </w:r>
            <w:r w:rsidR="00755D99">
              <w:rPr>
                <w:webHidden/>
              </w:rPr>
              <w:fldChar w:fldCharType="begin"/>
            </w:r>
            <w:r w:rsidR="00755D99">
              <w:rPr>
                <w:webHidden/>
              </w:rPr>
              <w:instrText xml:space="preserve"> PAGEREF _Toc161970 \h </w:instrText>
            </w:r>
            <w:r w:rsidR="00755D99">
              <w:rPr>
                <w:webHidden/>
              </w:rPr>
            </w:r>
            <w:r w:rsidR="00755D99">
              <w:rPr>
                <w:webHidden/>
              </w:rPr>
              <w:fldChar w:fldCharType="separate"/>
            </w:r>
            <w:r w:rsidR="00884D25">
              <w:rPr>
                <w:webHidden/>
              </w:rPr>
              <w:t>3</w:t>
            </w:r>
            <w:r w:rsidR="00755D99">
              <w:rPr>
                <w:webHidden/>
              </w:rPr>
              <w:fldChar w:fldCharType="end"/>
            </w:r>
          </w:hyperlink>
        </w:p>
        <w:p w14:paraId="399DBD8E" w14:textId="6462D355" w:rsidR="00755D99" w:rsidRDefault="001E1929">
          <w:pPr>
            <w:pStyle w:val="TOC1"/>
            <w:rPr>
              <w:rFonts w:asciiTheme="minorHAnsi" w:eastAsiaTheme="minorEastAsia" w:hAnsiTheme="minorHAnsi" w:cstheme="minorBidi"/>
              <w:szCs w:val="22"/>
              <w:lang w:val="en-US" w:eastAsia="en-US"/>
            </w:rPr>
          </w:pPr>
          <w:hyperlink w:anchor="_Toc161971" w:history="1">
            <w:r w:rsidR="00755D99" w:rsidRPr="0030646F">
              <w:rPr>
                <w:rStyle w:val="Hyperlink"/>
              </w:rPr>
              <w:t>Acronyms/Abbreviations</w:t>
            </w:r>
            <w:r w:rsidR="00755D99">
              <w:rPr>
                <w:webHidden/>
              </w:rPr>
              <w:tab/>
            </w:r>
            <w:r w:rsidR="00755D99">
              <w:rPr>
                <w:webHidden/>
              </w:rPr>
              <w:fldChar w:fldCharType="begin"/>
            </w:r>
            <w:r w:rsidR="00755D99">
              <w:rPr>
                <w:webHidden/>
              </w:rPr>
              <w:instrText xml:space="preserve"> PAGEREF _Toc161971 \h </w:instrText>
            </w:r>
            <w:r w:rsidR="00755D99">
              <w:rPr>
                <w:webHidden/>
              </w:rPr>
            </w:r>
            <w:r w:rsidR="00755D99">
              <w:rPr>
                <w:webHidden/>
              </w:rPr>
              <w:fldChar w:fldCharType="separate"/>
            </w:r>
            <w:r w:rsidR="00884D25">
              <w:rPr>
                <w:webHidden/>
              </w:rPr>
              <w:t>4</w:t>
            </w:r>
            <w:r w:rsidR="00755D99">
              <w:rPr>
                <w:webHidden/>
              </w:rPr>
              <w:fldChar w:fldCharType="end"/>
            </w:r>
          </w:hyperlink>
        </w:p>
        <w:p w14:paraId="737DCDF2" w14:textId="7AC64188" w:rsidR="00755D99" w:rsidRDefault="001E1929">
          <w:pPr>
            <w:pStyle w:val="TOC1"/>
            <w:rPr>
              <w:rFonts w:asciiTheme="minorHAnsi" w:eastAsiaTheme="minorEastAsia" w:hAnsiTheme="minorHAnsi" w:cstheme="minorBidi"/>
              <w:szCs w:val="22"/>
              <w:lang w:val="en-US" w:eastAsia="en-US"/>
            </w:rPr>
          </w:pPr>
          <w:hyperlink w:anchor="_Toc161972" w:history="1">
            <w:r w:rsidR="00755D99" w:rsidRPr="0030646F">
              <w:rPr>
                <w:rStyle w:val="Hyperlink"/>
              </w:rPr>
              <w:t>Disclaimer</w:t>
            </w:r>
            <w:r w:rsidR="00755D99">
              <w:rPr>
                <w:webHidden/>
              </w:rPr>
              <w:tab/>
            </w:r>
            <w:r w:rsidR="00755D99">
              <w:rPr>
                <w:webHidden/>
              </w:rPr>
              <w:fldChar w:fldCharType="begin"/>
            </w:r>
            <w:r w:rsidR="00755D99">
              <w:rPr>
                <w:webHidden/>
              </w:rPr>
              <w:instrText xml:space="preserve"> PAGEREF _Toc161972 \h </w:instrText>
            </w:r>
            <w:r w:rsidR="00755D99">
              <w:rPr>
                <w:webHidden/>
              </w:rPr>
            </w:r>
            <w:r w:rsidR="00755D99">
              <w:rPr>
                <w:webHidden/>
              </w:rPr>
              <w:fldChar w:fldCharType="separate"/>
            </w:r>
            <w:r w:rsidR="00884D25">
              <w:rPr>
                <w:webHidden/>
              </w:rPr>
              <w:t>5</w:t>
            </w:r>
            <w:r w:rsidR="00755D99">
              <w:rPr>
                <w:webHidden/>
              </w:rPr>
              <w:fldChar w:fldCharType="end"/>
            </w:r>
          </w:hyperlink>
        </w:p>
        <w:p w14:paraId="3C52A331" w14:textId="3EEA02B2" w:rsidR="00755D99" w:rsidRDefault="001E1929">
          <w:pPr>
            <w:pStyle w:val="TOC1"/>
            <w:tabs>
              <w:tab w:val="left" w:pos="440"/>
            </w:tabs>
            <w:rPr>
              <w:rFonts w:asciiTheme="minorHAnsi" w:eastAsiaTheme="minorEastAsia" w:hAnsiTheme="minorHAnsi" w:cstheme="minorBidi"/>
              <w:szCs w:val="22"/>
              <w:lang w:val="en-US" w:eastAsia="en-US"/>
            </w:rPr>
          </w:pPr>
          <w:hyperlink w:anchor="_Toc161973" w:history="1">
            <w:r w:rsidR="00755D99" w:rsidRPr="0030646F">
              <w:rPr>
                <w:rStyle w:val="Hyperlink"/>
                <w14:scene3d>
                  <w14:camera w14:prst="orthographicFront"/>
                  <w14:lightRig w14:rig="threePt" w14:dir="t">
                    <w14:rot w14:lat="0" w14:lon="0" w14:rev="0"/>
                  </w14:lightRig>
                </w14:scene3d>
              </w:rPr>
              <w:t>1.</w:t>
            </w:r>
            <w:r w:rsidR="00755D99">
              <w:rPr>
                <w:rFonts w:asciiTheme="minorHAnsi" w:eastAsiaTheme="minorEastAsia" w:hAnsiTheme="minorHAnsi" w:cstheme="minorBidi"/>
                <w:szCs w:val="22"/>
                <w:lang w:val="en-US" w:eastAsia="en-US"/>
              </w:rPr>
              <w:tab/>
            </w:r>
            <w:r w:rsidR="00755D99" w:rsidRPr="0030646F">
              <w:rPr>
                <w:rStyle w:val="Hyperlink"/>
              </w:rPr>
              <w:t>Executive summary</w:t>
            </w:r>
            <w:r w:rsidR="00755D99">
              <w:rPr>
                <w:webHidden/>
              </w:rPr>
              <w:tab/>
            </w:r>
            <w:r w:rsidR="00755D99">
              <w:rPr>
                <w:webHidden/>
              </w:rPr>
              <w:fldChar w:fldCharType="begin"/>
            </w:r>
            <w:r w:rsidR="00755D99">
              <w:rPr>
                <w:webHidden/>
              </w:rPr>
              <w:instrText xml:space="preserve"> PAGEREF _Toc161973 \h </w:instrText>
            </w:r>
            <w:r w:rsidR="00755D99">
              <w:rPr>
                <w:webHidden/>
              </w:rPr>
            </w:r>
            <w:r w:rsidR="00755D99">
              <w:rPr>
                <w:webHidden/>
              </w:rPr>
              <w:fldChar w:fldCharType="separate"/>
            </w:r>
            <w:r w:rsidR="00884D25">
              <w:rPr>
                <w:webHidden/>
              </w:rPr>
              <w:t>6</w:t>
            </w:r>
            <w:r w:rsidR="00755D99">
              <w:rPr>
                <w:webHidden/>
              </w:rPr>
              <w:fldChar w:fldCharType="end"/>
            </w:r>
          </w:hyperlink>
        </w:p>
        <w:p w14:paraId="494B6664" w14:textId="4386726D" w:rsidR="00755D99" w:rsidRDefault="001E1929">
          <w:pPr>
            <w:pStyle w:val="TOC1"/>
            <w:tabs>
              <w:tab w:val="left" w:pos="440"/>
            </w:tabs>
            <w:rPr>
              <w:rFonts w:asciiTheme="minorHAnsi" w:eastAsiaTheme="minorEastAsia" w:hAnsiTheme="minorHAnsi" w:cstheme="minorBidi"/>
              <w:szCs w:val="22"/>
              <w:lang w:val="en-US" w:eastAsia="en-US"/>
            </w:rPr>
          </w:pPr>
          <w:hyperlink w:anchor="_Toc161974" w:history="1">
            <w:r w:rsidR="00755D99" w:rsidRPr="0030646F">
              <w:rPr>
                <w:rStyle w:val="Hyperlink"/>
                <w14:scene3d>
                  <w14:camera w14:prst="orthographicFront"/>
                  <w14:lightRig w14:rig="threePt" w14:dir="t">
                    <w14:rot w14:lat="0" w14:lon="0" w14:rev="0"/>
                  </w14:lightRig>
                </w14:scene3d>
              </w:rPr>
              <w:t>2.</w:t>
            </w:r>
            <w:r w:rsidR="00755D99">
              <w:rPr>
                <w:rFonts w:asciiTheme="minorHAnsi" w:eastAsiaTheme="minorEastAsia" w:hAnsiTheme="minorHAnsi" w:cstheme="minorBidi"/>
                <w:szCs w:val="22"/>
                <w:lang w:val="en-US" w:eastAsia="en-US"/>
              </w:rPr>
              <w:tab/>
            </w:r>
            <w:r w:rsidR="00755D99" w:rsidRPr="0030646F">
              <w:rPr>
                <w:rStyle w:val="Hyperlink"/>
              </w:rPr>
              <w:t>Introduction</w:t>
            </w:r>
            <w:r w:rsidR="00755D99">
              <w:rPr>
                <w:webHidden/>
              </w:rPr>
              <w:tab/>
            </w:r>
            <w:r w:rsidR="00755D99">
              <w:rPr>
                <w:webHidden/>
              </w:rPr>
              <w:fldChar w:fldCharType="begin"/>
            </w:r>
            <w:r w:rsidR="00755D99">
              <w:rPr>
                <w:webHidden/>
              </w:rPr>
              <w:instrText xml:space="preserve"> PAGEREF _Toc161974 \h </w:instrText>
            </w:r>
            <w:r w:rsidR="00755D99">
              <w:rPr>
                <w:webHidden/>
              </w:rPr>
            </w:r>
            <w:r w:rsidR="00755D99">
              <w:rPr>
                <w:webHidden/>
              </w:rPr>
              <w:fldChar w:fldCharType="separate"/>
            </w:r>
            <w:r w:rsidR="00884D25">
              <w:rPr>
                <w:webHidden/>
              </w:rPr>
              <w:t>8</w:t>
            </w:r>
            <w:r w:rsidR="00755D99">
              <w:rPr>
                <w:webHidden/>
              </w:rPr>
              <w:fldChar w:fldCharType="end"/>
            </w:r>
          </w:hyperlink>
        </w:p>
        <w:p w14:paraId="6CA3F121" w14:textId="429BD07F" w:rsidR="00755D99" w:rsidRDefault="001E1929">
          <w:pPr>
            <w:pStyle w:val="TOC1"/>
            <w:tabs>
              <w:tab w:val="left" w:pos="440"/>
            </w:tabs>
            <w:rPr>
              <w:rFonts w:asciiTheme="minorHAnsi" w:eastAsiaTheme="minorEastAsia" w:hAnsiTheme="minorHAnsi" w:cstheme="minorBidi"/>
              <w:szCs w:val="22"/>
              <w:lang w:val="en-US" w:eastAsia="en-US"/>
            </w:rPr>
          </w:pPr>
          <w:hyperlink w:anchor="_Toc161975" w:history="1">
            <w:r w:rsidR="00755D99" w:rsidRPr="0030646F">
              <w:rPr>
                <w:rStyle w:val="Hyperlink"/>
                <w14:scene3d>
                  <w14:camera w14:prst="orthographicFront"/>
                  <w14:lightRig w14:rig="threePt" w14:dir="t">
                    <w14:rot w14:lat="0" w14:lon="0" w14:rev="0"/>
                  </w14:lightRig>
                </w14:scene3d>
              </w:rPr>
              <w:t>3.</w:t>
            </w:r>
            <w:r w:rsidR="00755D99">
              <w:rPr>
                <w:rFonts w:asciiTheme="minorHAnsi" w:eastAsiaTheme="minorEastAsia" w:hAnsiTheme="minorHAnsi" w:cstheme="minorBidi"/>
                <w:szCs w:val="22"/>
                <w:lang w:val="en-US" w:eastAsia="en-US"/>
              </w:rPr>
              <w:tab/>
            </w:r>
            <w:r w:rsidR="00755D99" w:rsidRPr="0030646F">
              <w:rPr>
                <w:rStyle w:val="Hyperlink"/>
              </w:rPr>
              <w:t>Scope and methodology</w:t>
            </w:r>
            <w:r w:rsidR="00755D99">
              <w:rPr>
                <w:webHidden/>
              </w:rPr>
              <w:tab/>
            </w:r>
            <w:r w:rsidR="00755D99">
              <w:rPr>
                <w:webHidden/>
              </w:rPr>
              <w:fldChar w:fldCharType="begin"/>
            </w:r>
            <w:r w:rsidR="00755D99">
              <w:rPr>
                <w:webHidden/>
              </w:rPr>
              <w:instrText xml:space="preserve"> PAGEREF _Toc161975 \h </w:instrText>
            </w:r>
            <w:r w:rsidR="00755D99">
              <w:rPr>
                <w:webHidden/>
              </w:rPr>
            </w:r>
            <w:r w:rsidR="00755D99">
              <w:rPr>
                <w:webHidden/>
              </w:rPr>
              <w:fldChar w:fldCharType="separate"/>
            </w:r>
            <w:r w:rsidR="00884D25">
              <w:rPr>
                <w:webHidden/>
              </w:rPr>
              <w:t>11</w:t>
            </w:r>
            <w:r w:rsidR="00755D99">
              <w:rPr>
                <w:webHidden/>
              </w:rPr>
              <w:fldChar w:fldCharType="end"/>
            </w:r>
          </w:hyperlink>
        </w:p>
        <w:p w14:paraId="686660EB" w14:textId="565A907D" w:rsidR="00755D99" w:rsidRDefault="001E1929">
          <w:pPr>
            <w:pStyle w:val="TOC1"/>
            <w:tabs>
              <w:tab w:val="left" w:pos="440"/>
            </w:tabs>
            <w:rPr>
              <w:rFonts w:asciiTheme="minorHAnsi" w:eastAsiaTheme="minorEastAsia" w:hAnsiTheme="minorHAnsi" w:cstheme="minorBidi"/>
              <w:szCs w:val="22"/>
              <w:lang w:val="en-US" w:eastAsia="en-US"/>
            </w:rPr>
          </w:pPr>
          <w:hyperlink w:anchor="_Toc161976" w:history="1">
            <w:r w:rsidR="00755D99" w:rsidRPr="0030646F">
              <w:rPr>
                <w:rStyle w:val="Hyperlink"/>
                <w14:scene3d>
                  <w14:camera w14:prst="orthographicFront"/>
                  <w14:lightRig w14:rig="threePt" w14:dir="t">
                    <w14:rot w14:lat="0" w14:lon="0" w14:rev="0"/>
                  </w14:lightRig>
                </w14:scene3d>
              </w:rPr>
              <w:t>4.</w:t>
            </w:r>
            <w:r w:rsidR="00755D99">
              <w:rPr>
                <w:rFonts w:asciiTheme="minorHAnsi" w:eastAsiaTheme="minorEastAsia" w:hAnsiTheme="minorHAnsi" w:cstheme="minorBidi"/>
                <w:szCs w:val="22"/>
                <w:lang w:val="en-US" w:eastAsia="en-US"/>
              </w:rPr>
              <w:tab/>
            </w:r>
            <w:r w:rsidR="00755D99" w:rsidRPr="0030646F">
              <w:rPr>
                <w:rStyle w:val="Hyperlink"/>
              </w:rPr>
              <w:t>Results</w:t>
            </w:r>
            <w:r w:rsidR="00755D99">
              <w:rPr>
                <w:webHidden/>
              </w:rPr>
              <w:tab/>
            </w:r>
            <w:r w:rsidR="00755D99">
              <w:rPr>
                <w:webHidden/>
              </w:rPr>
              <w:fldChar w:fldCharType="begin"/>
            </w:r>
            <w:r w:rsidR="00755D99">
              <w:rPr>
                <w:webHidden/>
              </w:rPr>
              <w:instrText xml:space="preserve"> PAGEREF _Toc161976 \h </w:instrText>
            </w:r>
            <w:r w:rsidR="00755D99">
              <w:rPr>
                <w:webHidden/>
              </w:rPr>
            </w:r>
            <w:r w:rsidR="00755D99">
              <w:rPr>
                <w:webHidden/>
              </w:rPr>
              <w:fldChar w:fldCharType="separate"/>
            </w:r>
            <w:r w:rsidR="00884D25">
              <w:rPr>
                <w:webHidden/>
              </w:rPr>
              <w:t>15</w:t>
            </w:r>
            <w:r w:rsidR="00755D99">
              <w:rPr>
                <w:webHidden/>
              </w:rPr>
              <w:fldChar w:fldCharType="end"/>
            </w:r>
          </w:hyperlink>
        </w:p>
        <w:p w14:paraId="3AA100CC" w14:textId="2288486A" w:rsidR="00755D99" w:rsidRDefault="001E1929">
          <w:pPr>
            <w:pStyle w:val="TOC1"/>
            <w:rPr>
              <w:rFonts w:asciiTheme="minorHAnsi" w:eastAsiaTheme="minorEastAsia" w:hAnsiTheme="minorHAnsi" w:cstheme="minorBidi"/>
              <w:szCs w:val="22"/>
              <w:lang w:val="en-US" w:eastAsia="en-US"/>
            </w:rPr>
          </w:pPr>
          <w:hyperlink w:anchor="_Toc161977" w:history="1">
            <w:r w:rsidR="00755D99" w:rsidRPr="0030646F">
              <w:rPr>
                <w:rStyle w:val="Hyperlink"/>
              </w:rPr>
              <w:t>Appendix A: Analysis performed to determine the minimum sample size</w:t>
            </w:r>
            <w:r w:rsidR="00755D99">
              <w:rPr>
                <w:webHidden/>
              </w:rPr>
              <w:tab/>
            </w:r>
            <w:r w:rsidR="00755D99">
              <w:rPr>
                <w:webHidden/>
              </w:rPr>
              <w:fldChar w:fldCharType="begin"/>
            </w:r>
            <w:r w:rsidR="00755D99">
              <w:rPr>
                <w:webHidden/>
              </w:rPr>
              <w:instrText xml:space="preserve"> PAGEREF _Toc161977 \h </w:instrText>
            </w:r>
            <w:r w:rsidR="00755D99">
              <w:rPr>
                <w:webHidden/>
              </w:rPr>
            </w:r>
            <w:r w:rsidR="00755D99">
              <w:rPr>
                <w:webHidden/>
              </w:rPr>
              <w:fldChar w:fldCharType="separate"/>
            </w:r>
            <w:r w:rsidR="00884D25">
              <w:rPr>
                <w:webHidden/>
              </w:rPr>
              <w:t>37</w:t>
            </w:r>
            <w:r w:rsidR="00755D99">
              <w:rPr>
                <w:webHidden/>
              </w:rPr>
              <w:fldChar w:fldCharType="end"/>
            </w:r>
          </w:hyperlink>
        </w:p>
        <w:p w14:paraId="4DA85B64" w14:textId="3909AB79" w:rsidR="00755D99" w:rsidRDefault="001E1929">
          <w:pPr>
            <w:pStyle w:val="TOC1"/>
            <w:rPr>
              <w:rFonts w:asciiTheme="minorHAnsi" w:eastAsiaTheme="minorEastAsia" w:hAnsiTheme="minorHAnsi" w:cstheme="minorBidi"/>
              <w:szCs w:val="22"/>
              <w:lang w:val="en-US" w:eastAsia="en-US"/>
            </w:rPr>
          </w:pPr>
          <w:hyperlink w:anchor="_Toc161978" w:history="1">
            <w:r w:rsidR="00755D99" w:rsidRPr="0030646F">
              <w:rPr>
                <w:rStyle w:val="Hyperlink"/>
              </w:rPr>
              <w:t>Appendix B: Private sector costing approaches</w:t>
            </w:r>
            <w:r w:rsidR="00755D99">
              <w:rPr>
                <w:webHidden/>
              </w:rPr>
              <w:tab/>
            </w:r>
            <w:r w:rsidR="00755D99">
              <w:rPr>
                <w:webHidden/>
              </w:rPr>
              <w:fldChar w:fldCharType="begin"/>
            </w:r>
            <w:r w:rsidR="00755D99">
              <w:rPr>
                <w:webHidden/>
              </w:rPr>
              <w:instrText xml:space="preserve"> PAGEREF _Toc161978 \h </w:instrText>
            </w:r>
            <w:r w:rsidR="00755D99">
              <w:rPr>
                <w:webHidden/>
              </w:rPr>
            </w:r>
            <w:r w:rsidR="00755D99">
              <w:rPr>
                <w:webHidden/>
              </w:rPr>
              <w:fldChar w:fldCharType="separate"/>
            </w:r>
            <w:r w:rsidR="00884D25">
              <w:rPr>
                <w:webHidden/>
              </w:rPr>
              <w:t>41</w:t>
            </w:r>
            <w:r w:rsidR="00755D99">
              <w:rPr>
                <w:webHidden/>
              </w:rPr>
              <w:fldChar w:fldCharType="end"/>
            </w:r>
          </w:hyperlink>
        </w:p>
        <w:p w14:paraId="4EC6D788" w14:textId="4304158D" w:rsidR="00755D99" w:rsidRDefault="001E1929">
          <w:pPr>
            <w:pStyle w:val="TOC1"/>
            <w:rPr>
              <w:rFonts w:asciiTheme="minorHAnsi" w:eastAsiaTheme="minorEastAsia" w:hAnsiTheme="minorHAnsi" w:cstheme="minorBidi"/>
              <w:szCs w:val="22"/>
              <w:lang w:val="en-US" w:eastAsia="en-US"/>
            </w:rPr>
          </w:pPr>
          <w:hyperlink w:anchor="_Toc161979" w:history="1">
            <w:r w:rsidR="00755D99" w:rsidRPr="0030646F">
              <w:rPr>
                <w:rStyle w:val="Hyperlink"/>
              </w:rPr>
              <w:t>Appendix C: Standard error range for the Round 21 private sector NHCDC</w:t>
            </w:r>
            <w:r w:rsidR="00755D99">
              <w:rPr>
                <w:webHidden/>
              </w:rPr>
              <w:tab/>
            </w:r>
            <w:r w:rsidR="00755D99">
              <w:rPr>
                <w:webHidden/>
              </w:rPr>
              <w:fldChar w:fldCharType="begin"/>
            </w:r>
            <w:r w:rsidR="00755D99">
              <w:rPr>
                <w:webHidden/>
              </w:rPr>
              <w:instrText xml:space="preserve"> PAGEREF _Toc161979 \h </w:instrText>
            </w:r>
            <w:r w:rsidR="00755D99">
              <w:rPr>
                <w:webHidden/>
              </w:rPr>
            </w:r>
            <w:r w:rsidR="00755D99">
              <w:rPr>
                <w:webHidden/>
              </w:rPr>
              <w:fldChar w:fldCharType="separate"/>
            </w:r>
            <w:r w:rsidR="00884D25">
              <w:rPr>
                <w:webHidden/>
              </w:rPr>
              <w:t>43</w:t>
            </w:r>
            <w:r w:rsidR="00755D99">
              <w:rPr>
                <w:webHidden/>
              </w:rPr>
              <w:fldChar w:fldCharType="end"/>
            </w:r>
          </w:hyperlink>
        </w:p>
        <w:p w14:paraId="3D474BD5" w14:textId="0EBB9ED6" w:rsidR="00755D99" w:rsidRDefault="001E1929">
          <w:pPr>
            <w:pStyle w:val="TOC1"/>
            <w:rPr>
              <w:rFonts w:asciiTheme="minorHAnsi" w:eastAsiaTheme="minorEastAsia" w:hAnsiTheme="minorHAnsi" w:cstheme="minorBidi"/>
              <w:szCs w:val="22"/>
              <w:lang w:val="en-US" w:eastAsia="en-US"/>
            </w:rPr>
          </w:pPr>
          <w:hyperlink w:anchor="_Toc161980" w:history="1">
            <w:r w:rsidR="00755D99" w:rsidRPr="0030646F">
              <w:rPr>
                <w:rStyle w:val="Hyperlink"/>
              </w:rPr>
              <w:t>Appendix D: Cost weight tables by AR-DRG Version 9.0</w:t>
            </w:r>
            <w:r w:rsidR="00755D99">
              <w:rPr>
                <w:webHidden/>
              </w:rPr>
              <w:tab/>
            </w:r>
            <w:r w:rsidR="00755D99">
              <w:rPr>
                <w:webHidden/>
              </w:rPr>
              <w:fldChar w:fldCharType="begin"/>
            </w:r>
            <w:r w:rsidR="00755D99">
              <w:rPr>
                <w:webHidden/>
              </w:rPr>
              <w:instrText xml:space="preserve"> PAGEREF _Toc161980 \h </w:instrText>
            </w:r>
            <w:r w:rsidR="00755D99">
              <w:rPr>
                <w:webHidden/>
              </w:rPr>
            </w:r>
            <w:r w:rsidR="00755D99">
              <w:rPr>
                <w:webHidden/>
              </w:rPr>
              <w:fldChar w:fldCharType="separate"/>
            </w:r>
            <w:r w:rsidR="00884D25">
              <w:rPr>
                <w:webHidden/>
              </w:rPr>
              <w:t>44</w:t>
            </w:r>
            <w:r w:rsidR="00755D99">
              <w:rPr>
                <w:webHidden/>
              </w:rPr>
              <w:fldChar w:fldCharType="end"/>
            </w:r>
          </w:hyperlink>
        </w:p>
        <w:p w14:paraId="7334F288" w14:textId="4EC93EB3" w:rsidR="00755D99" w:rsidRDefault="001E1929">
          <w:pPr>
            <w:pStyle w:val="TOC1"/>
            <w:rPr>
              <w:rFonts w:asciiTheme="minorHAnsi" w:eastAsiaTheme="minorEastAsia" w:hAnsiTheme="minorHAnsi" w:cstheme="minorBidi"/>
              <w:szCs w:val="22"/>
              <w:lang w:val="en-US" w:eastAsia="en-US"/>
            </w:rPr>
          </w:pPr>
          <w:hyperlink w:anchor="_Toc161981" w:history="1">
            <w:r w:rsidR="00755D99" w:rsidRPr="0030646F">
              <w:rPr>
                <w:rStyle w:val="Hyperlink"/>
              </w:rPr>
              <w:t>Appendix E: Cost weight tables by AR-DRG Version 8.0</w:t>
            </w:r>
            <w:r w:rsidR="00755D99">
              <w:rPr>
                <w:webHidden/>
              </w:rPr>
              <w:tab/>
            </w:r>
            <w:r w:rsidR="00755D99">
              <w:rPr>
                <w:webHidden/>
              </w:rPr>
              <w:fldChar w:fldCharType="begin"/>
            </w:r>
            <w:r w:rsidR="00755D99">
              <w:rPr>
                <w:webHidden/>
              </w:rPr>
              <w:instrText xml:space="preserve"> PAGEREF _Toc161981 \h </w:instrText>
            </w:r>
            <w:r w:rsidR="00755D99">
              <w:rPr>
                <w:webHidden/>
              </w:rPr>
            </w:r>
            <w:r w:rsidR="00755D99">
              <w:rPr>
                <w:webHidden/>
              </w:rPr>
              <w:fldChar w:fldCharType="separate"/>
            </w:r>
            <w:r w:rsidR="00884D25">
              <w:rPr>
                <w:webHidden/>
              </w:rPr>
              <w:t>45</w:t>
            </w:r>
            <w:r w:rsidR="00755D99">
              <w:rPr>
                <w:webHidden/>
              </w:rPr>
              <w:fldChar w:fldCharType="end"/>
            </w:r>
          </w:hyperlink>
        </w:p>
        <w:p w14:paraId="51494889" w14:textId="19773365" w:rsidR="00755D99" w:rsidRDefault="001E1929">
          <w:pPr>
            <w:pStyle w:val="TOC1"/>
            <w:rPr>
              <w:rFonts w:asciiTheme="minorHAnsi" w:eastAsiaTheme="minorEastAsia" w:hAnsiTheme="minorHAnsi" w:cstheme="minorBidi"/>
              <w:szCs w:val="22"/>
              <w:lang w:val="en-US" w:eastAsia="en-US"/>
            </w:rPr>
          </w:pPr>
          <w:hyperlink w:anchor="_Toc161982" w:history="1">
            <w:r w:rsidR="00755D99" w:rsidRPr="0030646F">
              <w:rPr>
                <w:rStyle w:val="Hyperlink"/>
              </w:rPr>
              <w:t>Appendix F: Cost weight tables by AR-DRG Version 7.0</w:t>
            </w:r>
            <w:r w:rsidR="00755D99">
              <w:rPr>
                <w:webHidden/>
              </w:rPr>
              <w:tab/>
            </w:r>
            <w:r w:rsidR="00755D99">
              <w:rPr>
                <w:webHidden/>
              </w:rPr>
              <w:fldChar w:fldCharType="begin"/>
            </w:r>
            <w:r w:rsidR="00755D99">
              <w:rPr>
                <w:webHidden/>
              </w:rPr>
              <w:instrText xml:space="preserve"> PAGEREF _Toc161982 \h </w:instrText>
            </w:r>
            <w:r w:rsidR="00755D99">
              <w:rPr>
                <w:webHidden/>
              </w:rPr>
            </w:r>
            <w:r w:rsidR="00755D99">
              <w:rPr>
                <w:webHidden/>
              </w:rPr>
              <w:fldChar w:fldCharType="separate"/>
            </w:r>
            <w:r w:rsidR="00884D25">
              <w:rPr>
                <w:webHidden/>
              </w:rPr>
              <w:t>46</w:t>
            </w:r>
            <w:r w:rsidR="00755D99">
              <w:rPr>
                <w:webHidden/>
              </w:rPr>
              <w:fldChar w:fldCharType="end"/>
            </w:r>
          </w:hyperlink>
        </w:p>
        <w:p w14:paraId="037096CD" w14:textId="0CFB5F6B" w:rsidR="00755D99" w:rsidRDefault="001E1929">
          <w:pPr>
            <w:pStyle w:val="TOC1"/>
            <w:rPr>
              <w:rFonts w:asciiTheme="minorHAnsi" w:eastAsiaTheme="minorEastAsia" w:hAnsiTheme="minorHAnsi" w:cstheme="minorBidi"/>
              <w:szCs w:val="22"/>
              <w:lang w:val="en-US" w:eastAsia="en-US"/>
            </w:rPr>
          </w:pPr>
          <w:hyperlink w:anchor="_Toc161983" w:history="1">
            <w:r w:rsidR="00755D99" w:rsidRPr="0030646F">
              <w:rPr>
                <w:rStyle w:val="Hyperlink"/>
              </w:rPr>
              <w:t>Appendix G: Cost weight tables by AR-DRG Version 6.0x</w:t>
            </w:r>
            <w:r w:rsidR="00755D99">
              <w:rPr>
                <w:webHidden/>
              </w:rPr>
              <w:tab/>
            </w:r>
            <w:r w:rsidR="00755D99">
              <w:rPr>
                <w:webHidden/>
              </w:rPr>
              <w:fldChar w:fldCharType="begin"/>
            </w:r>
            <w:r w:rsidR="00755D99">
              <w:rPr>
                <w:webHidden/>
              </w:rPr>
              <w:instrText xml:space="preserve"> PAGEREF _Toc161983 \h </w:instrText>
            </w:r>
            <w:r w:rsidR="00755D99">
              <w:rPr>
                <w:webHidden/>
              </w:rPr>
            </w:r>
            <w:r w:rsidR="00755D99">
              <w:rPr>
                <w:webHidden/>
              </w:rPr>
              <w:fldChar w:fldCharType="separate"/>
            </w:r>
            <w:r w:rsidR="00884D25">
              <w:rPr>
                <w:webHidden/>
              </w:rPr>
              <w:t>47</w:t>
            </w:r>
            <w:r w:rsidR="00755D99">
              <w:rPr>
                <w:webHidden/>
              </w:rPr>
              <w:fldChar w:fldCharType="end"/>
            </w:r>
          </w:hyperlink>
        </w:p>
        <w:p w14:paraId="0646B4CD" w14:textId="0FFC7864" w:rsidR="002315CF" w:rsidRPr="00E4527E" w:rsidRDefault="004A249A" w:rsidP="00D94A84">
          <w:pPr>
            <w:tabs>
              <w:tab w:val="right" w:leader="dot" w:pos="9214"/>
              <w:tab w:val="right" w:leader="dot" w:pos="9446"/>
            </w:tabs>
            <w:rPr>
              <w:highlight w:val="yellow"/>
            </w:rPr>
          </w:pPr>
          <w:r w:rsidRPr="00E4527E">
            <w:rPr>
              <w:b/>
              <w:noProof/>
              <w:highlight w:val="yellow"/>
            </w:rPr>
            <w:fldChar w:fldCharType="end"/>
          </w:r>
        </w:p>
      </w:sdtContent>
    </w:sdt>
    <w:p w14:paraId="606ECF1D" w14:textId="3ABAE31A" w:rsidR="00E7439E" w:rsidRPr="00E4527E" w:rsidRDefault="00600F10" w:rsidP="00CD5F49">
      <w:pPr>
        <w:pStyle w:val="Intro"/>
        <w:rPr>
          <w:b/>
          <w:highlight w:val="yellow"/>
        </w:rPr>
      </w:pPr>
      <w:r w:rsidRPr="00E4527E">
        <w:rPr>
          <w:highlight w:val="yellow"/>
        </w:rPr>
        <w:br w:type="page"/>
      </w:r>
    </w:p>
    <w:p w14:paraId="4A39FD62" w14:textId="25189E2E" w:rsidR="004A249A" w:rsidRPr="00F467C8" w:rsidRDefault="004A249A" w:rsidP="006200A2">
      <w:pPr>
        <w:pStyle w:val="Heading1"/>
        <w:numPr>
          <w:ilvl w:val="0"/>
          <w:numId w:val="0"/>
        </w:numPr>
      </w:pPr>
      <w:bookmarkStart w:id="7" w:name="_Toc161970"/>
      <w:r w:rsidRPr="00F467C8">
        <w:lastRenderedPageBreak/>
        <w:t>Tables and figures</w:t>
      </w:r>
      <w:bookmarkEnd w:id="7"/>
    </w:p>
    <w:p w14:paraId="292D0822" w14:textId="73A0E694" w:rsidR="00561E73" w:rsidRPr="00F467C8" w:rsidRDefault="00561E73" w:rsidP="006200A2">
      <w:pPr>
        <w:pStyle w:val="Heading2"/>
      </w:pPr>
      <w:r w:rsidRPr="00F467C8">
        <w:t>List of</w:t>
      </w:r>
      <w:r w:rsidR="002507BE" w:rsidRPr="00F467C8">
        <w:t xml:space="preserve"> </w:t>
      </w:r>
      <w:r w:rsidR="0046362C" w:rsidRPr="00F467C8">
        <w:t>T</w:t>
      </w:r>
      <w:r w:rsidR="002507BE" w:rsidRPr="00F467C8">
        <w:t>ables</w:t>
      </w:r>
    </w:p>
    <w:p w14:paraId="55D76C25" w14:textId="2361E453" w:rsidR="00CC798D" w:rsidRDefault="006F21D0">
      <w:pPr>
        <w:pStyle w:val="TableofFigures"/>
        <w:tabs>
          <w:tab w:val="right" w:leader="dot" w:pos="9436"/>
        </w:tabs>
        <w:rPr>
          <w:rFonts w:asciiTheme="minorHAnsi" w:eastAsiaTheme="minorEastAsia" w:hAnsiTheme="minorHAnsi" w:cstheme="minorBidi"/>
          <w:noProof/>
          <w:sz w:val="22"/>
          <w:szCs w:val="22"/>
          <w:lang w:val="en-US"/>
        </w:rPr>
      </w:pPr>
      <w:r w:rsidRPr="00F467C8">
        <w:rPr>
          <w:rFonts w:asciiTheme="minorHAnsi" w:hAnsiTheme="minorHAnsi" w:cstheme="minorHAnsi"/>
          <w:snapToGrid w:val="0"/>
          <w:szCs w:val="22"/>
        </w:rPr>
        <w:fldChar w:fldCharType="begin"/>
      </w:r>
      <w:r w:rsidRPr="00F467C8">
        <w:rPr>
          <w:rFonts w:asciiTheme="minorHAnsi" w:hAnsiTheme="minorHAnsi" w:cstheme="minorHAnsi"/>
          <w:snapToGrid w:val="0"/>
          <w:szCs w:val="22"/>
        </w:rPr>
        <w:instrText xml:space="preserve"> TOC \f T \h \z \t "Table Headings 3" \c </w:instrText>
      </w:r>
      <w:r w:rsidRPr="00F467C8">
        <w:rPr>
          <w:rFonts w:asciiTheme="minorHAnsi" w:hAnsiTheme="minorHAnsi" w:cstheme="minorHAnsi"/>
          <w:snapToGrid w:val="0"/>
          <w:szCs w:val="22"/>
        </w:rPr>
        <w:fldChar w:fldCharType="separate"/>
      </w:r>
      <w:hyperlink w:anchor="_Toc161992" w:history="1">
        <w:r w:rsidR="00CC798D" w:rsidRPr="006E4288">
          <w:rPr>
            <w:rStyle w:val="Hyperlink"/>
            <w:noProof/>
          </w:rPr>
          <w:t>Table 1. Summary of private hospital participation</w:t>
        </w:r>
        <w:r w:rsidR="00CC798D">
          <w:rPr>
            <w:noProof/>
            <w:webHidden/>
          </w:rPr>
          <w:tab/>
        </w:r>
        <w:r w:rsidR="00CC798D">
          <w:rPr>
            <w:noProof/>
            <w:webHidden/>
          </w:rPr>
          <w:fldChar w:fldCharType="begin"/>
        </w:r>
        <w:r w:rsidR="00CC798D">
          <w:rPr>
            <w:noProof/>
            <w:webHidden/>
          </w:rPr>
          <w:instrText xml:space="preserve"> PAGEREF _Toc161992 \h </w:instrText>
        </w:r>
        <w:r w:rsidR="00CC798D">
          <w:rPr>
            <w:noProof/>
            <w:webHidden/>
          </w:rPr>
        </w:r>
        <w:r w:rsidR="00CC798D">
          <w:rPr>
            <w:noProof/>
            <w:webHidden/>
          </w:rPr>
          <w:fldChar w:fldCharType="separate"/>
        </w:r>
        <w:r w:rsidR="00066FB7">
          <w:rPr>
            <w:noProof/>
            <w:webHidden/>
          </w:rPr>
          <w:t>6</w:t>
        </w:r>
        <w:r w:rsidR="00CC798D">
          <w:rPr>
            <w:noProof/>
            <w:webHidden/>
          </w:rPr>
          <w:fldChar w:fldCharType="end"/>
        </w:r>
      </w:hyperlink>
    </w:p>
    <w:p w14:paraId="445CAA46" w14:textId="40490045"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3" w:history="1">
        <w:r w:rsidR="00CC798D" w:rsidRPr="006E4288">
          <w:rPr>
            <w:rStyle w:val="Hyperlink"/>
            <w:noProof/>
          </w:rPr>
          <w:t>Table 2. Summary of private hospital participation</w:t>
        </w:r>
        <w:r w:rsidR="00CC798D">
          <w:rPr>
            <w:noProof/>
            <w:webHidden/>
          </w:rPr>
          <w:tab/>
        </w:r>
        <w:r w:rsidR="00CC798D">
          <w:rPr>
            <w:noProof/>
            <w:webHidden/>
          </w:rPr>
          <w:fldChar w:fldCharType="begin"/>
        </w:r>
        <w:r w:rsidR="00CC798D">
          <w:rPr>
            <w:noProof/>
            <w:webHidden/>
          </w:rPr>
          <w:instrText xml:space="preserve"> PAGEREF _Toc161993 \h </w:instrText>
        </w:r>
        <w:r w:rsidR="00CC798D">
          <w:rPr>
            <w:noProof/>
            <w:webHidden/>
          </w:rPr>
        </w:r>
        <w:r w:rsidR="00CC798D">
          <w:rPr>
            <w:noProof/>
            <w:webHidden/>
          </w:rPr>
          <w:fldChar w:fldCharType="separate"/>
        </w:r>
        <w:r w:rsidR="00066FB7">
          <w:rPr>
            <w:noProof/>
            <w:webHidden/>
          </w:rPr>
          <w:t>9</w:t>
        </w:r>
        <w:r w:rsidR="00CC798D">
          <w:rPr>
            <w:noProof/>
            <w:webHidden/>
          </w:rPr>
          <w:fldChar w:fldCharType="end"/>
        </w:r>
      </w:hyperlink>
    </w:p>
    <w:p w14:paraId="31FD094F" w14:textId="652F0508"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4" w:history="1">
        <w:r w:rsidR="00CC798D" w:rsidRPr="006E4288">
          <w:rPr>
            <w:rStyle w:val="Hyperlink"/>
            <w:noProof/>
          </w:rPr>
          <w:t>Table 4. Comparison of separations and hospitals, Round 12 (2007-08) to Round 21 (2016-17)</w:t>
        </w:r>
        <w:r w:rsidR="00CC798D">
          <w:rPr>
            <w:noProof/>
            <w:webHidden/>
          </w:rPr>
          <w:tab/>
        </w:r>
        <w:r w:rsidR="00CC798D">
          <w:rPr>
            <w:noProof/>
            <w:webHidden/>
          </w:rPr>
          <w:fldChar w:fldCharType="begin"/>
        </w:r>
        <w:r w:rsidR="00CC798D">
          <w:rPr>
            <w:noProof/>
            <w:webHidden/>
          </w:rPr>
          <w:instrText xml:space="preserve"> PAGEREF _Toc161994 \h </w:instrText>
        </w:r>
        <w:r w:rsidR="00CC798D">
          <w:rPr>
            <w:noProof/>
            <w:webHidden/>
          </w:rPr>
        </w:r>
        <w:r w:rsidR="00CC798D">
          <w:rPr>
            <w:noProof/>
            <w:webHidden/>
          </w:rPr>
          <w:fldChar w:fldCharType="separate"/>
        </w:r>
        <w:r w:rsidR="00066FB7">
          <w:rPr>
            <w:noProof/>
            <w:webHidden/>
          </w:rPr>
          <w:t>15</w:t>
        </w:r>
        <w:r w:rsidR="00CC798D">
          <w:rPr>
            <w:noProof/>
            <w:webHidden/>
          </w:rPr>
          <w:fldChar w:fldCharType="end"/>
        </w:r>
      </w:hyperlink>
    </w:p>
    <w:p w14:paraId="535AF949" w14:textId="6113A2CB"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5" w:history="1">
        <w:r w:rsidR="00CC798D" w:rsidRPr="006E4288">
          <w:rPr>
            <w:rStyle w:val="Hyperlink"/>
            <w:noProof/>
          </w:rPr>
          <w:t>Table 5. Top 20 DRGs ranked by highest cost weight</w:t>
        </w:r>
        <w:r w:rsidR="00CC798D">
          <w:rPr>
            <w:noProof/>
            <w:webHidden/>
          </w:rPr>
          <w:tab/>
        </w:r>
        <w:r w:rsidR="00CC798D">
          <w:rPr>
            <w:noProof/>
            <w:webHidden/>
          </w:rPr>
          <w:fldChar w:fldCharType="begin"/>
        </w:r>
        <w:r w:rsidR="00CC798D">
          <w:rPr>
            <w:noProof/>
            <w:webHidden/>
          </w:rPr>
          <w:instrText xml:space="preserve"> PAGEREF _Toc161995 \h </w:instrText>
        </w:r>
        <w:r w:rsidR="00CC798D">
          <w:rPr>
            <w:noProof/>
            <w:webHidden/>
          </w:rPr>
        </w:r>
        <w:r w:rsidR="00CC798D">
          <w:rPr>
            <w:noProof/>
            <w:webHidden/>
          </w:rPr>
          <w:fldChar w:fldCharType="separate"/>
        </w:r>
        <w:r w:rsidR="00066FB7">
          <w:rPr>
            <w:noProof/>
            <w:webHidden/>
          </w:rPr>
          <w:t>18</w:t>
        </w:r>
        <w:r w:rsidR="00CC798D">
          <w:rPr>
            <w:noProof/>
            <w:webHidden/>
          </w:rPr>
          <w:fldChar w:fldCharType="end"/>
        </w:r>
      </w:hyperlink>
    </w:p>
    <w:p w14:paraId="641A3A56" w14:textId="32330945"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6" w:history="1">
        <w:r w:rsidR="00CC798D" w:rsidRPr="006E4288">
          <w:rPr>
            <w:rStyle w:val="Hyperlink"/>
            <w:noProof/>
          </w:rPr>
          <w:t>Table 6. Top 20 DRGs ranked by highest volume of population adjusted separations</w:t>
        </w:r>
        <w:r w:rsidR="00CC798D">
          <w:rPr>
            <w:noProof/>
            <w:webHidden/>
          </w:rPr>
          <w:tab/>
        </w:r>
        <w:r w:rsidR="00CC798D">
          <w:rPr>
            <w:noProof/>
            <w:webHidden/>
          </w:rPr>
          <w:fldChar w:fldCharType="begin"/>
        </w:r>
        <w:r w:rsidR="00CC798D">
          <w:rPr>
            <w:noProof/>
            <w:webHidden/>
          </w:rPr>
          <w:instrText xml:space="preserve"> PAGEREF _Toc161996 \h </w:instrText>
        </w:r>
        <w:r w:rsidR="00CC798D">
          <w:rPr>
            <w:noProof/>
            <w:webHidden/>
          </w:rPr>
        </w:r>
        <w:r w:rsidR="00CC798D">
          <w:rPr>
            <w:noProof/>
            <w:webHidden/>
          </w:rPr>
          <w:fldChar w:fldCharType="separate"/>
        </w:r>
        <w:r w:rsidR="00066FB7">
          <w:rPr>
            <w:noProof/>
            <w:webHidden/>
          </w:rPr>
          <w:t>20</w:t>
        </w:r>
        <w:r w:rsidR="00CC798D">
          <w:rPr>
            <w:noProof/>
            <w:webHidden/>
          </w:rPr>
          <w:fldChar w:fldCharType="end"/>
        </w:r>
      </w:hyperlink>
    </w:p>
    <w:p w14:paraId="5D3CE6C2" w14:textId="5F29A038"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7" w:history="1">
        <w:r w:rsidR="00CC798D" w:rsidRPr="006E4288">
          <w:rPr>
            <w:rStyle w:val="Hyperlink"/>
            <w:noProof/>
          </w:rPr>
          <w:t>Table 7. Top 20 DRGs ranked by highest cost-weighted separations</w:t>
        </w:r>
        <w:r w:rsidR="00CC798D">
          <w:rPr>
            <w:noProof/>
            <w:webHidden/>
          </w:rPr>
          <w:tab/>
        </w:r>
        <w:r w:rsidR="00CC798D">
          <w:rPr>
            <w:noProof/>
            <w:webHidden/>
          </w:rPr>
          <w:fldChar w:fldCharType="begin"/>
        </w:r>
        <w:r w:rsidR="00CC798D">
          <w:rPr>
            <w:noProof/>
            <w:webHidden/>
          </w:rPr>
          <w:instrText xml:space="preserve"> PAGEREF _Toc161997 \h </w:instrText>
        </w:r>
        <w:r w:rsidR="00CC798D">
          <w:rPr>
            <w:noProof/>
            <w:webHidden/>
          </w:rPr>
        </w:r>
        <w:r w:rsidR="00CC798D">
          <w:rPr>
            <w:noProof/>
            <w:webHidden/>
          </w:rPr>
          <w:fldChar w:fldCharType="separate"/>
        </w:r>
        <w:r w:rsidR="00066FB7">
          <w:rPr>
            <w:noProof/>
            <w:webHidden/>
          </w:rPr>
          <w:t>22</w:t>
        </w:r>
        <w:r w:rsidR="00CC798D">
          <w:rPr>
            <w:noProof/>
            <w:webHidden/>
          </w:rPr>
          <w:fldChar w:fldCharType="end"/>
        </w:r>
      </w:hyperlink>
    </w:p>
    <w:p w14:paraId="046D8170" w14:textId="3BFD05EC"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8" w:history="1">
        <w:r w:rsidR="00CC798D" w:rsidRPr="006E4288">
          <w:rPr>
            <w:rStyle w:val="Hyperlink"/>
            <w:noProof/>
          </w:rPr>
          <w:t>Table 8. Top 20 DRGs ranked by Average Length of Stay</w:t>
        </w:r>
        <w:r w:rsidR="00CC798D">
          <w:rPr>
            <w:noProof/>
            <w:webHidden/>
          </w:rPr>
          <w:tab/>
        </w:r>
        <w:r w:rsidR="00CC798D">
          <w:rPr>
            <w:noProof/>
            <w:webHidden/>
          </w:rPr>
          <w:fldChar w:fldCharType="begin"/>
        </w:r>
        <w:r w:rsidR="00CC798D">
          <w:rPr>
            <w:noProof/>
            <w:webHidden/>
          </w:rPr>
          <w:instrText xml:space="preserve"> PAGEREF _Toc161998 \h </w:instrText>
        </w:r>
        <w:r w:rsidR="00CC798D">
          <w:rPr>
            <w:noProof/>
            <w:webHidden/>
          </w:rPr>
        </w:r>
        <w:r w:rsidR="00CC798D">
          <w:rPr>
            <w:noProof/>
            <w:webHidden/>
          </w:rPr>
          <w:fldChar w:fldCharType="separate"/>
        </w:r>
        <w:r w:rsidR="00066FB7">
          <w:rPr>
            <w:noProof/>
            <w:webHidden/>
          </w:rPr>
          <w:t>24</w:t>
        </w:r>
        <w:r w:rsidR="00CC798D">
          <w:rPr>
            <w:noProof/>
            <w:webHidden/>
          </w:rPr>
          <w:fldChar w:fldCharType="end"/>
        </w:r>
      </w:hyperlink>
    </w:p>
    <w:p w14:paraId="780B5ACF" w14:textId="4576AF47"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1999" w:history="1">
        <w:r w:rsidR="00CC798D" w:rsidRPr="006E4288">
          <w:rPr>
            <w:rStyle w:val="Hyperlink"/>
            <w:noProof/>
          </w:rPr>
          <w:t>Table 9. Breakdown of cost by cost-bucket group (Round 21 compared to Round 20)</w:t>
        </w:r>
        <w:r w:rsidR="00CC798D">
          <w:rPr>
            <w:noProof/>
            <w:webHidden/>
          </w:rPr>
          <w:tab/>
        </w:r>
        <w:r w:rsidR="00CC798D">
          <w:rPr>
            <w:noProof/>
            <w:webHidden/>
          </w:rPr>
          <w:fldChar w:fldCharType="begin"/>
        </w:r>
        <w:r w:rsidR="00CC798D">
          <w:rPr>
            <w:noProof/>
            <w:webHidden/>
          </w:rPr>
          <w:instrText xml:space="preserve"> PAGEREF _Toc161999 \h </w:instrText>
        </w:r>
        <w:r w:rsidR="00CC798D">
          <w:rPr>
            <w:noProof/>
            <w:webHidden/>
          </w:rPr>
        </w:r>
        <w:r w:rsidR="00CC798D">
          <w:rPr>
            <w:noProof/>
            <w:webHidden/>
          </w:rPr>
          <w:fldChar w:fldCharType="separate"/>
        </w:r>
        <w:r w:rsidR="00066FB7">
          <w:rPr>
            <w:noProof/>
            <w:webHidden/>
          </w:rPr>
          <w:t>25</w:t>
        </w:r>
        <w:r w:rsidR="00CC798D">
          <w:rPr>
            <w:noProof/>
            <w:webHidden/>
          </w:rPr>
          <w:fldChar w:fldCharType="end"/>
        </w:r>
      </w:hyperlink>
    </w:p>
    <w:p w14:paraId="66A7AF15" w14:textId="752F07CA"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0" w:history="1">
        <w:r w:rsidR="00CC798D" w:rsidRPr="006E4288">
          <w:rPr>
            <w:rStyle w:val="Hyperlink"/>
            <w:noProof/>
          </w:rPr>
          <w:t>Table 10. Top 20 DRGs for operating room/specialist procedure suites cost bucket</w:t>
        </w:r>
        <w:r w:rsidR="00CC798D">
          <w:rPr>
            <w:noProof/>
            <w:webHidden/>
          </w:rPr>
          <w:tab/>
        </w:r>
        <w:r w:rsidR="00CC798D">
          <w:rPr>
            <w:noProof/>
            <w:webHidden/>
          </w:rPr>
          <w:fldChar w:fldCharType="begin"/>
        </w:r>
        <w:r w:rsidR="00CC798D">
          <w:rPr>
            <w:noProof/>
            <w:webHidden/>
          </w:rPr>
          <w:instrText xml:space="preserve"> PAGEREF _Toc162000 \h </w:instrText>
        </w:r>
        <w:r w:rsidR="00CC798D">
          <w:rPr>
            <w:noProof/>
            <w:webHidden/>
          </w:rPr>
        </w:r>
        <w:r w:rsidR="00CC798D">
          <w:rPr>
            <w:noProof/>
            <w:webHidden/>
          </w:rPr>
          <w:fldChar w:fldCharType="separate"/>
        </w:r>
        <w:r w:rsidR="00066FB7">
          <w:rPr>
            <w:noProof/>
            <w:webHidden/>
          </w:rPr>
          <w:t>27</w:t>
        </w:r>
        <w:r w:rsidR="00CC798D">
          <w:rPr>
            <w:noProof/>
            <w:webHidden/>
          </w:rPr>
          <w:fldChar w:fldCharType="end"/>
        </w:r>
      </w:hyperlink>
    </w:p>
    <w:p w14:paraId="49F4AA72" w14:textId="284AB7C9"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1" w:history="1">
        <w:r w:rsidR="00CC798D" w:rsidRPr="006E4288">
          <w:rPr>
            <w:rStyle w:val="Hyperlink"/>
            <w:noProof/>
          </w:rPr>
          <w:t>Table 11. Top 20 DRGs for critical care cost bucket</w:t>
        </w:r>
        <w:r w:rsidR="00CC798D">
          <w:rPr>
            <w:noProof/>
            <w:webHidden/>
          </w:rPr>
          <w:tab/>
        </w:r>
        <w:r w:rsidR="00CC798D">
          <w:rPr>
            <w:noProof/>
            <w:webHidden/>
          </w:rPr>
          <w:fldChar w:fldCharType="begin"/>
        </w:r>
        <w:r w:rsidR="00CC798D">
          <w:rPr>
            <w:noProof/>
            <w:webHidden/>
          </w:rPr>
          <w:instrText xml:space="preserve"> PAGEREF _Toc162001 \h </w:instrText>
        </w:r>
        <w:r w:rsidR="00CC798D">
          <w:rPr>
            <w:noProof/>
            <w:webHidden/>
          </w:rPr>
        </w:r>
        <w:r w:rsidR="00CC798D">
          <w:rPr>
            <w:noProof/>
            <w:webHidden/>
          </w:rPr>
          <w:fldChar w:fldCharType="separate"/>
        </w:r>
        <w:r w:rsidR="00066FB7">
          <w:rPr>
            <w:noProof/>
            <w:webHidden/>
          </w:rPr>
          <w:t>29</w:t>
        </w:r>
        <w:r w:rsidR="00CC798D">
          <w:rPr>
            <w:noProof/>
            <w:webHidden/>
          </w:rPr>
          <w:fldChar w:fldCharType="end"/>
        </w:r>
      </w:hyperlink>
    </w:p>
    <w:p w14:paraId="4A3BADE2" w14:textId="557966F8"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2" w:history="1">
        <w:r w:rsidR="00CC798D" w:rsidRPr="006E4288">
          <w:rPr>
            <w:rStyle w:val="Hyperlink"/>
            <w:noProof/>
          </w:rPr>
          <w:t>Table 12. Top 20 DRGs for prostheses cost bucket</w:t>
        </w:r>
        <w:r w:rsidR="00CC798D">
          <w:rPr>
            <w:noProof/>
            <w:webHidden/>
          </w:rPr>
          <w:tab/>
        </w:r>
        <w:r w:rsidR="00CC798D">
          <w:rPr>
            <w:noProof/>
            <w:webHidden/>
          </w:rPr>
          <w:fldChar w:fldCharType="begin"/>
        </w:r>
        <w:r w:rsidR="00CC798D">
          <w:rPr>
            <w:noProof/>
            <w:webHidden/>
          </w:rPr>
          <w:instrText xml:space="preserve"> PAGEREF _Toc162002 \h </w:instrText>
        </w:r>
        <w:r w:rsidR="00CC798D">
          <w:rPr>
            <w:noProof/>
            <w:webHidden/>
          </w:rPr>
        </w:r>
        <w:r w:rsidR="00CC798D">
          <w:rPr>
            <w:noProof/>
            <w:webHidden/>
          </w:rPr>
          <w:fldChar w:fldCharType="separate"/>
        </w:r>
        <w:r w:rsidR="00066FB7">
          <w:rPr>
            <w:noProof/>
            <w:webHidden/>
          </w:rPr>
          <w:t>31</w:t>
        </w:r>
        <w:r w:rsidR="00CC798D">
          <w:rPr>
            <w:noProof/>
            <w:webHidden/>
          </w:rPr>
          <w:fldChar w:fldCharType="end"/>
        </w:r>
      </w:hyperlink>
    </w:p>
    <w:p w14:paraId="6E8A821A" w14:textId="2D7026D7"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3" w:history="1">
        <w:r w:rsidR="00CC798D" w:rsidRPr="006E4288">
          <w:rPr>
            <w:rStyle w:val="Hyperlink"/>
            <w:noProof/>
          </w:rPr>
          <w:t>Table 13. Top 20 DRGs for miscellaneous (Misc.) cost bucket</w:t>
        </w:r>
        <w:r w:rsidR="00CC798D">
          <w:rPr>
            <w:noProof/>
            <w:webHidden/>
          </w:rPr>
          <w:tab/>
        </w:r>
        <w:r w:rsidR="00CC798D">
          <w:rPr>
            <w:noProof/>
            <w:webHidden/>
          </w:rPr>
          <w:fldChar w:fldCharType="begin"/>
        </w:r>
        <w:r w:rsidR="00CC798D">
          <w:rPr>
            <w:noProof/>
            <w:webHidden/>
          </w:rPr>
          <w:instrText xml:space="preserve"> PAGEREF _Toc162003 \h </w:instrText>
        </w:r>
        <w:r w:rsidR="00CC798D">
          <w:rPr>
            <w:noProof/>
            <w:webHidden/>
          </w:rPr>
        </w:r>
        <w:r w:rsidR="00CC798D">
          <w:rPr>
            <w:noProof/>
            <w:webHidden/>
          </w:rPr>
          <w:fldChar w:fldCharType="separate"/>
        </w:r>
        <w:r w:rsidR="00066FB7">
          <w:rPr>
            <w:noProof/>
            <w:webHidden/>
          </w:rPr>
          <w:t>33</w:t>
        </w:r>
        <w:r w:rsidR="00CC798D">
          <w:rPr>
            <w:noProof/>
            <w:webHidden/>
          </w:rPr>
          <w:fldChar w:fldCharType="end"/>
        </w:r>
      </w:hyperlink>
    </w:p>
    <w:p w14:paraId="52AE18D4" w14:textId="428ECB6A"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4" w:history="1">
        <w:r w:rsidR="00CC798D" w:rsidRPr="006E4288">
          <w:rPr>
            <w:rStyle w:val="Hyperlink"/>
            <w:noProof/>
          </w:rPr>
          <w:t>Table 14. Round 21 participation rate confidence level and margin of error</w:t>
        </w:r>
        <w:r w:rsidR="00CC798D">
          <w:rPr>
            <w:noProof/>
            <w:webHidden/>
          </w:rPr>
          <w:tab/>
        </w:r>
        <w:r w:rsidR="00CC798D">
          <w:rPr>
            <w:noProof/>
            <w:webHidden/>
          </w:rPr>
          <w:fldChar w:fldCharType="begin"/>
        </w:r>
        <w:r w:rsidR="00CC798D">
          <w:rPr>
            <w:noProof/>
            <w:webHidden/>
          </w:rPr>
          <w:instrText xml:space="preserve"> PAGEREF _Toc162004 \h </w:instrText>
        </w:r>
        <w:r w:rsidR="00CC798D">
          <w:rPr>
            <w:noProof/>
            <w:webHidden/>
          </w:rPr>
        </w:r>
        <w:r w:rsidR="00CC798D">
          <w:rPr>
            <w:noProof/>
            <w:webHidden/>
          </w:rPr>
          <w:fldChar w:fldCharType="separate"/>
        </w:r>
        <w:r w:rsidR="00066FB7">
          <w:rPr>
            <w:noProof/>
            <w:webHidden/>
          </w:rPr>
          <w:t>36</w:t>
        </w:r>
        <w:r w:rsidR="00CC798D">
          <w:rPr>
            <w:noProof/>
            <w:webHidden/>
          </w:rPr>
          <w:fldChar w:fldCharType="end"/>
        </w:r>
      </w:hyperlink>
    </w:p>
    <w:p w14:paraId="7BFB60BE" w14:textId="7B1E7C05"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5" w:history="1">
        <w:r w:rsidR="00CC798D" w:rsidRPr="006E4288">
          <w:rPr>
            <w:rStyle w:val="Hyperlink"/>
            <w:noProof/>
          </w:rPr>
          <w:t>Table 15. Number of DRGs by standard error range</w:t>
        </w:r>
        <w:r w:rsidR="00CC798D">
          <w:rPr>
            <w:noProof/>
            <w:webHidden/>
          </w:rPr>
          <w:tab/>
        </w:r>
        <w:r w:rsidR="00CC798D">
          <w:rPr>
            <w:noProof/>
            <w:webHidden/>
          </w:rPr>
          <w:fldChar w:fldCharType="begin"/>
        </w:r>
        <w:r w:rsidR="00CC798D">
          <w:rPr>
            <w:noProof/>
            <w:webHidden/>
          </w:rPr>
          <w:instrText xml:space="preserve"> PAGEREF _Toc162005 \h </w:instrText>
        </w:r>
        <w:r w:rsidR="00CC798D">
          <w:rPr>
            <w:noProof/>
            <w:webHidden/>
          </w:rPr>
        </w:r>
        <w:r w:rsidR="00CC798D">
          <w:rPr>
            <w:noProof/>
            <w:webHidden/>
          </w:rPr>
          <w:fldChar w:fldCharType="separate"/>
        </w:r>
        <w:r w:rsidR="00066FB7">
          <w:rPr>
            <w:noProof/>
            <w:webHidden/>
          </w:rPr>
          <w:t>40</w:t>
        </w:r>
        <w:r w:rsidR="00CC798D">
          <w:rPr>
            <w:noProof/>
            <w:webHidden/>
          </w:rPr>
          <w:fldChar w:fldCharType="end"/>
        </w:r>
      </w:hyperlink>
    </w:p>
    <w:p w14:paraId="75BB5028" w14:textId="5B88B5D7"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6" w:history="1">
        <w:r w:rsidR="00CC798D" w:rsidRPr="006E4288">
          <w:rPr>
            <w:rStyle w:val="Hyperlink"/>
            <w:noProof/>
          </w:rPr>
          <w:t>Table 16. Round 21 (2016-17) national consolidation cost weight tables – V9.0</w:t>
        </w:r>
        <w:r w:rsidR="00CC798D">
          <w:rPr>
            <w:noProof/>
            <w:webHidden/>
          </w:rPr>
          <w:tab/>
        </w:r>
        <w:r w:rsidR="00CC798D">
          <w:rPr>
            <w:noProof/>
            <w:webHidden/>
          </w:rPr>
          <w:fldChar w:fldCharType="begin"/>
        </w:r>
        <w:r w:rsidR="00CC798D">
          <w:rPr>
            <w:noProof/>
            <w:webHidden/>
          </w:rPr>
          <w:instrText xml:space="preserve"> PAGEREF _Toc162006 \h </w:instrText>
        </w:r>
        <w:r w:rsidR="00CC798D">
          <w:rPr>
            <w:noProof/>
            <w:webHidden/>
          </w:rPr>
        </w:r>
        <w:r w:rsidR="00CC798D">
          <w:rPr>
            <w:noProof/>
            <w:webHidden/>
          </w:rPr>
          <w:fldChar w:fldCharType="separate"/>
        </w:r>
        <w:r w:rsidR="00066FB7">
          <w:rPr>
            <w:noProof/>
            <w:webHidden/>
          </w:rPr>
          <w:t>41</w:t>
        </w:r>
        <w:r w:rsidR="00CC798D">
          <w:rPr>
            <w:noProof/>
            <w:webHidden/>
          </w:rPr>
          <w:fldChar w:fldCharType="end"/>
        </w:r>
      </w:hyperlink>
    </w:p>
    <w:p w14:paraId="2DFF078B" w14:textId="26B4D3D8"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7" w:history="1">
        <w:r w:rsidR="00CC798D" w:rsidRPr="006E4288">
          <w:rPr>
            <w:rStyle w:val="Hyperlink"/>
            <w:noProof/>
          </w:rPr>
          <w:t>Table 17. Round 21 (2016-17) national consolidation cost weight tables – V8.0</w:t>
        </w:r>
        <w:r w:rsidR="00CC798D">
          <w:rPr>
            <w:noProof/>
            <w:webHidden/>
          </w:rPr>
          <w:tab/>
        </w:r>
        <w:r w:rsidR="00CC798D">
          <w:rPr>
            <w:noProof/>
            <w:webHidden/>
          </w:rPr>
          <w:fldChar w:fldCharType="begin"/>
        </w:r>
        <w:r w:rsidR="00CC798D">
          <w:rPr>
            <w:noProof/>
            <w:webHidden/>
          </w:rPr>
          <w:instrText xml:space="preserve"> PAGEREF _Toc162007 \h </w:instrText>
        </w:r>
        <w:r w:rsidR="00CC798D">
          <w:rPr>
            <w:noProof/>
            <w:webHidden/>
          </w:rPr>
        </w:r>
        <w:r w:rsidR="00CC798D">
          <w:rPr>
            <w:noProof/>
            <w:webHidden/>
          </w:rPr>
          <w:fldChar w:fldCharType="separate"/>
        </w:r>
        <w:r w:rsidR="00066FB7">
          <w:rPr>
            <w:noProof/>
            <w:webHidden/>
          </w:rPr>
          <w:t>42</w:t>
        </w:r>
        <w:r w:rsidR="00CC798D">
          <w:rPr>
            <w:noProof/>
            <w:webHidden/>
          </w:rPr>
          <w:fldChar w:fldCharType="end"/>
        </w:r>
      </w:hyperlink>
    </w:p>
    <w:p w14:paraId="2BD12076" w14:textId="022FDE0A"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8" w:history="1">
        <w:r w:rsidR="00CC798D" w:rsidRPr="006E4288">
          <w:rPr>
            <w:rStyle w:val="Hyperlink"/>
            <w:noProof/>
          </w:rPr>
          <w:t>Table 18. Round 21 (2016-17) national consolidation cost weight tables – V7.0</w:t>
        </w:r>
        <w:r w:rsidR="00CC798D">
          <w:rPr>
            <w:noProof/>
            <w:webHidden/>
          </w:rPr>
          <w:tab/>
        </w:r>
        <w:r w:rsidR="00CC798D">
          <w:rPr>
            <w:noProof/>
            <w:webHidden/>
          </w:rPr>
          <w:fldChar w:fldCharType="begin"/>
        </w:r>
        <w:r w:rsidR="00CC798D">
          <w:rPr>
            <w:noProof/>
            <w:webHidden/>
          </w:rPr>
          <w:instrText xml:space="preserve"> PAGEREF _Toc162008 \h </w:instrText>
        </w:r>
        <w:r w:rsidR="00CC798D">
          <w:rPr>
            <w:noProof/>
            <w:webHidden/>
          </w:rPr>
        </w:r>
        <w:r w:rsidR="00CC798D">
          <w:rPr>
            <w:noProof/>
            <w:webHidden/>
          </w:rPr>
          <w:fldChar w:fldCharType="separate"/>
        </w:r>
        <w:r w:rsidR="00066FB7">
          <w:rPr>
            <w:noProof/>
            <w:webHidden/>
          </w:rPr>
          <w:t>43</w:t>
        </w:r>
        <w:r w:rsidR="00CC798D">
          <w:rPr>
            <w:noProof/>
            <w:webHidden/>
          </w:rPr>
          <w:fldChar w:fldCharType="end"/>
        </w:r>
      </w:hyperlink>
    </w:p>
    <w:p w14:paraId="10D714DA" w14:textId="0165CD93"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09" w:history="1">
        <w:r w:rsidR="00CC798D" w:rsidRPr="006E4288">
          <w:rPr>
            <w:rStyle w:val="Hyperlink"/>
            <w:noProof/>
          </w:rPr>
          <w:t>Table 19. Round 21 (2016-17) national consolidation cost weight tables – V6.0x</w:t>
        </w:r>
        <w:r w:rsidR="00CC798D">
          <w:rPr>
            <w:noProof/>
            <w:webHidden/>
          </w:rPr>
          <w:tab/>
        </w:r>
        <w:r w:rsidR="00CC798D">
          <w:rPr>
            <w:noProof/>
            <w:webHidden/>
          </w:rPr>
          <w:fldChar w:fldCharType="begin"/>
        </w:r>
        <w:r w:rsidR="00CC798D">
          <w:rPr>
            <w:noProof/>
            <w:webHidden/>
          </w:rPr>
          <w:instrText xml:space="preserve"> PAGEREF _Toc162009 \h </w:instrText>
        </w:r>
        <w:r w:rsidR="00CC798D">
          <w:rPr>
            <w:noProof/>
            <w:webHidden/>
          </w:rPr>
        </w:r>
        <w:r w:rsidR="00CC798D">
          <w:rPr>
            <w:noProof/>
            <w:webHidden/>
          </w:rPr>
          <w:fldChar w:fldCharType="separate"/>
        </w:r>
        <w:r w:rsidR="00066FB7">
          <w:rPr>
            <w:noProof/>
            <w:webHidden/>
          </w:rPr>
          <w:t>44</w:t>
        </w:r>
        <w:r w:rsidR="00CC798D">
          <w:rPr>
            <w:noProof/>
            <w:webHidden/>
          </w:rPr>
          <w:fldChar w:fldCharType="end"/>
        </w:r>
      </w:hyperlink>
    </w:p>
    <w:p w14:paraId="11715BA9" w14:textId="0DD1AD1E" w:rsidR="006F21D0" w:rsidRPr="00F467C8" w:rsidRDefault="006F21D0" w:rsidP="006B3A78">
      <w:pPr>
        <w:rPr>
          <w:snapToGrid w:val="0"/>
        </w:rPr>
      </w:pPr>
      <w:r w:rsidRPr="00F467C8">
        <w:rPr>
          <w:snapToGrid w:val="0"/>
        </w:rPr>
        <w:fldChar w:fldCharType="end"/>
      </w:r>
    </w:p>
    <w:p w14:paraId="2D3DFD37" w14:textId="59CF709E" w:rsidR="006F21D0" w:rsidRPr="00F467C8" w:rsidRDefault="006F21D0" w:rsidP="006200A2">
      <w:pPr>
        <w:pStyle w:val="Heading2"/>
      </w:pPr>
      <w:r w:rsidRPr="00F467C8">
        <w:t>List of Figures</w:t>
      </w:r>
    </w:p>
    <w:p w14:paraId="4EA735E3" w14:textId="242D7F67" w:rsidR="00CC798D" w:rsidRDefault="008E4FAA">
      <w:pPr>
        <w:pStyle w:val="TableofFigures"/>
        <w:tabs>
          <w:tab w:val="right" w:leader="dot" w:pos="9436"/>
        </w:tabs>
        <w:rPr>
          <w:rFonts w:asciiTheme="minorHAnsi" w:eastAsiaTheme="minorEastAsia" w:hAnsiTheme="minorHAnsi" w:cstheme="minorBidi"/>
          <w:noProof/>
          <w:sz w:val="22"/>
          <w:szCs w:val="22"/>
          <w:lang w:val="en-US"/>
        </w:rPr>
      </w:pPr>
      <w:r w:rsidRPr="00E4527E">
        <w:rPr>
          <w:rFonts w:asciiTheme="minorHAnsi" w:hAnsiTheme="minorHAnsi" w:cstheme="minorHAnsi"/>
          <w:snapToGrid w:val="0"/>
          <w:szCs w:val="22"/>
          <w:highlight w:val="yellow"/>
        </w:rPr>
        <w:fldChar w:fldCharType="begin"/>
      </w:r>
      <w:r w:rsidRPr="00E4527E">
        <w:rPr>
          <w:rFonts w:asciiTheme="minorHAnsi" w:hAnsiTheme="minorHAnsi" w:cstheme="minorHAnsi"/>
          <w:snapToGrid w:val="0"/>
          <w:szCs w:val="22"/>
          <w:highlight w:val="yellow"/>
        </w:rPr>
        <w:instrText xml:space="preserve"> TOC \h \z \t "Table of figures 3" \c </w:instrText>
      </w:r>
      <w:r w:rsidRPr="00E4527E">
        <w:rPr>
          <w:rFonts w:asciiTheme="minorHAnsi" w:hAnsiTheme="minorHAnsi" w:cstheme="minorHAnsi"/>
          <w:snapToGrid w:val="0"/>
          <w:szCs w:val="22"/>
          <w:highlight w:val="yellow"/>
        </w:rPr>
        <w:fldChar w:fldCharType="separate"/>
      </w:r>
      <w:hyperlink w:anchor="_Toc162092" w:history="1">
        <w:r w:rsidR="00CC798D" w:rsidRPr="009A0C70">
          <w:rPr>
            <w:rStyle w:val="Hyperlink"/>
            <w:noProof/>
          </w:rPr>
          <w:t>Figure 1. Top 20 DRGs ranked by highest cost weight</w:t>
        </w:r>
        <w:r w:rsidR="00CC798D">
          <w:rPr>
            <w:noProof/>
            <w:webHidden/>
          </w:rPr>
          <w:tab/>
        </w:r>
        <w:r w:rsidR="00CC798D">
          <w:rPr>
            <w:noProof/>
            <w:webHidden/>
          </w:rPr>
          <w:fldChar w:fldCharType="begin"/>
        </w:r>
        <w:r w:rsidR="00CC798D">
          <w:rPr>
            <w:noProof/>
            <w:webHidden/>
          </w:rPr>
          <w:instrText xml:space="preserve"> PAGEREF _Toc162092 \h </w:instrText>
        </w:r>
        <w:r w:rsidR="00CC798D">
          <w:rPr>
            <w:noProof/>
            <w:webHidden/>
          </w:rPr>
        </w:r>
        <w:r w:rsidR="00CC798D">
          <w:rPr>
            <w:noProof/>
            <w:webHidden/>
          </w:rPr>
          <w:fldChar w:fldCharType="separate"/>
        </w:r>
        <w:r w:rsidR="00066FB7">
          <w:rPr>
            <w:noProof/>
            <w:webHidden/>
          </w:rPr>
          <w:t>17</w:t>
        </w:r>
        <w:r w:rsidR="00CC798D">
          <w:rPr>
            <w:noProof/>
            <w:webHidden/>
          </w:rPr>
          <w:fldChar w:fldCharType="end"/>
        </w:r>
      </w:hyperlink>
    </w:p>
    <w:p w14:paraId="7FCB1E1A" w14:textId="40FB1E7E"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93" w:history="1">
        <w:r w:rsidR="00CC798D" w:rsidRPr="009A0C70">
          <w:rPr>
            <w:rStyle w:val="Hyperlink"/>
            <w:noProof/>
          </w:rPr>
          <w:t>Figure 2. Comparison of top 20 DRGs by highest volume of population adjusted separations</w:t>
        </w:r>
        <w:r w:rsidR="00CC798D">
          <w:rPr>
            <w:noProof/>
            <w:webHidden/>
          </w:rPr>
          <w:tab/>
        </w:r>
        <w:r w:rsidR="00CC798D">
          <w:rPr>
            <w:noProof/>
            <w:webHidden/>
          </w:rPr>
          <w:fldChar w:fldCharType="begin"/>
        </w:r>
        <w:r w:rsidR="00CC798D">
          <w:rPr>
            <w:noProof/>
            <w:webHidden/>
          </w:rPr>
          <w:instrText xml:space="preserve"> PAGEREF _Toc162093 \h </w:instrText>
        </w:r>
        <w:r w:rsidR="00CC798D">
          <w:rPr>
            <w:noProof/>
            <w:webHidden/>
          </w:rPr>
        </w:r>
        <w:r w:rsidR="00CC798D">
          <w:rPr>
            <w:noProof/>
            <w:webHidden/>
          </w:rPr>
          <w:fldChar w:fldCharType="separate"/>
        </w:r>
        <w:r w:rsidR="00066FB7">
          <w:rPr>
            <w:noProof/>
            <w:webHidden/>
          </w:rPr>
          <w:t>19</w:t>
        </w:r>
        <w:r w:rsidR="00CC798D">
          <w:rPr>
            <w:noProof/>
            <w:webHidden/>
          </w:rPr>
          <w:fldChar w:fldCharType="end"/>
        </w:r>
      </w:hyperlink>
    </w:p>
    <w:p w14:paraId="2E4EC714" w14:textId="5BBAE55D"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94" w:history="1">
        <w:r w:rsidR="00CC798D" w:rsidRPr="009A0C70">
          <w:rPr>
            <w:rStyle w:val="Hyperlink"/>
            <w:noProof/>
          </w:rPr>
          <w:t>Figure 3. Comparison of top 20 DRGs by highest cost-weighted separations</w:t>
        </w:r>
        <w:r w:rsidR="00CC798D">
          <w:rPr>
            <w:noProof/>
            <w:webHidden/>
          </w:rPr>
          <w:tab/>
        </w:r>
        <w:r w:rsidR="00CC798D">
          <w:rPr>
            <w:noProof/>
            <w:webHidden/>
          </w:rPr>
          <w:fldChar w:fldCharType="begin"/>
        </w:r>
        <w:r w:rsidR="00CC798D">
          <w:rPr>
            <w:noProof/>
            <w:webHidden/>
          </w:rPr>
          <w:instrText xml:space="preserve"> PAGEREF _Toc162094 \h </w:instrText>
        </w:r>
        <w:r w:rsidR="00CC798D">
          <w:rPr>
            <w:noProof/>
            <w:webHidden/>
          </w:rPr>
        </w:r>
        <w:r w:rsidR="00CC798D">
          <w:rPr>
            <w:noProof/>
            <w:webHidden/>
          </w:rPr>
          <w:fldChar w:fldCharType="separate"/>
        </w:r>
        <w:r w:rsidR="00066FB7">
          <w:rPr>
            <w:noProof/>
            <w:webHidden/>
          </w:rPr>
          <w:t>21</w:t>
        </w:r>
        <w:r w:rsidR="00CC798D">
          <w:rPr>
            <w:noProof/>
            <w:webHidden/>
          </w:rPr>
          <w:fldChar w:fldCharType="end"/>
        </w:r>
      </w:hyperlink>
    </w:p>
    <w:p w14:paraId="1F381905" w14:textId="604778EE"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95" w:history="1">
        <w:r w:rsidR="00CC798D" w:rsidRPr="009A0C70">
          <w:rPr>
            <w:rStyle w:val="Hyperlink"/>
            <w:noProof/>
          </w:rPr>
          <w:t>Figure 4. Comparison of top 20 DRGs by Average Length of Stay</w:t>
        </w:r>
        <w:r w:rsidR="00CC798D">
          <w:rPr>
            <w:noProof/>
            <w:webHidden/>
          </w:rPr>
          <w:tab/>
        </w:r>
        <w:r w:rsidR="00CC798D">
          <w:rPr>
            <w:noProof/>
            <w:webHidden/>
          </w:rPr>
          <w:fldChar w:fldCharType="begin"/>
        </w:r>
        <w:r w:rsidR="00CC798D">
          <w:rPr>
            <w:noProof/>
            <w:webHidden/>
          </w:rPr>
          <w:instrText xml:space="preserve"> PAGEREF _Toc162095 \h </w:instrText>
        </w:r>
        <w:r w:rsidR="00CC798D">
          <w:rPr>
            <w:noProof/>
            <w:webHidden/>
          </w:rPr>
        </w:r>
        <w:r w:rsidR="00CC798D">
          <w:rPr>
            <w:noProof/>
            <w:webHidden/>
          </w:rPr>
          <w:fldChar w:fldCharType="separate"/>
        </w:r>
        <w:r w:rsidR="00066FB7">
          <w:rPr>
            <w:noProof/>
            <w:webHidden/>
          </w:rPr>
          <w:t>23</w:t>
        </w:r>
        <w:r w:rsidR="00CC798D">
          <w:rPr>
            <w:noProof/>
            <w:webHidden/>
          </w:rPr>
          <w:fldChar w:fldCharType="end"/>
        </w:r>
      </w:hyperlink>
    </w:p>
    <w:p w14:paraId="4624849F" w14:textId="398C2CC3" w:rsidR="00CC798D" w:rsidRDefault="001E1929">
      <w:pPr>
        <w:pStyle w:val="TableofFigures"/>
        <w:tabs>
          <w:tab w:val="right" w:leader="dot" w:pos="9436"/>
        </w:tabs>
        <w:rPr>
          <w:rFonts w:asciiTheme="minorHAnsi" w:eastAsiaTheme="minorEastAsia" w:hAnsiTheme="minorHAnsi" w:cstheme="minorBidi"/>
          <w:noProof/>
          <w:sz w:val="22"/>
          <w:szCs w:val="22"/>
          <w:lang w:val="en-US"/>
        </w:rPr>
      </w:pPr>
      <w:hyperlink w:anchor="_Toc162096" w:history="1">
        <w:r w:rsidR="00CC798D" w:rsidRPr="009A0C70">
          <w:rPr>
            <w:rStyle w:val="Hyperlink"/>
            <w:noProof/>
          </w:rPr>
          <w:t>Figure 5. Breakdown of cost by cost-bucket group (Round 21 compared to Round 20)</w:t>
        </w:r>
        <w:r w:rsidR="00CC798D">
          <w:rPr>
            <w:noProof/>
            <w:webHidden/>
          </w:rPr>
          <w:tab/>
        </w:r>
        <w:r w:rsidR="00CC798D">
          <w:rPr>
            <w:noProof/>
            <w:webHidden/>
          </w:rPr>
          <w:fldChar w:fldCharType="begin"/>
        </w:r>
        <w:r w:rsidR="00CC798D">
          <w:rPr>
            <w:noProof/>
            <w:webHidden/>
          </w:rPr>
          <w:instrText xml:space="preserve"> PAGEREF _Toc162096 \h </w:instrText>
        </w:r>
        <w:r w:rsidR="00CC798D">
          <w:rPr>
            <w:noProof/>
            <w:webHidden/>
          </w:rPr>
        </w:r>
        <w:r w:rsidR="00CC798D">
          <w:rPr>
            <w:noProof/>
            <w:webHidden/>
          </w:rPr>
          <w:fldChar w:fldCharType="separate"/>
        </w:r>
        <w:r w:rsidR="00066FB7">
          <w:rPr>
            <w:noProof/>
            <w:webHidden/>
          </w:rPr>
          <w:t>25</w:t>
        </w:r>
        <w:r w:rsidR="00CC798D">
          <w:rPr>
            <w:noProof/>
            <w:webHidden/>
          </w:rPr>
          <w:fldChar w:fldCharType="end"/>
        </w:r>
      </w:hyperlink>
    </w:p>
    <w:p w14:paraId="70517361" w14:textId="4849ACA0" w:rsidR="00763C00" w:rsidRDefault="008E4FAA" w:rsidP="006B3A78">
      <w:pPr>
        <w:rPr>
          <w:snapToGrid w:val="0"/>
          <w:highlight w:val="yellow"/>
        </w:rPr>
      </w:pPr>
      <w:r w:rsidRPr="00E4527E">
        <w:rPr>
          <w:snapToGrid w:val="0"/>
          <w:highlight w:val="yellow"/>
        </w:rPr>
        <w:fldChar w:fldCharType="end"/>
      </w:r>
    </w:p>
    <w:p w14:paraId="41E600A7" w14:textId="77777777" w:rsidR="00763C00" w:rsidRDefault="00763C00">
      <w:pPr>
        <w:spacing w:after="0" w:line="240" w:lineRule="auto"/>
        <w:rPr>
          <w:snapToGrid w:val="0"/>
          <w:highlight w:val="yellow"/>
        </w:rPr>
      </w:pPr>
      <w:r>
        <w:rPr>
          <w:snapToGrid w:val="0"/>
          <w:highlight w:val="yellow"/>
        </w:rPr>
        <w:br w:type="page"/>
      </w:r>
    </w:p>
    <w:p w14:paraId="2DA19A5B" w14:textId="0D78CB8E" w:rsidR="004A249A" w:rsidRPr="002D3040" w:rsidRDefault="004A249A" w:rsidP="006200A2">
      <w:pPr>
        <w:pStyle w:val="Heading1"/>
        <w:numPr>
          <w:ilvl w:val="0"/>
          <w:numId w:val="0"/>
        </w:numPr>
      </w:pPr>
      <w:bookmarkStart w:id="8" w:name="_Toc496857539"/>
      <w:bookmarkStart w:id="9" w:name="_Toc161971"/>
      <w:r w:rsidRPr="002D3040">
        <w:lastRenderedPageBreak/>
        <w:t>Acronyms/Abbreviations</w:t>
      </w:r>
      <w:bookmarkEnd w:id="8"/>
      <w:bookmarkEnd w:id="9"/>
    </w:p>
    <w:p w14:paraId="2BAB54AD" w14:textId="77777777" w:rsidR="004A249A" w:rsidRPr="002D3040" w:rsidRDefault="004A249A" w:rsidP="004A249A"/>
    <w:tbl>
      <w:tblPr>
        <w:tblStyle w:val="Tables-APBase"/>
        <w:tblW w:w="0" w:type="auto"/>
        <w:tblInd w:w="0" w:type="dxa"/>
        <w:tblLook w:val="04A0" w:firstRow="1" w:lastRow="0" w:firstColumn="1" w:lastColumn="0" w:noHBand="0" w:noVBand="1"/>
        <w:tblCaption w:val="List of abbreviations"/>
        <w:tblDescription w:val="This table contains the list of abbreviations used in the report with columns for the abbreviations and their respective descriptions/definitions"/>
      </w:tblPr>
      <w:tblGrid>
        <w:gridCol w:w="2576"/>
        <w:gridCol w:w="5788"/>
      </w:tblGrid>
      <w:tr w:rsidR="004A249A" w:rsidRPr="002D3040" w14:paraId="4C666F20" w14:textId="77777777" w:rsidTr="00913C5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576" w:type="dxa"/>
            <w:tcBorders>
              <w:top w:val="nil"/>
              <w:left w:val="nil"/>
              <w:bottom w:val="nil"/>
              <w:right w:val="nil"/>
            </w:tcBorders>
            <w:shd w:val="clear" w:color="auto" w:fill="004200" w:themeFill="accent1"/>
            <w:hideMark/>
          </w:tcPr>
          <w:p w14:paraId="66DC2C7D" w14:textId="1346F2BF" w:rsidR="004A249A" w:rsidRPr="002D3040" w:rsidRDefault="004A249A" w:rsidP="00B92C6C">
            <w:pPr>
              <w:pStyle w:val="TableText"/>
              <w:rPr>
                <w:rFonts w:asciiTheme="minorHAnsi" w:hAnsiTheme="minorHAnsi" w:cstheme="minorHAnsi"/>
                <w:b/>
                <w:sz w:val="22"/>
                <w:szCs w:val="22"/>
              </w:rPr>
            </w:pPr>
            <w:r w:rsidRPr="002D3040">
              <w:rPr>
                <w:rFonts w:asciiTheme="minorHAnsi" w:hAnsiTheme="minorHAnsi" w:cstheme="minorHAnsi"/>
                <w:b/>
                <w:sz w:val="22"/>
                <w:szCs w:val="22"/>
              </w:rPr>
              <w:t>Acronym/Abbreviation</w:t>
            </w:r>
          </w:p>
        </w:tc>
        <w:tc>
          <w:tcPr>
            <w:tcW w:w="5788" w:type="dxa"/>
            <w:tcBorders>
              <w:top w:val="nil"/>
              <w:left w:val="nil"/>
              <w:bottom w:val="nil"/>
              <w:right w:val="nil"/>
            </w:tcBorders>
            <w:shd w:val="clear" w:color="auto" w:fill="004200" w:themeFill="accent1"/>
            <w:hideMark/>
          </w:tcPr>
          <w:p w14:paraId="27A3A7BB" w14:textId="0E2096D4" w:rsidR="004A249A" w:rsidRPr="002D3040" w:rsidRDefault="004A249A" w:rsidP="00B92C6C">
            <w:pPr>
              <w:pStyle w:val="TableText"/>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D3040">
              <w:rPr>
                <w:rFonts w:asciiTheme="minorHAnsi" w:hAnsiTheme="minorHAnsi" w:cstheme="minorHAnsi"/>
                <w:b/>
                <w:sz w:val="22"/>
                <w:szCs w:val="22"/>
              </w:rPr>
              <w:t>Description</w:t>
            </w:r>
          </w:p>
        </w:tc>
      </w:tr>
      <w:tr w:rsidR="004A249A" w:rsidRPr="002D3040" w14:paraId="58CB06A5" w14:textId="77777777" w:rsidTr="00913C50">
        <w:tc>
          <w:tcPr>
            <w:tcW w:w="2576" w:type="dxa"/>
            <w:tcBorders>
              <w:top w:val="nil"/>
              <w:bottom w:val="nil"/>
            </w:tcBorders>
            <w:hideMark/>
          </w:tcPr>
          <w:p w14:paraId="10C1EF53"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ABS</w:t>
            </w:r>
          </w:p>
        </w:tc>
        <w:tc>
          <w:tcPr>
            <w:tcW w:w="5788" w:type="dxa"/>
            <w:tcBorders>
              <w:top w:val="nil"/>
              <w:bottom w:val="nil"/>
            </w:tcBorders>
            <w:hideMark/>
          </w:tcPr>
          <w:p w14:paraId="7B070EAD"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Australian Bureau of Statistics</w:t>
            </w:r>
          </w:p>
        </w:tc>
      </w:tr>
      <w:tr w:rsidR="004A249A" w:rsidRPr="002D3040" w14:paraId="58D2E67A" w14:textId="77777777" w:rsidTr="00913C50">
        <w:tc>
          <w:tcPr>
            <w:tcW w:w="2576" w:type="dxa"/>
            <w:tcBorders>
              <w:top w:val="nil"/>
              <w:bottom w:val="nil"/>
            </w:tcBorders>
            <w:hideMark/>
          </w:tcPr>
          <w:p w14:paraId="7FCAD542"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AHPCS</w:t>
            </w:r>
          </w:p>
        </w:tc>
        <w:tc>
          <w:tcPr>
            <w:tcW w:w="5788" w:type="dxa"/>
            <w:tcBorders>
              <w:top w:val="nil"/>
              <w:bottom w:val="nil"/>
            </w:tcBorders>
            <w:hideMark/>
          </w:tcPr>
          <w:p w14:paraId="236445B5"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Australian Hospital Patient Costing Standards</w:t>
            </w:r>
          </w:p>
        </w:tc>
      </w:tr>
      <w:tr w:rsidR="004A249A" w:rsidRPr="002D3040" w14:paraId="182C2ED7" w14:textId="77777777" w:rsidTr="00913C50">
        <w:tc>
          <w:tcPr>
            <w:tcW w:w="2576" w:type="dxa"/>
            <w:tcBorders>
              <w:top w:val="nil"/>
              <w:bottom w:val="nil"/>
            </w:tcBorders>
            <w:hideMark/>
          </w:tcPr>
          <w:p w14:paraId="2DE0B93A"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AIHW</w:t>
            </w:r>
          </w:p>
        </w:tc>
        <w:tc>
          <w:tcPr>
            <w:tcW w:w="5788" w:type="dxa"/>
            <w:tcBorders>
              <w:top w:val="nil"/>
              <w:bottom w:val="nil"/>
            </w:tcBorders>
            <w:hideMark/>
          </w:tcPr>
          <w:p w14:paraId="212EB6EC"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Australian Institute of Health and Welfare</w:t>
            </w:r>
          </w:p>
        </w:tc>
      </w:tr>
      <w:tr w:rsidR="004A249A" w:rsidRPr="002D3040" w14:paraId="1625C3C0" w14:textId="77777777" w:rsidTr="00913C50">
        <w:tc>
          <w:tcPr>
            <w:tcW w:w="2576" w:type="dxa"/>
            <w:tcBorders>
              <w:top w:val="nil"/>
              <w:bottom w:val="nil"/>
            </w:tcBorders>
            <w:hideMark/>
          </w:tcPr>
          <w:p w14:paraId="14015EF1"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AR-DRG</w:t>
            </w:r>
          </w:p>
        </w:tc>
        <w:tc>
          <w:tcPr>
            <w:tcW w:w="5788" w:type="dxa"/>
            <w:tcBorders>
              <w:top w:val="nil"/>
              <w:bottom w:val="nil"/>
            </w:tcBorders>
            <w:hideMark/>
          </w:tcPr>
          <w:p w14:paraId="13A40378" w14:textId="626582BD"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Australian Refined</w:t>
            </w:r>
            <w:r w:rsidR="00F74337" w:rsidRPr="002D3040">
              <w:rPr>
                <w:rFonts w:asciiTheme="minorHAnsi" w:hAnsiTheme="minorHAnsi" w:cstheme="minorHAnsi"/>
                <w:sz w:val="22"/>
                <w:szCs w:val="22"/>
              </w:rPr>
              <w:t xml:space="preserve"> -</w:t>
            </w:r>
            <w:r w:rsidRPr="002D3040">
              <w:rPr>
                <w:rFonts w:asciiTheme="minorHAnsi" w:hAnsiTheme="minorHAnsi" w:cstheme="minorHAnsi"/>
                <w:sz w:val="22"/>
                <w:szCs w:val="22"/>
              </w:rPr>
              <w:t xml:space="preserve"> Diagnosis Related Group</w:t>
            </w:r>
          </w:p>
        </w:tc>
      </w:tr>
      <w:tr w:rsidR="004A249A" w:rsidRPr="002D3040" w14:paraId="5E48BB37" w14:textId="77777777" w:rsidTr="00913C50">
        <w:tc>
          <w:tcPr>
            <w:tcW w:w="2576" w:type="dxa"/>
            <w:tcBorders>
              <w:top w:val="nil"/>
              <w:bottom w:val="nil"/>
            </w:tcBorders>
          </w:tcPr>
          <w:p w14:paraId="15A22CF5"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DRG</w:t>
            </w:r>
          </w:p>
        </w:tc>
        <w:tc>
          <w:tcPr>
            <w:tcW w:w="5788" w:type="dxa"/>
            <w:tcBorders>
              <w:top w:val="nil"/>
              <w:bottom w:val="nil"/>
            </w:tcBorders>
          </w:tcPr>
          <w:p w14:paraId="09A37193"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Diagnosis Related Group</w:t>
            </w:r>
          </w:p>
        </w:tc>
      </w:tr>
      <w:tr w:rsidR="004A249A" w:rsidRPr="002D3040" w14:paraId="26D2F8BB" w14:textId="77777777" w:rsidTr="00913C50">
        <w:tc>
          <w:tcPr>
            <w:tcW w:w="2576" w:type="dxa"/>
            <w:tcBorders>
              <w:top w:val="nil"/>
              <w:bottom w:val="nil"/>
            </w:tcBorders>
            <w:hideMark/>
          </w:tcPr>
          <w:p w14:paraId="27430A45"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EDW</w:t>
            </w:r>
          </w:p>
        </w:tc>
        <w:tc>
          <w:tcPr>
            <w:tcW w:w="5788" w:type="dxa"/>
            <w:tcBorders>
              <w:top w:val="nil"/>
              <w:bottom w:val="nil"/>
            </w:tcBorders>
            <w:hideMark/>
          </w:tcPr>
          <w:p w14:paraId="51EDB203"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Enterprise Data Warehouse</w:t>
            </w:r>
          </w:p>
        </w:tc>
      </w:tr>
      <w:tr w:rsidR="004A249A" w:rsidRPr="002D3040" w14:paraId="6687831D" w14:textId="77777777" w:rsidTr="00913C50">
        <w:trPr>
          <w:trHeight w:val="467"/>
        </w:trPr>
        <w:tc>
          <w:tcPr>
            <w:tcW w:w="2576" w:type="dxa"/>
            <w:tcBorders>
              <w:top w:val="nil"/>
              <w:bottom w:val="nil"/>
            </w:tcBorders>
            <w:hideMark/>
          </w:tcPr>
          <w:p w14:paraId="069CD708"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HCP</w:t>
            </w:r>
          </w:p>
        </w:tc>
        <w:tc>
          <w:tcPr>
            <w:tcW w:w="5788" w:type="dxa"/>
            <w:tcBorders>
              <w:top w:val="nil"/>
              <w:bottom w:val="nil"/>
            </w:tcBorders>
            <w:hideMark/>
          </w:tcPr>
          <w:p w14:paraId="49F2111E"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Hospital Casemix Protocol</w:t>
            </w:r>
          </w:p>
        </w:tc>
      </w:tr>
      <w:tr w:rsidR="004A249A" w:rsidRPr="002D3040" w14:paraId="5AA68932" w14:textId="77777777" w:rsidTr="00913C50">
        <w:trPr>
          <w:trHeight w:val="510"/>
        </w:trPr>
        <w:tc>
          <w:tcPr>
            <w:tcW w:w="2576" w:type="dxa"/>
            <w:tcBorders>
              <w:top w:val="nil"/>
              <w:bottom w:val="nil"/>
            </w:tcBorders>
            <w:hideMark/>
          </w:tcPr>
          <w:p w14:paraId="77BDD9DB"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ICD-10-AM</w:t>
            </w:r>
          </w:p>
        </w:tc>
        <w:tc>
          <w:tcPr>
            <w:tcW w:w="5788" w:type="dxa"/>
            <w:tcBorders>
              <w:top w:val="nil"/>
              <w:bottom w:val="nil"/>
            </w:tcBorders>
            <w:hideMark/>
          </w:tcPr>
          <w:p w14:paraId="495B9D18"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International statistical classification of diseases and related health problems, Tenth Revision, Australian modification</w:t>
            </w:r>
          </w:p>
        </w:tc>
      </w:tr>
      <w:tr w:rsidR="004A249A" w:rsidRPr="002D3040" w14:paraId="0F13624D" w14:textId="77777777" w:rsidTr="00913C50">
        <w:tc>
          <w:tcPr>
            <w:tcW w:w="2576" w:type="dxa"/>
            <w:tcBorders>
              <w:top w:val="nil"/>
              <w:bottom w:val="nil"/>
            </w:tcBorders>
            <w:hideMark/>
          </w:tcPr>
          <w:p w14:paraId="41EA1715"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IHPA</w:t>
            </w:r>
          </w:p>
        </w:tc>
        <w:tc>
          <w:tcPr>
            <w:tcW w:w="5788" w:type="dxa"/>
            <w:tcBorders>
              <w:top w:val="nil"/>
              <w:bottom w:val="nil"/>
            </w:tcBorders>
            <w:hideMark/>
          </w:tcPr>
          <w:p w14:paraId="4C846B40"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Independent Hospital Pricing Authority</w:t>
            </w:r>
          </w:p>
        </w:tc>
      </w:tr>
      <w:tr w:rsidR="004A249A" w:rsidRPr="002D3040" w14:paraId="1A6DF007" w14:textId="77777777" w:rsidTr="00913C50">
        <w:tc>
          <w:tcPr>
            <w:tcW w:w="2576" w:type="dxa"/>
            <w:tcBorders>
              <w:top w:val="nil"/>
              <w:bottom w:val="nil"/>
            </w:tcBorders>
            <w:hideMark/>
          </w:tcPr>
          <w:p w14:paraId="355E6124"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NHCDC</w:t>
            </w:r>
          </w:p>
        </w:tc>
        <w:tc>
          <w:tcPr>
            <w:tcW w:w="5788" w:type="dxa"/>
            <w:tcBorders>
              <w:top w:val="nil"/>
              <w:bottom w:val="nil"/>
            </w:tcBorders>
            <w:hideMark/>
          </w:tcPr>
          <w:p w14:paraId="00C18091"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National hospital cost data collection</w:t>
            </w:r>
          </w:p>
        </w:tc>
      </w:tr>
      <w:tr w:rsidR="004A249A" w:rsidRPr="002D3040" w14:paraId="2EB36B95" w14:textId="77777777" w:rsidTr="00913C50">
        <w:tc>
          <w:tcPr>
            <w:tcW w:w="2576" w:type="dxa"/>
            <w:tcBorders>
              <w:top w:val="nil"/>
              <w:bottom w:val="nil"/>
            </w:tcBorders>
            <w:hideMark/>
          </w:tcPr>
          <w:p w14:paraId="069DFC9D"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OR</w:t>
            </w:r>
          </w:p>
        </w:tc>
        <w:tc>
          <w:tcPr>
            <w:tcW w:w="5788" w:type="dxa"/>
            <w:tcBorders>
              <w:top w:val="nil"/>
              <w:bottom w:val="nil"/>
            </w:tcBorders>
            <w:hideMark/>
          </w:tcPr>
          <w:p w14:paraId="75F0B743"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Operating room (theatres)</w:t>
            </w:r>
          </w:p>
        </w:tc>
      </w:tr>
      <w:tr w:rsidR="004A249A" w:rsidRPr="002D3040" w14:paraId="27A6AC1D" w14:textId="77777777" w:rsidTr="00913C50">
        <w:tc>
          <w:tcPr>
            <w:tcW w:w="2576" w:type="dxa"/>
            <w:tcBorders>
              <w:top w:val="nil"/>
              <w:bottom w:val="nil"/>
            </w:tcBorders>
            <w:hideMark/>
          </w:tcPr>
          <w:p w14:paraId="3432F3F1"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PHDB</w:t>
            </w:r>
          </w:p>
        </w:tc>
        <w:tc>
          <w:tcPr>
            <w:tcW w:w="5788" w:type="dxa"/>
            <w:tcBorders>
              <w:top w:val="nil"/>
              <w:bottom w:val="nil"/>
            </w:tcBorders>
            <w:hideMark/>
          </w:tcPr>
          <w:p w14:paraId="21C542F6"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Private Hospital Data Bureau</w:t>
            </w:r>
          </w:p>
        </w:tc>
      </w:tr>
      <w:tr w:rsidR="004A249A" w:rsidRPr="002D3040" w14:paraId="0149CBDA" w14:textId="77777777" w:rsidTr="00913C50">
        <w:tc>
          <w:tcPr>
            <w:tcW w:w="2576" w:type="dxa"/>
            <w:tcBorders>
              <w:top w:val="nil"/>
              <w:bottom w:val="nil"/>
            </w:tcBorders>
            <w:hideMark/>
          </w:tcPr>
          <w:p w14:paraId="402598B8"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PwC</w:t>
            </w:r>
          </w:p>
        </w:tc>
        <w:tc>
          <w:tcPr>
            <w:tcW w:w="5788" w:type="dxa"/>
            <w:tcBorders>
              <w:top w:val="nil"/>
              <w:bottom w:val="nil"/>
            </w:tcBorders>
            <w:hideMark/>
          </w:tcPr>
          <w:p w14:paraId="7D60AFEB" w14:textId="2B33D13E" w:rsidR="004A249A" w:rsidRPr="002D3040" w:rsidRDefault="00D25FCD" w:rsidP="00B92C6C">
            <w:pPr>
              <w:pStyle w:val="TableText"/>
              <w:rPr>
                <w:rFonts w:asciiTheme="minorHAnsi" w:hAnsiTheme="minorHAnsi" w:cstheme="minorHAnsi"/>
                <w:sz w:val="22"/>
                <w:szCs w:val="22"/>
              </w:rPr>
            </w:pPr>
            <w:r w:rsidRPr="00D25FCD">
              <w:rPr>
                <w:rFonts w:asciiTheme="minorHAnsi" w:hAnsiTheme="minorHAnsi" w:cstheme="minorHAnsi"/>
                <w:sz w:val="22"/>
                <w:szCs w:val="22"/>
              </w:rPr>
              <w:t>PricewaterhouseCoopers Consulting Pty Limited</w:t>
            </w:r>
          </w:p>
        </w:tc>
      </w:tr>
      <w:tr w:rsidR="004A249A" w:rsidRPr="002D3040" w14:paraId="161B676C" w14:textId="77777777" w:rsidTr="00913C50">
        <w:tc>
          <w:tcPr>
            <w:tcW w:w="2576" w:type="dxa"/>
            <w:tcBorders>
              <w:top w:val="nil"/>
              <w:bottom w:val="nil"/>
            </w:tcBorders>
          </w:tcPr>
          <w:p w14:paraId="071E18E1"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QA</w:t>
            </w:r>
          </w:p>
        </w:tc>
        <w:tc>
          <w:tcPr>
            <w:tcW w:w="5788" w:type="dxa"/>
            <w:tcBorders>
              <w:top w:val="nil"/>
              <w:bottom w:val="nil"/>
            </w:tcBorders>
          </w:tcPr>
          <w:p w14:paraId="28AD2970"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Quality Assurance</w:t>
            </w:r>
          </w:p>
        </w:tc>
      </w:tr>
      <w:tr w:rsidR="004A249A" w:rsidRPr="002D3040" w14:paraId="09A11A5B" w14:textId="77777777" w:rsidTr="00913C50">
        <w:tc>
          <w:tcPr>
            <w:tcW w:w="2576" w:type="dxa"/>
            <w:tcBorders>
              <w:top w:val="nil"/>
              <w:bottom w:val="nil"/>
            </w:tcBorders>
            <w:hideMark/>
          </w:tcPr>
          <w:p w14:paraId="345B5F22"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SPS</w:t>
            </w:r>
          </w:p>
        </w:tc>
        <w:tc>
          <w:tcPr>
            <w:tcW w:w="5788" w:type="dxa"/>
            <w:tcBorders>
              <w:top w:val="nil"/>
              <w:bottom w:val="nil"/>
            </w:tcBorders>
            <w:hideMark/>
          </w:tcPr>
          <w:p w14:paraId="305D62B9" w14:textId="4B371F64" w:rsidR="004A249A" w:rsidRPr="002D3040" w:rsidRDefault="004A249A" w:rsidP="002D3040">
            <w:pPr>
              <w:pStyle w:val="TableText"/>
              <w:rPr>
                <w:rFonts w:asciiTheme="minorHAnsi" w:hAnsiTheme="minorHAnsi" w:cstheme="minorHAnsi"/>
                <w:sz w:val="22"/>
                <w:szCs w:val="22"/>
              </w:rPr>
            </w:pPr>
            <w:r w:rsidRPr="002D3040">
              <w:rPr>
                <w:rFonts w:asciiTheme="minorHAnsi" w:hAnsiTheme="minorHAnsi" w:cstheme="minorHAnsi"/>
                <w:sz w:val="22"/>
                <w:szCs w:val="22"/>
              </w:rPr>
              <w:t>Special</w:t>
            </w:r>
            <w:r w:rsidR="00F83BB8">
              <w:rPr>
                <w:rFonts w:asciiTheme="minorHAnsi" w:hAnsiTheme="minorHAnsi" w:cstheme="minorHAnsi"/>
                <w:sz w:val="22"/>
                <w:szCs w:val="22"/>
              </w:rPr>
              <w:t>ist</w:t>
            </w:r>
            <w:r w:rsidRPr="002D3040">
              <w:rPr>
                <w:rFonts w:asciiTheme="minorHAnsi" w:hAnsiTheme="minorHAnsi" w:cstheme="minorHAnsi"/>
                <w:sz w:val="22"/>
                <w:szCs w:val="22"/>
              </w:rPr>
              <w:t xml:space="preserve"> procedure suites</w:t>
            </w:r>
          </w:p>
        </w:tc>
      </w:tr>
      <w:tr w:rsidR="004A249A" w:rsidRPr="00E4527E" w14:paraId="2B88523F" w14:textId="77777777" w:rsidTr="00913C50">
        <w:tc>
          <w:tcPr>
            <w:tcW w:w="2576" w:type="dxa"/>
            <w:tcBorders>
              <w:top w:val="nil"/>
              <w:bottom w:val="single" w:sz="6" w:space="0" w:color="333132" w:themeColor="text2"/>
            </w:tcBorders>
            <w:hideMark/>
          </w:tcPr>
          <w:p w14:paraId="047CC74D" w14:textId="77777777" w:rsidR="004A249A" w:rsidRPr="00913C50" w:rsidRDefault="004A249A" w:rsidP="00B92C6C">
            <w:pPr>
              <w:pStyle w:val="TableText"/>
              <w:rPr>
                <w:rFonts w:asciiTheme="minorHAnsi" w:hAnsiTheme="minorHAnsi" w:cstheme="minorHAnsi"/>
                <w:b/>
                <w:sz w:val="22"/>
                <w:szCs w:val="22"/>
              </w:rPr>
            </w:pPr>
            <w:r w:rsidRPr="00913C50">
              <w:rPr>
                <w:rFonts w:asciiTheme="minorHAnsi" w:hAnsiTheme="minorHAnsi" w:cstheme="minorHAnsi"/>
                <w:b/>
                <w:sz w:val="22"/>
                <w:szCs w:val="22"/>
              </w:rPr>
              <w:t>WIP</w:t>
            </w:r>
          </w:p>
        </w:tc>
        <w:tc>
          <w:tcPr>
            <w:tcW w:w="5788" w:type="dxa"/>
            <w:tcBorders>
              <w:top w:val="nil"/>
              <w:bottom w:val="single" w:sz="6" w:space="0" w:color="333132" w:themeColor="text2"/>
            </w:tcBorders>
            <w:hideMark/>
          </w:tcPr>
          <w:p w14:paraId="41F69393" w14:textId="77777777" w:rsidR="004A249A" w:rsidRPr="002D3040" w:rsidRDefault="004A249A" w:rsidP="00B92C6C">
            <w:pPr>
              <w:pStyle w:val="TableText"/>
              <w:rPr>
                <w:rFonts w:asciiTheme="minorHAnsi" w:hAnsiTheme="minorHAnsi" w:cstheme="minorHAnsi"/>
                <w:sz w:val="22"/>
                <w:szCs w:val="22"/>
              </w:rPr>
            </w:pPr>
            <w:r w:rsidRPr="002D3040">
              <w:rPr>
                <w:rFonts w:asciiTheme="minorHAnsi" w:hAnsiTheme="minorHAnsi" w:cstheme="minorHAnsi"/>
                <w:sz w:val="22"/>
                <w:szCs w:val="22"/>
              </w:rPr>
              <w:t>Work in progress</w:t>
            </w:r>
          </w:p>
        </w:tc>
      </w:tr>
    </w:tbl>
    <w:p w14:paraId="27C802F8" w14:textId="77777777" w:rsidR="004A249A" w:rsidRPr="00E4527E" w:rsidRDefault="004A249A" w:rsidP="004A249A">
      <w:pPr>
        <w:pStyle w:val="NormalIndent"/>
        <w:ind w:left="0"/>
        <w:rPr>
          <w:b/>
          <w:i/>
          <w:highlight w:val="yellow"/>
        </w:rPr>
      </w:pPr>
    </w:p>
    <w:p w14:paraId="1D464886" w14:textId="77777777" w:rsidR="0009001E" w:rsidRDefault="0009001E">
      <w:pPr>
        <w:spacing w:after="0"/>
        <w:rPr>
          <w:rFonts w:asciiTheme="majorHAnsi" w:hAnsiTheme="majorHAnsi"/>
          <w:b/>
          <w:sz w:val="64"/>
          <w:szCs w:val="44"/>
        </w:rPr>
      </w:pPr>
      <w:r>
        <w:br w:type="page"/>
      </w:r>
    </w:p>
    <w:p w14:paraId="2839F1C5" w14:textId="2F4C4D82" w:rsidR="007C657D" w:rsidRPr="006B11DB" w:rsidRDefault="007C657D" w:rsidP="006200A2">
      <w:pPr>
        <w:pStyle w:val="Heading1"/>
        <w:numPr>
          <w:ilvl w:val="0"/>
          <w:numId w:val="0"/>
        </w:numPr>
      </w:pPr>
      <w:bookmarkStart w:id="10" w:name="_Toc161972"/>
      <w:r w:rsidRPr="00545558">
        <w:lastRenderedPageBreak/>
        <w:t>Dis</w:t>
      </w:r>
      <w:r w:rsidR="00761624" w:rsidRPr="00545558">
        <w:t>claimer</w:t>
      </w:r>
      <w:bookmarkEnd w:id="10"/>
    </w:p>
    <w:p w14:paraId="04C81271" w14:textId="4FDA94FD" w:rsidR="007C657D" w:rsidRPr="006B11DB" w:rsidRDefault="007C657D" w:rsidP="006200A2">
      <w:pPr>
        <w:pStyle w:val="Heading2-nonumbers"/>
      </w:pPr>
      <w:r w:rsidRPr="006B11DB">
        <w:t>Reliance on this report</w:t>
      </w:r>
    </w:p>
    <w:p w14:paraId="55242ABB" w14:textId="6C03E70D" w:rsidR="00387025" w:rsidRPr="00387025" w:rsidRDefault="00387025" w:rsidP="00387025">
      <w:r w:rsidRPr="00387025">
        <w:t xml:space="preserve">This Report has been prepared by PricewaterhouseCoopers </w:t>
      </w:r>
      <w:r w:rsidR="00D25FCD">
        <w:t>Consulting Pty Limited</w:t>
      </w:r>
      <w:r w:rsidRPr="00387025">
        <w:t xml:space="preserve"> (PwC) at the request of </w:t>
      </w:r>
      <w:r w:rsidR="003F57B4">
        <w:t xml:space="preserve">the </w:t>
      </w:r>
      <w:r w:rsidRPr="00387025">
        <w:t>Independent Hospital Pricing Authority (IHPA). PwC prepared this report solely for IHPA’s use in accordance with and for the purpose set out in the contract between IHPA and PwC. PwC acted exclusively for IHPA and considered no-one else’s interest</w:t>
      </w:r>
      <w:r w:rsidR="009E132F">
        <w:t xml:space="preserve">s and </w:t>
      </w:r>
      <w:r w:rsidRPr="00387025">
        <w:t>accepts no responsibility, duty or liability to anyone other than IHPA in connection with this report, and for the consequences of using or relying on it for a purpose other than that referred to above.</w:t>
      </w:r>
      <w:r w:rsidR="00D25FCD">
        <w:t xml:space="preserve"> </w:t>
      </w:r>
    </w:p>
    <w:p w14:paraId="7D9DECA4" w14:textId="1F6B0D4D" w:rsidR="00387025" w:rsidRPr="006B11DB" w:rsidRDefault="00387025" w:rsidP="00387025">
      <w:r w:rsidRPr="00387025">
        <w:t>This disclaimer applies to the maximum extent permitted by law and, without limitation, to liability arising in negligence or under statute</w:t>
      </w:r>
      <w:r w:rsidR="00573FF7">
        <w:t>.</w:t>
      </w:r>
      <w:r w:rsidR="00D25FCD">
        <w:t xml:space="preserve"> </w:t>
      </w:r>
      <w:r w:rsidRPr="00387025">
        <w:t>Liability is limited by a scheme approved under Professional Standards legislation.</w:t>
      </w:r>
    </w:p>
    <w:p w14:paraId="22701C60" w14:textId="541BCE1C" w:rsidR="003D7E16" w:rsidRPr="00105F5C" w:rsidRDefault="003D7E16" w:rsidP="006200A2">
      <w:pPr>
        <w:pStyle w:val="Heading2-nonumbers"/>
      </w:pPr>
      <w:r w:rsidRPr="00105F5C">
        <w:t xml:space="preserve">Comparison to Round </w:t>
      </w:r>
      <w:r w:rsidR="00105F5C" w:rsidRPr="00105F5C">
        <w:t>20</w:t>
      </w:r>
      <w:r w:rsidRPr="00105F5C">
        <w:t xml:space="preserve"> report</w:t>
      </w:r>
    </w:p>
    <w:p w14:paraId="50E53ACB" w14:textId="03AA317E" w:rsidR="003D7E16" w:rsidRPr="00252565" w:rsidRDefault="00105F5C" w:rsidP="00252565">
      <w:r w:rsidRPr="00105F5C">
        <w:t>The Round 21</w:t>
      </w:r>
      <w:r w:rsidR="003D7E16" w:rsidRPr="00105F5C">
        <w:t xml:space="preserve"> ranking analysis cannot be </w:t>
      </w:r>
      <w:r w:rsidRPr="00105F5C">
        <w:t xml:space="preserve">directly </w:t>
      </w:r>
      <w:r w:rsidR="003D7E16" w:rsidRPr="00105F5C">
        <w:t xml:space="preserve">compared to the published Round </w:t>
      </w:r>
      <w:r w:rsidRPr="00105F5C">
        <w:t>20</w:t>
      </w:r>
      <w:r w:rsidR="003D7E16" w:rsidRPr="00105F5C">
        <w:t xml:space="preserve"> </w:t>
      </w:r>
      <w:r w:rsidR="00351C9A" w:rsidRPr="00105F5C">
        <w:t>National Hospital Cost Data Collection (</w:t>
      </w:r>
      <w:r w:rsidR="003D7E16" w:rsidRPr="00105F5C">
        <w:t>NHCDC</w:t>
      </w:r>
      <w:r w:rsidR="00351C9A" w:rsidRPr="00105F5C">
        <w:t>)</w:t>
      </w:r>
      <w:r w:rsidR="003D7E16" w:rsidRPr="00105F5C">
        <w:t xml:space="preserve"> report due to moving from </w:t>
      </w:r>
      <w:r w:rsidR="00351C9A" w:rsidRPr="00105F5C">
        <w:t xml:space="preserve">Australian </w:t>
      </w:r>
      <w:r w:rsidRPr="00105F5C">
        <w:t>Refined Diagnosis Related Group</w:t>
      </w:r>
      <w:r w:rsidR="00351C9A" w:rsidRPr="00105F5C">
        <w:t xml:space="preserve"> (</w:t>
      </w:r>
      <w:r w:rsidR="003D7E16" w:rsidRPr="00105F5C">
        <w:t>AR-DRG</w:t>
      </w:r>
      <w:r w:rsidR="00351C9A" w:rsidRPr="00105F5C">
        <w:t>)</w:t>
      </w:r>
      <w:r w:rsidR="003D7E16" w:rsidRPr="00105F5C">
        <w:t xml:space="preserve"> version </w:t>
      </w:r>
      <w:r w:rsidRPr="00105F5C">
        <w:t>8</w:t>
      </w:r>
      <w:r w:rsidR="003D7E16" w:rsidRPr="00105F5C">
        <w:t>.0</w:t>
      </w:r>
      <w:r w:rsidRPr="00105F5C">
        <w:t xml:space="preserve"> in the Round 20</w:t>
      </w:r>
      <w:r w:rsidR="003D7E16" w:rsidRPr="00105F5C">
        <w:t xml:space="preserve"> </w:t>
      </w:r>
      <w:r w:rsidRPr="00105F5C">
        <w:t xml:space="preserve">report </w:t>
      </w:r>
      <w:r w:rsidR="003D7E16" w:rsidRPr="00105F5C">
        <w:t>to</w:t>
      </w:r>
      <w:r w:rsidR="00545558">
        <w:t xml:space="preserve"> AR-DRG</w:t>
      </w:r>
      <w:r w:rsidR="003D7E16" w:rsidRPr="00105F5C">
        <w:t xml:space="preserve"> versio</w:t>
      </w:r>
      <w:r w:rsidR="00A45C4C" w:rsidRPr="00105F5C">
        <w:t xml:space="preserve">n </w:t>
      </w:r>
      <w:r w:rsidRPr="00105F5C">
        <w:t>9</w:t>
      </w:r>
      <w:r w:rsidR="00A45C4C" w:rsidRPr="00105F5C">
        <w:t xml:space="preserve">.0 </w:t>
      </w:r>
      <w:r w:rsidRPr="00105F5C">
        <w:t>in the Round 21 report. In order to make comparisons between rounds, the data from Round 20 was regrouped to AR-DRG version 9.0, and re-ranked, and these regrouped rankings appear in the tables in this report.</w:t>
      </w:r>
      <w:r w:rsidR="003D7E16" w:rsidRPr="00252565">
        <w:t xml:space="preserve"> </w:t>
      </w:r>
    </w:p>
    <w:p w14:paraId="759AB282" w14:textId="77777777" w:rsidR="00761624" w:rsidRPr="00105F5C" w:rsidRDefault="00761624" w:rsidP="006200A2">
      <w:pPr>
        <w:pStyle w:val="Heading2-nonumbers"/>
      </w:pPr>
      <w:r w:rsidRPr="00105F5C">
        <w:t>Public and private sector differences</w:t>
      </w:r>
    </w:p>
    <w:p w14:paraId="4ABF1A30" w14:textId="35D41647" w:rsidR="00761624" w:rsidRPr="00105F5C" w:rsidRDefault="00761624" w:rsidP="00252565">
      <w:pPr>
        <w:spacing w:after="240"/>
      </w:pPr>
      <w:r w:rsidRPr="00105F5C">
        <w:t xml:space="preserve">This report does not seek to compare the average cost per separation between the public and private sectors, as the scope of costs between the two sectors is different. Many of the cost items present in the public sector such as </w:t>
      </w:r>
      <w:r w:rsidR="00C27357">
        <w:t>medical specialist costs, including p</w:t>
      </w:r>
      <w:r w:rsidRPr="00105F5C">
        <w:t xml:space="preserve">athology </w:t>
      </w:r>
      <w:r w:rsidR="00C27357">
        <w:t>and i</w:t>
      </w:r>
      <w:r w:rsidRPr="00105F5C">
        <w:t xml:space="preserve">maging are not equally represented in Private Hospital general ledgers. </w:t>
      </w:r>
      <w:r w:rsidR="00C27357">
        <w:t>T</w:t>
      </w:r>
      <w:r w:rsidRPr="00105F5C">
        <w:t>hese costs are generally not reported for the private sector because the majority of hospitals do not provide these services directly and patients pay for these services separately.</w:t>
      </w:r>
    </w:p>
    <w:p w14:paraId="205C921C" w14:textId="638AEAAB" w:rsidR="00761624" w:rsidRPr="00105F5C" w:rsidRDefault="00761624" w:rsidP="006200A2">
      <w:pPr>
        <w:pStyle w:val="Heading2-nonumbers"/>
      </w:pPr>
      <w:r w:rsidRPr="00105F5C">
        <w:t>Confidentiality of data</w:t>
      </w:r>
    </w:p>
    <w:p w14:paraId="1A5DFA84" w14:textId="2588C02D" w:rsidR="00761624" w:rsidRPr="00105F5C" w:rsidRDefault="00761624" w:rsidP="00D363C9">
      <w:r w:rsidRPr="00105F5C">
        <w:t>Due to the commercial nature of the sector, all participating hospitals in Round 2</w:t>
      </w:r>
      <w:r w:rsidR="00105F5C" w:rsidRPr="00105F5C">
        <w:t>1</w:t>
      </w:r>
      <w:r w:rsidRPr="00105F5C">
        <w:t xml:space="preserve"> are requested to sign a confidentiality agreement before any final reports are released.  </w:t>
      </w:r>
    </w:p>
    <w:p w14:paraId="615D4EED" w14:textId="7E632C65" w:rsidR="00683C93" w:rsidRPr="00E4527E" w:rsidRDefault="00D25FCD" w:rsidP="00D363C9">
      <w:pPr>
        <w:rPr>
          <w:rFonts w:cs="Georgia"/>
          <w:color w:val="000000"/>
          <w:highlight w:val="yellow"/>
        </w:rPr>
      </w:pPr>
      <w:r>
        <w:t>In this report, w</w:t>
      </w:r>
      <w:r w:rsidR="00761624" w:rsidRPr="00105F5C">
        <w:t>here a</w:t>
      </w:r>
      <w:r w:rsidR="00683C93" w:rsidRPr="00105F5C">
        <w:t xml:space="preserve"> cost weight reported for a</w:t>
      </w:r>
      <w:r w:rsidR="00D61C39" w:rsidRPr="00105F5C">
        <w:t xml:space="preserve"> </w:t>
      </w:r>
      <w:r w:rsidR="00351C9A" w:rsidRPr="00105F5C">
        <w:t>Diagnosis Related Group (</w:t>
      </w:r>
      <w:r w:rsidR="00761624" w:rsidRPr="00105F5C">
        <w:t>DRG</w:t>
      </w:r>
      <w:r w:rsidR="00351C9A" w:rsidRPr="00105F5C">
        <w:t>)</w:t>
      </w:r>
      <w:r w:rsidR="00761624" w:rsidRPr="00105F5C">
        <w:t xml:space="preserve"> is based on less than five separations, the </w:t>
      </w:r>
      <w:r w:rsidR="00093516">
        <w:t>f</w:t>
      </w:r>
      <w:r w:rsidR="009E6DCF" w:rsidRPr="00105F5C">
        <w:t>igure</w:t>
      </w:r>
      <w:r w:rsidR="00761624" w:rsidRPr="00105F5C">
        <w:t xml:space="preserve">s for this cost weight have been replaced by asterisks (*****). </w:t>
      </w:r>
      <w:r w:rsidR="00761624" w:rsidRPr="00105F5C">
        <w:rPr>
          <w:rFonts w:cs="Georgia"/>
          <w:color w:val="000000"/>
        </w:rPr>
        <w:t>If the number of contributin</w:t>
      </w:r>
      <w:r w:rsidR="00D61C39" w:rsidRPr="00105F5C">
        <w:rPr>
          <w:rFonts w:cs="Georgia"/>
          <w:color w:val="000000"/>
        </w:rPr>
        <w:t xml:space="preserve">g hospitals for a particular </w:t>
      </w:r>
      <w:r w:rsidR="00761624" w:rsidRPr="00105F5C">
        <w:rPr>
          <w:rFonts w:cs="Georgia"/>
          <w:color w:val="000000"/>
        </w:rPr>
        <w:t xml:space="preserve">DRG is less than three, the </w:t>
      </w:r>
      <w:r w:rsidR="00093516">
        <w:rPr>
          <w:rFonts w:cs="Georgia"/>
          <w:color w:val="000000"/>
        </w:rPr>
        <w:t>f</w:t>
      </w:r>
      <w:r w:rsidR="009E6DCF" w:rsidRPr="00105F5C">
        <w:rPr>
          <w:rFonts w:cs="Georgia"/>
          <w:color w:val="000000"/>
        </w:rPr>
        <w:t>igure</w:t>
      </w:r>
      <w:r w:rsidR="00761624" w:rsidRPr="00105F5C">
        <w:rPr>
          <w:rFonts w:cs="Georgia"/>
          <w:color w:val="000000"/>
        </w:rPr>
        <w:t>s for this cost weight have been replaced by dashes (-----).</w:t>
      </w:r>
    </w:p>
    <w:p w14:paraId="232D20DA" w14:textId="2BE241B0" w:rsidR="002647B1" w:rsidRPr="003D04F6" w:rsidRDefault="005713A6" w:rsidP="007B51EC">
      <w:pPr>
        <w:pStyle w:val="Heading1"/>
        <w:numPr>
          <w:ilvl w:val="0"/>
          <w:numId w:val="13"/>
        </w:numPr>
      </w:pPr>
      <w:r w:rsidRPr="006200A2">
        <w:rPr>
          <w:highlight w:val="yellow"/>
        </w:rPr>
        <w:br w:type="page"/>
      </w:r>
      <w:bookmarkStart w:id="11" w:name="_Toc496857540"/>
      <w:bookmarkStart w:id="12" w:name="_Toc161973"/>
      <w:r w:rsidR="00CD0927" w:rsidRPr="006200A2">
        <w:lastRenderedPageBreak/>
        <w:t>Executive</w:t>
      </w:r>
      <w:r w:rsidR="00CD0927" w:rsidRPr="003D04F6">
        <w:t xml:space="preserve"> summary</w:t>
      </w:r>
      <w:bookmarkStart w:id="13" w:name="_Toc435611205"/>
      <w:bookmarkStart w:id="14" w:name="_Toc496857541"/>
      <w:bookmarkEnd w:id="11"/>
      <w:bookmarkEnd w:id="12"/>
      <w:r w:rsidR="002647B1" w:rsidRPr="003D04F6">
        <w:t xml:space="preserve"> </w:t>
      </w:r>
    </w:p>
    <w:bookmarkEnd w:id="13"/>
    <w:bookmarkEnd w:id="14"/>
    <w:p w14:paraId="5AB5B8DC" w14:textId="7F224854" w:rsidR="006E4F88" w:rsidRPr="003D04F6" w:rsidRDefault="00CD0927" w:rsidP="00AD36EE">
      <w:pPr>
        <w:spacing w:before="120"/>
      </w:pPr>
      <w:r w:rsidRPr="003D04F6">
        <w:t xml:space="preserve">The private sector </w:t>
      </w:r>
      <w:r w:rsidR="00D81F1E" w:rsidRPr="003D04F6">
        <w:t>NHCDC</w:t>
      </w:r>
      <w:r w:rsidRPr="003D04F6">
        <w:t xml:space="preserve"> is a voluntary collection that produces a range of hospital cost and activity information by</w:t>
      </w:r>
      <w:r w:rsidR="007C3059" w:rsidRPr="003D04F6">
        <w:t xml:space="preserve"> AR-DRG.</w:t>
      </w:r>
      <w:r w:rsidRPr="003D04F6">
        <w:t xml:space="preserve"> This report </w:t>
      </w:r>
      <w:r w:rsidR="008733C5">
        <w:t>includes</w:t>
      </w:r>
      <w:r w:rsidRPr="003D04F6">
        <w:t xml:space="preserve"> the findings from </w:t>
      </w:r>
      <w:r w:rsidR="00FB7D06" w:rsidRPr="003D04F6">
        <w:t xml:space="preserve">the </w:t>
      </w:r>
      <w:r w:rsidRPr="003D04F6">
        <w:t>Round 2</w:t>
      </w:r>
      <w:r w:rsidR="003D04F6" w:rsidRPr="003D04F6">
        <w:t>1</w:t>
      </w:r>
      <w:r w:rsidRPr="003D04F6">
        <w:t xml:space="preserve"> (</w:t>
      </w:r>
      <w:r w:rsidR="008733C5">
        <w:t xml:space="preserve">financial year </w:t>
      </w:r>
      <w:r w:rsidRPr="003D04F6">
        <w:t>201</w:t>
      </w:r>
      <w:r w:rsidR="003D04F6" w:rsidRPr="003D04F6">
        <w:t>6-17)</w:t>
      </w:r>
      <w:r w:rsidRPr="003D04F6">
        <w:t xml:space="preserve"> </w:t>
      </w:r>
      <w:r w:rsidR="008733C5">
        <w:t xml:space="preserve">of the </w:t>
      </w:r>
      <w:r w:rsidRPr="003D04F6">
        <w:t>NHCDC for acute admitted care provided by overnight private hospitals.</w:t>
      </w:r>
      <w:r w:rsidR="006E4F88" w:rsidRPr="003D04F6">
        <w:t xml:space="preserve"> </w:t>
      </w:r>
      <w:bookmarkStart w:id="15" w:name="_Toc496857542"/>
      <w:bookmarkStart w:id="16" w:name="_Toc435611206"/>
    </w:p>
    <w:p w14:paraId="4D043735" w14:textId="07D7C997" w:rsidR="00FB7D06" w:rsidRPr="00C653D4" w:rsidRDefault="0088092B" w:rsidP="006200A2">
      <w:pPr>
        <w:pStyle w:val="Heading2"/>
      </w:pPr>
      <w:bookmarkStart w:id="17" w:name="_Toc497200399"/>
      <w:bookmarkEnd w:id="17"/>
      <w:r>
        <w:t xml:space="preserve">Changes in </w:t>
      </w:r>
      <w:r w:rsidR="00FB7D06" w:rsidRPr="006200A2">
        <w:t>Round</w:t>
      </w:r>
      <w:r w:rsidR="00FB7D06" w:rsidRPr="00C653D4">
        <w:t xml:space="preserve"> 2</w:t>
      </w:r>
      <w:r w:rsidR="00713FD1" w:rsidRPr="00C653D4">
        <w:t>1</w:t>
      </w:r>
      <w:r w:rsidR="00FB7D06" w:rsidRPr="00C653D4">
        <w:t xml:space="preserve"> </w:t>
      </w:r>
    </w:p>
    <w:p w14:paraId="292F2BAF" w14:textId="58E44A61" w:rsidR="00FB7D06" w:rsidRDefault="00AD3274" w:rsidP="00302DDA">
      <w:pPr>
        <w:spacing w:before="120"/>
      </w:pPr>
      <w:r>
        <w:t xml:space="preserve">As per the Round 20 </w:t>
      </w:r>
      <w:r w:rsidR="006200A2">
        <w:t xml:space="preserve">private sector </w:t>
      </w:r>
      <w:r>
        <w:t xml:space="preserve">NHCDC, </w:t>
      </w:r>
      <w:r w:rsidR="006200A2">
        <w:t xml:space="preserve">for </w:t>
      </w:r>
      <w:r>
        <w:t>Round 21</w:t>
      </w:r>
      <w:r w:rsidR="0067446D">
        <w:t xml:space="preserve"> </w:t>
      </w:r>
      <w:r w:rsidR="00C86646" w:rsidRPr="00C86646">
        <w:t>IHPA facilitated the data collection process, which involved stakeholder engagement, validation, quality assurance and data set consolidation</w:t>
      </w:r>
      <w:r>
        <w:t>. C</w:t>
      </w:r>
      <w:r w:rsidR="00C86646" w:rsidRPr="00C86646">
        <w:t>onsultants (</w:t>
      </w:r>
      <w:r w:rsidR="006200A2" w:rsidRPr="00387025">
        <w:t xml:space="preserve">PricewaterhouseCoopers </w:t>
      </w:r>
      <w:r w:rsidR="006200A2">
        <w:t>Consulting Pty Limited, PwC</w:t>
      </w:r>
      <w:r w:rsidR="00C86646" w:rsidRPr="00C86646">
        <w:t xml:space="preserve">) were engaged to undertake </w:t>
      </w:r>
      <w:r>
        <w:t xml:space="preserve">the </w:t>
      </w:r>
      <w:r w:rsidR="00C86646" w:rsidRPr="00C86646">
        <w:t xml:space="preserve">data analysis and reporting. </w:t>
      </w:r>
    </w:p>
    <w:p w14:paraId="57F8C7C2" w14:textId="17F07408" w:rsidR="0029244B" w:rsidRPr="00C86646" w:rsidRDefault="0029244B" w:rsidP="00302DDA">
      <w:pPr>
        <w:spacing w:before="120"/>
      </w:pPr>
      <w:r>
        <w:t xml:space="preserve">There have been </w:t>
      </w:r>
      <w:r w:rsidR="00AD3274">
        <w:t xml:space="preserve">only minimal changes from Round 20 to Round 21, these </w:t>
      </w:r>
      <w:r w:rsidR="001A1AF5">
        <w:t>were</w:t>
      </w:r>
      <w:r w:rsidR="00AD3274">
        <w:t xml:space="preserve">: </w:t>
      </w:r>
    </w:p>
    <w:p w14:paraId="715F7474" w14:textId="0944A22B" w:rsidR="00FB7D06" w:rsidRPr="006B79BA" w:rsidRDefault="00FB7D06" w:rsidP="006200A2">
      <w:pPr>
        <w:pStyle w:val="ListBullet"/>
      </w:pPr>
      <w:r w:rsidRPr="00C86646">
        <w:t>The analysis in this report was updated to AR</w:t>
      </w:r>
      <w:r w:rsidRPr="00C86646">
        <w:noBreakHyphen/>
        <w:t xml:space="preserve">DRG version </w:t>
      </w:r>
      <w:r w:rsidR="00713FD1" w:rsidRPr="00C86646">
        <w:t>9</w:t>
      </w:r>
      <w:r w:rsidRPr="00C86646">
        <w:t>.0. This was done to reflect</w:t>
      </w:r>
      <w:r w:rsidRPr="00C653D4">
        <w:t xml:space="preserve"> changes in clinical practice and to ensure the classifications remain clinically relevant and </w:t>
      </w:r>
      <w:r w:rsidRPr="006B79BA">
        <w:t>robust.</w:t>
      </w:r>
    </w:p>
    <w:p w14:paraId="7C2B4BC0" w14:textId="7FE6B7B0" w:rsidR="006B79BA" w:rsidRDefault="006B79BA" w:rsidP="006200A2">
      <w:pPr>
        <w:pStyle w:val="ListBullet"/>
      </w:pPr>
      <w:r w:rsidRPr="006B79BA">
        <w:t>No</w:t>
      </w:r>
      <w:r w:rsidR="00FB7D06" w:rsidRPr="006B79BA">
        <w:t xml:space="preserve"> market share adjustment </w:t>
      </w:r>
      <w:r w:rsidR="00AD3274">
        <w:t xml:space="preserve">has been </w:t>
      </w:r>
      <w:r w:rsidRPr="006B79BA">
        <w:t>applied</w:t>
      </w:r>
      <w:r w:rsidR="00AD3274">
        <w:t>,</w:t>
      </w:r>
      <w:r w:rsidRPr="006B79BA">
        <w:t xml:space="preserve"> as the analysis showed that each participating </w:t>
      </w:r>
      <w:r w:rsidR="00AD3274">
        <w:t xml:space="preserve">hospital </w:t>
      </w:r>
      <w:r w:rsidRPr="006B79BA">
        <w:t>group was appropriate</w:t>
      </w:r>
      <w:r w:rsidR="0088092B">
        <w:t>ly</w:t>
      </w:r>
      <w:r w:rsidRPr="006B79BA">
        <w:t xml:space="preserve"> represented based on the data which was submitted. </w:t>
      </w:r>
    </w:p>
    <w:p w14:paraId="201AF4F5" w14:textId="3E97DED0" w:rsidR="00364874" w:rsidRPr="00144CA5" w:rsidRDefault="00E175E8" w:rsidP="006200A2">
      <w:pPr>
        <w:pStyle w:val="Heading2"/>
      </w:pPr>
      <w:r w:rsidRPr="00144CA5">
        <w:t>Participation</w:t>
      </w:r>
    </w:p>
    <w:p w14:paraId="08E20273" w14:textId="77777777" w:rsidR="00D331D3" w:rsidRDefault="00E175E8" w:rsidP="00302DDA">
      <w:pPr>
        <w:spacing w:before="120"/>
      </w:pPr>
      <w:r w:rsidRPr="00144CA5">
        <w:t xml:space="preserve">The </w:t>
      </w:r>
      <w:r w:rsidR="00364874" w:rsidRPr="00144CA5">
        <w:t xml:space="preserve">high level statistics for </w:t>
      </w:r>
      <w:r w:rsidRPr="00144CA5">
        <w:t xml:space="preserve">the </w:t>
      </w:r>
      <w:r w:rsidR="00364874" w:rsidRPr="00144CA5">
        <w:t>Round 2</w:t>
      </w:r>
      <w:r w:rsidR="009E75B3" w:rsidRPr="00144CA5">
        <w:t>1</w:t>
      </w:r>
      <w:r w:rsidR="00364874" w:rsidRPr="00144CA5">
        <w:t xml:space="preserve"> </w:t>
      </w:r>
      <w:r w:rsidRPr="00144CA5">
        <w:t xml:space="preserve">private sector NHCDC </w:t>
      </w:r>
      <w:r w:rsidR="00144CA5">
        <w:t xml:space="preserve">alongside </w:t>
      </w:r>
      <w:r w:rsidR="00364874" w:rsidRPr="00144CA5">
        <w:t>previously reported Rounds</w:t>
      </w:r>
      <w:r w:rsidRPr="00144CA5">
        <w:t xml:space="preserve"> (since 200</w:t>
      </w:r>
      <w:r w:rsidR="00144CA5">
        <w:t>7</w:t>
      </w:r>
      <w:r w:rsidRPr="00144CA5">
        <w:noBreakHyphen/>
        <w:t>0</w:t>
      </w:r>
      <w:r w:rsidR="00144CA5">
        <w:t>8</w:t>
      </w:r>
      <w:r w:rsidRPr="00144CA5">
        <w:t xml:space="preserve">) </w:t>
      </w:r>
      <w:r w:rsidR="00DF7A5F" w:rsidRPr="00144CA5">
        <w:t>are</w:t>
      </w:r>
      <w:r w:rsidRPr="00144CA5">
        <w:t xml:space="preserve"> provided in Table 1</w:t>
      </w:r>
      <w:r w:rsidR="00364874" w:rsidRPr="00144CA5">
        <w:t xml:space="preserve">. </w:t>
      </w:r>
    </w:p>
    <w:p w14:paraId="7C04D4DB" w14:textId="35B49DEE" w:rsidR="00364874" w:rsidRPr="00144CA5" w:rsidRDefault="00364874" w:rsidP="00302DDA">
      <w:pPr>
        <w:spacing w:before="120"/>
      </w:pPr>
      <w:r w:rsidRPr="00144CA5">
        <w:t>In Round 2</w:t>
      </w:r>
      <w:r w:rsidR="009E75B3" w:rsidRPr="00144CA5">
        <w:t>1</w:t>
      </w:r>
      <w:r w:rsidRPr="00144CA5">
        <w:t xml:space="preserve">, the data set </w:t>
      </w:r>
      <w:r w:rsidR="00387025">
        <w:t>includes</w:t>
      </w:r>
      <w:r w:rsidRPr="00144CA5">
        <w:t xml:space="preserve"> </w:t>
      </w:r>
      <w:r w:rsidR="009E75B3" w:rsidRPr="00144CA5">
        <w:t>105</w:t>
      </w:r>
      <w:r w:rsidR="00351C9A" w:rsidRPr="00144CA5">
        <w:t> </w:t>
      </w:r>
      <w:r w:rsidRPr="00144CA5">
        <w:t>hospitals and 1,</w:t>
      </w:r>
      <w:r w:rsidR="009E75B3" w:rsidRPr="00144CA5">
        <w:t>923</w:t>
      </w:r>
      <w:r w:rsidRPr="00144CA5">
        <w:t>,</w:t>
      </w:r>
      <w:r w:rsidR="009E75B3" w:rsidRPr="00144CA5">
        <w:t>310 separations</w:t>
      </w:r>
      <w:r w:rsidR="005A2D60">
        <w:t>,</w:t>
      </w:r>
      <w:r w:rsidR="009E75B3" w:rsidRPr="00144CA5">
        <w:t xml:space="preserve"> representing 59</w:t>
      </w:r>
      <w:r w:rsidRPr="00144CA5">
        <w:t xml:space="preserve"> </w:t>
      </w:r>
      <w:r w:rsidR="00F74337">
        <w:t>percent</w:t>
      </w:r>
      <w:r w:rsidR="00D331D3">
        <w:t xml:space="preserve"> of the population. </w:t>
      </w:r>
      <w:r w:rsidRPr="00144CA5">
        <w:t>The number of participating hospital</w:t>
      </w:r>
      <w:r w:rsidR="0053227C" w:rsidRPr="00144CA5">
        <w:t>s</w:t>
      </w:r>
      <w:r w:rsidRPr="00144CA5">
        <w:t xml:space="preserve"> has </w:t>
      </w:r>
      <w:r w:rsidR="009E75B3" w:rsidRPr="00144CA5">
        <w:t>increased</w:t>
      </w:r>
      <w:r w:rsidRPr="00144CA5">
        <w:t xml:space="preserve"> by </w:t>
      </w:r>
      <w:r w:rsidR="009E75B3" w:rsidRPr="00144CA5">
        <w:t>14</w:t>
      </w:r>
      <w:r w:rsidRPr="00144CA5">
        <w:t xml:space="preserve"> hospitals or </w:t>
      </w:r>
      <w:r w:rsidR="00144CA5" w:rsidRPr="00144CA5">
        <w:t>1</w:t>
      </w:r>
      <w:r w:rsidRPr="00144CA5">
        <w:t xml:space="preserve">5 </w:t>
      </w:r>
      <w:r w:rsidR="00F74337">
        <w:t>percent</w:t>
      </w:r>
      <w:r w:rsidRPr="00144CA5">
        <w:t xml:space="preserve">. The number of sample separations has increased by </w:t>
      </w:r>
      <w:r w:rsidR="00144CA5" w:rsidRPr="00144CA5">
        <w:t>141</w:t>
      </w:r>
      <w:r w:rsidR="0053227C" w:rsidRPr="00144CA5">
        <w:t>,</w:t>
      </w:r>
      <w:r w:rsidR="00144CA5" w:rsidRPr="00144CA5">
        <w:t>611</w:t>
      </w:r>
      <w:r w:rsidRPr="00144CA5">
        <w:t xml:space="preserve"> or </w:t>
      </w:r>
      <w:r w:rsidR="00144CA5" w:rsidRPr="00144CA5">
        <w:t>8</w:t>
      </w:r>
      <w:r w:rsidRPr="00144CA5">
        <w:t xml:space="preserve"> </w:t>
      </w:r>
      <w:r w:rsidR="00F74337">
        <w:t>percent</w:t>
      </w:r>
      <w:r w:rsidRPr="00144CA5">
        <w:t>.</w:t>
      </w:r>
    </w:p>
    <w:p w14:paraId="6066DC21" w14:textId="0F3E5782" w:rsidR="00364874" w:rsidRPr="00302DDA" w:rsidRDefault="00364874" w:rsidP="00E763E2">
      <w:pPr>
        <w:pStyle w:val="TableHeadings3"/>
      </w:pPr>
      <w:bookmarkStart w:id="18" w:name="_Toc497488009"/>
      <w:bookmarkStart w:id="19" w:name="_Toc161992"/>
      <w:r w:rsidRPr="00302DDA">
        <w:t>Table 1</w:t>
      </w:r>
      <w:r w:rsidR="004F7ECE" w:rsidRPr="00302DDA">
        <w:t>.</w:t>
      </w:r>
      <w:r w:rsidR="008D220E" w:rsidRPr="00302DDA">
        <w:t xml:space="preserve"> </w:t>
      </w:r>
      <w:r w:rsidRPr="00302DDA">
        <w:t>Summary</w:t>
      </w:r>
      <w:r w:rsidR="00DF7A5F" w:rsidRPr="00302DDA">
        <w:t xml:space="preserve"> </w:t>
      </w:r>
      <w:r w:rsidRPr="00302DDA">
        <w:t>of private hospital participation</w:t>
      </w:r>
      <w:bookmarkEnd w:id="18"/>
      <w:bookmarkEnd w:id="19"/>
    </w:p>
    <w:tbl>
      <w:tblPr>
        <w:tblW w:w="4970" w:type="pct"/>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810"/>
        <w:gridCol w:w="976"/>
        <w:gridCol w:w="976"/>
        <w:gridCol w:w="974"/>
        <w:gridCol w:w="974"/>
        <w:gridCol w:w="974"/>
        <w:gridCol w:w="974"/>
        <w:gridCol w:w="974"/>
        <w:gridCol w:w="972"/>
      </w:tblGrid>
      <w:tr w:rsidR="00D25FCD" w:rsidRPr="00302DDA" w14:paraId="19D41977" w14:textId="77777777" w:rsidTr="00014FA5">
        <w:trPr>
          <w:trHeight w:val="20"/>
        </w:trPr>
        <w:tc>
          <w:tcPr>
            <w:tcW w:w="943" w:type="pct"/>
            <w:tcBorders>
              <w:top w:val="single" w:sz="4" w:space="0" w:color="auto"/>
              <w:left w:val="nil"/>
              <w:bottom w:val="single" w:sz="4" w:space="0" w:color="000000"/>
              <w:right w:val="nil"/>
            </w:tcBorders>
            <w:noWrap/>
            <w:hideMark/>
          </w:tcPr>
          <w:p w14:paraId="6D2C7FE6" w14:textId="77777777" w:rsidR="00D25FCD" w:rsidRPr="00302DDA" w:rsidRDefault="00D25FCD" w:rsidP="00302DDA">
            <w:pPr>
              <w:pStyle w:val="Tablesheadings"/>
              <w:spacing w:before="80" w:after="80" w:line="240" w:lineRule="auto"/>
              <w:rPr>
                <w:sz w:val="16"/>
                <w:szCs w:val="16"/>
              </w:rPr>
            </w:pPr>
            <w:r w:rsidRPr="00302DDA">
              <w:rPr>
                <w:sz w:val="16"/>
                <w:szCs w:val="16"/>
              </w:rPr>
              <w:t>Summary</w:t>
            </w:r>
          </w:p>
        </w:tc>
        <w:tc>
          <w:tcPr>
            <w:tcW w:w="508" w:type="pct"/>
            <w:tcBorders>
              <w:top w:val="single" w:sz="4" w:space="0" w:color="auto"/>
              <w:left w:val="nil"/>
              <w:bottom w:val="single" w:sz="4" w:space="0" w:color="000000"/>
              <w:right w:val="nil"/>
            </w:tcBorders>
            <w:hideMark/>
          </w:tcPr>
          <w:p w14:paraId="5F338148" w14:textId="77777777" w:rsidR="00D25FCD" w:rsidRPr="00302DDA" w:rsidRDefault="00D25FCD" w:rsidP="00302DDA">
            <w:pPr>
              <w:pStyle w:val="Tablesheadings"/>
              <w:spacing w:before="80" w:after="80" w:line="240" w:lineRule="auto"/>
              <w:rPr>
                <w:sz w:val="16"/>
                <w:szCs w:val="16"/>
              </w:rPr>
            </w:pPr>
            <w:r w:rsidRPr="00302DDA">
              <w:rPr>
                <w:sz w:val="16"/>
                <w:szCs w:val="16"/>
              </w:rPr>
              <w:t>Round 11 2006-07</w:t>
            </w:r>
          </w:p>
        </w:tc>
        <w:tc>
          <w:tcPr>
            <w:tcW w:w="508" w:type="pct"/>
            <w:tcBorders>
              <w:top w:val="single" w:sz="4" w:space="0" w:color="auto"/>
              <w:left w:val="nil"/>
              <w:bottom w:val="single" w:sz="4" w:space="0" w:color="000000"/>
              <w:right w:val="nil"/>
            </w:tcBorders>
            <w:hideMark/>
          </w:tcPr>
          <w:p w14:paraId="55F38231" w14:textId="77777777" w:rsidR="00D25FCD" w:rsidRPr="00302DDA" w:rsidRDefault="00D25FCD" w:rsidP="00302DDA">
            <w:pPr>
              <w:pStyle w:val="Tablesheadings"/>
              <w:spacing w:before="80" w:after="80" w:line="240" w:lineRule="auto"/>
              <w:rPr>
                <w:sz w:val="16"/>
                <w:szCs w:val="16"/>
              </w:rPr>
            </w:pPr>
            <w:r w:rsidRPr="00302DDA">
              <w:rPr>
                <w:sz w:val="16"/>
                <w:szCs w:val="16"/>
              </w:rPr>
              <w:t>Round 12 2007-08</w:t>
            </w:r>
          </w:p>
        </w:tc>
        <w:tc>
          <w:tcPr>
            <w:tcW w:w="507" w:type="pct"/>
            <w:tcBorders>
              <w:top w:val="single" w:sz="4" w:space="0" w:color="auto"/>
              <w:left w:val="nil"/>
              <w:bottom w:val="single" w:sz="4" w:space="0" w:color="000000"/>
              <w:right w:val="nil"/>
            </w:tcBorders>
            <w:hideMark/>
          </w:tcPr>
          <w:p w14:paraId="79D6863C" w14:textId="77777777" w:rsidR="00D25FCD" w:rsidRPr="00302DDA" w:rsidRDefault="00D25FCD" w:rsidP="00302DDA">
            <w:pPr>
              <w:pStyle w:val="Tablesheadings"/>
              <w:spacing w:before="80" w:after="80" w:line="240" w:lineRule="auto"/>
              <w:rPr>
                <w:sz w:val="16"/>
                <w:szCs w:val="16"/>
              </w:rPr>
            </w:pPr>
            <w:r w:rsidRPr="00302DDA">
              <w:rPr>
                <w:sz w:val="16"/>
                <w:szCs w:val="16"/>
              </w:rPr>
              <w:t>Round 13 2008-09</w:t>
            </w:r>
          </w:p>
        </w:tc>
        <w:tc>
          <w:tcPr>
            <w:tcW w:w="507" w:type="pct"/>
            <w:tcBorders>
              <w:top w:val="single" w:sz="4" w:space="0" w:color="auto"/>
              <w:left w:val="nil"/>
              <w:bottom w:val="single" w:sz="4" w:space="0" w:color="000000"/>
              <w:right w:val="nil"/>
            </w:tcBorders>
            <w:hideMark/>
          </w:tcPr>
          <w:p w14:paraId="35E8B657" w14:textId="77777777" w:rsidR="00D25FCD" w:rsidRPr="00302DDA" w:rsidRDefault="00D25FCD" w:rsidP="00302DDA">
            <w:pPr>
              <w:pStyle w:val="Tablesheadings"/>
              <w:spacing w:before="80" w:after="80" w:line="240" w:lineRule="auto"/>
              <w:rPr>
                <w:sz w:val="16"/>
                <w:szCs w:val="16"/>
              </w:rPr>
            </w:pPr>
            <w:r w:rsidRPr="00302DDA">
              <w:rPr>
                <w:sz w:val="16"/>
                <w:szCs w:val="16"/>
              </w:rPr>
              <w:t>Round 16 2011-12</w:t>
            </w:r>
          </w:p>
        </w:tc>
        <w:tc>
          <w:tcPr>
            <w:tcW w:w="507" w:type="pct"/>
            <w:tcBorders>
              <w:top w:val="single" w:sz="4" w:space="0" w:color="auto"/>
              <w:left w:val="nil"/>
              <w:bottom w:val="single" w:sz="4" w:space="0" w:color="000000"/>
              <w:right w:val="nil"/>
            </w:tcBorders>
            <w:hideMark/>
          </w:tcPr>
          <w:p w14:paraId="3BA7FBE6" w14:textId="77777777" w:rsidR="00D25FCD" w:rsidRPr="00302DDA" w:rsidRDefault="00D25FCD" w:rsidP="00302DDA">
            <w:pPr>
              <w:pStyle w:val="Tablesheadings"/>
              <w:spacing w:before="80" w:after="80" w:line="240" w:lineRule="auto"/>
              <w:rPr>
                <w:sz w:val="16"/>
                <w:szCs w:val="16"/>
              </w:rPr>
            </w:pPr>
            <w:r w:rsidRPr="00302DDA">
              <w:rPr>
                <w:sz w:val="16"/>
                <w:szCs w:val="16"/>
              </w:rPr>
              <w:t>Round 17 2012-13</w:t>
            </w:r>
          </w:p>
        </w:tc>
        <w:tc>
          <w:tcPr>
            <w:tcW w:w="507" w:type="pct"/>
            <w:tcBorders>
              <w:top w:val="single" w:sz="4" w:space="0" w:color="auto"/>
              <w:left w:val="nil"/>
              <w:bottom w:val="single" w:sz="4" w:space="0" w:color="000000"/>
              <w:right w:val="nil"/>
            </w:tcBorders>
            <w:hideMark/>
          </w:tcPr>
          <w:p w14:paraId="36778DA8" w14:textId="77777777" w:rsidR="00D25FCD" w:rsidRPr="00302DDA" w:rsidRDefault="00D25FCD" w:rsidP="00302DDA">
            <w:pPr>
              <w:pStyle w:val="Tablesheadings"/>
              <w:spacing w:before="80" w:after="80" w:line="240" w:lineRule="auto"/>
              <w:rPr>
                <w:sz w:val="16"/>
                <w:szCs w:val="16"/>
              </w:rPr>
            </w:pPr>
            <w:r w:rsidRPr="00302DDA">
              <w:rPr>
                <w:sz w:val="16"/>
                <w:szCs w:val="16"/>
              </w:rPr>
              <w:t>Round 18 2013-14</w:t>
            </w:r>
          </w:p>
        </w:tc>
        <w:tc>
          <w:tcPr>
            <w:tcW w:w="507" w:type="pct"/>
            <w:tcBorders>
              <w:top w:val="single" w:sz="4" w:space="0" w:color="auto"/>
              <w:left w:val="nil"/>
              <w:bottom w:val="single" w:sz="4" w:space="0" w:color="auto"/>
              <w:right w:val="nil"/>
            </w:tcBorders>
            <w:shd w:val="clear" w:color="auto" w:fill="auto"/>
            <w:hideMark/>
          </w:tcPr>
          <w:p w14:paraId="23823D7A" w14:textId="77777777" w:rsidR="00D25FCD" w:rsidRPr="00302DDA" w:rsidRDefault="00D25FCD" w:rsidP="00302DDA">
            <w:pPr>
              <w:pStyle w:val="Tablesheadings"/>
              <w:spacing w:before="80" w:after="80" w:line="240" w:lineRule="auto"/>
              <w:rPr>
                <w:sz w:val="16"/>
                <w:szCs w:val="16"/>
              </w:rPr>
            </w:pPr>
            <w:r w:rsidRPr="00302DDA">
              <w:rPr>
                <w:sz w:val="16"/>
                <w:szCs w:val="16"/>
              </w:rPr>
              <w:t>Round 20 2015-16</w:t>
            </w:r>
          </w:p>
        </w:tc>
        <w:tc>
          <w:tcPr>
            <w:tcW w:w="507" w:type="pct"/>
            <w:tcBorders>
              <w:top w:val="single" w:sz="4" w:space="0" w:color="auto"/>
              <w:left w:val="nil"/>
              <w:bottom w:val="single" w:sz="4" w:space="0" w:color="auto"/>
              <w:right w:val="nil"/>
            </w:tcBorders>
            <w:shd w:val="clear" w:color="auto" w:fill="D9D9D9" w:themeFill="background1" w:themeFillShade="D9"/>
          </w:tcPr>
          <w:p w14:paraId="567D23D2" w14:textId="77777777" w:rsidR="00D25FCD" w:rsidRPr="00302DDA" w:rsidRDefault="00D25FCD" w:rsidP="00302DDA">
            <w:pPr>
              <w:pStyle w:val="Tablesheadings"/>
              <w:spacing w:before="80" w:after="80" w:line="240" w:lineRule="auto"/>
              <w:rPr>
                <w:sz w:val="16"/>
                <w:szCs w:val="16"/>
              </w:rPr>
            </w:pPr>
            <w:r w:rsidRPr="00302DDA">
              <w:rPr>
                <w:sz w:val="16"/>
                <w:szCs w:val="16"/>
              </w:rPr>
              <w:t>Round 21 2016-17</w:t>
            </w:r>
          </w:p>
        </w:tc>
      </w:tr>
      <w:tr w:rsidR="00D25FCD" w:rsidRPr="00302DDA" w14:paraId="6F47AC00" w14:textId="77777777" w:rsidTr="00014FA5">
        <w:trPr>
          <w:trHeight w:val="20"/>
        </w:trPr>
        <w:tc>
          <w:tcPr>
            <w:tcW w:w="943" w:type="pct"/>
            <w:noWrap/>
            <w:hideMark/>
          </w:tcPr>
          <w:p w14:paraId="78E1AC77" w14:textId="77777777" w:rsidR="00D25FCD" w:rsidRPr="00302DDA" w:rsidRDefault="00D25FCD" w:rsidP="00302DDA">
            <w:pPr>
              <w:pStyle w:val="TableText"/>
              <w:spacing w:line="240" w:lineRule="auto"/>
              <w:rPr>
                <w:sz w:val="16"/>
                <w:szCs w:val="16"/>
              </w:rPr>
            </w:pPr>
            <w:r w:rsidRPr="00302DDA">
              <w:rPr>
                <w:sz w:val="16"/>
                <w:szCs w:val="16"/>
              </w:rPr>
              <w:t>Number of hospitals</w:t>
            </w:r>
          </w:p>
        </w:tc>
        <w:tc>
          <w:tcPr>
            <w:tcW w:w="508" w:type="pct"/>
            <w:noWrap/>
            <w:hideMark/>
          </w:tcPr>
          <w:p w14:paraId="04A240F4" w14:textId="77777777" w:rsidR="00D25FCD" w:rsidRPr="00302DDA" w:rsidRDefault="00D25FCD" w:rsidP="00302DDA">
            <w:pPr>
              <w:pStyle w:val="TableText"/>
              <w:spacing w:line="240" w:lineRule="auto"/>
              <w:jc w:val="right"/>
              <w:rPr>
                <w:sz w:val="16"/>
                <w:szCs w:val="16"/>
              </w:rPr>
            </w:pPr>
            <w:r w:rsidRPr="00302DDA">
              <w:rPr>
                <w:sz w:val="16"/>
                <w:szCs w:val="16"/>
              </w:rPr>
              <w:t>82</w:t>
            </w:r>
          </w:p>
        </w:tc>
        <w:tc>
          <w:tcPr>
            <w:tcW w:w="508" w:type="pct"/>
            <w:noWrap/>
            <w:hideMark/>
          </w:tcPr>
          <w:p w14:paraId="5FA27D85" w14:textId="77777777" w:rsidR="00D25FCD" w:rsidRPr="00302DDA" w:rsidRDefault="00D25FCD" w:rsidP="00302DDA">
            <w:pPr>
              <w:pStyle w:val="TableText"/>
              <w:spacing w:line="240" w:lineRule="auto"/>
              <w:jc w:val="right"/>
              <w:rPr>
                <w:sz w:val="16"/>
                <w:szCs w:val="16"/>
              </w:rPr>
            </w:pPr>
            <w:r w:rsidRPr="00302DDA">
              <w:rPr>
                <w:sz w:val="16"/>
                <w:szCs w:val="16"/>
              </w:rPr>
              <w:t>109</w:t>
            </w:r>
          </w:p>
        </w:tc>
        <w:tc>
          <w:tcPr>
            <w:tcW w:w="507" w:type="pct"/>
            <w:noWrap/>
            <w:hideMark/>
          </w:tcPr>
          <w:p w14:paraId="77B64FF3" w14:textId="77777777" w:rsidR="00D25FCD" w:rsidRPr="00302DDA" w:rsidRDefault="00D25FCD" w:rsidP="00302DDA">
            <w:pPr>
              <w:pStyle w:val="TableText"/>
              <w:spacing w:line="240" w:lineRule="auto"/>
              <w:jc w:val="right"/>
              <w:rPr>
                <w:sz w:val="16"/>
                <w:szCs w:val="16"/>
              </w:rPr>
            </w:pPr>
            <w:r w:rsidRPr="00302DDA">
              <w:rPr>
                <w:sz w:val="16"/>
                <w:szCs w:val="16"/>
              </w:rPr>
              <w:t>110</w:t>
            </w:r>
          </w:p>
        </w:tc>
        <w:tc>
          <w:tcPr>
            <w:tcW w:w="507" w:type="pct"/>
            <w:noWrap/>
            <w:hideMark/>
          </w:tcPr>
          <w:p w14:paraId="2826080D" w14:textId="77777777" w:rsidR="00D25FCD" w:rsidRPr="00302DDA" w:rsidRDefault="00D25FCD" w:rsidP="00302DDA">
            <w:pPr>
              <w:pStyle w:val="TableText"/>
              <w:spacing w:line="240" w:lineRule="auto"/>
              <w:jc w:val="right"/>
              <w:rPr>
                <w:sz w:val="16"/>
                <w:szCs w:val="16"/>
              </w:rPr>
            </w:pPr>
            <w:r w:rsidRPr="00302DDA">
              <w:rPr>
                <w:sz w:val="16"/>
                <w:szCs w:val="16"/>
              </w:rPr>
              <w:t>105</w:t>
            </w:r>
          </w:p>
        </w:tc>
        <w:tc>
          <w:tcPr>
            <w:tcW w:w="507" w:type="pct"/>
            <w:noWrap/>
            <w:hideMark/>
          </w:tcPr>
          <w:p w14:paraId="560FAE6B" w14:textId="77777777" w:rsidR="00D25FCD" w:rsidRPr="00302DDA" w:rsidRDefault="00D25FCD" w:rsidP="00302DDA">
            <w:pPr>
              <w:pStyle w:val="TableText"/>
              <w:spacing w:line="240" w:lineRule="auto"/>
              <w:jc w:val="right"/>
              <w:rPr>
                <w:sz w:val="16"/>
                <w:szCs w:val="16"/>
              </w:rPr>
            </w:pPr>
            <w:r w:rsidRPr="00302DDA">
              <w:rPr>
                <w:sz w:val="16"/>
                <w:szCs w:val="16"/>
              </w:rPr>
              <w:t>95</w:t>
            </w:r>
          </w:p>
        </w:tc>
        <w:tc>
          <w:tcPr>
            <w:tcW w:w="507" w:type="pct"/>
            <w:noWrap/>
            <w:hideMark/>
          </w:tcPr>
          <w:p w14:paraId="32A31497" w14:textId="77777777" w:rsidR="00D25FCD" w:rsidRPr="00302DDA" w:rsidRDefault="00D25FCD" w:rsidP="00302DDA">
            <w:pPr>
              <w:pStyle w:val="TableText"/>
              <w:spacing w:line="240" w:lineRule="auto"/>
              <w:jc w:val="right"/>
              <w:rPr>
                <w:sz w:val="16"/>
                <w:szCs w:val="16"/>
              </w:rPr>
            </w:pPr>
            <w:r w:rsidRPr="00302DDA">
              <w:rPr>
                <w:sz w:val="16"/>
                <w:szCs w:val="16"/>
              </w:rPr>
              <w:t>96</w:t>
            </w:r>
          </w:p>
        </w:tc>
        <w:tc>
          <w:tcPr>
            <w:tcW w:w="507" w:type="pct"/>
            <w:tcBorders>
              <w:top w:val="single" w:sz="4" w:space="0" w:color="auto"/>
              <w:left w:val="nil"/>
              <w:bottom w:val="nil"/>
              <w:right w:val="nil"/>
            </w:tcBorders>
            <w:shd w:val="clear" w:color="auto" w:fill="auto"/>
          </w:tcPr>
          <w:p w14:paraId="3559B6E7" w14:textId="77777777" w:rsidR="00D25FCD" w:rsidRPr="00302DDA" w:rsidRDefault="00D25FCD" w:rsidP="00302DDA">
            <w:pPr>
              <w:pStyle w:val="TableText"/>
              <w:spacing w:line="240" w:lineRule="auto"/>
              <w:jc w:val="right"/>
              <w:rPr>
                <w:sz w:val="16"/>
                <w:szCs w:val="16"/>
              </w:rPr>
            </w:pPr>
            <w:r w:rsidRPr="00302DDA">
              <w:rPr>
                <w:sz w:val="16"/>
                <w:szCs w:val="16"/>
              </w:rPr>
              <w:t>91</w:t>
            </w:r>
          </w:p>
        </w:tc>
        <w:tc>
          <w:tcPr>
            <w:tcW w:w="507" w:type="pct"/>
            <w:tcBorders>
              <w:top w:val="single" w:sz="4" w:space="0" w:color="auto"/>
              <w:left w:val="nil"/>
              <w:bottom w:val="nil"/>
              <w:right w:val="nil"/>
            </w:tcBorders>
            <w:shd w:val="clear" w:color="auto" w:fill="D9D9D9" w:themeFill="background1" w:themeFillShade="D9"/>
          </w:tcPr>
          <w:p w14:paraId="4DCA91C9" w14:textId="77777777" w:rsidR="00D25FCD" w:rsidRPr="00302DDA" w:rsidRDefault="00D25FCD" w:rsidP="00302DDA">
            <w:pPr>
              <w:pStyle w:val="TableText"/>
              <w:spacing w:line="240" w:lineRule="auto"/>
              <w:jc w:val="right"/>
              <w:rPr>
                <w:sz w:val="16"/>
                <w:szCs w:val="16"/>
              </w:rPr>
            </w:pPr>
            <w:r w:rsidRPr="00302DDA">
              <w:rPr>
                <w:sz w:val="16"/>
                <w:szCs w:val="16"/>
              </w:rPr>
              <w:t>105</w:t>
            </w:r>
          </w:p>
        </w:tc>
      </w:tr>
      <w:tr w:rsidR="00D25FCD" w:rsidRPr="00302DDA" w14:paraId="46B228E2" w14:textId="77777777" w:rsidTr="00014FA5">
        <w:trPr>
          <w:trHeight w:val="20"/>
        </w:trPr>
        <w:tc>
          <w:tcPr>
            <w:tcW w:w="943" w:type="pct"/>
            <w:noWrap/>
            <w:hideMark/>
          </w:tcPr>
          <w:p w14:paraId="2B9E6FFE" w14:textId="77777777" w:rsidR="00D25FCD" w:rsidRPr="00302DDA" w:rsidRDefault="00D25FCD" w:rsidP="00302DDA">
            <w:pPr>
              <w:pStyle w:val="TableText"/>
              <w:spacing w:line="240" w:lineRule="auto"/>
              <w:rPr>
                <w:sz w:val="16"/>
                <w:szCs w:val="16"/>
              </w:rPr>
            </w:pPr>
            <w:r w:rsidRPr="00302DDA">
              <w:rPr>
                <w:sz w:val="16"/>
                <w:szCs w:val="16"/>
              </w:rPr>
              <w:t>Sample Separations</w:t>
            </w:r>
          </w:p>
        </w:tc>
        <w:tc>
          <w:tcPr>
            <w:tcW w:w="508" w:type="pct"/>
            <w:noWrap/>
            <w:hideMark/>
          </w:tcPr>
          <w:p w14:paraId="783B1DA4" w14:textId="77777777" w:rsidR="00D25FCD" w:rsidRPr="00302DDA" w:rsidRDefault="00D25FCD" w:rsidP="00302DDA">
            <w:pPr>
              <w:pStyle w:val="TableText"/>
              <w:spacing w:line="240" w:lineRule="auto"/>
              <w:jc w:val="right"/>
              <w:rPr>
                <w:sz w:val="16"/>
                <w:szCs w:val="16"/>
              </w:rPr>
            </w:pPr>
            <w:r w:rsidRPr="00302DDA">
              <w:rPr>
                <w:sz w:val="16"/>
                <w:szCs w:val="16"/>
              </w:rPr>
              <w:t>1,297,147</w:t>
            </w:r>
          </w:p>
        </w:tc>
        <w:tc>
          <w:tcPr>
            <w:tcW w:w="508" w:type="pct"/>
            <w:noWrap/>
            <w:hideMark/>
          </w:tcPr>
          <w:p w14:paraId="0EED0987" w14:textId="77777777" w:rsidR="00D25FCD" w:rsidRPr="00302DDA" w:rsidRDefault="00D25FCD" w:rsidP="00302DDA">
            <w:pPr>
              <w:pStyle w:val="TableText"/>
              <w:spacing w:line="240" w:lineRule="auto"/>
              <w:jc w:val="right"/>
              <w:rPr>
                <w:sz w:val="16"/>
                <w:szCs w:val="16"/>
              </w:rPr>
            </w:pPr>
            <w:r w:rsidRPr="00302DDA">
              <w:rPr>
                <w:sz w:val="16"/>
                <w:szCs w:val="16"/>
              </w:rPr>
              <w:t>1,607,678</w:t>
            </w:r>
          </w:p>
        </w:tc>
        <w:tc>
          <w:tcPr>
            <w:tcW w:w="507" w:type="pct"/>
            <w:noWrap/>
            <w:hideMark/>
          </w:tcPr>
          <w:p w14:paraId="369337B7" w14:textId="77777777" w:rsidR="00D25FCD" w:rsidRPr="00302DDA" w:rsidRDefault="00D25FCD" w:rsidP="00302DDA">
            <w:pPr>
              <w:pStyle w:val="TableText"/>
              <w:spacing w:line="240" w:lineRule="auto"/>
              <w:jc w:val="right"/>
              <w:rPr>
                <w:sz w:val="16"/>
                <w:szCs w:val="16"/>
              </w:rPr>
            </w:pPr>
            <w:r w:rsidRPr="00302DDA">
              <w:rPr>
                <w:sz w:val="16"/>
                <w:szCs w:val="16"/>
              </w:rPr>
              <w:t>1,648,989</w:t>
            </w:r>
          </w:p>
        </w:tc>
        <w:tc>
          <w:tcPr>
            <w:tcW w:w="507" w:type="pct"/>
            <w:noWrap/>
            <w:hideMark/>
          </w:tcPr>
          <w:p w14:paraId="48CD3FBF" w14:textId="77777777" w:rsidR="00D25FCD" w:rsidRPr="00302DDA" w:rsidRDefault="00D25FCD" w:rsidP="00302DDA">
            <w:pPr>
              <w:pStyle w:val="TableText"/>
              <w:spacing w:line="240" w:lineRule="auto"/>
              <w:jc w:val="right"/>
              <w:rPr>
                <w:sz w:val="16"/>
                <w:szCs w:val="16"/>
              </w:rPr>
            </w:pPr>
            <w:r w:rsidRPr="00302DDA">
              <w:rPr>
                <w:sz w:val="16"/>
                <w:szCs w:val="16"/>
              </w:rPr>
              <w:t>1,775,059</w:t>
            </w:r>
          </w:p>
        </w:tc>
        <w:tc>
          <w:tcPr>
            <w:tcW w:w="507" w:type="pct"/>
            <w:noWrap/>
            <w:hideMark/>
          </w:tcPr>
          <w:p w14:paraId="05135B2E" w14:textId="77777777" w:rsidR="00D25FCD" w:rsidRPr="00302DDA" w:rsidRDefault="00D25FCD" w:rsidP="00302DDA">
            <w:pPr>
              <w:pStyle w:val="TableText"/>
              <w:spacing w:line="240" w:lineRule="auto"/>
              <w:jc w:val="right"/>
              <w:rPr>
                <w:sz w:val="16"/>
                <w:szCs w:val="16"/>
              </w:rPr>
            </w:pPr>
            <w:r w:rsidRPr="00302DDA">
              <w:rPr>
                <w:sz w:val="16"/>
                <w:szCs w:val="16"/>
              </w:rPr>
              <w:t>1,650,816</w:t>
            </w:r>
          </w:p>
        </w:tc>
        <w:tc>
          <w:tcPr>
            <w:tcW w:w="507" w:type="pct"/>
            <w:noWrap/>
            <w:hideMark/>
          </w:tcPr>
          <w:p w14:paraId="529DB08D" w14:textId="77777777" w:rsidR="00D25FCD" w:rsidRPr="00302DDA" w:rsidRDefault="00D25FCD" w:rsidP="00302DDA">
            <w:pPr>
              <w:pStyle w:val="TableText"/>
              <w:spacing w:line="240" w:lineRule="auto"/>
              <w:jc w:val="right"/>
              <w:rPr>
                <w:sz w:val="16"/>
                <w:szCs w:val="16"/>
              </w:rPr>
            </w:pPr>
            <w:r w:rsidRPr="00302DDA">
              <w:rPr>
                <w:sz w:val="16"/>
                <w:szCs w:val="16"/>
              </w:rPr>
              <w:t>1,697,311</w:t>
            </w:r>
          </w:p>
        </w:tc>
        <w:tc>
          <w:tcPr>
            <w:tcW w:w="507" w:type="pct"/>
            <w:shd w:val="clear" w:color="auto" w:fill="auto"/>
          </w:tcPr>
          <w:p w14:paraId="068AFDF3" w14:textId="77777777" w:rsidR="00D25FCD" w:rsidRPr="00302DDA" w:rsidRDefault="00D25FCD" w:rsidP="00302DDA">
            <w:pPr>
              <w:pStyle w:val="TableText"/>
              <w:spacing w:line="240" w:lineRule="auto"/>
              <w:jc w:val="right"/>
              <w:rPr>
                <w:sz w:val="16"/>
                <w:szCs w:val="16"/>
              </w:rPr>
            </w:pPr>
            <w:r w:rsidRPr="00302DDA">
              <w:rPr>
                <w:sz w:val="16"/>
                <w:szCs w:val="16"/>
              </w:rPr>
              <w:t>1,781,699</w:t>
            </w:r>
          </w:p>
        </w:tc>
        <w:tc>
          <w:tcPr>
            <w:tcW w:w="507" w:type="pct"/>
            <w:shd w:val="clear" w:color="auto" w:fill="D9D9D9" w:themeFill="background1" w:themeFillShade="D9"/>
          </w:tcPr>
          <w:p w14:paraId="1D3CF5E6" w14:textId="77777777" w:rsidR="00D25FCD" w:rsidRPr="00302DDA" w:rsidRDefault="00D25FCD" w:rsidP="00302DDA">
            <w:pPr>
              <w:pStyle w:val="TableText"/>
              <w:spacing w:line="240" w:lineRule="auto"/>
              <w:jc w:val="right"/>
              <w:rPr>
                <w:sz w:val="16"/>
                <w:szCs w:val="16"/>
              </w:rPr>
            </w:pPr>
            <w:r w:rsidRPr="00302DDA">
              <w:rPr>
                <w:sz w:val="16"/>
                <w:szCs w:val="16"/>
              </w:rPr>
              <w:t>1,923,310</w:t>
            </w:r>
          </w:p>
        </w:tc>
      </w:tr>
      <w:tr w:rsidR="00D25FCD" w:rsidRPr="00302DDA" w14:paraId="69D657DC" w14:textId="77777777" w:rsidTr="00014FA5">
        <w:trPr>
          <w:trHeight w:val="20"/>
        </w:trPr>
        <w:tc>
          <w:tcPr>
            <w:tcW w:w="943" w:type="pct"/>
            <w:hideMark/>
          </w:tcPr>
          <w:p w14:paraId="3BD74603" w14:textId="7C9CA0CB" w:rsidR="00D25FCD" w:rsidRPr="00302DDA" w:rsidRDefault="00D25FCD" w:rsidP="00302DDA">
            <w:pPr>
              <w:pStyle w:val="TableText"/>
              <w:spacing w:line="240" w:lineRule="auto"/>
              <w:rPr>
                <w:sz w:val="16"/>
                <w:szCs w:val="16"/>
              </w:rPr>
            </w:pPr>
            <w:r w:rsidRPr="00302DDA">
              <w:rPr>
                <w:sz w:val="16"/>
                <w:szCs w:val="16"/>
              </w:rPr>
              <w:t>Participation rate* %</w:t>
            </w:r>
            <w:r w:rsidR="00302DDA">
              <w:rPr>
                <w:sz w:val="16"/>
                <w:szCs w:val="16"/>
              </w:rPr>
              <w:t>)</w:t>
            </w:r>
          </w:p>
        </w:tc>
        <w:tc>
          <w:tcPr>
            <w:tcW w:w="508" w:type="pct"/>
            <w:noWrap/>
            <w:hideMark/>
          </w:tcPr>
          <w:p w14:paraId="4CA5A7BF" w14:textId="77777777" w:rsidR="00D25FCD" w:rsidRPr="00302DDA" w:rsidRDefault="00D25FCD" w:rsidP="00302DDA">
            <w:pPr>
              <w:pStyle w:val="TableText"/>
              <w:spacing w:line="240" w:lineRule="auto"/>
              <w:jc w:val="right"/>
              <w:rPr>
                <w:sz w:val="16"/>
                <w:szCs w:val="16"/>
              </w:rPr>
            </w:pPr>
            <w:r w:rsidRPr="00302DDA">
              <w:rPr>
                <w:sz w:val="16"/>
                <w:szCs w:val="16"/>
              </w:rPr>
              <w:t>59</w:t>
            </w:r>
          </w:p>
        </w:tc>
        <w:tc>
          <w:tcPr>
            <w:tcW w:w="508" w:type="pct"/>
            <w:noWrap/>
            <w:hideMark/>
          </w:tcPr>
          <w:p w14:paraId="0A212F3E" w14:textId="77777777" w:rsidR="00D25FCD" w:rsidRPr="00302DDA" w:rsidRDefault="00D25FCD" w:rsidP="00302DDA">
            <w:pPr>
              <w:pStyle w:val="TableText"/>
              <w:spacing w:line="240" w:lineRule="auto"/>
              <w:jc w:val="right"/>
              <w:rPr>
                <w:sz w:val="16"/>
                <w:szCs w:val="16"/>
              </w:rPr>
            </w:pPr>
            <w:r w:rsidRPr="00302DDA">
              <w:rPr>
                <w:sz w:val="16"/>
                <w:szCs w:val="16"/>
              </w:rPr>
              <w:t>72</w:t>
            </w:r>
          </w:p>
        </w:tc>
        <w:tc>
          <w:tcPr>
            <w:tcW w:w="507" w:type="pct"/>
            <w:noWrap/>
            <w:hideMark/>
          </w:tcPr>
          <w:p w14:paraId="361E23BB" w14:textId="77777777" w:rsidR="00D25FCD" w:rsidRPr="00302DDA" w:rsidRDefault="00D25FCD" w:rsidP="00302DDA">
            <w:pPr>
              <w:pStyle w:val="TableText"/>
              <w:spacing w:line="240" w:lineRule="auto"/>
              <w:jc w:val="right"/>
              <w:rPr>
                <w:sz w:val="16"/>
                <w:szCs w:val="16"/>
              </w:rPr>
            </w:pPr>
            <w:r w:rsidRPr="00302DDA">
              <w:rPr>
                <w:sz w:val="16"/>
                <w:szCs w:val="16"/>
              </w:rPr>
              <w:t>71</w:t>
            </w:r>
          </w:p>
        </w:tc>
        <w:tc>
          <w:tcPr>
            <w:tcW w:w="507" w:type="pct"/>
            <w:noWrap/>
            <w:hideMark/>
          </w:tcPr>
          <w:p w14:paraId="3D4D9E57" w14:textId="77777777" w:rsidR="00D25FCD" w:rsidRPr="00302DDA" w:rsidRDefault="00D25FCD" w:rsidP="00302DDA">
            <w:pPr>
              <w:pStyle w:val="TableText"/>
              <w:spacing w:line="240" w:lineRule="auto"/>
              <w:jc w:val="right"/>
              <w:rPr>
                <w:sz w:val="16"/>
                <w:szCs w:val="16"/>
              </w:rPr>
            </w:pPr>
            <w:r w:rsidRPr="00302DDA">
              <w:rPr>
                <w:sz w:val="16"/>
                <w:szCs w:val="16"/>
              </w:rPr>
              <w:t>66</w:t>
            </w:r>
          </w:p>
        </w:tc>
        <w:tc>
          <w:tcPr>
            <w:tcW w:w="507" w:type="pct"/>
            <w:noWrap/>
            <w:hideMark/>
          </w:tcPr>
          <w:p w14:paraId="65C04E8A" w14:textId="77777777" w:rsidR="00D25FCD" w:rsidRPr="00302DDA" w:rsidRDefault="00D25FCD" w:rsidP="00302DDA">
            <w:pPr>
              <w:pStyle w:val="TableText"/>
              <w:spacing w:line="240" w:lineRule="auto"/>
              <w:jc w:val="right"/>
              <w:rPr>
                <w:sz w:val="16"/>
                <w:szCs w:val="16"/>
              </w:rPr>
            </w:pPr>
            <w:r w:rsidRPr="00302DDA">
              <w:rPr>
                <w:sz w:val="16"/>
                <w:szCs w:val="16"/>
              </w:rPr>
              <w:t>60</w:t>
            </w:r>
          </w:p>
        </w:tc>
        <w:tc>
          <w:tcPr>
            <w:tcW w:w="507" w:type="pct"/>
            <w:noWrap/>
            <w:hideMark/>
          </w:tcPr>
          <w:p w14:paraId="1D91E34B" w14:textId="77777777" w:rsidR="00D25FCD" w:rsidRPr="00302DDA" w:rsidRDefault="00D25FCD" w:rsidP="00302DDA">
            <w:pPr>
              <w:pStyle w:val="TableText"/>
              <w:spacing w:line="240" w:lineRule="auto"/>
              <w:jc w:val="right"/>
              <w:rPr>
                <w:sz w:val="16"/>
                <w:szCs w:val="16"/>
              </w:rPr>
            </w:pPr>
            <w:r w:rsidRPr="00302DDA">
              <w:rPr>
                <w:sz w:val="16"/>
                <w:szCs w:val="16"/>
              </w:rPr>
              <w:t>60</w:t>
            </w:r>
          </w:p>
        </w:tc>
        <w:tc>
          <w:tcPr>
            <w:tcW w:w="507" w:type="pct"/>
            <w:shd w:val="clear" w:color="auto" w:fill="auto"/>
          </w:tcPr>
          <w:p w14:paraId="00C981F3" w14:textId="77777777" w:rsidR="00D25FCD" w:rsidRPr="00302DDA" w:rsidRDefault="00D25FCD" w:rsidP="00302DDA">
            <w:pPr>
              <w:pStyle w:val="TableText"/>
              <w:spacing w:line="240" w:lineRule="auto"/>
              <w:jc w:val="right"/>
              <w:rPr>
                <w:sz w:val="16"/>
                <w:szCs w:val="16"/>
              </w:rPr>
            </w:pPr>
            <w:r w:rsidRPr="00302DDA">
              <w:rPr>
                <w:sz w:val="16"/>
                <w:szCs w:val="16"/>
              </w:rPr>
              <w:t>58</w:t>
            </w:r>
          </w:p>
        </w:tc>
        <w:tc>
          <w:tcPr>
            <w:tcW w:w="507" w:type="pct"/>
            <w:shd w:val="clear" w:color="auto" w:fill="D9D9D9" w:themeFill="background1" w:themeFillShade="D9"/>
          </w:tcPr>
          <w:p w14:paraId="4D8B089D" w14:textId="77777777" w:rsidR="00D25FCD" w:rsidRPr="00302DDA" w:rsidRDefault="00D25FCD" w:rsidP="00302DDA">
            <w:pPr>
              <w:pStyle w:val="TableText"/>
              <w:spacing w:line="240" w:lineRule="auto"/>
              <w:jc w:val="right"/>
              <w:rPr>
                <w:sz w:val="16"/>
                <w:szCs w:val="16"/>
              </w:rPr>
            </w:pPr>
            <w:r w:rsidRPr="00302DDA">
              <w:rPr>
                <w:sz w:val="16"/>
                <w:szCs w:val="16"/>
              </w:rPr>
              <w:t>59</w:t>
            </w:r>
          </w:p>
        </w:tc>
      </w:tr>
      <w:tr w:rsidR="00D25FCD" w:rsidRPr="00302DDA" w14:paraId="26CF640C" w14:textId="77777777" w:rsidTr="00014FA5">
        <w:trPr>
          <w:trHeight w:val="20"/>
        </w:trPr>
        <w:tc>
          <w:tcPr>
            <w:tcW w:w="943" w:type="pct"/>
            <w:tcBorders>
              <w:top w:val="nil"/>
              <w:left w:val="nil"/>
              <w:bottom w:val="single" w:sz="4" w:space="0" w:color="auto"/>
              <w:right w:val="nil"/>
            </w:tcBorders>
            <w:noWrap/>
            <w:hideMark/>
          </w:tcPr>
          <w:p w14:paraId="5EF57CA5" w14:textId="77777777" w:rsidR="00D25FCD" w:rsidRPr="00302DDA" w:rsidRDefault="00D25FCD" w:rsidP="00302DDA">
            <w:pPr>
              <w:pStyle w:val="TableText"/>
              <w:spacing w:line="240" w:lineRule="auto"/>
              <w:rPr>
                <w:sz w:val="16"/>
                <w:szCs w:val="16"/>
              </w:rPr>
            </w:pPr>
            <w:r w:rsidRPr="00302DDA">
              <w:rPr>
                <w:sz w:val="16"/>
                <w:szCs w:val="16"/>
              </w:rPr>
              <w:t>AR-DRG version</w:t>
            </w:r>
          </w:p>
        </w:tc>
        <w:tc>
          <w:tcPr>
            <w:tcW w:w="508" w:type="pct"/>
            <w:tcBorders>
              <w:top w:val="nil"/>
              <w:left w:val="nil"/>
              <w:bottom w:val="single" w:sz="4" w:space="0" w:color="auto"/>
              <w:right w:val="nil"/>
            </w:tcBorders>
            <w:noWrap/>
            <w:hideMark/>
          </w:tcPr>
          <w:p w14:paraId="0ABBAB19" w14:textId="77777777" w:rsidR="00D25FCD" w:rsidRPr="00302DDA" w:rsidRDefault="00D25FCD" w:rsidP="00302DDA">
            <w:pPr>
              <w:pStyle w:val="TableText"/>
              <w:spacing w:line="240" w:lineRule="auto"/>
              <w:jc w:val="right"/>
              <w:rPr>
                <w:sz w:val="16"/>
                <w:szCs w:val="16"/>
              </w:rPr>
            </w:pPr>
            <w:r w:rsidRPr="00302DDA">
              <w:rPr>
                <w:sz w:val="16"/>
                <w:szCs w:val="16"/>
              </w:rPr>
              <w:t>4.2</w:t>
            </w:r>
          </w:p>
        </w:tc>
        <w:tc>
          <w:tcPr>
            <w:tcW w:w="508" w:type="pct"/>
            <w:tcBorders>
              <w:top w:val="nil"/>
              <w:left w:val="nil"/>
              <w:bottom w:val="single" w:sz="4" w:space="0" w:color="auto"/>
              <w:right w:val="nil"/>
            </w:tcBorders>
            <w:noWrap/>
            <w:hideMark/>
          </w:tcPr>
          <w:p w14:paraId="5C9F99CC" w14:textId="77777777" w:rsidR="00D25FCD" w:rsidRPr="00302DDA" w:rsidRDefault="00D25FCD" w:rsidP="00302DDA">
            <w:pPr>
              <w:pStyle w:val="TableText"/>
              <w:spacing w:line="240" w:lineRule="auto"/>
              <w:jc w:val="right"/>
              <w:rPr>
                <w:sz w:val="16"/>
                <w:szCs w:val="16"/>
              </w:rPr>
            </w:pPr>
            <w:r w:rsidRPr="00302DDA">
              <w:rPr>
                <w:sz w:val="16"/>
                <w:szCs w:val="16"/>
              </w:rPr>
              <w:t>4.2</w:t>
            </w:r>
          </w:p>
        </w:tc>
        <w:tc>
          <w:tcPr>
            <w:tcW w:w="507" w:type="pct"/>
            <w:tcBorders>
              <w:top w:val="nil"/>
              <w:left w:val="nil"/>
              <w:bottom w:val="single" w:sz="4" w:space="0" w:color="auto"/>
              <w:right w:val="nil"/>
            </w:tcBorders>
            <w:noWrap/>
            <w:hideMark/>
          </w:tcPr>
          <w:p w14:paraId="71DC1E64" w14:textId="77777777" w:rsidR="00D25FCD" w:rsidRPr="00302DDA" w:rsidRDefault="00D25FCD" w:rsidP="00302DDA">
            <w:pPr>
              <w:pStyle w:val="TableText"/>
              <w:spacing w:line="240" w:lineRule="auto"/>
              <w:jc w:val="right"/>
              <w:rPr>
                <w:sz w:val="16"/>
                <w:szCs w:val="16"/>
              </w:rPr>
            </w:pPr>
            <w:r w:rsidRPr="00302DDA">
              <w:rPr>
                <w:sz w:val="16"/>
                <w:szCs w:val="16"/>
              </w:rPr>
              <w:t>5.1</w:t>
            </w:r>
          </w:p>
        </w:tc>
        <w:tc>
          <w:tcPr>
            <w:tcW w:w="507" w:type="pct"/>
            <w:tcBorders>
              <w:top w:val="nil"/>
              <w:left w:val="nil"/>
              <w:bottom w:val="single" w:sz="4" w:space="0" w:color="auto"/>
              <w:right w:val="nil"/>
            </w:tcBorders>
            <w:noWrap/>
            <w:hideMark/>
          </w:tcPr>
          <w:p w14:paraId="2486E920" w14:textId="77777777" w:rsidR="00D25FCD" w:rsidRPr="00302DDA" w:rsidRDefault="00D25FCD"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noWrap/>
            <w:hideMark/>
          </w:tcPr>
          <w:p w14:paraId="66AA41C5" w14:textId="77777777" w:rsidR="00D25FCD" w:rsidRPr="00302DDA" w:rsidRDefault="00D25FCD"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noWrap/>
            <w:hideMark/>
          </w:tcPr>
          <w:p w14:paraId="2CAA17E8" w14:textId="77777777" w:rsidR="00D25FCD" w:rsidRPr="00302DDA" w:rsidRDefault="00D25FCD"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shd w:val="clear" w:color="auto" w:fill="auto"/>
          </w:tcPr>
          <w:p w14:paraId="1463E3FE" w14:textId="77777777" w:rsidR="00D25FCD" w:rsidRPr="00302DDA" w:rsidRDefault="00D25FCD" w:rsidP="00302DDA">
            <w:pPr>
              <w:pStyle w:val="TableText"/>
              <w:spacing w:line="240" w:lineRule="auto"/>
              <w:jc w:val="right"/>
              <w:rPr>
                <w:sz w:val="16"/>
                <w:szCs w:val="16"/>
              </w:rPr>
            </w:pPr>
            <w:r w:rsidRPr="00302DDA">
              <w:rPr>
                <w:sz w:val="16"/>
                <w:szCs w:val="16"/>
              </w:rPr>
              <w:t>8.0</w:t>
            </w:r>
          </w:p>
        </w:tc>
        <w:tc>
          <w:tcPr>
            <w:tcW w:w="507" w:type="pct"/>
            <w:tcBorders>
              <w:top w:val="nil"/>
              <w:left w:val="nil"/>
              <w:bottom w:val="single" w:sz="4" w:space="0" w:color="auto"/>
              <w:right w:val="nil"/>
            </w:tcBorders>
            <w:shd w:val="clear" w:color="auto" w:fill="D9D9D9" w:themeFill="background1" w:themeFillShade="D9"/>
          </w:tcPr>
          <w:p w14:paraId="572E5067" w14:textId="77777777" w:rsidR="00D25FCD" w:rsidRPr="00302DDA" w:rsidRDefault="00D25FCD" w:rsidP="00302DDA">
            <w:pPr>
              <w:pStyle w:val="TableText"/>
              <w:spacing w:line="240" w:lineRule="auto"/>
              <w:jc w:val="right"/>
              <w:rPr>
                <w:sz w:val="16"/>
                <w:szCs w:val="16"/>
              </w:rPr>
            </w:pPr>
            <w:r w:rsidRPr="00302DDA">
              <w:rPr>
                <w:sz w:val="16"/>
                <w:szCs w:val="16"/>
              </w:rPr>
              <w:t>9.0</w:t>
            </w:r>
          </w:p>
        </w:tc>
      </w:tr>
    </w:tbl>
    <w:p w14:paraId="5ED891EA" w14:textId="3212EBCF" w:rsidR="00364874" w:rsidRPr="006200A2" w:rsidRDefault="006200A2" w:rsidP="00302DDA">
      <w:pPr>
        <w:spacing w:before="60" w:after="0" w:line="240" w:lineRule="auto"/>
        <w:rPr>
          <w:sz w:val="16"/>
        </w:rPr>
      </w:pPr>
      <w:r>
        <w:rPr>
          <w:sz w:val="16"/>
        </w:rPr>
        <w:t>*</w:t>
      </w:r>
      <w:r w:rsidR="00364874" w:rsidRPr="006200A2">
        <w:rPr>
          <w:sz w:val="16"/>
        </w:rPr>
        <w:t>Participation rate refers to the percentage of sample separations compared to the population separations.</w:t>
      </w:r>
    </w:p>
    <w:p w14:paraId="738BB306" w14:textId="63DF44AA" w:rsidR="00CD0927" w:rsidRPr="00673958" w:rsidRDefault="00CD0927" w:rsidP="006200A2">
      <w:pPr>
        <w:pStyle w:val="Heading2"/>
      </w:pPr>
      <w:bookmarkStart w:id="20" w:name="_Toc497200401"/>
      <w:bookmarkStart w:id="21" w:name="_Toc435611208"/>
      <w:bookmarkStart w:id="22" w:name="_Toc496857544"/>
      <w:bookmarkEnd w:id="15"/>
      <w:bookmarkEnd w:id="16"/>
      <w:bookmarkEnd w:id="20"/>
      <w:r w:rsidRPr="00673958">
        <w:t xml:space="preserve">Key </w:t>
      </w:r>
      <w:r w:rsidRPr="006200A2">
        <w:t>findings</w:t>
      </w:r>
      <w:bookmarkEnd w:id="21"/>
      <w:bookmarkEnd w:id="22"/>
    </w:p>
    <w:p w14:paraId="4FABC14A" w14:textId="6D5DE7DB" w:rsidR="00673958" w:rsidRPr="00673958" w:rsidRDefault="00673958" w:rsidP="00D331D3">
      <w:r w:rsidRPr="00673958">
        <w:t xml:space="preserve">The data from the Round 21 private sector NHCDC was analysed to identify the top 20 DRGs by a range of factors. These rankings were compared to the rankings from the Round 20 data. The key findings </w:t>
      </w:r>
      <w:r w:rsidR="001A1AF5">
        <w:t>were</w:t>
      </w:r>
      <w:r w:rsidRPr="00673958">
        <w:t xml:space="preserve"> as follows:</w:t>
      </w:r>
    </w:p>
    <w:p w14:paraId="49D73D57" w14:textId="3EEC2884" w:rsidR="006D1A7A" w:rsidRDefault="006D1A7A" w:rsidP="006200A2">
      <w:pPr>
        <w:pStyle w:val="ListBullet"/>
      </w:pPr>
      <w:r>
        <w:t>Overall there was a high level of consistency between the DRGs appearing in the top 20 in Round 20 and Round 21</w:t>
      </w:r>
      <w:r w:rsidR="008A76AA">
        <w:t>, apart from the top 20 f</w:t>
      </w:r>
      <w:r w:rsidR="00C45CF0">
        <w:t xml:space="preserve">or </w:t>
      </w:r>
      <w:r w:rsidR="008C3232">
        <w:t>A</w:t>
      </w:r>
      <w:r w:rsidR="008A76AA">
        <w:t xml:space="preserve">verage </w:t>
      </w:r>
      <w:r w:rsidR="008C3232">
        <w:t>L</w:t>
      </w:r>
      <w:r w:rsidR="008A76AA">
        <w:t xml:space="preserve">ength of </w:t>
      </w:r>
      <w:r w:rsidR="008C3232">
        <w:t>S</w:t>
      </w:r>
      <w:r w:rsidR="008A76AA">
        <w:t>tay</w:t>
      </w:r>
      <w:r>
        <w:t>.</w:t>
      </w:r>
    </w:p>
    <w:p w14:paraId="43675F99" w14:textId="0BF8414F" w:rsidR="00673958" w:rsidRDefault="00673958" w:rsidP="006200A2">
      <w:pPr>
        <w:pStyle w:val="ListBullet"/>
      </w:pPr>
      <w:r>
        <w:t>Highest cost weight:</w:t>
      </w:r>
      <w:r w:rsidR="004B4BDD">
        <w:t xml:space="preserve"> There was 85 percent consistency in the top 20 DRGs between Round 20 and Round 21. The highest ranked DRG was the same in both rounds, and the same DRGs appeared in the top six in both rounds (although in a different order).</w:t>
      </w:r>
      <w:r w:rsidR="00241188">
        <w:t xml:space="preserve"> Three </w:t>
      </w:r>
      <w:r w:rsidR="00241188">
        <w:lastRenderedPageBreak/>
        <w:t>DRGs which sat close to the top 20 in Round 20 have newly entered the top 20 in Round</w:t>
      </w:r>
      <w:r w:rsidR="00C27357">
        <w:t> </w:t>
      </w:r>
      <w:r w:rsidR="00241188">
        <w:t>21.</w:t>
      </w:r>
    </w:p>
    <w:p w14:paraId="6CC5049C" w14:textId="7A7AB279" w:rsidR="00673958" w:rsidRDefault="00673958" w:rsidP="006200A2">
      <w:pPr>
        <w:pStyle w:val="ListBullet"/>
      </w:pPr>
      <w:r>
        <w:t>Highest volume of population-adjusted separations:</w:t>
      </w:r>
      <w:r w:rsidR="00241188">
        <w:t xml:space="preserve"> There was 95 percent consistency in the top 20 DRGs between Round</w:t>
      </w:r>
      <w:r w:rsidR="00B92EA2">
        <w:t xml:space="preserve"> 20 and Round 21. The ranking was</w:t>
      </w:r>
      <w:r w:rsidR="00241188">
        <w:t xml:space="preserve"> very similar as well, with the top five DRGs in the sam</w:t>
      </w:r>
      <w:r w:rsidR="00B92EA2">
        <w:t>e order in both rounds. There was</w:t>
      </w:r>
      <w:r w:rsidR="00241188">
        <w:t xml:space="preserve"> only one new entry to the top 20 in Round 21, and this sat just outside the top 20 in Round 20. This indicates consistency in the high-</w:t>
      </w:r>
      <w:r w:rsidR="00387025">
        <w:t>volume</w:t>
      </w:r>
      <w:r w:rsidR="00241188">
        <w:t xml:space="preserve"> DRGs.</w:t>
      </w:r>
    </w:p>
    <w:p w14:paraId="1A9A6F4E" w14:textId="42255222" w:rsidR="00C45CF0" w:rsidRDefault="00673958" w:rsidP="006200A2">
      <w:pPr>
        <w:pStyle w:val="ListBullet"/>
      </w:pPr>
      <w:r>
        <w:t xml:space="preserve">Highest </w:t>
      </w:r>
      <w:r w:rsidR="003D1557">
        <w:t>cost</w:t>
      </w:r>
      <w:r w:rsidR="007E6F3B">
        <w:t>-</w:t>
      </w:r>
      <w:r w:rsidR="003D1557">
        <w:t>weighted</w:t>
      </w:r>
      <w:r>
        <w:t xml:space="preserve"> separations</w:t>
      </w:r>
      <w:r w:rsidR="006D1A7A">
        <w:t>: The analysis showed 90 percent consistency in the top 20 DRGs between Round 20 and Round 21. The top two DRGs were the same in both rounds, and the two new entries to the top 20 sat just outside the top 20 in Round 20.</w:t>
      </w:r>
      <w:r w:rsidR="00C45CF0" w:rsidRPr="00C45CF0">
        <w:t xml:space="preserve"> </w:t>
      </w:r>
    </w:p>
    <w:p w14:paraId="1AB14558" w14:textId="43ED9EF2" w:rsidR="00673958" w:rsidRDefault="00C45CF0" w:rsidP="006200A2">
      <w:pPr>
        <w:pStyle w:val="ListBullet"/>
      </w:pPr>
      <w:r>
        <w:t xml:space="preserve">Highest </w:t>
      </w:r>
      <w:r w:rsidR="008C3232">
        <w:t>A</w:t>
      </w:r>
      <w:r>
        <w:t xml:space="preserve">verage </w:t>
      </w:r>
      <w:r w:rsidR="008C3232">
        <w:t>L</w:t>
      </w:r>
      <w:r>
        <w:t xml:space="preserve">ength of </w:t>
      </w:r>
      <w:r w:rsidR="008C3232">
        <w:t>S</w:t>
      </w:r>
      <w:r>
        <w:t xml:space="preserve">tay: There was 70 percent consistency between the top 20 DRGs in Round 20 and Round 21. The top DRG was the same in both rounds, but beyond this there were some difference in the rankings between rounds. There were six new DRGs in the top 20 for Round 21, with some of these being far outside the top 20 in Round 20. </w:t>
      </w:r>
    </w:p>
    <w:p w14:paraId="744E0C49" w14:textId="0D8D43CC" w:rsidR="00673958" w:rsidRDefault="00661542" w:rsidP="00D331D3">
      <w:r w:rsidRPr="00661542">
        <w:t xml:space="preserve">The data was also </w:t>
      </w:r>
      <w:r>
        <w:t xml:space="preserve">analysed by cost buckets, examining </w:t>
      </w:r>
      <w:r w:rsidR="00C45CF0">
        <w:t>operating rooms (</w:t>
      </w:r>
      <w:r>
        <w:t>OR</w:t>
      </w:r>
      <w:r w:rsidR="00C45CF0">
        <w:t>)</w:t>
      </w:r>
      <w:r>
        <w:t xml:space="preserve"> and </w:t>
      </w:r>
      <w:r w:rsidR="00C45CF0">
        <w:t>s</w:t>
      </w:r>
      <w:r w:rsidR="002D3040">
        <w:t>pecial</w:t>
      </w:r>
      <w:r w:rsidR="00F83BB8">
        <w:t>ist</w:t>
      </w:r>
      <w:r w:rsidR="00C45CF0" w:rsidRPr="00C45CF0">
        <w:t xml:space="preserve"> </w:t>
      </w:r>
      <w:r w:rsidR="00C45CF0">
        <w:t>p</w:t>
      </w:r>
      <w:r w:rsidR="00C45CF0" w:rsidRPr="00C45CF0">
        <w:t xml:space="preserve">rocedure </w:t>
      </w:r>
      <w:r w:rsidR="00C45CF0">
        <w:t>s</w:t>
      </w:r>
      <w:r w:rsidR="00C45CF0" w:rsidRPr="00C45CF0">
        <w:t>uites</w:t>
      </w:r>
      <w:r w:rsidR="00C45CF0">
        <w:t xml:space="preserve"> (</w:t>
      </w:r>
      <w:r>
        <w:t>SPS</w:t>
      </w:r>
      <w:r w:rsidR="00C45CF0">
        <w:t>)</w:t>
      </w:r>
      <w:r>
        <w:t xml:space="preserve"> combined, critical care, prosthesis and miscellaneous.</w:t>
      </w:r>
      <w:r w:rsidR="0091623B">
        <w:t xml:space="preserve"> Round 20 and Round 21 were compared in terms of overall costs within each cost bucket, in addition to comparing the top 20 DRGs in each cost bucket between rounds. The key findings were:</w:t>
      </w:r>
    </w:p>
    <w:p w14:paraId="5F0DF525" w14:textId="71E615A9" w:rsidR="00FC5166" w:rsidRDefault="00FC5166" w:rsidP="006200A2">
      <w:pPr>
        <w:pStyle w:val="ListBullet"/>
      </w:pPr>
      <w:r>
        <w:t>The percentage of overall cost in the OR and SPS cost bucket increased by 1.6 percent from Round 20 to Round 21.</w:t>
      </w:r>
    </w:p>
    <w:p w14:paraId="0CB08FA9" w14:textId="387F5ED1" w:rsidR="00FC5166" w:rsidRDefault="00FC5166" w:rsidP="006200A2">
      <w:pPr>
        <w:pStyle w:val="ListBullet"/>
      </w:pPr>
      <w:r>
        <w:t xml:space="preserve">The percentage of overall cost in the miscellaneous cost bucket increased by 0.6 percent between rounds, </w:t>
      </w:r>
      <w:r w:rsidR="005C5624">
        <w:t>and now makes up 49 percent of overall costs</w:t>
      </w:r>
      <w:r w:rsidR="005A2D60">
        <w:t>.</w:t>
      </w:r>
    </w:p>
    <w:p w14:paraId="6F3A24AE" w14:textId="003369DA" w:rsidR="005C5624" w:rsidRDefault="005C5624" w:rsidP="006200A2">
      <w:pPr>
        <w:pStyle w:val="ListBullet"/>
      </w:pPr>
      <w:r>
        <w:t>The percentage of overall costs in the critical care and prosthesis cost buckets decreased by 0.8 and 1.4 percent respectively. These two cost buckets make up the smallest percentage of overall costs.</w:t>
      </w:r>
    </w:p>
    <w:p w14:paraId="69E13D6E" w14:textId="793B3A31" w:rsidR="00FC5166" w:rsidRDefault="0091623B" w:rsidP="006200A2">
      <w:pPr>
        <w:pStyle w:val="ListBullet"/>
      </w:pPr>
      <w:r>
        <w:t xml:space="preserve">The top 20 DRGs within each cost bucket were </w:t>
      </w:r>
      <w:r w:rsidR="00FC5166">
        <w:t>similar betwe</w:t>
      </w:r>
      <w:r w:rsidR="00C45CF0">
        <w:t>en Round 20 and Round 21, the</w:t>
      </w:r>
      <w:r w:rsidR="00FC5166">
        <w:t xml:space="preserve"> majority of DRGs in the top 20 in Round 21 also appear</w:t>
      </w:r>
      <w:r w:rsidR="00DF23D1">
        <w:t>ed</w:t>
      </w:r>
      <w:r w:rsidR="00FC5166">
        <w:t xml:space="preserve"> in the top 20 in Round 20.</w:t>
      </w:r>
    </w:p>
    <w:p w14:paraId="362C5CB8" w14:textId="77A89788" w:rsidR="009B1343" w:rsidRPr="00DF23D1" w:rsidRDefault="00A22E16" w:rsidP="006200A2">
      <w:pPr>
        <w:pStyle w:val="Heading2"/>
      </w:pPr>
      <w:r>
        <w:t>C</w:t>
      </w:r>
      <w:r w:rsidR="009B1343" w:rsidRPr="00DF23D1">
        <w:t xml:space="preserve">onsiderations </w:t>
      </w:r>
    </w:p>
    <w:p w14:paraId="5EEDC281" w14:textId="63C25CD4" w:rsidR="009B1343" w:rsidRPr="00DF23D1" w:rsidRDefault="009B1343" w:rsidP="00DF23D1">
      <w:r w:rsidRPr="00DF23D1">
        <w:t xml:space="preserve">The following can have a material impact on the </w:t>
      </w:r>
      <w:r w:rsidR="00DF23D1" w:rsidRPr="00DF23D1">
        <w:t xml:space="preserve">reported costs and cost weights and they </w:t>
      </w:r>
      <w:r w:rsidR="00C45CF0" w:rsidRPr="00DF23D1">
        <w:t xml:space="preserve">should be considered </w:t>
      </w:r>
      <w:r w:rsidRPr="00DF23D1">
        <w:t>when interpreting the information in this report:</w:t>
      </w:r>
    </w:p>
    <w:p w14:paraId="624BA986" w14:textId="4B9DBF65" w:rsidR="009B1343" w:rsidRPr="006200A2" w:rsidRDefault="009B1343" w:rsidP="006200A2">
      <w:pPr>
        <w:pStyle w:val="ListBullet"/>
      </w:pPr>
      <w:r w:rsidRPr="006200A2">
        <w:t xml:space="preserve">Application of the </w:t>
      </w:r>
      <w:r w:rsidR="007C3059" w:rsidRPr="006200A2">
        <w:t>AHPCS</w:t>
      </w:r>
      <w:r w:rsidR="00C04297" w:rsidRPr="006200A2">
        <w:t xml:space="preserve"> v3.1</w:t>
      </w:r>
    </w:p>
    <w:p w14:paraId="0BB371A5" w14:textId="2EEDEA52" w:rsidR="009B1343" w:rsidRPr="006200A2" w:rsidRDefault="009B1343" w:rsidP="006200A2">
      <w:pPr>
        <w:pStyle w:val="ListBullet"/>
      </w:pPr>
      <w:r w:rsidRPr="006200A2">
        <w:t>Mapping of general ledger to the appropri</w:t>
      </w:r>
      <w:r w:rsidR="00C04297" w:rsidRPr="006200A2">
        <w:t>ate and consistent cost buckets</w:t>
      </w:r>
    </w:p>
    <w:p w14:paraId="7E1B72FF" w14:textId="6AB113A7" w:rsidR="009B1343" w:rsidRPr="00DF23D1" w:rsidRDefault="009B1343" w:rsidP="006200A2">
      <w:pPr>
        <w:pStyle w:val="ListBullet"/>
      </w:pPr>
      <w:r w:rsidRPr="006200A2">
        <w:t>Allocatio</w:t>
      </w:r>
      <w:r w:rsidR="00C04297" w:rsidRPr="006200A2">
        <w:t>n of cost centres to care areas</w:t>
      </w:r>
    </w:p>
    <w:p w14:paraId="7E179958" w14:textId="20941835" w:rsidR="009B1343" w:rsidRPr="00DF23D1" w:rsidRDefault="009B1343" w:rsidP="006200A2">
      <w:pPr>
        <w:pStyle w:val="ListBullet"/>
        <w:rPr>
          <w:lang w:val="en-GB"/>
        </w:rPr>
      </w:pPr>
      <w:r w:rsidRPr="006200A2">
        <w:t>Variability in allocating costs using feeder systems (patient level data) vers</w:t>
      </w:r>
      <w:r w:rsidR="00DF23D1" w:rsidRPr="006200A2">
        <w:t>u</w:t>
      </w:r>
      <w:r w:rsidRPr="006200A2">
        <w:t>s service weights</w:t>
      </w:r>
      <w:r w:rsidRPr="00DF23D1">
        <w:rPr>
          <w:lang w:val="en-GB"/>
        </w:rPr>
        <w:t xml:space="preserve">. </w:t>
      </w:r>
    </w:p>
    <w:p w14:paraId="4FCCE4F7" w14:textId="77777777" w:rsidR="00302DDA" w:rsidRDefault="00302DDA">
      <w:pPr>
        <w:spacing w:after="0" w:line="240" w:lineRule="auto"/>
        <w:rPr>
          <w:rFonts w:asciiTheme="majorHAnsi" w:hAnsiTheme="majorHAnsi"/>
          <w:b/>
          <w:sz w:val="64"/>
          <w:szCs w:val="44"/>
        </w:rPr>
      </w:pPr>
      <w:bookmarkStart w:id="23" w:name="_Toc435611209"/>
      <w:bookmarkStart w:id="24" w:name="_Ref416364200"/>
      <w:bookmarkStart w:id="25" w:name="_Toc496857549"/>
      <w:r>
        <w:br w:type="page"/>
      </w:r>
    </w:p>
    <w:p w14:paraId="33632D6F" w14:textId="0B6F81A2" w:rsidR="00162AE0" w:rsidRPr="00E4527E" w:rsidRDefault="00162AE0" w:rsidP="006200A2">
      <w:pPr>
        <w:pStyle w:val="Heading1"/>
        <w:rPr>
          <w:sz w:val="56"/>
          <w:szCs w:val="20"/>
        </w:rPr>
      </w:pPr>
      <w:bookmarkStart w:id="26" w:name="_Toc161974"/>
      <w:r w:rsidRPr="00E4527E">
        <w:lastRenderedPageBreak/>
        <w:t>Introduction</w:t>
      </w:r>
      <w:bookmarkEnd w:id="23"/>
      <w:bookmarkEnd w:id="24"/>
      <w:bookmarkEnd w:id="25"/>
      <w:bookmarkEnd w:id="26"/>
    </w:p>
    <w:p w14:paraId="7ED2D7C8" w14:textId="754AE6BE" w:rsidR="00162AE0" w:rsidRPr="00E4527E" w:rsidRDefault="006E4F88" w:rsidP="006200A2">
      <w:pPr>
        <w:pStyle w:val="Heading2"/>
      </w:pPr>
      <w:bookmarkStart w:id="27" w:name="_Toc435611210"/>
      <w:bookmarkStart w:id="28" w:name="_Toc496857550"/>
      <w:r w:rsidRPr="00E4527E">
        <w:t>P</w:t>
      </w:r>
      <w:r w:rsidR="00162AE0" w:rsidRPr="00E4527E">
        <w:t>urpose of this report</w:t>
      </w:r>
      <w:bookmarkEnd w:id="27"/>
      <w:bookmarkEnd w:id="28"/>
    </w:p>
    <w:p w14:paraId="669817EF" w14:textId="42F7B38D" w:rsidR="007C657D" w:rsidRPr="00E4527E" w:rsidRDefault="000967B2" w:rsidP="0021069C">
      <w:r w:rsidRPr="00E4527E">
        <w:t>The purpose of this report is to provide an overview of costs reported to the Round 2</w:t>
      </w:r>
      <w:r w:rsidR="00E4527E" w:rsidRPr="00E4527E">
        <w:t>1</w:t>
      </w:r>
      <w:r w:rsidRPr="00E4527E">
        <w:t xml:space="preserve"> private sector NHCDC. </w:t>
      </w:r>
      <w:r w:rsidR="00162AE0" w:rsidRPr="00E4527E">
        <w:t>The Round 2</w:t>
      </w:r>
      <w:r w:rsidR="00E4527E" w:rsidRPr="00E4527E">
        <w:t>1</w:t>
      </w:r>
      <w:r w:rsidR="00162AE0" w:rsidRPr="00E4527E">
        <w:t xml:space="preserve"> private sector NHCDC is a voluntary collection that produces a range of hospital cost and activity information</w:t>
      </w:r>
      <w:r w:rsidRPr="00E4527E">
        <w:t xml:space="preserve">. </w:t>
      </w:r>
    </w:p>
    <w:p w14:paraId="79AD1966" w14:textId="797A00F5" w:rsidR="00162AE0" w:rsidRPr="00E4527E" w:rsidRDefault="000967B2" w:rsidP="0021069C">
      <w:pPr>
        <w:rPr>
          <w:highlight w:val="yellow"/>
        </w:rPr>
      </w:pPr>
      <w:r w:rsidRPr="00E4527E">
        <w:t>The information is</w:t>
      </w:r>
      <w:r w:rsidR="00162AE0" w:rsidRPr="00E4527E">
        <w:t xml:space="preserve"> grouped by </w:t>
      </w:r>
      <w:r w:rsidR="007C3059" w:rsidRPr="00E4527E">
        <w:t>AR-DRG</w:t>
      </w:r>
      <w:r w:rsidRPr="00E4527E">
        <w:t xml:space="preserve">, which is </w:t>
      </w:r>
      <w:r w:rsidR="00162AE0" w:rsidRPr="00E4527E">
        <w:t xml:space="preserve">“a patient classification scheme which provides a means of relating the number and types of patients treated in a hospital to the resources required </w:t>
      </w:r>
      <w:r w:rsidR="00162AE0" w:rsidRPr="0025543B">
        <w:t>by the hospital, as represented by a code</w:t>
      </w:r>
      <w:r w:rsidR="00162AE0" w:rsidRPr="0025543B">
        <w:rPr>
          <w:rStyle w:val="FootnoteReference"/>
          <w:rFonts w:ascii="Georgia" w:hAnsi="Georgia"/>
        </w:rPr>
        <w:footnoteReference w:id="1"/>
      </w:r>
      <w:r w:rsidR="00162AE0" w:rsidRPr="0025543B">
        <w:t xml:space="preserve">”. The AR-DRG is derived from a range of data collected on admitted patients, including diagnosis and procedure information, classified using </w:t>
      </w:r>
      <w:r w:rsidR="00521262" w:rsidRPr="0025543B">
        <w:t>ICD-10-AM</w:t>
      </w:r>
      <w:r w:rsidR="00521262" w:rsidRPr="0025543B">
        <w:rPr>
          <w:rStyle w:val="FootnoteReference"/>
          <w:rFonts w:ascii="Georgia" w:hAnsi="Georgia"/>
        </w:rPr>
        <w:t xml:space="preserve"> </w:t>
      </w:r>
      <w:r w:rsidR="00521262" w:rsidRPr="0025543B">
        <w:rPr>
          <w:rStyle w:val="FootnoteReference"/>
          <w:rFonts w:ascii="Georgia" w:hAnsi="Georgia"/>
        </w:rPr>
        <w:footnoteReference w:id="2"/>
      </w:r>
      <w:r w:rsidR="00521262" w:rsidRPr="0025543B">
        <w:t>.</w:t>
      </w:r>
      <w:r w:rsidR="00162AE0" w:rsidRPr="0025543B">
        <w:t xml:space="preserve"> </w:t>
      </w:r>
    </w:p>
    <w:p w14:paraId="00B4671A" w14:textId="57DEFE08" w:rsidR="00162AE0" w:rsidRPr="00E4527E" w:rsidRDefault="00162AE0" w:rsidP="0021069C">
      <w:pPr>
        <w:rPr>
          <w:highlight w:val="yellow"/>
        </w:rPr>
      </w:pPr>
      <w:r w:rsidRPr="00E4527E">
        <w:t xml:space="preserve">This report documents the data, processes, methodology and results for acute admitted care provided by overnight private hospitals. The results of the collection are expressed as national cost weights by AR-DRG version </w:t>
      </w:r>
      <w:r w:rsidR="00E4527E" w:rsidRPr="00E4527E">
        <w:t>9</w:t>
      </w:r>
      <w:r w:rsidR="00B8705E" w:rsidRPr="00E4527E">
        <w:t>.0</w:t>
      </w:r>
      <w:r w:rsidR="00E6483F" w:rsidRPr="00E4527E">
        <w:t>.</w:t>
      </w:r>
      <w:r w:rsidRPr="00E4527E">
        <w:t xml:space="preserve"> </w:t>
      </w:r>
      <w:r w:rsidR="00E6483F" w:rsidRPr="00E4527E">
        <w:t>C</w:t>
      </w:r>
      <w:r w:rsidRPr="00E4527E">
        <w:t xml:space="preserve">ost weight tables </w:t>
      </w:r>
      <w:r w:rsidR="00E6483F" w:rsidRPr="00E4527E">
        <w:t xml:space="preserve">are provided </w:t>
      </w:r>
      <w:r w:rsidRPr="00E4527E">
        <w:t xml:space="preserve">in AR-DRG versions </w:t>
      </w:r>
      <w:r w:rsidR="00E4527E" w:rsidRPr="00E4527E">
        <w:t xml:space="preserve">9.0, </w:t>
      </w:r>
      <w:r w:rsidR="00E6483F" w:rsidRPr="00E4527E">
        <w:t>8</w:t>
      </w:r>
      <w:r w:rsidR="00B8705E" w:rsidRPr="00E4527E">
        <w:t>.0</w:t>
      </w:r>
      <w:r w:rsidR="00E6483F" w:rsidRPr="00E4527E">
        <w:t xml:space="preserve">, </w:t>
      </w:r>
      <w:r w:rsidRPr="00E4527E">
        <w:t>7</w:t>
      </w:r>
      <w:r w:rsidR="00B8705E" w:rsidRPr="00E4527E">
        <w:t>.0</w:t>
      </w:r>
      <w:r w:rsidRPr="00E4527E">
        <w:t xml:space="preserve"> and 6.0x </w:t>
      </w:r>
      <w:r w:rsidR="00E6483F" w:rsidRPr="00E4527E">
        <w:t>in the Appendices</w:t>
      </w:r>
      <w:r w:rsidR="00521262" w:rsidRPr="00E4527E">
        <w:t>.</w:t>
      </w:r>
      <w:r w:rsidR="00521262" w:rsidRPr="009A5158">
        <w:t xml:space="preserve"> </w:t>
      </w:r>
    </w:p>
    <w:p w14:paraId="23E40C77" w14:textId="7B01CD6C" w:rsidR="00162AE0" w:rsidRPr="00C04297" w:rsidRDefault="006E4F88" w:rsidP="006200A2">
      <w:pPr>
        <w:pStyle w:val="Heading2"/>
      </w:pPr>
      <w:bookmarkStart w:id="29" w:name="_Toc435611211"/>
      <w:bookmarkStart w:id="30" w:name="_Toc496857551"/>
      <w:r w:rsidRPr="00C04297">
        <w:t>F</w:t>
      </w:r>
      <w:r w:rsidR="00162AE0" w:rsidRPr="00C04297">
        <w:t>ormat of th</w:t>
      </w:r>
      <w:r w:rsidR="00E6483F" w:rsidRPr="00C04297">
        <w:t>is</w:t>
      </w:r>
      <w:r w:rsidR="00162AE0" w:rsidRPr="00C04297">
        <w:t xml:space="preserve"> report</w:t>
      </w:r>
      <w:bookmarkEnd w:id="29"/>
      <w:bookmarkEnd w:id="30"/>
      <w:r w:rsidR="00162AE0" w:rsidRPr="00C04297">
        <w:t xml:space="preserve"> </w:t>
      </w:r>
    </w:p>
    <w:p w14:paraId="7F301034" w14:textId="40D9F048" w:rsidR="00162AE0" w:rsidRPr="008A2093" w:rsidRDefault="00840A93" w:rsidP="000F15F4">
      <w:r w:rsidRPr="00C04297">
        <w:t xml:space="preserve">This report includes </w:t>
      </w:r>
      <w:r w:rsidR="007D168C" w:rsidRPr="00C04297">
        <w:t>AR-</w:t>
      </w:r>
      <w:r w:rsidR="00162AE0" w:rsidRPr="00C04297">
        <w:t xml:space="preserve">DRG aggregated data, cost weights and other cost relativities. The </w:t>
      </w:r>
      <w:r w:rsidR="007D168C" w:rsidRPr="00C04297">
        <w:t>AR-</w:t>
      </w:r>
      <w:r w:rsidR="00162AE0" w:rsidRPr="00C04297">
        <w:t xml:space="preserve">DRG information is displayed </w:t>
      </w:r>
      <w:r w:rsidR="007075D4" w:rsidRPr="00C04297">
        <w:t xml:space="preserve">for the top 20 </w:t>
      </w:r>
      <w:r w:rsidR="007D168C" w:rsidRPr="00C04297">
        <w:t>AR-</w:t>
      </w:r>
      <w:r w:rsidR="007075D4" w:rsidRPr="00C04297">
        <w:t>DRGs ranked as follows</w:t>
      </w:r>
      <w:r w:rsidR="00162AE0" w:rsidRPr="00C04297">
        <w:t>:</w:t>
      </w:r>
    </w:p>
    <w:p w14:paraId="774E0411" w14:textId="1B6ADB4C" w:rsidR="00746D0C" w:rsidRPr="008A2093" w:rsidRDefault="007075D4" w:rsidP="006200A2">
      <w:pPr>
        <w:pStyle w:val="ListBullet"/>
      </w:pPr>
      <w:r w:rsidRPr="008A2093">
        <w:t xml:space="preserve">Highest </w:t>
      </w:r>
      <w:r w:rsidR="00746D0C" w:rsidRPr="008A2093">
        <w:t>cost weight</w:t>
      </w:r>
    </w:p>
    <w:p w14:paraId="656DD106" w14:textId="2675E150" w:rsidR="00A004D9" w:rsidRPr="008A2093" w:rsidRDefault="007075D4" w:rsidP="006200A2">
      <w:pPr>
        <w:pStyle w:val="ListBullet"/>
      </w:pPr>
      <w:r w:rsidRPr="008A2093">
        <w:t xml:space="preserve">Highest </w:t>
      </w:r>
      <w:r w:rsidR="00A004D9" w:rsidRPr="008A2093">
        <w:t>volume of population-adjusted separations</w:t>
      </w:r>
    </w:p>
    <w:p w14:paraId="1A8E123C" w14:textId="2031698A" w:rsidR="00A004D9" w:rsidRPr="008A2093" w:rsidRDefault="007075D4" w:rsidP="006200A2">
      <w:pPr>
        <w:pStyle w:val="ListBullet"/>
      </w:pPr>
      <w:r w:rsidRPr="008A2093">
        <w:t xml:space="preserve">Highest </w:t>
      </w:r>
      <w:r w:rsidR="007E6F3B">
        <w:t>cost-</w:t>
      </w:r>
      <w:r w:rsidR="003D1557">
        <w:t>weighted</w:t>
      </w:r>
      <w:r w:rsidR="00A004D9" w:rsidRPr="008A2093">
        <w:t xml:space="preserve"> separations</w:t>
      </w:r>
    </w:p>
    <w:p w14:paraId="71EAA295" w14:textId="054B9E49" w:rsidR="00162AE0" w:rsidRPr="008A2093" w:rsidRDefault="007075D4" w:rsidP="006200A2">
      <w:pPr>
        <w:pStyle w:val="ListBullet"/>
      </w:pPr>
      <w:r w:rsidRPr="008A2093">
        <w:t xml:space="preserve">Highest </w:t>
      </w:r>
      <w:r w:rsidR="008C3232">
        <w:t>A</w:t>
      </w:r>
      <w:r w:rsidR="008A2093" w:rsidRPr="008A2093">
        <w:t xml:space="preserve">verage </w:t>
      </w:r>
      <w:r w:rsidR="008C3232">
        <w:t>L</w:t>
      </w:r>
      <w:r w:rsidR="008A2093" w:rsidRPr="008A2093">
        <w:t xml:space="preserve">ength of </w:t>
      </w:r>
      <w:r w:rsidR="008C3232">
        <w:t>S</w:t>
      </w:r>
      <w:r w:rsidR="008A2093" w:rsidRPr="008A2093">
        <w:t>tay</w:t>
      </w:r>
    </w:p>
    <w:p w14:paraId="516C2C88" w14:textId="0AD357BB" w:rsidR="00162AE0" w:rsidRPr="008A2093" w:rsidRDefault="007075D4" w:rsidP="006200A2">
      <w:pPr>
        <w:pStyle w:val="ListBullet"/>
      </w:pPr>
      <w:r w:rsidRPr="008A2093">
        <w:t xml:space="preserve">Highest </w:t>
      </w:r>
      <w:r w:rsidR="00840A93">
        <w:t xml:space="preserve">operating room </w:t>
      </w:r>
      <w:r w:rsidR="00635C80" w:rsidRPr="008A2093">
        <w:t xml:space="preserve">and </w:t>
      </w:r>
      <w:r w:rsidR="00840A93">
        <w:t>s</w:t>
      </w:r>
      <w:r w:rsidR="002D3040">
        <w:t>pecial</w:t>
      </w:r>
      <w:r w:rsidR="00F83BB8">
        <w:t>ist</w:t>
      </w:r>
      <w:r w:rsidR="00840A93" w:rsidRPr="00840A93">
        <w:t xml:space="preserve"> </w:t>
      </w:r>
      <w:r w:rsidR="00840A93">
        <w:t>p</w:t>
      </w:r>
      <w:r w:rsidR="00840A93" w:rsidRPr="00840A93">
        <w:t xml:space="preserve">rocedure </w:t>
      </w:r>
      <w:r w:rsidR="00840A93">
        <w:t>s</w:t>
      </w:r>
      <w:r w:rsidR="00840A93" w:rsidRPr="00840A93">
        <w:t>uite</w:t>
      </w:r>
      <w:r w:rsidR="001348AC">
        <w:t>s</w:t>
      </w:r>
      <w:r w:rsidR="00840A93" w:rsidRPr="00840A93">
        <w:t xml:space="preserve"> </w:t>
      </w:r>
      <w:r w:rsidRPr="008A2093">
        <w:t>cost bucket cost weight</w:t>
      </w:r>
    </w:p>
    <w:p w14:paraId="3DF547BB" w14:textId="0D64249A" w:rsidR="00162AE0" w:rsidRPr="008A2093" w:rsidRDefault="007075D4" w:rsidP="006200A2">
      <w:pPr>
        <w:pStyle w:val="ListBullet"/>
      </w:pPr>
      <w:r w:rsidRPr="008A2093">
        <w:t xml:space="preserve">Highest </w:t>
      </w:r>
      <w:r w:rsidR="00162AE0" w:rsidRPr="008A2093">
        <w:t>critical care</w:t>
      </w:r>
      <w:r w:rsidRPr="008A2093">
        <w:t xml:space="preserve"> cost bucket cost weight</w:t>
      </w:r>
    </w:p>
    <w:p w14:paraId="05CDA11C" w14:textId="44D3CA8A" w:rsidR="00162AE0" w:rsidRPr="008A2093" w:rsidRDefault="007075D4" w:rsidP="006200A2">
      <w:pPr>
        <w:pStyle w:val="ListBullet"/>
      </w:pPr>
      <w:r w:rsidRPr="008A2093">
        <w:t xml:space="preserve">Highest </w:t>
      </w:r>
      <w:r w:rsidR="00162AE0" w:rsidRPr="008A2093">
        <w:t>prostheses</w:t>
      </w:r>
      <w:r w:rsidRPr="008A2093">
        <w:t xml:space="preserve"> cost bucket cost weight</w:t>
      </w:r>
      <w:r w:rsidR="00162AE0" w:rsidRPr="008A2093">
        <w:t xml:space="preserve"> </w:t>
      </w:r>
    </w:p>
    <w:p w14:paraId="386E5EC8" w14:textId="51E23A2B" w:rsidR="00A004D9" w:rsidRPr="008A2093" w:rsidRDefault="007075D4" w:rsidP="00302DDA">
      <w:pPr>
        <w:pStyle w:val="ListBullet"/>
      </w:pPr>
      <w:r w:rsidRPr="008A2093">
        <w:t xml:space="preserve">Highest </w:t>
      </w:r>
      <w:r w:rsidR="00162AE0" w:rsidRPr="008A2093">
        <w:t>miscellaneous</w:t>
      </w:r>
      <w:r w:rsidRPr="008A2093">
        <w:t xml:space="preserve"> cost bucket cost weight</w:t>
      </w:r>
      <w:r w:rsidR="00162AE0" w:rsidRPr="008A2093">
        <w:t>.</w:t>
      </w:r>
    </w:p>
    <w:p w14:paraId="6C75EC72" w14:textId="33BC91A1" w:rsidR="004A6563" w:rsidRPr="008A2093" w:rsidRDefault="002647B1" w:rsidP="00384647">
      <w:pPr>
        <w:spacing w:before="120"/>
      </w:pPr>
      <w:r w:rsidRPr="008A2093">
        <w:t>For definitions of the cost buckets please refer to</w:t>
      </w:r>
      <w:r w:rsidRPr="008A2093">
        <w:rPr>
          <w:rFonts w:asciiTheme="majorHAnsi" w:hAnsiTheme="majorHAnsi"/>
        </w:rPr>
        <w:t xml:space="preserve"> </w:t>
      </w:r>
      <w:r w:rsidR="00761624" w:rsidRPr="008A2093">
        <w:rPr>
          <w:rFonts w:asciiTheme="majorHAnsi" w:hAnsiTheme="majorHAnsi"/>
        </w:rPr>
        <w:fldChar w:fldCharType="begin"/>
      </w:r>
      <w:r w:rsidR="00761624" w:rsidRPr="008A2093">
        <w:rPr>
          <w:rFonts w:asciiTheme="majorHAnsi" w:hAnsiTheme="majorHAnsi"/>
        </w:rPr>
        <w:instrText xml:space="preserve"> REF _Ref497167774 \h </w:instrText>
      </w:r>
      <w:r w:rsidR="00E4527E" w:rsidRPr="008A2093">
        <w:rPr>
          <w:rFonts w:asciiTheme="majorHAnsi" w:hAnsiTheme="majorHAnsi"/>
        </w:rPr>
        <w:instrText xml:space="preserve"> \* MERGEFORMAT </w:instrText>
      </w:r>
      <w:r w:rsidR="00761624" w:rsidRPr="008A2093">
        <w:rPr>
          <w:rFonts w:asciiTheme="majorHAnsi" w:hAnsiTheme="majorHAnsi"/>
        </w:rPr>
      </w:r>
      <w:r w:rsidR="00761624" w:rsidRPr="008A2093">
        <w:rPr>
          <w:rFonts w:asciiTheme="majorHAnsi" w:hAnsiTheme="majorHAnsi"/>
        </w:rPr>
        <w:fldChar w:fldCharType="separate"/>
      </w:r>
      <w:r w:rsidR="003D3E16" w:rsidRPr="006365D0">
        <w:t>Appendix D: Cost weight tables by AR-DRG</w:t>
      </w:r>
      <w:r w:rsidR="00761624" w:rsidRPr="008A2093">
        <w:rPr>
          <w:rFonts w:asciiTheme="majorHAnsi" w:hAnsiTheme="majorHAnsi"/>
        </w:rPr>
        <w:fldChar w:fldCharType="end"/>
      </w:r>
      <w:r w:rsidR="008A2093" w:rsidRPr="008A2093">
        <w:rPr>
          <w:rFonts w:asciiTheme="majorHAnsi" w:hAnsiTheme="majorHAnsi"/>
        </w:rPr>
        <w:t xml:space="preserve"> v</w:t>
      </w:r>
      <w:r w:rsidR="00345176" w:rsidRPr="008A2093">
        <w:rPr>
          <w:rFonts w:asciiTheme="majorHAnsi" w:hAnsiTheme="majorHAnsi"/>
        </w:rPr>
        <w:t xml:space="preserve">ersion </w:t>
      </w:r>
      <w:r w:rsidR="007D168C" w:rsidRPr="008A2093">
        <w:rPr>
          <w:rFonts w:asciiTheme="majorHAnsi" w:hAnsiTheme="majorHAnsi"/>
        </w:rPr>
        <w:t>9</w:t>
      </w:r>
      <w:r w:rsidR="00345176" w:rsidRPr="008A2093">
        <w:rPr>
          <w:rFonts w:asciiTheme="majorHAnsi" w:hAnsiTheme="majorHAnsi"/>
        </w:rPr>
        <w:t>.0</w:t>
      </w:r>
      <w:r w:rsidR="00A22971" w:rsidRPr="008A2093">
        <w:t>.</w:t>
      </w:r>
    </w:p>
    <w:p w14:paraId="0059D751" w14:textId="571EF51F" w:rsidR="00162AE0" w:rsidRPr="009A5158" w:rsidRDefault="006E4F88" w:rsidP="006200A2">
      <w:pPr>
        <w:pStyle w:val="Heading2"/>
      </w:pPr>
      <w:bookmarkStart w:id="31" w:name="_Toc497200430"/>
      <w:bookmarkStart w:id="32" w:name="_Toc435611212"/>
      <w:bookmarkStart w:id="33" w:name="_Toc496857552"/>
      <w:bookmarkEnd w:id="31"/>
      <w:r w:rsidRPr="009A5158">
        <w:t>H</w:t>
      </w:r>
      <w:r w:rsidR="00162AE0" w:rsidRPr="009A5158">
        <w:t>istory of the private sector NHCDC</w:t>
      </w:r>
      <w:bookmarkEnd w:id="32"/>
      <w:bookmarkEnd w:id="33"/>
    </w:p>
    <w:p w14:paraId="11A5DDD3" w14:textId="2F67A20F" w:rsidR="00162AE0" w:rsidRPr="009A5158" w:rsidRDefault="00162AE0" w:rsidP="00C04297">
      <w:r w:rsidRPr="009A5158">
        <w:t>Round 1 of the private sector NHCDC was conducted in 1996-97 with 23 hospitals and 240,000 episodes being represented. Since then, the collection has grown steadily although n</w:t>
      </w:r>
      <w:r w:rsidR="00D61C39" w:rsidRPr="009A5158">
        <w:t>o publication was released for R</w:t>
      </w:r>
      <w:r w:rsidRPr="009A5158">
        <w:t xml:space="preserve">ounds 8, 9, </w:t>
      </w:r>
      <w:r w:rsidR="000159DD" w:rsidRPr="009A5158">
        <w:t xml:space="preserve">or </w:t>
      </w:r>
      <w:r w:rsidRPr="009A5158">
        <w:t xml:space="preserve">14 due to </w:t>
      </w:r>
      <w:r w:rsidR="009A5158" w:rsidRPr="009A5158">
        <w:t xml:space="preserve">either </w:t>
      </w:r>
      <w:r w:rsidRPr="009A5158">
        <w:t>low participation rates</w:t>
      </w:r>
      <w:r w:rsidR="0068643D">
        <w:t>.</w:t>
      </w:r>
      <w:r w:rsidRPr="009A5158">
        <w:t xml:space="preserve"> No collecti</w:t>
      </w:r>
      <w:r w:rsidR="00A34653" w:rsidRPr="009A5158">
        <w:t>on was carried out for Rounds 10</w:t>
      </w:r>
      <w:r w:rsidR="008671D8">
        <w:t xml:space="preserve"> and</w:t>
      </w:r>
      <w:r w:rsidR="00A34653" w:rsidRPr="009A5158">
        <w:t xml:space="preserve"> 15 </w:t>
      </w:r>
      <w:r w:rsidRPr="009A5158">
        <w:t xml:space="preserve">as the sector elected to bypass that year and move directly to the following </w:t>
      </w:r>
      <w:r w:rsidR="00A34653" w:rsidRPr="009A5158">
        <w:t>R</w:t>
      </w:r>
      <w:r w:rsidRPr="009A5158">
        <w:t xml:space="preserve">ound. </w:t>
      </w:r>
      <w:r w:rsidR="00A34653" w:rsidRPr="009A5158">
        <w:t xml:space="preserve">Round 19 was bypassed due to the expectation that achieving </w:t>
      </w:r>
      <w:r w:rsidR="009A5158" w:rsidRPr="009A5158">
        <w:t>a sufficient</w:t>
      </w:r>
      <w:r w:rsidR="00A34653" w:rsidRPr="009A5158">
        <w:t xml:space="preserve"> participation rate would not be met due </w:t>
      </w:r>
      <w:r w:rsidR="0068643D">
        <w:t xml:space="preserve">to </w:t>
      </w:r>
      <w:r w:rsidR="00A34653" w:rsidRPr="009A5158">
        <w:t xml:space="preserve">competing </w:t>
      </w:r>
      <w:r w:rsidR="00450CF7" w:rsidRPr="009A5158">
        <w:t>priorities</w:t>
      </w:r>
      <w:r w:rsidR="00A34653" w:rsidRPr="009A5158">
        <w:t xml:space="preserve"> of </w:t>
      </w:r>
      <w:r w:rsidR="00A34653" w:rsidRPr="009A5158">
        <w:lastRenderedPageBreak/>
        <w:t xml:space="preserve">participants. </w:t>
      </w:r>
      <w:r w:rsidRPr="009A5158">
        <w:t>Table 2 below shows the</w:t>
      </w:r>
      <w:r w:rsidR="009A5158" w:rsidRPr="009A5158">
        <w:t xml:space="preserve"> participation rate for Round 21</w:t>
      </w:r>
      <w:r w:rsidRPr="009A5158">
        <w:t xml:space="preserve"> and the last </w:t>
      </w:r>
      <w:r w:rsidR="009344C6">
        <w:t>seven</w:t>
      </w:r>
      <w:r w:rsidRPr="009A5158">
        <w:t xml:space="preserve"> published rounds.</w:t>
      </w:r>
    </w:p>
    <w:p w14:paraId="233B9F41" w14:textId="476001A5" w:rsidR="00162AE0" w:rsidRPr="00302DDA" w:rsidRDefault="00764DBD" w:rsidP="00E763E2">
      <w:pPr>
        <w:pStyle w:val="TableHeadings3"/>
      </w:pPr>
      <w:bookmarkStart w:id="34" w:name="_Toc432078941"/>
      <w:bookmarkStart w:id="35" w:name="_Toc497488018"/>
      <w:bookmarkStart w:id="36" w:name="_Toc161993"/>
      <w:r w:rsidRPr="00302DDA">
        <w:t>Table 2</w:t>
      </w:r>
      <w:r w:rsidR="004F7ECE" w:rsidRPr="00302DDA">
        <w:t>.</w:t>
      </w:r>
      <w:r w:rsidR="008D220E" w:rsidRPr="00302DDA">
        <w:t xml:space="preserve"> </w:t>
      </w:r>
      <w:r w:rsidRPr="00302DDA">
        <w:t xml:space="preserve">Summary of private hospital </w:t>
      </w:r>
      <w:r w:rsidRPr="008A6A45">
        <w:t>participation</w:t>
      </w:r>
      <w:bookmarkEnd w:id="34"/>
      <w:bookmarkEnd w:id="35"/>
      <w:bookmarkEnd w:id="36"/>
    </w:p>
    <w:tbl>
      <w:tblPr>
        <w:tblW w:w="4970" w:type="pct"/>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810"/>
        <w:gridCol w:w="976"/>
        <w:gridCol w:w="976"/>
        <w:gridCol w:w="974"/>
        <w:gridCol w:w="974"/>
        <w:gridCol w:w="974"/>
        <w:gridCol w:w="974"/>
        <w:gridCol w:w="974"/>
        <w:gridCol w:w="972"/>
      </w:tblGrid>
      <w:tr w:rsidR="009344C6" w:rsidRPr="00302DDA" w14:paraId="4065EC38" w14:textId="5F46F83D" w:rsidTr="009344C6">
        <w:trPr>
          <w:trHeight w:val="20"/>
        </w:trPr>
        <w:tc>
          <w:tcPr>
            <w:tcW w:w="943" w:type="pct"/>
            <w:tcBorders>
              <w:top w:val="single" w:sz="4" w:space="0" w:color="auto"/>
              <w:left w:val="nil"/>
              <w:bottom w:val="single" w:sz="4" w:space="0" w:color="000000"/>
              <w:right w:val="nil"/>
            </w:tcBorders>
            <w:noWrap/>
            <w:hideMark/>
          </w:tcPr>
          <w:p w14:paraId="6E917191" w14:textId="77777777" w:rsidR="009344C6" w:rsidRPr="00302DDA" w:rsidRDefault="009344C6" w:rsidP="00302DDA">
            <w:pPr>
              <w:pStyle w:val="Tablesheadings"/>
              <w:spacing w:before="80" w:after="80" w:line="240" w:lineRule="auto"/>
              <w:rPr>
                <w:sz w:val="16"/>
                <w:szCs w:val="16"/>
              </w:rPr>
            </w:pPr>
            <w:bookmarkStart w:id="37" w:name="_Toc497486100"/>
            <w:bookmarkStart w:id="38" w:name="_Toc497488019"/>
            <w:r w:rsidRPr="00302DDA">
              <w:rPr>
                <w:sz w:val="16"/>
                <w:szCs w:val="16"/>
              </w:rPr>
              <w:t>Summary</w:t>
            </w:r>
            <w:bookmarkEnd w:id="37"/>
            <w:bookmarkEnd w:id="38"/>
          </w:p>
        </w:tc>
        <w:tc>
          <w:tcPr>
            <w:tcW w:w="508" w:type="pct"/>
            <w:tcBorders>
              <w:top w:val="single" w:sz="4" w:space="0" w:color="auto"/>
              <w:left w:val="nil"/>
              <w:bottom w:val="single" w:sz="4" w:space="0" w:color="000000"/>
              <w:right w:val="nil"/>
            </w:tcBorders>
            <w:hideMark/>
          </w:tcPr>
          <w:p w14:paraId="1B8E70F0" w14:textId="77777777" w:rsidR="009344C6" w:rsidRPr="00302DDA" w:rsidRDefault="009344C6" w:rsidP="00302DDA">
            <w:pPr>
              <w:pStyle w:val="Tablesheadings"/>
              <w:spacing w:before="80" w:after="80" w:line="240" w:lineRule="auto"/>
              <w:rPr>
                <w:sz w:val="16"/>
                <w:szCs w:val="16"/>
              </w:rPr>
            </w:pPr>
            <w:bookmarkStart w:id="39" w:name="_Toc497486102"/>
            <w:bookmarkStart w:id="40" w:name="_Toc497488021"/>
            <w:r w:rsidRPr="00302DDA">
              <w:rPr>
                <w:sz w:val="16"/>
                <w:szCs w:val="16"/>
              </w:rPr>
              <w:t>Round 11 2006-07</w:t>
            </w:r>
            <w:bookmarkEnd w:id="39"/>
            <w:bookmarkEnd w:id="40"/>
          </w:p>
        </w:tc>
        <w:tc>
          <w:tcPr>
            <w:tcW w:w="508" w:type="pct"/>
            <w:tcBorders>
              <w:top w:val="single" w:sz="4" w:space="0" w:color="auto"/>
              <w:left w:val="nil"/>
              <w:bottom w:val="single" w:sz="4" w:space="0" w:color="000000"/>
              <w:right w:val="nil"/>
            </w:tcBorders>
            <w:hideMark/>
          </w:tcPr>
          <w:p w14:paraId="428F7975" w14:textId="77777777" w:rsidR="009344C6" w:rsidRPr="00302DDA" w:rsidRDefault="009344C6" w:rsidP="00302DDA">
            <w:pPr>
              <w:pStyle w:val="Tablesheadings"/>
              <w:spacing w:before="80" w:after="80" w:line="240" w:lineRule="auto"/>
              <w:rPr>
                <w:sz w:val="16"/>
                <w:szCs w:val="16"/>
              </w:rPr>
            </w:pPr>
            <w:bookmarkStart w:id="41" w:name="_Toc497486103"/>
            <w:bookmarkStart w:id="42" w:name="_Toc497488022"/>
            <w:r w:rsidRPr="00302DDA">
              <w:rPr>
                <w:sz w:val="16"/>
                <w:szCs w:val="16"/>
              </w:rPr>
              <w:t>Round 12 2007-08</w:t>
            </w:r>
            <w:bookmarkEnd w:id="41"/>
            <w:bookmarkEnd w:id="42"/>
          </w:p>
        </w:tc>
        <w:tc>
          <w:tcPr>
            <w:tcW w:w="507" w:type="pct"/>
            <w:tcBorders>
              <w:top w:val="single" w:sz="4" w:space="0" w:color="auto"/>
              <w:left w:val="nil"/>
              <w:bottom w:val="single" w:sz="4" w:space="0" w:color="000000"/>
              <w:right w:val="nil"/>
            </w:tcBorders>
            <w:hideMark/>
          </w:tcPr>
          <w:p w14:paraId="15336848" w14:textId="77777777" w:rsidR="009344C6" w:rsidRPr="00302DDA" w:rsidRDefault="009344C6" w:rsidP="00302DDA">
            <w:pPr>
              <w:pStyle w:val="Tablesheadings"/>
              <w:spacing w:before="80" w:after="80" w:line="240" w:lineRule="auto"/>
              <w:rPr>
                <w:sz w:val="16"/>
                <w:szCs w:val="16"/>
              </w:rPr>
            </w:pPr>
            <w:bookmarkStart w:id="43" w:name="_Toc497486104"/>
            <w:bookmarkStart w:id="44" w:name="_Toc497488023"/>
            <w:r w:rsidRPr="00302DDA">
              <w:rPr>
                <w:sz w:val="16"/>
                <w:szCs w:val="16"/>
              </w:rPr>
              <w:t>Round 13 2008-09</w:t>
            </w:r>
            <w:bookmarkEnd w:id="43"/>
            <w:bookmarkEnd w:id="44"/>
          </w:p>
        </w:tc>
        <w:tc>
          <w:tcPr>
            <w:tcW w:w="507" w:type="pct"/>
            <w:tcBorders>
              <w:top w:val="single" w:sz="4" w:space="0" w:color="auto"/>
              <w:left w:val="nil"/>
              <w:bottom w:val="single" w:sz="4" w:space="0" w:color="000000"/>
              <w:right w:val="nil"/>
            </w:tcBorders>
            <w:hideMark/>
          </w:tcPr>
          <w:p w14:paraId="70343F69" w14:textId="77777777" w:rsidR="009344C6" w:rsidRPr="00302DDA" w:rsidRDefault="009344C6" w:rsidP="00302DDA">
            <w:pPr>
              <w:pStyle w:val="Tablesheadings"/>
              <w:spacing w:before="80" w:after="80" w:line="240" w:lineRule="auto"/>
              <w:rPr>
                <w:sz w:val="16"/>
                <w:szCs w:val="16"/>
              </w:rPr>
            </w:pPr>
            <w:bookmarkStart w:id="45" w:name="_Toc497486105"/>
            <w:bookmarkStart w:id="46" w:name="_Toc497488024"/>
            <w:r w:rsidRPr="00302DDA">
              <w:rPr>
                <w:sz w:val="16"/>
                <w:szCs w:val="16"/>
              </w:rPr>
              <w:t>Round 16 2011-12</w:t>
            </w:r>
            <w:bookmarkEnd w:id="45"/>
            <w:bookmarkEnd w:id="46"/>
          </w:p>
        </w:tc>
        <w:tc>
          <w:tcPr>
            <w:tcW w:w="507" w:type="pct"/>
            <w:tcBorders>
              <w:top w:val="single" w:sz="4" w:space="0" w:color="auto"/>
              <w:left w:val="nil"/>
              <w:bottom w:val="single" w:sz="4" w:space="0" w:color="000000"/>
              <w:right w:val="nil"/>
            </w:tcBorders>
            <w:hideMark/>
          </w:tcPr>
          <w:p w14:paraId="1F719443" w14:textId="77777777" w:rsidR="009344C6" w:rsidRPr="00302DDA" w:rsidRDefault="009344C6" w:rsidP="00302DDA">
            <w:pPr>
              <w:pStyle w:val="Tablesheadings"/>
              <w:spacing w:before="80" w:after="80" w:line="240" w:lineRule="auto"/>
              <w:rPr>
                <w:sz w:val="16"/>
                <w:szCs w:val="16"/>
              </w:rPr>
            </w:pPr>
            <w:bookmarkStart w:id="47" w:name="_Toc497486106"/>
            <w:bookmarkStart w:id="48" w:name="_Toc497488025"/>
            <w:r w:rsidRPr="00302DDA">
              <w:rPr>
                <w:sz w:val="16"/>
                <w:szCs w:val="16"/>
              </w:rPr>
              <w:t>Round 17 2012-13</w:t>
            </w:r>
            <w:bookmarkEnd w:id="47"/>
            <w:bookmarkEnd w:id="48"/>
          </w:p>
        </w:tc>
        <w:tc>
          <w:tcPr>
            <w:tcW w:w="507" w:type="pct"/>
            <w:tcBorders>
              <w:top w:val="single" w:sz="4" w:space="0" w:color="auto"/>
              <w:left w:val="nil"/>
              <w:bottom w:val="single" w:sz="4" w:space="0" w:color="000000"/>
              <w:right w:val="nil"/>
            </w:tcBorders>
            <w:hideMark/>
          </w:tcPr>
          <w:p w14:paraId="63517E38" w14:textId="77777777" w:rsidR="009344C6" w:rsidRPr="00302DDA" w:rsidRDefault="009344C6" w:rsidP="00302DDA">
            <w:pPr>
              <w:pStyle w:val="Tablesheadings"/>
              <w:spacing w:before="80" w:after="80" w:line="240" w:lineRule="auto"/>
              <w:rPr>
                <w:sz w:val="16"/>
                <w:szCs w:val="16"/>
              </w:rPr>
            </w:pPr>
            <w:bookmarkStart w:id="49" w:name="_Toc497486107"/>
            <w:bookmarkStart w:id="50" w:name="_Toc497488026"/>
            <w:r w:rsidRPr="00302DDA">
              <w:rPr>
                <w:sz w:val="16"/>
                <w:szCs w:val="16"/>
              </w:rPr>
              <w:t>Round 18 2013-14</w:t>
            </w:r>
            <w:bookmarkEnd w:id="49"/>
            <w:bookmarkEnd w:id="50"/>
          </w:p>
        </w:tc>
        <w:tc>
          <w:tcPr>
            <w:tcW w:w="507" w:type="pct"/>
            <w:tcBorders>
              <w:top w:val="single" w:sz="4" w:space="0" w:color="auto"/>
              <w:left w:val="nil"/>
              <w:bottom w:val="single" w:sz="4" w:space="0" w:color="auto"/>
              <w:right w:val="nil"/>
            </w:tcBorders>
            <w:shd w:val="clear" w:color="auto" w:fill="auto"/>
            <w:hideMark/>
          </w:tcPr>
          <w:p w14:paraId="486406CE" w14:textId="77777777" w:rsidR="009344C6" w:rsidRPr="00302DDA" w:rsidRDefault="009344C6" w:rsidP="00302DDA">
            <w:pPr>
              <w:pStyle w:val="Tablesheadings"/>
              <w:spacing w:before="80" w:after="80" w:line="240" w:lineRule="auto"/>
              <w:rPr>
                <w:sz w:val="16"/>
                <w:szCs w:val="16"/>
              </w:rPr>
            </w:pPr>
            <w:bookmarkStart w:id="51" w:name="_Toc497486108"/>
            <w:bookmarkStart w:id="52" w:name="_Toc497488027"/>
            <w:r w:rsidRPr="00302DDA">
              <w:rPr>
                <w:sz w:val="16"/>
                <w:szCs w:val="16"/>
              </w:rPr>
              <w:t>Round 20 2015-16</w:t>
            </w:r>
            <w:bookmarkEnd w:id="51"/>
            <w:bookmarkEnd w:id="52"/>
          </w:p>
        </w:tc>
        <w:tc>
          <w:tcPr>
            <w:tcW w:w="507" w:type="pct"/>
            <w:tcBorders>
              <w:top w:val="single" w:sz="4" w:space="0" w:color="auto"/>
              <w:left w:val="nil"/>
              <w:bottom w:val="single" w:sz="4" w:space="0" w:color="auto"/>
              <w:right w:val="nil"/>
            </w:tcBorders>
            <w:shd w:val="clear" w:color="auto" w:fill="D9D9D9" w:themeFill="background1" w:themeFillShade="D9"/>
          </w:tcPr>
          <w:p w14:paraId="40AE12C7" w14:textId="7A3A1C50" w:rsidR="009344C6" w:rsidRPr="00302DDA" w:rsidRDefault="009344C6" w:rsidP="00302DDA">
            <w:pPr>
              <w:pStyle w:val="Tablesheadings"/>
              <w:spacing w:before="80" w:after="80" w:line="240" w:lineRule="auto"/>
              <w:rPr>
                <w:sz w:val="16"/>
                <w:szCs w:val="16"/>
              </w:rPr>
            </w:pPr>
            <w:r w:rsidRPr="00302DDA">
              <w:rPr>
                <w:sz w:val="16"/>
                <w:szCs w:val="16"/>
              </w:rPr>
              <w:t>Round 21 2016-17</w:t>
            </w:r>
          </w:p>
        </w:tc>
      </w:tr>
      <w:tr w:rsidR="009344C6" w:rsidRPr="00302DDA" w14:paraId="6B79077F" w14:textId="7113353B" w:rsidTr="009344C6">
        <w:trPr>
          <w:trHeight w:val="20"/>
        </w:trPr>
        <w:tc>
          <w:tcPr>
            <w:tcW w:w="943" w:type="pct"/>
            <w:noWrap/>
            <w:hideMark/>
          </w:tcPr>
          <w:p w14:paraId="212402F4" w14:textId="77777777" w:rsidR="009344C6" w:rsidRPr="00302DDA" w:rsidRDefault="009344C6" w:rsidP="00302DDA">
            <w:pPr>
              <w:pStyle w:val="TableText"/>
              <w:spacing w:line="240" w:lineRule="auto"/>
              <w:rPr>
                <w:sz w:val="16"/>
                <w:szCs w:val="16"/>
              </w:rPr>
            </w:pPr>
            <w:r w:rsidRPr="00302DDA">
              <w:rPr>
                <w:sz w:val="16"/>
                <w:szCs w:val="16"/>
              </w:rPr>
              <w:t>Number of hospitals</w:t>
            </w:r>
          </w:p>
        </w:tc>
        <w:tc>
          <w:tcPr>
            <w:tcW w:w="508" w:type="pct"/>
            <w:noWrap/>
            <w:hideMark/>
          </w:tcPr>
          <w:p w14:paraId="650813FB" w14:textId="77777777" w:rsidR="009344C6" w:rsidRPr="00302DDA" w:rsidRDefault="009344C6" w:rsidP="00302DDA">
            <w:pPr>
              <w:pStyle w:val="TableText"/>
              <w:spacing w:line="240" w:lineRule="auto"/>
              <w:jc w:val="right"/>
              <w:rPr>
                <w:sz w:val="16"/>
                <w:szCs w:val="16"/>
              </w:rPr>
            </w:pPr>
            <w:r w:rsidRPr="00302DDA">
              <w:rPr>
                <w:sz w:val="16"/>
                <w:szCs w:val="16"/>
              </w:rPr>
              <w:t>82</w:t>
            </w:r>
          </w:p>
        </w:tc>
        <w:tc>
          <w:tcPr>
            <w:tcW w:w="508" w:type="pct"/>
            <w:noWrap/>
            <w:hideMark/>
          </w:tcPr>
          <w:p w14:paraId="01F37E3F" w14:textId="77777777" w:rsidR="009344C6" w:rsidRPr="00302DDA" w:rsidRDefault="009344C6" w:rsidP="00302DDA">
            <w:pPr>
              <w:pStyle w:val="TableText"/>
              <w:spacing w:line="240" w:lineRule="auto"/>
              <w:jc w:val="right"/>
              <w:rPr>
                <w:sz w:val="16"/>
                <w:szCs w:val="16"/>
              </w:rPr>
            </w:pPr>
            <w:r w:rsidRPr="00302DDA">
              <w:rPr>
                <w:sz w:val="16"/>
                <w:szCs w:val="16"/>
              </w:rPr>
              <w:t>109</w:t>
            </w:r>
          </w:p>
        </w:tc>
        <w:tc>
          <w:tcPr>
            <w:tcW w:w="507" w:type="pct"/>
            <w:noWrap/>
            <w:hideMark/>
          </w:tcPr>
          <w:p w14:paraId="753EE63D" w14:textId="77777777" w:rsidR="009344C6" w:rsidRPr="00302DDA" w:rsidRDefault="009344C6" w:rsidP="00302DDA">
            <w:pPr>
              <w:pStyle w:val="TableText"/>
              <w:spacing w:line="240" w:lineRule="auto"/>
              <w:jc w:val="right"/>
              <w:rPr>
                <w:sz w:val="16"/>
                <w:szCs w:val="16"/>
              </w:rPr>
            </w:pPr>
            <w:r w:rsidRPr="00302DDA">
              <w:rPr>
                <w:sz w:val="16"/>
                <w:szCs w:val="16"/>
              </w:rPr>
              <w:t>110</w:t>
            </w:r>
          </w:p>
        </w:tc>
        <w:tc>
          <w:tcPr>
            <w:tcW w:w="507" w:type="pct"/>
            <w:noWrap/>
            <w:hideMark/>
          </w:tcPr>
          <w:p w14:paraId="0913AA93" w14:textId="77777777" w:rsidR="009344C6" w:rsidRPr="00302DDA" w:rsidRDefault="009344C6" w:rsidP="00302DDA">
            <w:pPr>
              <w:pStyle w:val="TableText"/>
              <w:spacing w:line="240" w:lineRule="auto"/>
              <w:jc w:val="right"/>
              <w:rPr>
                <w:sz w:val="16"/>
                <w:szCs w:val="16"/>
              </w:rPr>
            </w:pPr>
            <w:r w:rsidRPr="00302DDA">
              <w:rPr>
                <w:sz w:val="16"/>
                <w:szCs w:val="16"/>
              </w:rPr>
              <w:t>105</w:t>
            </w:r>
          </w:p>
        </w:tc>
        <w:tc>
          <w:tcPr>
            <w:tcW w:w="507" w:type="pct"/>
            <w:noWrap/>
            <w:hideMark/>
          </w:tcPr>
          <w:p w14:paraId="52838FE9" w14:textId="77777777" w:rsidR="009344C6" w:rsidRPr="00302DDA" w:rsidRDefault="009344C6" w:rsidP="00302DDA">
            <w:pPr>
              <w:pStyle w:val="TableText"/>
              <w:spacing w:line="240" w:lineRule="auto"/>
              <w:jc w:val="right"/>
              <w:rPr>
                <w:sz w:val="16"/>
                <w:szCs w:val="16"/>
              </w:rPr>
            </w:pPr>
            <w:r w:rsidRPr="00302DDA">
              <w:rPr>
                <w:sz w:val="16"/>
                <w:szCs w:val="16"/>
              </w:rPr>
              <w:t>95</w:t>
            </w:r>
          </w:p>
        </w:tc>
        <w:tc>
          <w:tcPr>
            <w:tcW w:w="507" w:type="pct"/>
            <w:noWrap/>
            <w:hideMark/>
          </w:tcPr>
          <w:p w14:paraId="1C34B490" w14:textId="77777777" w:rsidR="009344C6" w:rsidRPr="00302DDA" w:rsidRDefault="009344C6" w:rsidP="00302DDA">
            <w:pPr>
              <w:pStyle w:val="TableText"/>
              <w:spacing w:line="240" w:lineRule="auto"/>
              <w:jc w:val="right"/>
              <w:rPr>
                <w:sz w:val="16"/>
                <w:szCs w:val="16"/>
              </w:rPr>
            </w:pPr>
            <w:r w:rsidRPr="00302DDA">
              <w:rPr>
                <w:sz w:val="16"/>
                <w:szCs w:val="16"/>
              </w:rPr>
              <w:t>96</w:t>
            </w:r>
          </w:p>
        </w:tc>
        <w:tc>
          <w:tcPr>
            <w:tcW w:w="507" w:type="pct"/>
            <w:tcBorders>
              <w:top w:val="single" w:sz="4" w:space="0" w:color="auto"/>
              <w:left w:val="nil"/>
              <w:bottom w:val="nil"/>
              <w:right w:val="nil"/>
            </w:tcBorders>
            <w:shd w:val="clear" w:color="auto" w:fill="auto"/>
          </w:tcPr>
          <w:p w14:paraId="2CFFC6C4" w14:textId="77777777" w:rsidR="009344C6" w:rsidRPr="00302DDA" w:rsidRDefault="009344C6" w:rsidP="00302DDA">
            <w:pPr>
              <w:pStyle w:val="TableText"/>
              <w:spacing w:line="240" w:lineRule="auto"/>
              <w:jc w:val="right"/>
              <w:rPr>
                <w:sz w:val="16"/>
                <w:szCs w:val="16"/>
              </w:rPr>
            </w:pPr>
            <w:r w:rsidRPr="00302DDA">
              <w:rPr>
                <w:sz w:val="16"/>
                <w:szCs w:val="16"/>
              </w:rPr>
              <w:t>91</w:t>
            </w:r>
          </w:p>
        </w:tc>
        <w:tc>
          <w:tcPr>
            <w:tcW w:w="507" w:type="pct"/>
            <w:tcBorders>
              <w:top w:val="single" w:sz="4" w:space="0" w:color="auto"/>
              <w:left w:val="nil"/>
              <w:bottom w:val="nil"/>
              <w:right w:val="nil"/>
            </w:tcBorders>
            <w:shd w:val="clear" w:color="auto" w:fill="D9D9D9" w:themeFill="background1" w:themeFillShade="D9"/>
          </w:tcPr>
          <w:p w14:paraId="08EE0994" w14:textId="6DC58C69" w:rsidR="009344C6" w:rsidRPr="00302DDA" w:rsidRDefault="009344C6" w:rsidP="00302DDA">
            <w:pPr>
              <w:pStyle w:val="TableText"/>
              <w:spacing w:line="240" w:lineRule="auto"/>
              <w:jc w:val="right"/>
              <w:rPr>
                <w:sz w:val="16"/>
                <w:szCs w:val="16"/>
              </w:rPr>
            </w:pPr>
            <w:r w:rsidRPr="00302DDA">
              <w:rPr>
                <w:sz w:val="16"/>
                <w:szCs w:val="16"/>
              </w:rPr>
              <w:t>105</w:t>
            </w:r>
          </w:p>
        </w:tc>
      </w:tr>
      <w:tr w:rsidR="009344C6" w:rsidRPr="00302DDA" w14:paraId="1DD74590" w14:textId="2EF23108" w:rsidTr="009344C6">
        <w:trPr>
          <w:trHeight w:val="20"/>
        </w:trPr>
        <w:tc>
          <w:tcPr>
            <w:tcW w:w="943" w:type="pct"/>
            <w:noWrap/>
            <w:hideMark/>
          </w:tcPr>
          <w:p w14:paraId="1D21791E" w14:textId="77777777" w:rsidR="009344C6" w:rsidRPr="00302DDA" w:rsidRDefault="009344C6" w:rsidP="00302DDA">
            <w:pPr>
              <w:pStyle w:val="TableText"/>
              <w:spacing w:line="240" w:lineRule="auto"/>
              <w:rPr>
                <w:sz w:val="16"/>
                <w:szCs w:val="16"/>
              </w:rPr>
            </w:pPr>
            <w:r w:rsidRPr="00302DDA">
              <w:rPr>
                <w:sz w:val="16"/>
                <w:szCs w:val="16"/>
              </w:rPr>
              <w:t>Sample Separations</w:t>
            </w:r>
          </w:p>
        </w:tc>
        <w:tc>
          <w:tcPr>
            <w:tcW w:w="508" w:type="pct"/>
            <w:noWrap/>
            <w:hideMark/>
          </w:tcPr>
          <w:p w14:paraId="5B9F9152" w14:textId="77777777" w:rsidR="009344C6" w:rsidRPr="00302DDA" w:rsidRDefault="009344C6" w:rsidP="00302DDA">
            <w:pPr>
              <w:pStyle w:val="TableText"/>
              <w:spacing w:line="240" w:lineRule="auto"/>
              <w:jc w:val="right"/>
              <w:rPr>
                <w:sz w:val="16"/>
                <w:szCs w:val="16"/>
              </w:rPr>
            </w:pPr>
            <w:r w:rsidRPr="00302DDA">
              <w:rPr>
                <w:sz w:val="16"/>
                <w:szCs w:val="16"/>
              </w:rPr>
              <w:t>1,297,147</w:t>
            </w:r>
          </w:p>
        </w:tc>
        <w:tc>
          <w:tcPr>
            <w:tcW w:w="508" w:type="pct"/>
            <w:noWrap/>
            <w:hideMark/>
          </w:tcPr>
          <w:p w14:paraId="1396D73A" w14:textId="77777777" w:rsidR="009344C6" w:rsidRPr="00302DDA" w:rsidRDefault="009344C6" w:rsidP="00302DDA">
            <w:pPr>
              <w:pStyle w:val="TableText"/>
              <w:spacing w:line="240" w:lineRule="auto"/>
              <w:jc w:val="right"/>
              <w:rPr>
                <w:sz w:val="16"/>
                <w:szCs w:val="16"/>
              </w:rPr>
            </w:pPr>
            <w:r w:rsidRPr="00302DDA">
              <w:rPr>
                <w:sz w:val="16"/>
                <w:szCs w:val="16"/>
              </w:rPr>
              <w:t>1,607,678</w:t>
            </w:r>
          </w:p>
        </w:tc>
        <w:tc>
          <w:tcPr>
            <w:tcW w:w="507" w:type="pct"/>
            <w:noWrap/>
            <w:hideMark/>
          </w:tcPr>
          <w:p w14:paraId="1CCB76C8" w14:textId="77777777" w:rsidR="009344C6" w:rsidRPr="00302DDA" w:rsidRDefault="009344C6" w:rsidP="00302DDA">
            <w:pPr>
              <w:pStyle w:val="TableText"/>
              <w:spacing w:line="240" w:lineRule="auto"/>
              <w:jc w:val="right"/>
              <w:rPr>
                <w:sz w:val="16"/>
                <w:szCs w:val="16"/>
              </w:rPr>
            </w:pPr>
            <w:r w:rsidRPr="00302DDA">
              <w:rPr>
                <w:sz w:val="16"/>
                <w:szCs w:val="16"/>
              </w:rPr>
              <w:t>1,648,989</w:t>
            </w:r>
          </w:p>
        </w:tc>
        <w:tc>
          <w:tcPr>
            <w:tcW w:w="507" w:type="pct"/>
            <w:noWrap/>
            <w:hideMark/>
          </w:tcPr>
          <w:p w14:paraId="44989EAA" w14:textId="77777777" w:rsidR="009344C6" w:rsidRPr="00302DDA" w:rsidRDefault="009344C6" w:rsidP="00302DDA">
            <w:pPr>
              <w:pStyle w:val="TableText"/>
              <w:spacing w:line="240" w:lineRule="auto"/>
              <w:jc w:val="right"/>
              <w:rPr>
                <w:sz w:val="16"/>
                <w:szCs w:val="16"/>
              </w:rPr>
            </w:pPr>
            <w:r w:rsidRPr="00302DDA">
              <w:rPr>
                <w:sz w:val="16"/>
                <w:szCs w:val="16"/>
              </w:rPr>
              <w:t>1,775,059</w:t>
            </w:r>
          </w:p>
        </w:tc>
        <w:tc>
          <w:tcPr>
            <w:tcW w:w="507" w:type="pct"/>
            <w:noWrap/>
            <w:hideMark/>
          </w:tcPr>
          <w:p w14:paraId="2E0BA897" w14:textId="77777777" w:rsidR="009344C6" w:rsidRPr="00302DDA" w:rsidRDefault="009344C6" w:rsidP="00302DDA">
            <w:pPr>
              <w:pStyle w:val="TableText"/>
              <w:spacing w:line="240" w:lineRule="auto"/>
              <w:jc w:val="right"/>
              <w:rPr>
                <w:sz w:val="16"/>
                <w:szCs w:val="16"/>
              </w:rPr>
            </w:pPr>
            <w:r w:rsidRPr="00302DDA">
              <w:rPr>
                <w:sz w:val="16"/>
                <w:szCs w:val="16"/>
              </w:rPr>
              <w:t>1,650,816</w:t>
            </w:r>
          </w:p>
        </w:tc>
        <w:tc>
          <w:tcPr>
            <w:tcW w:w="507" w:type="pct"/>
            <w:noWrap/>
            <w:hideMark/>
          </w:tcPr>
          <w:p w14:paraId="104F719D" w14:textId="77777777" w:rsidR="009344C6" w:rsidRPr="00302DDA" w:rsidRDefault="009344C6" w:rsidP="00302DDA">
            <w:pPr>
              <w:pStyle w:val="TableText"/>
              <w:spacing w:line="240" w:lineRule="auto"/>
              <w:jc w:val="right"/>
              <w:rPr>
                <w:sz w:val="16"/>
                <w:szCs w:val="16"/>
              </w:rPr>
            </w:pPr>
            <w:r w:rsidRPr="00302DDA">
              <w:rPr>
                <w:sz w:val="16"/>
                <w:szCs w:val="16"/>
              </w:rPr>
              <w:t>1,697,311</w:t>
            </w:r>
          </w:p>
        </w:tc>
        <w:tc>
          <w:tcPr>
            <w:tcW w:w="507" w:type="pct"/>
            <w:shd w:val="clear" w:color="auto" w:fill="auto"/>
          </w:tcPr>
          <w:p w14:paraId="52C655D2" w14:textId="77777777" w:rsidR="009344C6" w:rsidRPr="00302DDA" w:rsidRDefault="009344C6" w:rsidP="00302DDA">
            <w:pPr>
              <w:pStyle w:val="TableText"/>
              <w:spacing w:line="240" w:lineRule="auto"/>
              <w:jc w:val="right"/>
              <w:rPr>
                <w:sz w:val="16"/>
                <w:szCs w:val="16"/>
              </w:rPr>
            </w:pPr>
            <w:r w:rsidRPr="00302DDA">
              <w:rPr>
                <w:sz w:val="16"/>
                <w:szCs w:val="16"/>
              </w:rPr>
              <w:t>1,781,699</w:t>
            </w:r>
          </w:p>
        </w:tc>
        <w:tc>
          <w:tcPr>
            <w:tcW w:w="507" w:type="pct"/>
            <w:shd w:val="clear" w:color="auto" w:fill="D9D9D9" w:themeFill="background1" w:themeFillShade="D9"/>
          </w:tcPr>
          <w:p w14:paraId="1C4FD793" w14:textId="0E74FF2F" w:rsidR="009344C6" w:rsidRPr="00302DDA" w:rsidRDefault="009344C6" w:rsidP="00302DDA">
            <w:pPr>
              <w:pStyle w:val="TableText"/>
              <w:spacing w:line="240" w:lineRule="auto"/>
              <w:jc w:val="right"/>
              <w:rPr>
                <w:sz w:val="16"/>
                <w:szCs w:val="16"/>
              </w:rPr>
            </w:pPr>
            <w:r w:rsidRPr="00302DDA">
              <w:rPr>
                <w:sz w:val="16"/>
                <w:szCs w:val="16"/>
              </w:rPr>
              <w:t>1,923,310</w:t>
            </w:r>
          </w:p>
        </w:tc>
      </w:tr>
      <w:tr w:rsidR="009344C6" w:rsidRPr="00302DDA" w14:paraId="7D5F1DE1" w14:textId="3E0DE9CF" w:rsidTr="009344C6">
        <w:trPr>
          <w:trHeight w:val="20"/>
        </w:trPr>
        <w:tc>
          <w:tcPr>
            <w:tcW w:w="943" w:type="pct"/>
            <w:hideMark/>
          </w:tcPr>
          <w:p w14:paraId="66946AD8" w14:textId="085BBDB8" w:rsidR="009344C6" w:rsidRPr="00302DDA" w:rsidRDefault="009344C6" w:rsidP="00302DDA">
            <w:pPr>
              <w:pStyle w:val="TableText"/>
              <w:spacing w:line="240" w:lineRule="auto"/>
              <w:rPr>
                <w:sz w:val="16"/>
                <w:szCs w:val="16"/>
              </w:rPr>
            </w:pPr>
            <w:r w:rsidRPr="00302DDA">
              <w:rPr>
                <w:sz w:val="16"/>
                <w:szCs w:val="16"/>
              </w:rPr>
              <w:t>Participation rate* %</w:t>
            </w:r>
          </w:p>
        </w:tc>
        <w:tc>
          <w:tcPr>
            <w:tcW w:w="508" w:type="pct"/>
            <w:noWrap/>
            <w:hideMark/>
          </w:tcPr>
          <w:p w14:paraId="66DB1520" w14:textId="019918CA" w:rsidR="009344C6" w:rsidRPr="00302DDA" w:rsidRDefault="009344C6" w:rsidP="00302DDA">
            <w:pPr>
              <w:pStyle w:val="TableText"/>
              <w:spacing w:line="240" w:lineRule="auto"/>
              <w:jc w:val="right"/>
              <w:rPr>
                <w:sz w:val="16"/>
                <w:szCs w:val="16"/>
              </w:rPr>
            </w:pPr>
            <w:r w:rsidRPr="00302DDA">
              <w:rPr>
                <w:sz w:val="16"/>
                <w:szCs w:val="16"/>
              </w:rPr>
              <w:t>59</w:t>
            </w:r>
          </w:p>
        </w:tc>
        <w:tc>
          <w:tcPr>
            <w:tcW w:w="508" w:type="pct"/>
            <w:noWrap/>
            <w:hideMark/>
          </w:tcPr>
          <w:p w14:paraId="7DC64869" w14:textId="6958B73A" w:rsidR="009344C6" w:rsidRPr="00302DDA" w:rsidRDefault="009344C6" w:rsidP="00302DDA">
            <w:pPr>
              <w:pStyle w:val="TableText"/>
              <w:spacing w:line="240" w:lineRule="auto"/>
              <w:jc w:val="right"/>
              <w:rPr>
                <w:sz w:val="16"/>
                <w:szCs w:val="16"/>
              </w:rPr>
            </w:pPr>
            <w:r w:rsidRPr="00302DDA">
              <w:rPr>
                <w:sz w:val="16"/>
                <w:szCs w:val="16"/>
              </w:rPr>
              <w:t>72</w:t>
            </w:r>
          </w:p>
        </w:tc>
        <w:tc>
          <w:tcPr>
            <w:tcW w:w="507" w:type="pct"/>
            <w:noWrap/>
            <w:hideMark/>
          </w:tcPr>
          <w:p w14:paraId="3AD4D18A" w14:textId="0B7A0E9B" w:rsidR="009344C6" w:rsidRPr="00302DDA" w:rsidRDefault="009344C6" w:rsidP="00302DDA">
            <w:pPr>
              <w:pStyle w:val="TableText"/>
              <w:spacing w:line="240" w:lineRule="auto"/>
              <w:jc w:val="right"/>
              <w:rPr>
                <w:sz w:val="16"/>
                <w:szCs w:val="16"/>
              </w:rPr>
            </w:pPr>
            <w:r w:rsidRPr="00302DDA">
              <w:rPr>
                <w:sz w:val="16"/>
                <w:szCs w:val="16"/>
              </w:rPr>
              <w:t>71</w:t>
            </w:r>
          </w:p>
        </w:tc>
        <w:tc>
          <w:tcPr>
            <w:tcW w:w="507" w:type="pct"/>
            <w:noWrap/>
            <w:hideMark/>
          </w:tcPr>
          <w:p w14:paraId="11777C78" w14:textId="648F09C7" w:rsidR="009344C6" w:rsidRPr="00302DDA" w:rsidRDefault="009344C6" w:rsidP="00302DDA">
            <w:pPr>
              <w:pStyle w:val="TableText"/>
              <w:spacing w:line="240" w:lineRule="auto"/>
              <w:jc w:val="right"/>
              <w:rPr>
                <w:sz w:val="16"/>
                <w:szCs w:val="16"/>
              </w:rPr>
            </w:pPr>
            <w:r w:rsidRPr="00302DDA">
              <w:rPr>
                <w:sz w:val="16"/>
                <w:szCs w:val="16"/>
              </w:rPr>
              <w:t>66</w:t>
            </w:r>
          </w:p>
        </w:tc>
        <w:tc>
          <w:tcPr>
            <w:tcW w:w="507" w:type="pct"/>
            <w:noWrap/>
            <w:hideMark/>
          </w:tcPr>
          <w:p w14:paraId="2FEEB933" w14:textId="5E76FD58" w:rsidR="009344C6" w:rsidRPr="00302DDA" w:rsidRDefault="009344C6" w:rsidP="00302DDA">
            <w:pPr>
              <w:pStyle w:val="TableText"/>
              <w:spacing w:line="240" w:lineRule="auto"/>
              <w:jc w:val="right"/>
              <w:rPr>
                <w:sz w:val="16"/>
                <w:szCs w:val="16"/>
              </w:rPr>
            </w:pPr>
            <w:r w:rsidRPr="00302DDA">
              <w:rPr>
                <w:sz w:val="16"/>
                <w:szCs w:val="16"/>
              </w:rPr>
              <w:t>60</w:t>
            </w:r>
          </w:p>
        </w:tc>
        <w:tc>
          <w:tcPr>
            <w:tcW w:w="507" w:type="pct"/>
            <w:noWrap/>
            <w:hideMark/>
          </w:tcPr>
          <w:p w14:paraId="74439671" w14:textId="15E201F2" w:rsidR="009344C6" w:rsidRPr="00302DDA" w:rsidRDefault="009344C6" w:rsidP="00302DDA">
            <w:pPr>
              <w:pStyle w:val="TableText"/>
              <w:spacing w:line="240" w:lineRule="auto"/>
              <w:jc w:val="right"/>
              <w:rPr>
                <w:sz w:val="16"/>
                <w:szCs w:val="16"/>
              </w:rPr>
            </w:pPr>
            <w:r w:rsidRPr="00302DDA">
              <w:rPr>
                <w:sz w:val="16"/>
                <w:szCs w:val="16"/>
              </w:rPr>
              <w:t>60</w:t>
            </w:r>
          </w:p>
        </w:tc>
        <w:tc>
          <w:tcPr>
            <w:tcW w:w="507" w:type="pct"/>
            <w:shd w:val="clear" w:color="auto" w:fill="auto"/>
          </w:tcPr>
          <w:p w14:paraId="5FEF60BD" w14:textId="1A7166C0" w:rsidR="009344C6" w:rsidRPr="00302DDA" w:rsidRDefault="009344C6" w:rsidP="00302DDA">
            <w:pPr>
              <w:pStyle w:val="TableText"/>
              <w:spacing w:line="240" w:lineRule="auto"/>
              <w:jc w:val="right"/>
              <w:rPr>
                <w:sz w:val="16"/>
                <w:szCs w:val="16"/>
              </w:rPr>
            </w:pPr>
            <w:r w:rsidRPr="00302DDA">
              <w:rPr>
                <w:sz w:val="16"/>
                <w:szCs w:val="16"/>
              </w:rPr>
              <w:t>58</w:t>
            </w:r>
          </w:p>
        </w:tc>
        <w:tc>
          <w:tcPr>
            <w:tcW w:w="507" w:type="pct"/>
            <w:shd w:val="clear" w:color="auto" w:fill="D9D9D9" w:themeFill="background1" w:themeFillShade="D9"/>
          </w:tcPr>
          <w:p w14:paraId="36CF8803" w14:textId="02B76A15" w:rsidR="009344C6" w:rsidRPr="00302DDA" w:rsidRDefault="009344C6" w:rsidP="00302DDA">
            <w:pPr>
              <w:pStyle w:val="TableText"/>
              <w:spacing w:line="240" w:lineRule="auto"/>
              <w:jc w:val="right"/>
              <w:rPr>
                <w:sz w:val="16"/>
                <w:szCs w:val="16"/>
              </w:rPr>
            </w:pPr>
            <w:r w:rsidRPr="00302DDA">
              <w:rPr>
                <w:sz w:val="16"/>
                <w:szCs w:val="16"/>
              </w:rPr>
              <w:t>59</w:t>
            </w:r>
          </w:p>
        </w:tc>
      </w:tr>
      <w:tr w:rsidR="009344C6" w:rsidRPr="00302DDA" w14:paraId="740594C2" w14:textId="52A19E73" w:rsidTr="009344C6">
        <w:trPr>
          <w:trHeight w:val="20"/>
        </w:trPr>
        <w:tc>
          <w:tcPr>
            <w:tcW w:w="943" w:type="pct"/>
            <w:tcBorders>
              <w:top w:val="nil"/>
              <w:left w:val="nil"/>
              <w:bottom w:val="single" w:sz="4" w:space="0" w:color="auto"/>
              <w:right w:val="nil"/>
            </w:tcBorders>
            <w:noWrap/>
            <w:hideMark/>
          </w:tcPr>
          <w:p w14:paraId="450A3E2B" w14:textId="77777777" w:rsidR="009344C6" w:rsidRPr="00302DDA" w:rsidRDefault="009344C6" w:rsidP="00302DDA">
            <w:pPr>
              <w:pStyle w:val="TableText"/>
              <w:spacing w:line="240" w:lineRule="auto"/>
              <w:rPr>
                <w:sz w:val="16"/>
                <w:szCs w:val="16"/>
              </w:rPr>
            </w:pPr>
            <w:r w:rsidRPr="00302DDA">
              <w:rPr>
                <w:sz w:val="16"/>
                <w:szCs w:val="16"/>
              </w:rPr>
              <w:t>AR-DRG version</w:t>
            </w:r>
          </w:p>
        </w:tc>
        <w:tc>
          <w:tcPr>
            <w:tcW w:w="508" w:type="pct"/>
            <w:tcBorders>
              <w:top w:val="nil"/>
              <w:left w:val="nil"/>
              <w:bottom w:val="single" w:sz="4" w:space="0" w:color="auto"/>
              <w:right w:val="nil"/>
            </w:tcBorders>
            <w:noWrap/>
            <w:hideMark/>
          </w:tcPr>
          <w:p w14:paraId="55752924" w14:textId="77777777" w:rsidR="009344C6" w:rsidRPr="00302DDA" w:rsidRDefault="009344C6" w:rsidP="00302DDA">
            <w:pPr>
              <w:pStyle w:val="TableText"/>
              <w:spacing w:line="240" w:lineRule="auto"/>
              <w:jc w:val="right"/>
              <w:rPr>
                <w:sz w:val="16"/>
                <w:szCs w:val="16"/>
              </w:rPr>
            </w:pPr>
            <w:r w:rsidRPr="00302DDA">
              <w:rPr>
                <w:sz w:val="16"/>
                <w:szCs w:val="16"/>
              </w:rPr>
              <w:t>4.2</w:t>
            </w:r>
          </w:p>
        </w:tc>
        <w:tc>
          <w:tcPr>
            <w:tcW w:w="508" w:type="pct"/>
            <w:tcBorders>
              <w:top w:val="nil"/>
              <w:left w:val="nil"/>
              <w:bottom w:val="single" w:sz="4" w:space="0" w:color="auto"/>
              <w:right w:val="nil"/>
            </w:tcBorders>
            <w:noWrap/>
            <w:hideMark/>
          </w:tcPr>
          <w:p w14:paraId="0AB830CF" w14:textId="77777777" w:rsidR="009344C6" w:rsidRPr="00302DDA" w:rsidRDefault="009344C6" w:rsidP="00302DDA">
            <w:pPr>
              <w:pStyle w:val="TableText"/>
              <w:spacing w:line="240" w:lineRule="auto"/>
              <w:jc w:val="right"/>
              <w:rPr>
                <w:sz w:val="16"/>
                <w:szCs w:val="16"/>
              </w:rPr>
            </w:pPr>
            <w:r w:rsidRPr="00302DDA">
              <w:rPr>
                <w:sz w:val="16"/>
                <w:szCs w:val="16"/>
              </w:rPr>
              <w:t>4.2</w:t>
            </w:r>
          </w:p>
        </w:tc>
        <w:tc>
          <w:tcPr>
            <w:tcW w:w="507" w:type="pct"/>
            <w:tcBorders>
              <w:top w:val="nil"/>
              <w:left w:val="nil"/>
              <w:bottom w:val="single" w:sz="4" w:space="0" w:color="auto"/>
              <w:right w:val="nil"/>
            </w:tcBorders>
            <w:noWrap/>
            <w:hideMark/>
          </w:tcPr>
          <w:p w14:paraId="573529CC" w14:textId="77777777" w:rsidR="009344C6" w:rsidRPr="00302DDA" w:rsidRDefault="009344C6" w:rsidP="00302DDA">
            <w:pPr>
              <w:pStyle w:val="TableText"/>
              <w:spacing w:line="240" w:lineRule="auto"/>
              <w:jc w:val="right"/>
              <w:rPr>
                <w:sz w:val="16"/>
                <w:szCs w:val="16"/>
              </w:rPr>
            </w:pPr>
            <w:r w:rsidRPr="00302DDA">
              <w:rPr>
                <w:sz w:val="16"/>
                <w:szCs w:val="16"/>
              </w:rPr>
              <w:t>5.1</w:t>
            </w:r>
          </w:p>
        </w:tc>
        <w:tc>
          <w:tcPr>
            <w:tcW w:w="507" w:type="pct"/>
            <w:tcBorders>
              <w:top w:val="nil"/>
              <w:left w:val="nil"/>
              <w:bottom w:val="single" w:sz="4" w:space="0" w:color="auto"/>
              <w:right w:val="nil"/>
            </w:tcBorders>
            <w:noWrap/>
            <w:hideMark/>
          </w:tcPr>
          <w:p w14:paraId="2D916495" w14:textId="77777777" w:rsidR="009344C6" w:rsidRPr="00302DDA" w:rsidRDefault="009344C6"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noWrap/>
            <w:hideMark/>
          </w:tcPr>
          <w:p w14:paraId="3DCC6A11" w14:textId="77777777" w:rsidR="009344C6" w:rsidRPr="00302DDA" w:rsidRDefault="009344C6"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noWrap/>
            <w:hideMark/>
          </w:tcPr>
          <w:p w14:paraId="660DE205" w14:textId="77777777" w:rsidR="009344C6" w:rsidRPr="00302DDA" w:rsidRDefault="009344C6" w:rsidP="00302DDA">
            <w:pPr>
              <w:pStyle w:val="TableText"/>
              <w:spacing w:line="240" w:lineRule="auto"/>
              <w:jc w:val="right"/>
              <w:rPr>
                <w:sz w:val="16"/>
                <w:szCs w:val="16"/>
              </w:rPr>
            </w:pPr>
            <w:r w:rsidRPr="00302DDA">
              <w:rPr>
                <w:sz w:val="16"/>
                <w:szCs w:val="16"/>
              </w:rPr>
              <w:t>6.0x</w:t>
            </w:r>
          </w:p>
        </w:tc>
        <w:tc>
          <w:tcPr>
            <w:tcW w:w="507" w:type="pct"/>
            <w:tcBorders>
              <w:top w:val="nil"/>
              <w:left w:val="nil"/>
              <w:bottom w:val="single" w:sz="4" w:space="0" w:color="auto"/>
              <w:right w:val="nil"/>
            </w:tcBorders>
            <w:shd w:val="clear" w:color="auto" w:fill="auto"/>
          </w:tcPr>
          <w:p w14:paraId="3DA4BD79" w14:textId="77777777" w:rsidR="009344C6" w:rsidRPr="00302DDA" w:rsidRDefault="009344C6" w:rsidP="00302DDA">
            <w:pPr>
              <w:pStyle w:val="TableText"/>
              <w:spacing w:line="240" w:lineRule="auto"/>
              <w:jc w:val="right"/>
              <w:rPr>
                <w:sz w:val="16"/>
                <w:szCs w:val="16"/>
              </w:rPr>
            </w:pPr>
            <w:r w:rsidRPr="00302DDA">
              <w:rPr>
                <w:sz w:val="16"/>
                <w:szCs w:val="16"/>
              </w:rPr>
              <w:t>8.0</w:t>
            </w:r>
          </w:p>
        </w:tc>
        <w:tc>
          <w:tcPr>
            <w:tcW w:w="507" w:type="pct"/>
            <w:tcBorders>
              <w:top w:val="nil"/>
              <w:left w:val="nil"/>
              <w:bottom w:val="single" w:sz="4" w:space="0" w:color="auto"/>
              <w:right w:val="nil"/>
            </w:tcBorders>
            <w:shd w:val="clear" w:color="auto" w:fill="D9D9D9" w:themeFill="background1" w:themeFillShade="D9"/>
          </w:tcPr>
          <w:p w14:paraId="1D4886EF" w14:textId="549FE1D8" w:rsidR="009344C6" w:rsidRPr="00302DDA" w:rsidRDefault="009344C6" w:rsidP="00302DDA">
            <w:pPr>
              <w:pStyle w:val="TableText"/>
              <w:spacing w:line="240" w:lineRule="auto"/>
              <w:jc w:val="right"/>
              <w:rPr>
                <w:sz w:val="16"/>
                <w:szCs w:val="16"/>
              </w:rPr>
            </w:pPr>
            <w:r w:rsidRPr="00302DDA">
              <w:rPr>
                <w:sz w:val="16"/>
                <w:szCs w:val="16"/>
              </w:rPr>
              <w:t>9.0</w:t>
            </w:r>
          </w:p>
        </w:tc>
      </w:tr>
    </w:tbl>
    <w:p w14:paraId="1528D376" w14:textId="77777777" w:rsidR="00084455" w:rsidRPr="00302DDA" w:rsidRDefault="00084455" w:rsidP="00302DDA">
      <w:pPr>
        <w:spacing w:before="60" w:line="240" w:lineRule="auto"/>
        <w:rPr>
          <w:sz w:val="16"/>
        </w:rPr>
      </w:pPr>
      <w:r w:rsidRPr="00302DDA">
        <w:rPr>
          <w:sz w:val="16"/>
        </w:rPr>
        <w:t>* Participation rate refers to the percentage of sample separations compared to the population separations.</w:t>
      </w:r>
    </w:p>
    <w:p w14:paraId="7BE1516E" w14:textId="05F70B48" w:rsidR="00162AE0" w:rsidRPr="00DD5FCE" w:rsidRDefault="00084455" w:rsidP="006200A2">
      <w:pPr>
        <w:pStyle w:val="Heading2"/>
      </w:pPr>
      <w:bookmarkStart w:id="53" w:name="_Toc435611213"/>
      <w:bookmarkStart w:id="54" w:name="_Toc496857553"/>
      <w:r w:rsidRPr="00DD5FCE">
        <w:t>Private hospital</w:t>
      </w:r>
      <w:r w:rsidR="00DD5FCE" w:rsidRPr="00DD5FCE">
        <w:t xml:space="preserve"> statistics for Round 21</w:t>
      </w:r>
      <w:r w:rsidR="00162AE0" w:rsidRPr="00DD5FCE">
        <w:t xml:space="preserve"> (201</w:t>
      </w:r>
      <w:r w:rsidR="00DD5FCE" w:rsidRPr="00DD5FCE">
        <w:t>6</w:t>
      </w:r>
      <w:r w:rsidR="00162AE0" w:rsidRPr="00DD5FCE">
        <w:t>-1</w:t>
      </w:r>
      <w:r w:rsidR="00DD5FCE" w:rsidRPr="00DD5FCE">
        <w:t>7</w:t>
      </w:r>
      <w:r w:rsidR="00162AE0" w:rsidRPr="00DD5FCE">
        <w:t>)</w:t>
      </w:r>
      <w:bookmarkEnd w:id="53"/>
      <w:bookmarkEnd w:id="54"/>
    </w:p>
    <w:p w14:paraId="0DFDEEB6" w14:textId="5A45745C" w:rsidR="00162AE0" w:rsidRPr="00E4527E" w:rsidRDefault="00162AE0" w:rsidP="000F15F4">
      <w:pPr>
        <w:rPr>
          <w:highlight w:val="yellow"/>
        </w:rPr>
      </w:pPr>
      <w:r w:rsidRPr="00DD5FCE">
        <w:t>AB</w:t>
      </w:r>
      <w:r w:rsidRPr="000F15F4">
        <w:t>S</w:t>
      </w:r>
      <w:r w:rsidRPr="000F15F4">
        <w:rPr>
          <w:rStyle w:val="FootnoteReference"/>
          <w:rFonts w:ascii="Georgia" w:hAnsi="Georgia"/>
        </w:rPr>
        <w:footnoteReference w:id="3"/>
      </w:r>
      <w:r w:rsidRPr="000F15F4">
        <w:t xml:space="preserve"> </w:t>
      </w:r>
      <w:r w:rsidRPr="00DD5FCE">
        <w:t>reported that there were 6</w:t>
      </w:r>
      <w:r w:rsidR="00DD5FCE" w:rsidRPr="00DD5FCE">
        <w:t>57</w:t>
      </w:r>
      <w:r w:rsidRPr="00DD5FCE">
        <w:t xml:space="preserve"> private hospitals operating in Australia in 201</w:t>
      </w:r>
      <w:r w:rsidR="00DD5FCE" w:rsidRPr="00DD5FCE">
        <w:t>6</w:t>
      </w:r>
      <w:r w:rsidRPr="00DD5FCE">
        <w:t>-1</w:t>
      </w:r>
      <w:r w:rsidR="00DD5FCE" w:rsidRPr="00DD5FCE">
        <w:t>7</w:t>
      </w:r>
      <w:r w:rsidRPr="00DD5FCE">
        <w:t xml:space="preserve">, a net increase of </w:t>
      </w:r>
      <w:r w:rsidR="00DD5FCE">
        <w:t>2</w:t>
      </w:r>
      <w:r w:rsidR="00DD5FCE" w:rsidRPr="00DD5FCE">
        <w:t>7</w:t>
      </w:r>
      <w:r w:rsidRPr="00DD5FCE">
        <w:t xml:space="preserve"> from Round </w:t>
      </w:r>
      <w:r w:rsidR="00DD5FCE" w:rsidRPr="00DD5FCE">
        <w:t>20</w:t>
      </w:r>
      <w:r w:rsidRPr="00DD5FCE">
        <w:t xml:space="preserve"> in 201</w:t>
      </w:r>
      <w:r w:rsidR="00DD5FCE" w:rsidRPr="00DD5FCE">
        <w:t>5</w:t>
      </w:r>
      <w:r w:rsidRPr="00DD5FCE">
        <w:t>-1</w:t>
      </w:r>
      <w:r w:rsidR="00DD5FCE" w:rsidRPr="00DD5FCE">
        <w:t>6. There were 11</w:t>
      </w:r>
      <w:r w:rsidRPr="00DD5FCE">
        <w:t xml:space="preserve"> additional </w:t>
      </w:r>
      <w:r w:rsidR="00713FCD" w:rsidRPr="00DD5FCE">
        <w:t xml:space="preserve">acute </w:t>
      </w:r>
      <w:r w:rsidRPr="00DD5FCE">
        <w:t xml:space="preserve">and psychiatric hospitals and </w:t>
      </w:r>
      <w:r w:rsidR="00AD6694" w:rsidRPr="00DD5FCE">
        <w:t>1</w:t>
      </w:r>
      <w:r w:rsidR="00DD5FCE" w:rsidRPr="00DD5FCE">
        <w:t>6</w:t>
      </w:r>
      <w:r w:rsidR="00AD6694" w:rsidRPr="00DD5FCE">
        <w:t xml:space="preserve"> </w:t>
      </w:r>
      <w:r w:rsidRPr="00DD5FCE">
        <w:t>additional free-standing day hospitals in 201</w:t>
      </w:r>
      <w:r w:rsidR="00DD5FCE" w:rsidRPr="00DD5FCE">
        <w:t>6</w:t>
      </w:r>
      <w:r w:rsidRPr="00DD5FCE">
        <w:t>-1</w:t>
      </w:r>
      <w:r w:rsidR="00DD5FCE" w:rsidRPr="00DD5FCE">
        <w:t xml:space="preserve">7 compared to </w:t>
      </w:r>
      <w:r w:rsidR="000F15F4">
        <w:t xml:space="preserve">Round </w:t>
      </w:r>
      <w:r w:rsidR="00DD5FCE" w:rsidRPr="00DD5FCE">
        <w:t>20</w:t>
      </w:r>
      <w:r w:rsidRPr="00DD5FCE">
        <w:t>.</w:t>
      </w:r>
      <w:r w:rsidRPr="00E4527E">
        <w:rPr>
          <w:highlight w:val="yellow"/>
        </w:rPr>
        <w:t xml:space="preserve"> </w:t>
      </w:r>
    </w:p>
    <w:p w14:paraId="61BB786F" w14:textId="5156D0EE" w:rsidR="00162AE0" w:rsidRPr="00E4527E" w:rsidRDefault="00162AE0" w:rsidP="000F15F4">
      <w:pPr>
        <w:rPr>
          <w:highlight w:val="yellow"/>
        </w:rPr>
      </w:pPr>
      <w:r w:rsidRPr="005951B6">
        <w:t>There were 3</w:t>
      </w:r>
      <w:r w:rsidR="005951B6" w:rsidRPr="005951B6">
        <w:t>4</w:t>
      </w:r>
      <w:r w:rsidRPr="005951B6">
        <w:t>,</w:t>
      </w:r>
      <w:r w:rsidR="005951B6" w:rsidRPr="005951B6">
        <w:t>339</w:t>
      </w:r>
      <w:r w:rsidRPr="005951B6">
        <w:t xml:space="preserve"> beds and chairs available in private hospitals in 201</w:t>
      </w:r>
      <w:r w:rsidR="005951B6" w:rsidRPr="005951B6">
        <w:t>6</w:t>
      </w:r>
      <w:r w:rsidRPr="005951B6">
        <w:t>-1</w:t>
      </w:r>
      <w:r w:rsidR="005951B6" w:rsidRPr="005951B6">
        <w:t>7</w:t>
      </w:r>
      <w:r w:rsidRPr="005951B6">
        <w:t xml:space="preserve">. Acute and psychiatric hospitals accounted for </w:t>
      </w:r>
      <w:r w:rsidR="005951B6" w:rsidRPr="005951B6">
        <w:t>31</w:t>
      </w:r>
      <w:r w:rsidR="00AD6694" w:rsidRPr="005951B6">
        <w:t>,</w:t>
      </w:r>
      <w:r w:rsidR="005951B6" w:rsidRPr="005951B6">
        <w:t>029</w:t>
      </w:r>
      <w:r w:rsidRPr="005951B6">
        <w:t xml:space="preserve"> or 9</w:t>
      </w:r>
      <w:r w:rsidR="005951B6" w:rsidRPr="005951B6">
        <w:t>0</w:t>
      </w:r>
      <w:r w:rsidR="00713FCD" w:rsidRPr="005951B6">
        <w:t xml:space="preserve"> </w:t>
      </w:r>
      <w:r w:rsidR="00F74337">
        <w:t>percent</w:t>
      </w:r>
      <w:r w:rsidRPr="005951B6">
        <w:t xml:space="preserve"> of all beds and chairs, with the remaining 3,</w:t>
      </w:r>
      <w:r w:rsidR="005951B6" w:rsidRPr="005951B6">
        <w:t>3</w:t>
      </w:r>
      <w:r w:rsidRPr="005951B6">
        <w:t>1</w:t>
      </w:r>
      <w:r w:rsidR="005951B6" w:rsidRPr="005951B6">
        <w:t>0</w:t>
      </w:r>
      <w:r w:rsidRPr="005951B6">
        <w:t xml:space="preserve"> located in free-standing day hospital facilities.</w:t>
      </w:r>
    </w:p>
    <w:p w14:paraId="70081CA1" w14:textId="55E10A6F" w:rsidR="00162AE0" w:rsidRPr="00E4527E" w:rsidRDefault="00162AE0" w:rsidP="000F15F4">
      <w:pPr>
        <w:rPr>
          <w:highlight w:val="yellow"/>
        </w:rPr>
      </w:pPr>
      <w:r w:rsidRPr="005951B6">
        <w:t>There were 4.</w:t>
      </w:r>
      <w:r w:rsidR="005951B6" w:rsidRPr="005951B6">
        <w:t>9</w:t>
      </w:r>
      <w:r w:rsidRPr="005951B6">
        <w:t xml:space="preserve"> million patient separations in 201</w:t>
      </w:r>
      <w:r w:rsidR="005951B6" w:rsidRPr="005951B6">
        <w:t>6</w:t>
      </w:r>
      <w:r w:rsidRPr="005951B6">
        <w:t>-1</w:t>
      </w:r>
      <w:r w:rsidR="005951B6" w:rsidRPr="005951B6">
        <w:t>7</w:t>
      </w:r>
      <w:r w:rsidRPr="005951B6">
        <w:t>, with 75</w:t>
      </w:r>
      <w:r w:rsidR="00713FCD" w:rsidRPr="005951B6">
        <w:t xml:space="preserve"> </w:t>
      </w:r>
      <w:r w:rsidR="00F74337">
        <w:t>percent</w:t>
      </w:r>
      <w:r w:rsidRPr="005951B6">
        <w:t xml:space="preserve"> of those separations reported by acute and psychiatric hospitals. Total patient separations increased by </w:t>
      </w:r>
      <w:r w:rsidR="005951B6" w:rsidRPr="005951B6">
        <w:t>3</w:t>
      </w:r>
      <w:r w:rsidRPr="005951B6">
        <w:t>.</w:t>
      </w:r>
      <w:r w:rsidR="005951B6" w:rsidRPr="005951B6">
        <w:t>9</w:t>
      </w:r>
      <w:r w:rsidR="00713FCD" w:rsidRPr="005951B6">
        <w:t xml:space="preserve"> </w:t>
      </w:r>
      <w:r w:rsidR="00F74337">
        <w:t>percent</w:t>
      </w:r>
      <w:r w:rsidRPr="005951B6">
        <w:t xml:space="preserve"> from 201</w:t>
      </w:r>
      <w:r w:rsidR="005951B6" w:rsidRPr="005951B6">
        <w:t>5</w:t>
      </w:r>
      <w:r w:rsidRPr="005951B6">
        <w:t>-1</w:t>
      </w:r>
      <w:r w:rsidR="005951B6" w:rsidRPr="005951B6">
        <w:t>6</w:t>
      </w:r>
      <w:r w:rsidRPr="005951B6">
        <w:t xml:space="preserve"> to 201</w:t>
      </w:r>
      <w:r w:rsidR="005951B6" w:rsidRPr="005951B6">
        <w:t>6</w:t>
      </w:r>
      <w:r w:rsidRPr="005951B6">
        <w:t>-1</w:t>
      </w:r>
      <w:r w:rsidR="005951B6" w:rsidRPr="005951B6">
        <w:t>7</w:t>
      </w:r>
      <w:r w:rsidRPr="005951B6">
        <w:t>.</w:t>
      </w:r>
    </w:p>
    <w:p w14:paraId="023F3252" w14:textId="355A2C67" w:rsidR="00A22971" w:rsidRPr="00E4527E" w:rsidRDefault="00162AE0" w:rsidP="000F15F4">
      <w:pPr>
        <w:rPr>
          <w:highlight w:val="yellow"/>
        </w:rPr>
      </w:pPr>
      <w:r w:rsidRPr="005951B6">
        <w:t>Private hospitals provided close to 10.</w:t>
      </w:r>
      <w:r w:rsidR="005951B6" w:rsidRPr="005951B6">
        <w:t>8</w:t>
      </w:r>
      <w:r w:rsidRPr="005951B6">
        <w:t xml:space="preserve"> million patient days of care in 201</w:t>
      </w:r>
      <w:r w:rsidR="005951B6" w:rsidRPr="005951B6">
        <w:t>6-17</w:t>
      </w:r>
      <w:r w:rsidRPr="005951B6">
        <w:t>. Acute and psychiatric hospitals provided 9.</w:t>
      </w:r>
      <w:r w:rsidR="005951B6" w:rsidRPr="005951B6">
        <w:t>6</w:t>
      </w:r>
      <w:r w:rsidRPr="005951B6">
        <w:t xml:space="preserve"> million, or 8</w:t>
      </w:r>
      <w:r w:rsidR="00AD6694" w:rsidRPr="005951B6">
        <w:t>9</w:t>
      </w:r>
      <w:r w:rsidR="00E359A8" w:rsidRPr="005951B6">
        <w:t xml:space="preserve"> </w:t>
      </w:r>
      <w:r w:rsidR="00F74337">
        <w:t>percent</w:t>
      </w:r>
      <w:r w:rsidRPr="005951B6">
        <w:t xml:space="preserve"> of all patient days. Within acute and psychiatric hospitals, overnight-stay patients accounted for 7.</w:t>
      </w:r>
      <w:r w:rsidR="005951B6" w:rsidRPr="005951B6">
        <w:t>3</w:t>
      </w:r>
      <w:r w:rsidRPr="005951B6">
        <w:t xml:space="preserve"> million patient days and same</w:t>
      </w:r>
      <w:r w:rsidR="005D0441" w:rsidRPr="005951B6">
        <w:noBreakHyphen/>
      </w:r>
      <w:r w:rsidRPr="005951B6">
        <w:t>day patients accounted for a further 2.</w:t>
      </w:r>
      <w:r w:rsidR="005951B6" w:rsidRPr="005951B6">
        <w:t>3</w:t>
      </w:r>
      <w:r w:rsidRPr="005951B6">
        <w:t xml:space="preserve"> million.</w:t>
      </w:r>
    </w:p>
    <w:p w14:paraId="6166B734" w14:textId="0FB745CC" w:rsidR="00162AE0" w:rsidRPr="009344C6" w:rsidRDefault="00A34653" w:rsidP="006200A2">
      <w:pPr>
        <w:pStyle w:val="Heading2"/>
      </w:pPr>
      <w:bookmarkStart w:id="55" w:name="_Toc497732621"/>
      <w:bookmarkStart w:id="56" w:name="_Toc497736252"/>
      <w:bookmarkStart w:id="57" w:name="_Toc497736440"/>
      <w:bookmarkStart w:id="58" w:name="_Toc435611214"/>
      <w:bookmarkStart w:id="59" w:name="_Ref404224472"/>
      <w:bookmarkStart w:id="60" w:name="_Toc401133808"/>
      <w:bookmarkStart w:id="61" w:name="_Toc401133774"/>
      <w:bookmarkStart w:id="62" w:name="_Ref496780998"/>
      <w:bookmarkStart w:id="63" w:name="_Toc496857554"/>
      <w:bookmarkStart w:id="64" w:name="_Ref497146926"/>
      <w:bookmarkStart w:id="65" w:name="_Ref497146931"/>
      <w:bookmarkStart w:id="66" w:name="_Ref497146935"/>
      <w:bookmarkStart w:id="67" w:name="_Ref497395283"/>
      <w:bookmarkEnd w:id="55"/>
      <w:bookmarkEnd w:id="56"/>
      <w:bookmarkEnd w:id="57"/>
      <w:r w:rsidRPr="009344C6">
        <w:t>Change</w:t>
      </w:r>
      <w:r w:rsidR="00415AAE" w:rsidRPr="009344C6">
        <w:t>s</w:t>
      </w:r>
      <w:r w:rsidRPr="009344C6">
        <w:t xml:space="preserve"> in Round 2</w:t>
      </w:r>
      <w:bookmarkEnd w:id="58"/>
      <w:bookmarkEnd w:id="59"/>
      <w:bookmarkEnd w:id="60"/>
      <w:bookmarkEnd w:id="61"/>
      <w:bookmarkEnd w:id="62"/>
      <w:bookmarkEnd w:id="63"/>
      <w:bookmarkEnd w:id="64"/>
      <w:bookmarkEnd w:id="65"/>
      <w:bookmarkEnd w:id="66"/>
      <w:bookmarkEnd w:id="67"/>
      <w:r w:rsidR="009344C6" w:rsidRPr="009344C6">
        <w:t>1</w:t>
      </w:r>
    </w:p>
    <w:p w14:paraId="1CB79B00" w14:textId="1F53973E" w:rsidR="000F15F4" w:rsidRDefault="008671D8" w:rsidP="000F15F4">
      <w:r>
        <w:t>There have been no significant changes made between Round 20 and Round 21 with the exception of th</w:t>
      </w:r>
      <w:r w:rsidR="005A2D60">
        <w:t>o</w:t>
      </w:r>
      <w:r>
        <w:t xml:space="preserve">se described below. </w:t>
      </w:r>
    </w:p>
    <w:p w14:paraId="632C6EF3" w14:textId="0EDBAE3A" w:rsidR="00C54AB0" w:rsidRPr="000F15F4" w:rsidRDefault="005D4162" w:rsidP="00302DDA">
      <w:pPr>
        <w:pStyle w:val="Heading3"/>
      </w:pPr>
      <w:r w:rsidRPr="000F15F4">
        <w:t>Update to</w:t>
      </w:r>
      <w:r w:rsidR="00C54AB0" w:rsidRPr="000F15F4">
        <w:t xml:space="preserve"> </w:t>
      </w:r>
      <w:r w:rsidR="0092740E" w:rsidRPr="000F15F4">
        <w:t>AR</w:t>
      </w:r>
      <w:r w:rsidR="0092740E" w:rsidRPr="000F15F4">
        <w:noBreakHyphen/>
      </w:r>
      <w:r w:rsidR="00C54AB0" w:rsidRPr="000F15F4">
        <w:t xml:space="preserve">DRG version </w:t>
      </w:r>
      <w:r w:rsidR="00F22F0D" w:rsidRPr="000F15F4">
        <w:t>9</w:t>
      </w:r>
      <w:r w:rsidR="00C54AB0" w:rsidRPr="000F15F4">
        <w:t>.0</w:t>
      </w:r>
    </w:p>
    <w:p w14:paraId="66696B4D" w14:textId="2B57EFDF" w:rsidR="00C54AB0" w:rsidRPr="000F15F4" w:rsidRDefault="00C54AB0" w:rsidP="00C54AB0">
      <w:r w:rsidRPr="000F15F4">
        <w:t>IHPA</w:t>
      </w:r>
      <w:r w:rsidR="00C15004" w:rsidRPr="000F15F4">
        <w:t xml:space="preserve"> and participants</w:t>
      </w:r>
      <w:r w:rsidRPr="000F15F4">
        <w:t xml:space="preserve"> agreed that </w:t>
      </w:r>
      <w:r w:rsidR="000159DD" w:rsidRPr="000F15F4">
        <w:t>th</w:t>
      </w:r>
      <w:r w:rsidR="00E11E94" w:rsidRPr="000F15F4">
        <w:t>is</w:t>
      </w:r>
      <w:r w:rsidR="000159DD" w:rsidRPr="000F15F4">
        <w:t xml:space="preserve"> </w:t>
      </w:r>
      <w:r w:rsidRPr="000F15F4">
        <w:t>report would be in AR</w:t>
      </w:r>
      <w:r w:rsidRPr="000F15F4">
        <w:noBreakHyphen/>
        <w:t>DRG version</w:t>
      </w:r>
      <w:r w:rsidR="00E11E94" w:rsidRPr="000F15F4">
        <w:t> </w:t>
      </w:r>
      <w:r w:rsidR="00F22F0D" w:rsidRPr="000F15F4">
        <w:t>9</w:t>
      </w:r>
      <w:r w:rsidRPr="000F15F4">
        <w:t xml:space="preserve">.0, with additional cost weight tables included </w:t>
      </w:r>
      <w:r w:rsidR="005D0441" w:rsidRPr="000F15F4">
        <w:t>as appendices in</w:t>
      </w:r>
      <w:r w:rsidRPr="000F15F4">
        <w:t xml:space="preserve"> AR</w:t>
      </w:r>
      <w:r w:rsidRPr="000F15F4">
        <w:noBreakHyphen/>
        <w:t>DRG versions 6.0x</w:t>
      </w:r>
      <w:r w:rsidR="00F22F0D" w:rsidRPr="000F15F4">
        <w:t>,</w:t>
      </w:r>
      <w:r w:rsidRPr="000F15F4">
        <w:t xml:space="preserve"> 7.0</w:t>
      </w:r>
      <w:r w:rsidR="00F22F0D" w:rsidRPr="000F15F4">
        <w:t xml:space="preserve"> and 8.0</w:t>
      </w:r>
      <w:r w:rsidRPr="000F15F4">
        <w:t>.</w:t>
      </w:r>
      <w:r w:rsidR="008C27E6" w:rsidRPr="000F15F4">
        <w:t xml:space="preserve"> </w:t>
      </w:r>
      <w:r w:rsidR="00F22F0D" w:rsidRPr="000F15F4">
        <w:t xml:space="preserve">The Round 20 report was in AR-DRG version 8.0, and as such, direct comparisons between the two reports may be misleading. For the purpose of comparison to Round 20, the Round 20 dataset was re-grouped to AR-DRG version 9.0, and any Round 20 figures in this report can be assumed to be in AR-DRG version 9.0 (where applicable). </w:t>
      </w:r>
    </w:p>
    <w:p w14:paraId="44EB01A6" w14:textId="77777777" w:rsidR="00C54AB0" w:rsidRPr="000F15F4" w:rsidRDefault="00C54AB0" w:rsidP="00302DDA">
      <w:pPr>
        <w:pStyle w:val="Heading3"/>
      </w:pPr>
      <w:bookmarkStart w:id="68" w:name="_Toc497200437"/>
      <w:bookmarkStart w:id="69" w:name="_Toc497200439"/>
      <w:bookmarkEnd w:id="68"/>
      <w:bookmarkEnd w:id="69"/>
      <w:r w:rsidRPr="000F15F4">
        <w:t>Market share adjustment changes</w:t>
      </w:r>
    </w:p>
    <w:p w14:paraId="683C3244" w14:textId="7B2EA018" w:rsidR="000F15F4" w:rsidRDefault="000F15F4" w:rsidP="000F15F4">
      <w:r>
        <w:t>The private sector NHCDC has historically been adjusted to reflect market share of participants ensure that large hospital groups are not over-represented in the analysis. In Round 21, the market share adjustment has not been applied</w:t>
      </w:r>
      <w:r w:rsidR="002306B7">
        <w:t xml:space="preserve"> either because it was accounted for in the data </w:t>
      </w:r>
      <w:r w:rsidR="002306B7">
        <w:lastRenderedPageBreak/>
        <w:t>submission or there</w:t>
      </w:r>
      <w:r w:rsidR="005A2D60">
        <w:t xml:space="preserve"> </w:t>
      </w:r>
      <w:r w:rsidR="002306B7">
        <w:t>was</w:t>
      </w:r>
      <w:r>
        <w:t xml:space="preserve"> agreement from the hospital that the potential adjustment was not material. </w:t>
      </w:r>
    </w:p>
    <w:p w14:paraId="1E4AB001" w14:textId="0C76D9B7" w:rsidR="00BF425E" w:rsidRPr="00C04297" w:rsidRDefault="00674A8F" w:rsidP="006200A2">
      <w:pPr>
        <w:pStyle w:val="Heading2"/>
      </w:pPr>
      <w:r>
        <w:t>C</w:t>
      </w:r>
      <w:r w:rsidR="00C92920" w:rsidRPr="00C04297">
        <w:t>onsiderations</w:t>
      </w:r>
    </w:p>
    <w:p w14:paraId="70F3B5CA" w14:textId="1666E7A7" w:rsidR="00DF5AA8" w:rsidRPr="00C04297" w:rsidRDefault="00DF5AA8" w:rsidP="00DF5AA8">
      <w:bookmarkStart w:id="70" w:name="_Toc356304670"/>
      <w:bookmarkStart w:id="71" w:name="_Toc356304671"/>
      <w:bookmarkStart w:id="72" w:name="_Toc356304672"/>
      <w:bookmarkStart w:id="73" w:name="_Toc356304673"/>
      <w:bookmarkStart w:id="74" w:name="_Toc356304674"/>
      <w:bookmarkStart w:id="75" w:name="_Toc356304675"/>
      <w:bookmarkStart w:id="76" w:name="_Toc356304676"/>
      <w:bookmarkStart w:id="77" w:name="_Toc356304677"/>
      <w:bookmarkStart w:id="78" w:name="_Toc496857556"/>
      <w:bookmarkEnd w:id="70"/>
      <w:bookmarkEnd w:id="71"/>
      <w:bookmarkEnd w:id="72"/>
      <w:bookmarkEnd w:id="73"/>
      <w:bookmarkEnd w:id="74"/>
      <w:bookmarkEnd w:id="75"/>
      <w:bookmarkEnd w:id="76"/>
      <w:bookmarkEnd w:id="77"/>
      <w:r w:rsidRPr="00C04297">
        <w:t>The following areas can have a material impact on the reported costs and cost weights.</w:t>
      </w:r>
      <w:r w:rsidR="002622B4" w:rsidRPr="00C04297">
        <w:t xml:space="preserve"> These should be considered, in addition to the changes in Round 2</w:t>
      </w:r>
      <w:r w:rsidR="00F1303C">
        <w:t xml:space="preserve">1, </w:t>
      </w:r>
      <w:r w:rsidR="002622B4" w:rsidRPr="00C04297">
        <w:t>when interpreting the information in this report:</w:t>
      </w:r>
    </w:p>
    <w:p w14:paraId="2A946D62" w14:textId="34B39462" w:rsidR="00E2235F" w:rsidRPr="00C04297" w:rsidRDefault="002622B4" w:rsidP="006200A2">
      <w:pPr>
        <w:pStyle w:val="ListBullet"/>
        <w:rPr>
          <w:lang w:val="en-GB"/>
        </w:rPr>
      </w:pPr>
      <w:r w:rsidRPr="00C04297">
        <w:rPr>
          <w:lang w:val="en-GB"/>
        </w:rPr>
        <w:t xml:space="preserve">Application of </w:t>
      </w:r>
      <w:r w:rsidR="00E2235F" w:rsidRPr="00C04297">
        <w:rPr>
          <w:lang w:val="en-GB"/>
        </w:rPr>
        <w:t xml:space="preserve">the </w:t>
      </w:r>
      <w:r w:rsidR="007C3059" w:rsidRPr="00C04297">
        <w:rPr>
          <w:lang w:val="en-GB"/>
        </w:rPr>
        <w:t>AHPCS</w:t>
      </w:r>
      <w:r w:rsidR="00E2235F" w:rsidRPr="00C04297">
        <w:rPr>
          <w:lang w:val="en-GB"/>
        </w:rPr>
        <w:t xml:space="preserve"> v3.1</w:t>
      </w:r>
    </w:p>
    <w:p w14:paraId="1B351448" w14:textId="4A5981D2" w:rsidR="00E2235F" w:rsidRPr="00C04297" w:rsidRDefault="002622B4" w:rsidP="006200A2">
      <w:pPr>
        <w:pStyle w:val="ListBullet"/>
        <w:rPr>
          <w:lang w:val="en-GB"/>
        </w:rPr>
      </w:pPr>
      <w:r w:rsidRPr="00C04297">
        <w:rPr>
          <w:lang w:val="en-GB"/>
        </w:rPr>
        <w:t>M</w:t>
      </w:r>
      <w:r w:rsidR="00E2235F" w:rsidRPr="00C04297">
        <w:rPr>
          <w:lang w:val="en-GB"/>
        </w:rPr>
        <w:t>apping of general ledger to the appropri</w:t>
      </w:r>
      <w:r w:rsidR="00C04297">
        <w:rPr>
          <w:lang w:val="en-GB"/>
        </w:rPr>
        <w:t>ate and consistent cost buckets</w:t>
      </w:r>
    </w:p>
    <w:p w14:paraId="35F7194E" w14:textId="07DC60FD" w:rsidR="00B8705E" w:rsidRPr="00C04297" w:rsidRDefault="00B8705E" w:rsidP="006200A2">
      <w:pPr>
        <w:pStyle w:val="ListBullet"/>
      </w:pPr>
      <w:r w:rsidRPr="00C04297">
        <w:rPr>
          <w:lang w:val="en-GB"/>
        </w:rPr>
        <w:t>Allocatio</w:t>
      </w:r>
      <w:r w:rsidR="00C04297">
        <w:rPr>
          <w:lang w:val="en-GB"/>
        </w:rPr>
        <w:t>n of cost centres to care areas</w:t>
      </w:r>
    </w:p>
    <w:p w14:paraId="5E57D32A" w14:textId="7B8450BB" w:rsidR="00E2235F" w:rsidRPr="00C04297" w:rsidRDefault="00E2235F" w:rsidP="006200A2">
      <w:pPr>
        <w:pStyle w:val="ListBullet"/>
        <w:rPr>
          <w:lang w:val="en-GB"/>
        </w:rPr>
      </w:pPr>
      <w:r w:rsidRPr="00C04297">
        <w:rPr>
          <w:lang w:val="en-GB"/>
        </w:rPr>
        <w:t xml:space="preserve">The </w:t>
      </w:r>
      <w:r w:rsidR="007E26E6" w:rsidRPr="00C04297">
        <w:rPr>
          <w:lang w:val="en-GB"/>
        </w:rPr>
        <w:t xml:space="preserve">variability of using </w:t>
      </w:r>
      <w:r w:rsidRPr="00C04297">
        <w:rPr>
          <w:lang w:val="en-GB"/>
        </w:rPr>
        <w:t xml:space="preserve">feeder systems (patient level data) by participants verses service weights to allocate costs. </w:t>
      </w:r>
    </w:p>
    <w:bookmarkEnd w:id="78"/>
    <w:p w14:paraId="623C1EF2" w14:textId="0C3EB2EB" w:rsidR="00102E52" w:rsidRPr="00C04297" w:rsidRDefault="00102E52" w:rsidP="001745D1">
      <w:pPr>
        <w:spacing w:after="240"/>
      </w:pPr>
      <w:r w:rsidRPr="00C04297">
        <w:br w:type="page"/>
      </w:r>
    </w:p>
    <w:p w14:paraId="6E672B83" w14:textId="2248AAF6" w:rsidR="001745D1" w:rsidRPr="00C04297" w:rsidRDefault="001745D1" w:rsidP="006200A2">
      <w:pPr>
        <w:pStyle w:val="Heading1"/>
      </w:pPr>
      <w:bookmarkStart w:id="79" w:name="_Toc435611221"/>
      <w:bookmarkStart w:id="80" w:name="_Toc496857562"/>
      <w:bookmarkStart w:id="81" w:name="_Toc161975"/>
      <w:r w:rsidRPr="00C04297">
        <w:lastRenderedPageBreak/>
        <w:t xml:space="preserve">Scope and </w:t>
      </w:r>
      <w:r w:rsidR="0031336E">
        <w:t>m</w:t>
      </w:r>
      <w:r w:rsidR="003F7E4B" w:rsidRPr="00C04297">
        <w:t>ethodology</w:t>
      </w:r>
      <w:bookmarkEnd w:id="79"/>
      <w:bookmarkEnd w:id="80"/>
      <w:bookmarkEnd w:id="81"/>
    </w:p>
    <w:p w14:paraId="06FD41EB" w14:textId="77777777" w:rsidR="001745D1" w:rsidRPr="00932109" w:rsidRDefault="001745D1" w:rsidP="006200A2">
      <w:pPr>
        <w:pStyle w:val="Heading2"/>
      </w:pPr>
      <w:r w:rsidRPr="00932109">
        <w:t>Scope</w:t>
      </w:r>
    </w:p>
    <w:p w14:paraId="1517B616" w14:textId="77777777" w:rsidR="008A6A45" w:rsidRDefault="00932109" w:rsidP="001745D1">
      <w:r w:rsidRPr="00932109">
        <w:t>The scope of the Round 21</w:t>
      </w:r>
      <w:r w:rsidR="001745D1" w:rsidRPr="00932109">
        <w:t xml:space="preserve"> private sector NHCDC includes acute patients admitted to overnight private hospitals in Australia who were discharged in the financial year 201</w:t>
      </w:r>
      <w:r w:rsidRPr="00932109">
        <w:t>6</w:t>
      </w:r>
      <w:r w:rsidR="001745D1" w:rsidRPr="00932109">
        <w:t>-1</w:t>
      </w:r>
      <w:r w:rsidRPr="00932109">
        <w:t>7</w:t>
      </w:r>
      <w:r>
        <w:t>. This includes</w:t>
      </w:r>
      <w:r w:rsidR="001745D1" w:rsidRPr="00932109">
        <w:t xml:space="preserve"> patients that were admitted to a hospital, were classified under the AR-DRG classification and had a care type of acute admitted or qualified </w:t>
      </w:r>
      <w:r w:rsidR="001745D1" w:rsidRPr="00C04297">
        <w:t>newborn</w:t>
      </w:r>
      <w:r w:rsidR="001745D1" w:rsidRPr="00C04297">
        <w:rPr>
          <w:rStyle w:val="FootnoteReference"/>
        </w:rPr>
        <w:footnoteReference w:id="4"/>
      </w:r>
      <w:r w:rsidR="00D33479" w:rsidRPr="00C04297">
        <w:t xml:space="preserve"> (see </w:t>
      </w:r>
      <w:r w:rsidR="008A6A45">
        <w:t>‘In-scope care types’</w:t>
      </w:r>
      <w:r w:rsidR="00D33479" w:rsidRPr="00C04297">
        <w:t>)</w:t>
      </w:r>
      <w:r w:rsidR="001745D1" w:rsidRPr="00C04297">
        <w:t>.</w:t>
      </w:r>
      <w:r w:rsidR="009B1343" w:rsidRPr="00C04297">
        <w:t xml:space="preserve"> </w:t>
      </w:r>
    </w:p>
    <w:p w14:paraId="101D3F5D" w14:textId="73801E4F" w:rsidR="001745D1" w:rsidRPr="00E4527E" w:rsidRDefault="001745D1" w:rsidP="001745D1">
      <w:pPr>
        <w:rPr>
          <w:highlight w:val="yellow"/>
        </w:rPr>
      </w:pPr>
      <w:r w:rsidRPr="00C04297">
        <w:t>For</w:t>
      </w:r>
      <w:r w:rsidRPr="00932109">
        <w:t xml:space="preserve"> this report </w:t>
      </w:r>
      <w:r w:rsidR="00932109" w:rsidRPr="00932109">
        <w:t>an overnight hospital was considered in scope if it</w:t>
      </w:r>
      <w:r w:rsidRPr="00932109">
        <w:t xml:space="preserve"> performed </w:t>
      </w:r>
      <w:r w:rsidR="00932109" w:rsidRPr="00932109">
        <w:t>at least</w:t>
      </w:r>
      <w:r w:rsidRPr="00932109">
        <w:t xml:space="preserve"> 200 acute admitted separations. </w:t>
      </w:r>
    </w:p>
    <w:p w14:paraId="5849C536" w14:textId="2ED2CA8E" w:rsidR="001745D1" w:rsidRPr="00391892" w:rsidRDefault="001745D1" w:rsidP="00302DDA">
      <w:pPr>
        <w:pStyle w:val="Heading3"/>
      </w:pPr>
      <w:bookmarkStart w:id="82" w:name="_Ref497725695"/>
      <w:r w:rsidRPr="00391892">
        <w:t xml:space="preserve">In-scope </w:t>
      </w:r>
      <w:r w:rsidR="00740DE5">
        <w:t>c</w:t>
      </w:r>
      <w:r w:rsidRPr="00391892">
        <w:t>are types</w:t>
      </w:r>
      <w:bookmarkEnd w:id="82"/>
    </w:p>
    <w:p w14:paraId="211F9CE8" w14:textId="619A56D0" w:rsidR="001745D1" w:rsidRPr="00391892" w:rsidRDefault="00932109" w:rsidP="00C04297">
      <w:r w:rsidRPr="00391892">
        <w:t>S</w:t>
      </w:r>
      <w:r w:rsidR="001745D1" w:rsidRPr="00391892">
        <w:t>eparations associated with acute admitted care and newborn care with qualified care days are in scope</w:t>
      </w:r>
      <w:r w:rsidRPr="00391892">
        <w:t>, and</w:t>
      </w:r>
      <w:r w:rsidR="001745D1" w:rsidRPr="00391892">
        <w:t xml:space="preserve"> are included in the calculation of the AR-DRG cost weights. The costs associated with unqualified neonate separations</w:t>
      </w:r>
      <w:r w:rsidR="001745D1" w:rsidRPr="00391892">
        <w:rPr>
          <w:rStyle w:val="FootnoteReference"/>
          <w:rFonts w:ascii="Georgia" w:hAnsi="Georgia"/>
        </w:rPr>
        <w:footnoteReference w:id="5"/>
      </w:r>
      <w:r w:rsidR="001745D1" w:rsidRPr="00391892">
        <w:t xml:space="preserve"> have been included in the costs of care on an adjusted basis (as described below and in </w:t>
      </w:r>
      <w:r w:rsidR="001745D1" w:rsidRPr="00391892">
        <w:fldChar w:fldCharType="begin"/>
      </w:r>
      <w:r w:rsidR="001745D1" w:rsidRPr="00391892">
        <w:instrText xml:space="preserve"> REF _Ref433966171 \h  \* MERGEFORMAT </w:instrText>
      </w:r>
      <w:r w:rsidR="001745D1" w:rsidRPr="00391892">
        <w:fldChar w:fldCharType="separate"/>
      </w:r>
      <w:r w:rsidR="003D3E16" w:rsidRPr="003D3E16">
        <w:rPr>
          <w:rFonts w:asciiTheme="majorHAnsi" w:hAnsiTheme="majorHAnsi"/>
        </w:rPr>
        <w:t xml:space="preserve">Appendix B: </w:t>
      </w:r>
      <w:r w:rsidR="001745D1" w:rsidRPr="00391892">
        <w:fldChar w:fldCharType="end"/>
      </w:r>
      <w:r w:rsidR="001745D1" w:rsidRPr="00391892">
        <w:t xml:space="preserve"> for the neonatal adjustment).</w:t>
      </w:r>
    </w:p>
    <w:p w14:paraId="54D34686" w14:textId="26BA4245" w:rsidR="001745D1" w:rsidRPr="00391892" w:rsidRDefault="001745D1" w:rsidP="00C04297">
      <w:r w:rsidRPr="00391892">
        <w:t>Acute admitted care type 1.0 is “care in which the clinical intent or treatment goal is to: manage labour (obstetric); cure illness or provide definitive treatment of injury; perform surgery; relieve symptoms of illness or injury (excluding palliative care); reduce severity of an illness or injury; protect against exacerbation and/or complication of an illness and/or injury which could threaten life or normal function; perform diagnostic or therapeutic procedures.”</w:t>
      </w:r>
      <w:r w:rsidR="00D33479" w:rsidRPr="00391892">
        <w:rPr>
          <w:rStyle w:val="FootnoteReference"/>
        </w:rPr>
        <w:t xml:space="preserve"> </w:t>
      </w:r>
      <w:r w:rsidR="00D33479" w:rsidRPr="00391892">
        <w:rPr>
          <w:rStyle w:val="FootnoteReference"/>
        </w:rPr>
        <w:footnoteReference w:id="6"/>
      </w:r>
    </w:p>
    <w:p w14:paraId="48455F24" w14:textId="528D23B6" w:rsidR="001745D1" w:rsidRPr="00391892" w:rsidRDefault="001745D1" w:rsidP="00C04297">
      <w:r w:rsidRPr="00391892">
        <w:t>Newborn care type 7.0 is “initiated when the patient is born in hospital or is nine days old or less at the time of admission. Newborn care continues until the care type changes or the patient is separated:</w:t>
      </w:r>
    </w:p>
    <w:p w14:paraId="285FC777" w14:textId="77777777" w:rsidR="001745D1" w:rsidRPr="00391892" w:rsidRDefault="001745D1" w:rsidP="00235DEA">
      <w:pPr>
        <w:pStyle w:val="ListBullet"/>
      </w:pPr>
      <w:r w:rsidRPr="00391892">
        <w:t>Patients who turn 10 days of age and do not require clinical care are separated and, if they remain in the hospital, are designated as boarders.</w:t>
      </w:r>
    </w:p>
    <w:p w14:paraId="7D73DC78" w14:textId="77777777" w:rsidR="001745D1" w:rsidRPr="00391892" w:rsidRDefault="001745D1" w:rsidP="00235DEA">
      <w:pPr>
        <w:pStyle w:val="ListBullet"/>
      </w:pPr>
      <w:r w:rsidRPr="00391892">
        <w:t>Patients who turn 10 days of age and require clinical care continue in a newborn episode of care until separated.</w:t>
      </w:r>
    </w:p>
    <w:p w14:paraId="60DDE94B" w14:textId="77777777" w:rsidR="001745D1" w:rsidRPr="00391892" w:rsidRDefault="001745D1" w:rsidP="00235DEA">
      <w:pPr>
        <w:pStyle w:val="ListBullet"/>
      </w:pPr>
      <w:r w:rsidRPr="00391892">
        <w:t>Patients aged less than 10 days and not admitted at birth (e.g. transferred from another hospital) are admitted with newborn care type.</w:t>
      </w:r>
    </w:p>
    <w:p w14:paraId="3C4BCC45" w14:textId="77777777" w:rsidR="001745D1" w:rsidRPr="00391892" w:rsidRDefault="001745D1" w:rsidP="00235DEA">
      <w:pPr>
        <w:pStyle w:val="ListBullet"/>
      </w:pPr>
      <w:r w:rsidRPr="00391892">
        <w:t xml:space="preserve">Patients aged greater than 9 days not previously admitted (e.g. transferred from another hospital) are either boarders or admitted with an acute care type.  </w:t>
      </w:r>
    </w:p>
    <w:p w14:paraId="42E84DBB" w14:textId="77777777" w:rsidR="001745D1" w:rsidRPr="00391892" w:rsidRDefault="001745D1" w:rsidP="00235DEA">
      <w:pPr>
        <w:pStyle w:val="ListBullet"/>
      </w:pPr>
      <w:r w:rsidRPr="00391892">
        <w:t>Within a newborn episode of care, until the baby turns 10 days of age, each day is either a qualified or unqualified day.</w:t>
      </w:r>
    </w:p>
    <w:p w14:paraId="64FAD087" w14:textId="77777777" w:rsidR="001745D1" w:rsidRPr="00391892" w:rsidRDefault="001745D1" w:rsidP="00235DEA">
      <w:pPr>
        <w:pStyle w:val="ListBullet"/>
      </w:pPr>
      <w:r w:rsidRPr="00391892">
        <w:t>A newborn is qualified when it meets at least one of the criteria detailed in Newborn qualification status.</w:t>
      </w:r>
    </w:p>
    <w:p w14:paraId="051EC3D5" w14:textId="6319F369" w:rsidR="001745D1" w:rsidRPr="00391892" w:rsidRDefault="001745D1" w:rsidP="001745D1">
      <w:r w:rsidRPr="00391892">
        <w:t>Within a newborn episode of care, each day after the baby turns 10 days of age is counted as a qualified patient day. Newborn qualified days are equivalent to acute days and may be denoted as such.”</w:t>
      </w:r>
      <w:r w:rsidR="00D33479" w:rsidRPr="00391892">
        <w:rPr>
          <w:rStyle w:val="FootnoteReference"/>
        </w:rPr>
        <w:t xml:space="preserve"> </w:t>
      </w:r>
      <w:r w:rsidR="00D33479" w:rsidRPr="00391892">
        <w:rPr>
          <w:rStyle w:val="FootnoteReference"/>
        </w:rPr>
        <w:footnoteReference w:id="7"/>
      </w:r>
    </w:p>
    <w:p w14:paraId="084B6E5E" w14:textId="77777777" w:rsidR="001745D1" w:rsidRPr="000F15F4" w:rsidRDefault="001745D1" w:rsidP="00302DDA">
      <w:pPr>
        <w:pStyle w:val="Heading3"/>
      </w:pPr>
      <w:r w:rsidRPr="000F15F4">
        <w:lastRenderedPageBreak/>
        <w:t>In-scope costs</w:t>
      </w:r>
    </w:p>
    <w:p w14:paraId="63D78D58" w14:textId="2AD672AA" w:rsidR="0058290D" w:rsidRPr="000F15F4" w:rsidRDefault="0058290D" w:rsidP="00851800">
      <w:r w:rsidRPr="000F15F4">
        <w:t xml:space="preserve">Participants were requested to submit their costed data in compliance with the </w:t>
      </w:r>
      <w:r w:rsidR="007C3059" w:rsidRPr="000F15F4">
        <w:t xml:space="preserve">AHPCS </w:t>
      </w:r>
      <w:r w:rsidRPr="000F15F4">
        <w:t>version 3.1</w:t>
      </w:r>
      <w:r w:rsidRPr="000F15F4">
        <w:rPr>
          <w:vertAlign w:val="superscript"/>
        </w:rPr>
        <w:footnoteReference w:id="8"/>
      </w:r>
      <w:r w:rsidRPr="000F15F4">
        <w:t xml:space="preserve"> to support consistency in output.</w:t>
      </w:r>
    </w:p>
    <w:p w14:paraId="50D5B12A" w14:textId="44DF09C5" w:rsidR="001745D1" w:rsidRPr="000F15F4" w:rsidRDefault="001745D1" w:rsidP="00851800">
      <w:r w:rsidRPr="000F15F4">
        <w:t>The AHPCS v3.1 defines product costs in scope as “all costs incurred by, or on behalf of the hospital, that are necessarily incurred in the production of patient and non-patient products, subject to the specific exclusion that the costs of time provided by medical specialists to treat private patients that are not directly met by the hospital, are not to be imputed.”</w:t>
      </w:r>
      <w:r w:rsidRPr="000F15F4">
        <w:rPr>
          <w:rStyle w:val="FootnoteReference"/>
        </w:rPr>
        <w:footnoteReference w:id="9"/>
      </w:r>
      <w:r w:rsidRPr="000F15F4">
        <w:t xml:space="preserve"> This includes non-cash expenditure items such as depreciation.</w:t>
      </w:r>
    </w:p>
    <w:p w14:paraId="5C668297" w14:textId="77777777" w:rsidR="001745D1" w:rsidRPr="00851800" w:rsidRDefault="001745D1" w:rsidP="00302DDA">
      <w:pPr>
        <w:pStyle w:val="Heading3"/>
      </w:pPr>
      <w:bookmarkStart w:id="83" w:name="_Ref497725718"/>
      <w:r w:rsidRPr="00851800">
        <w:t>Work in Progress Patients</w:t>
      </w:r>
      <w:bookmarkEnd w:id="83"/>
    </w:p>
    <w:p w14:paraId="22C526A5" w14:textId="4AD46829" w:rsidR="001745D1" w:rsidRPr="00851800" w:rsidRDefault="001745D1" w:rsidP="00851800">
      <w:r w:rsidRPr="00851800">
        <w:t xml:space="preserve">The AHPCS v3.1 requires that all patient activity during the year be costed according to its set of guidelines. For the purposes of the NHCDC, all patients discharged within the reference period are considered in scope. A </w:t>
      </w:r>
      <w:r w:rsidR="00135776" w:rsidRPr="00851800">
        <w:t>WIP</w:t>
      </w:r>
      <w:r w:rsidRPr="00851800">
        <w:t xml:space="preserve"> patient is defined as a patient that is not admitted and discharged within the </w:t>
      </w:r>
      <w:r w:rsidR="006F4D76">
        <w:t xml:space="preserve">same </w:t>
      </w:r>
      <w:r w:rsidRPr="00851800">
        <w:t>financial year</w:t>
      </w:r>
      <w:r w:rsidR="00D77065">
        <w:t>, and for the purposes of the NHCDC all patients that are discharged within the reference period, including WIP patients, are considered in-scope</w:t>
      </w:r>
      <w:r w:rsidRPr="00851800">
        <w:t>.</w:t>
      </w:r>
    </w:p>
    <w:p w14:paraId="0745E129" w14:textId="1806B72B" w:rsidR="003F7E4B" w:rsidRPr="00851800" w:rsidRDefault="003F7E4B" w:rsidP="006200A2">
      <w:pPr>
        <w:pStyle w:val="Heading2"/>
      </w:pPr>
      <w:bookmarkStart w:id="84" w:name="_Toc435611222"/>
      <w:bookmarkStart w:id="85" w:name="_Toc496857563"/>
      <w:r w:rsidRPr="00851800">
        <w:t>Identifying the minimum sample size</w:t>
      </w:r>
      <w:bookmarkEnd w:id="84"/>
      <w:bookmarkEnd w:id="85"/>
      <w:r w:rsidRPr="00851800">
        <w:t xml:space="preserve"> </w:t>
      </w:r>
    </w:p>
    <w:p w14:paraId="71CD8D2A" w14:textId="4F522CF0" w:rsidR="00E7439E" w:rsidRPr="00851800" w:rsidRDefault="006F4D76" w:rsidP="003F7E4B">
      <w:r>
        <w:t>This report relied</w:t>
      </w:r>
      <w:r w:rsidR="00127539" w:rsidRPr="00851800">
        <w:t xml:space="preserve"> on analysis performed in </w:t>
      </w:r>
      <w:r w:rsidR="00851800">
        <w:t>2012</w:t>
      </w:r>
      <w:r w:rsidR="00127539" w:rsidRPr="00851800">
        <w:t xml:space="preserve"> to determine the minimum sample size required to proceed. </w:t>
      </w:r>
      <w:r w:rsidR="00851800">
        <w:t>N</w:t>
      </w:r>
      <w:r w:rsidR="00127539" w:rsidRPr="00851800">
        <w:t xml:space="preserve">o adjustments have been made during </w:t>
      </w:r>
      <w:r w:rsidR="00851800">
        <w:t>this round</w:t>
      </w:r>
      <w:r w:rsidR="00127539" w:rsidRPr="00851800">
        <w:t xml:space="preserve"> to account for any significant sector or market changes since that time. </w:t>
      </w:r>
    </w:p>
    <w:p w14:paraId="04EB84E0" w14:textId="0EE52E30" w:rsidR="00674A8F" w:rsidRDefault="003F7E4B" w:rsidP="003F7E4B">
      <w:r w:rsidRPr="003B620F">
        <w:t>For Round 2</w:t>
      </w:r>
      <w:r w:rsidR="00127539" w:rsidRPr="003B620F">
        <w:t>1</w:t>
      </w:r>
      <w:r w:rsidRPr="003B620F">
        <w:t>, the participation rate</w:t>
      </w:r>
      <w:r w:rsidR="00823692" w:rsidRPr="003B620F">
        <w:t xml:space="preserve"> achieved</w:t>
      </w:r>
      <w:r w:rsidR="00315682" w:rsidRPr="003B620F">
        <w:t xml:space="preserve"> </w:t>
      </w:r>
      <w:r w:rsidR="00823692" w:rsidRPr="003B620F">
        <w:t>was</w:t>
      </w:r>
      <w:r w:rsidR="00EE42F8" w:rsidRPr="003B620F">
        <w:t xml:space="preserve"> 5</w:t>
      </w:r>
      <w:r w:rsidR="005437E6" w:rsidRPr="003B620F">
        <w:t>9</w:t>
      </w:r>
      <w:r w:rsidR="00345176" w:rsidRPr="003B620F">
        <w:t xml:space="preserve"> </w:t>
      </w:r>
      <w:r w:rsidR="00F74337" w:rsidRPr="003B620F">
        <w:t>percent</w:t>
      </w:r>
      <w:r w:rsidR="00EE42F8" w:rsidRPr="003B620F">
        <w:t xml:space="preserve">, </w:t>
      </w:r>
      <w:r w:rsidR="005437E6" w:rsidRPr="003B620F">
        <w:t>with 105</w:t>
      </w:r>
      <w:r w:rsidR="00EE42F8" w:rsidRPr="003B620F">
        <w:t xml:space="preserve"> hospitals </w:t>
      </w:r>
      <w:r w:rsidR="005437E6" w:rsidRPr="003B620F">
        <w:t>in</w:t>
      </w:r>
      <w:r w:rsidR="00EE42F8" w:rsidRPr="003B620F">
        <w:t xml:space="preserve"> </w:t>
      </w:r>
      <w:r w:rsidR="005437E6" w:rsidRPr="003B620F">
        <w:t>10</w:t>
      </w:r>
      <w:r w:rsidRPr="003B620F">
        <w:t xml:space="preserve"> </w:t>
      </w:r>
      <w:r w:rsidR="005D4162" w:rsidRPr="003B620F">
        <w:t xml:space="preserve">hospital </w:t>
      </w:r>
      <w:r w:rsidRPr="003B620F">
        <w:t>groups</w:t>
      </w:r>
      <w:r w:rsidR="005437E6" w:rsidRPr="003B620F">
        <w:t xml:space="preserve"> submitting data</w:t>
      </w:r>
      <w:r w:rsidRPr="003B620F">
        <w:t xml:space="preserve">. </w:t>
      </w:r>
      <w:r w:rsidR="003B620F" w:rsidRPr="003B620F">
        <w:t>This participation rate is similar to Round 20 (58 percent), leading to a confidence level of 85 percent and a margin of error of 3 percent.</w:t>
      </w:r>
      <w:r w:rsidR="00674A8F">
        <w:t xml:space="preserve"> See </w:t>
      </w:r>
      <w:r w:rsidR="00AF1F7A">
        <w:fldChar w:fldCharType="begin"/>
      </w:r>
      <w:r w:rsidR="00AF1F7A">
        <w:instrText xml:space="preserve"> REF _Ref536785917 \h </w:instrText>
      </w:r>
      <w:r w:rsidR="00AF1F7A">
        <w:fldChar w:fldCharType="separate"/>
      </w:r>
      <w:r w:rsidR="003D3E16" w:rsidRPr="0010587A">
        <w:t>Appendix A: Analysis performed to determine the minimum sample size</w:t>
      </w:r>
      <w:r w:rsidR="00AF1F7A">
        <w:fldChar w:fldCharType="end"/>
      </w:r>
      <w:r w:rsidR="00674A8F">
        <w:t xml:space="preserve"> for further details. </w:t>
      </w:r>
    </w:p>
    <w:p w14:paraId="3ABB545E" w14:textId="2EC099B0" w:rsidR="00964500" w:rsidRPr="00BA7AE4" w:rsidRDefault="00221CDC" w:rsidP="006200A2">
      <w:pPr>
        <w:pStyle w:val="Heading2"/>
      </w:pPr>
      <w:bookmarkStart w:id="86" w:name="_Toc497200451"/>
      <w:bookmarkStart w:id="87" w:name="_Toc497200456"/>
      <w:bookmarkStart w:id="88" w:name="_Toc435611225"/>
      <w:bookmarkEnd w:id="86"/>
      <w:bookmarkEnd w:id="87"/>
      <w:r w:rsidRPr="00BA7AE4">
        <w:t>Methodology</w:t>
      </w:r>
    </w:p>
    <w:p w14:paraId="2704858F" w14:textId="0B6591DC" w:rsidR="0032225B" w:rsidRPr="00BA7AE4" w:rsidRDefault="00127539">
      <w:r w:rsidRPr="00BA7AE4">
        <w:t xml:space="preserve">There are eight stages of the private sector </w:t>
      </w:r>
      <w:r w:rsidR="0031336E">
        <w:t>NHCDC which are outlined below.</w:t>
      </w:r>
    </w:p>
    <w:p w14:paraId="368FE6A8" w14:textId="77777777" w:rsidR="00BA7AE4" w:rsidRPr="00F46E87" w:rsidRDefault="00BA7AE4" w:rsidP="008A6A45">
      <w:pPr>
        <w:pStyle w:val="Intro"/>
      </w:pPr>
      <w:r w:rsidRPr="00F46E87">
        <w:t>Stage 1: Stakeholder engagement</w:t>
      </w:r>
    </w:p>
    <w:p w14:paraId="49909F0F" w14:textId="719D5421" w:rsidR="00BA7AE4" w:rsidRPr="0023222F" w:rsidRDefault="00BA7AE4" w:rsidP="00BA7AE4">
      <w:r w:rsidRPr="0023222F">
        <w:t>IHPA sought costed data directly from private hospitals for the private sector NHCDC. Participants were requested to provide a methodolog</w:t>
      </w:r>
      <w:r w:rsidR="00674A8F">
        <w:t xml:space="preserve">y that outlined their costing </w:t>
      </w:r>
      <w:r w:rsidR="0023222F" w:rsidRPr="0023222F">
        <w:t>processes, and a</w:t>
      </w:r>
      <w:r w:rsidRPr="0023222F">
        <w:t>ll participants demonstrated that they have appropr</w:t>
      </w:r>
      <w:r w:rsidR="0023222F" w:rsidRPr="0023222F">
        <w:t>iate costing methodologies.</w:t>
      </w:r>
    </w:p>
    <w:p w14:paraId="4C32EF18" w14:textId="77777777" w:rsidR="00BA7AE4" w:rsidRPr="00F46E87" w:rsidRDefault="00BA7AE4" w:rsidP="005A2D60">
      <w:pPr>
        <w:pStyle w:val="Intro"/>
        <w:keepNext/>
      </w:pPr>
      <w:r w:rsidRPr="00F46E87">
        <w:t>Stage 2: Data collection</w:t>
      </w:r>
    </w:p>
    <w:p w14:paraId="590B5418" w14:textId="77777777" w:rsidR="00BA7AE4" w:rsidRPr="00F939F2" w:rsidRDefault="00BA7AE4" w:rsidP="00BA7AE4">
      <w:r w:rsidRPr="00F939F2">
        <w:t>At the commencement of the data collection phase a Data Request Specification (DRS) was prepared and distributed to all participants. Participants performed their own data collection.</w:t>
      </w:r>
    </w:p>
    <w:p w14:paraId="22A5F789" w14:textId="77777777" w:rsidR="00BA7AE4" w:rsidRPr="00F939F2" w:rsidRDefault="00BA7AE4" w:rsidP="005A2D60">
      <w:pPr>
        <w:pStyle w:val="Intro"/>
        <w:keepNext/>
      </w:pPr>
      <w:r w:rsidRPr="00F46E87">
        <w:t>Stage 3: Data preparation</w:t>
      </w:r>
    </w:p>
    <w:p w14:paraId="5415FBF0" w14:textId="327B9889" w:rsidR="00BA7AE4" w:rsidRPr="00F939F2" w:rsidRDefault="00BA7AE4" w:rsidP="00BA7AE4">
      <w:r w:rsidRPr="00F939F2">
        <w:t xml:space="preserve">Participants performed their own QA checks on their data to verify that </w:t>
      </w:r>
      <w:r w:rsidR="00F939F2" w:rsidRPr="00F939F2">
        <w:t>it</w:t>
      </w:r>
      <w:r w:rsidRPr="00F939F2">
        <w:t xml:space="preserve"> was appropriate to use</w:t>
      </w:r>
      <w:r w:rsidR="00F939F2">
        <w:t xml:space="preserve"> in their costing process.</w:t>
      </w:r>
    </w:p>
    <w:p w14:paraId="6A6F16BA" w14:textId="77777777" w:rsidR="00BA7AE4" w:rsidRPr="00F939F2" w:rsidRDefault="00BA7AE4" w:rsidP="005A2D60">
      <w:pPr>
        <w:pStyle w:val="Intro"/>
        <w:keepNext/>
      </w:pPr>
      <w:r w:rsidRPr="00F46E87">
        <w:t>Stage 4: Costing</w:t>
      </w:r>
    </w:p>
    <w:p w14:paraId="42C7D707" w14:textId="40937550" w:rsidR="00BA7AE4" w:rsidRPr="00F939F2" w:rsidRDefault="00BA7AE4" w:rsidP="00BA7AE4">
      <w:r w:rsidRPr="00F939F2">
        <w:t xml:space="preserve">The costing phase </w:t>
      </w:r>
      <w:r w:rsidR="00F939F2" w:rsidRPr="00F939F2">
        <w:t>involved</w:t>
      </w:r>
      <w:r w:rsidRPr="00F939F2">
        <w:t xml:space="preserve"> </w:t>
      </w:r>
      <w:r w:rsidR="00F939F2" w:rsidRPr="00F939F2">
        <w:t>participants performing episode-</w:t>
      </w:r>
      <w:r w:rsidRPr="00F939F2">
        <w:t>level costing using costing software. Programs used by hospitals in Round 2</w:t>
      </w:r>
      <w:r w:rsidR="00F939F2" w:rsidRPr="00F939F2">
        <w:t>1</w:t>
      </w:r>
      <w:r w:rsidRPr="00F939F2">
        <w:t xml:space="preserve"> include</w:t>
      </w:r>
      <w:r w:rsidR="0068643D">
        <w:t xml:space="preserve"> but are not limited to</w:t>
      </w:r>
      <w:r w:rsidRPr="00F939F2">
        <w:t xml:space="preserve"> CostPro plus, PPM and C++.</w:t>
      </w:r>
      <w:r w:rsidR="0031336E">
        <w:t xml:space="preserve"> </w:t>
      </w:r>
    </w:p>
    <w:p w14:paraId="0791123F" w14:textId="77777777" w:rsidR="00BA7AE4" w:rsidRPr="00F46E87" w:rsidRDefault="00BA7AE4" w:rsidP="005A2D60">
      <w:pPr>
        <w:pStyle w:val="Intro"/>
        <w:keepNext/>
      </w:pPr>
      <w:r w:rsidRPr="00F46E87">
        <w:lastRenderedPageBreak/>
        <w:t>Stage 5: Data submission</w:t>
      </w:r>
    </w:p>
    <w:p w14:paraId="1A53A8E3" w14:textId="5D73249F" w:rsidR="0031336E" w:rsidRDefault="00BA7AE4" w:rsidP="00BA7AE4">
      <w:r w:rsidRPr="001F5D0E">
        <w:t xml:space="preserve">IHPA required that the participating hospital groups submit data in accordance </w:t>
      </w:r>
      <w:r w:rsidR="00F939F2" w:rsidRPr="001F5D0E">
        <w:t>with</w:t>
      </w:r>
      <w:r w:rsidRPr="001F5D0E">
        <w:t xml:space="preserve"> the Round 2</w:t>
      </w:r>
      <w:r w:rsidR="00F939F2" w:rsidRPr="001F5D0E">
        <w:t>1</w:t>
      </w:r>
      <w:r w:rsidRPr="001F5D0E">
        <w:t xml:space="preserve"> private sector DRS</w:t>
      </w:r>
      <w:r w:rsidR="001F5D0E" w:rsidRPr="001F5D0E">
        <w:t>,</w:t>
      </w:r>
      <w:r w:rsidRPr="001F5D0E">
        <w:t xml:space="preserve"> along with a data quality checklist which provided IHPA </w:t>
      </w:r>
      <w:r w:rsidR="001F5D0E" w:rsidRPr="001F5D0E">
        <w:t>with details on</w:t>
      </w:r>
      <w:r w:rsidRPr="001F5D0E">
        <w:t xml:space="preserve"> the</w:t>
      </w:r>
      <w:r w:rsidR="0031336E">
        <w:t xml:space="preserve"> hospital</w:t>
      </w:r>
      <w:r w:rsidRPr="001F5D0E">
        <w:t xml:space="preserve"> costing process.</w:t>
      </w:r>
      <w:r w:rsidR="0031336E">
        <w:t xml:space="preserve"> The various costing methodologies used by private sector hospitals are outlined in </w:t>
      </w:r>
      <w:r w:rsidR="00AF1F7A">
        <w:fldChar w:fldCharType="begin"/>
      </w:r>
      <w:r w:rsidR="00AF1F7A">
        <w:instrText xml:space="preserve"> REF _Ref536785899 \h </w:instrText>
      </w:r>
      <w:r w:rsidR="00AF1F7A">
        <w:fldChar w:fldCharType="separate"/>
      </w:r>
      <w:r w:rsidR="003D3E16" w:rsidRPr="00872D1C">
        <w:t>Appendix B: Private sector c</w:t>
      </w:r>
      <w:r w:rsidR="003D3E16" w:rsidRPr="00C020D5">
        <w:t>osting approaches</w:t>
      </w:r>
      <w:r w:rsidR="00AF1F7A">
        <w:fldChar w:fldCharType="end"/>
      </w:r>
      <w:r w:rsidR="0031336E">
        <w:t>.</w:t>
      </w:r>
    </w:p>
    <w:p w14:paraId="6375A12C" w14:textId="73FB4B01" w:rsidR="00BA7AE4" w:rsidRPr="0041577A" w:rsidRDefault="00BA7AE4" w:rsidP="00BA7AE4">
      <w:pPr>
        <w:rPr>
          <w:b/>
        </w:rPr>
      </w:pPr>
      <w:r w:rsidRPr="001F5D0E">
        <w:t>Participants were informed of the costed data collection timeframes and provided access to the National Health Reform EDW drop box to upload and submit</w:t>
      </w:r>
      <w:r w:rsidR="0031336E">
        <w:t xml:space="preserve"> their data</w:t>
      </w:r>
      <w:r w:rsidRPr="001F5D0E">
        <w:t>. The participating hospitals were provided a Data Transfer Guide to help navigate throug</w:t>
      </w:r>
      <w:r w:rsidRPr="0041577A">
        <w:t>h the process and to communicate processing timeframes.</w:t>
      </w:r>
    </w:p>
    <w:p w14:paraId="32B50E38" w14:textId="77777777" w:rsidR="00BA7AE4" w:rsidRPr="0041577A" w:rsidRDefault="00BA7AE4" w:rsidP="008A6A45">
      <w:pPr>
        <w:pStyle w:val="Intro"/>
      </w:pPr>
      <w:r w:rsidRPr="00F46E87">
        <w:t>Stage 6: Data validation and Quality Assurance</w:t>
      </w:r>
    </w:p>
    <w:p w14:paraId="66EF5022" w14:textId="29CDA7D5" w:rsidR="00BA7AE4" w:rsidRPr="0041577A" w:rsidRDefault="00BA7AE4" w:rsidP="00BA7AE4">
      <w:r w:rsidRPr="0041577A">
        <w:t>Participants were required to submit their costed data as csv files which pass</w:t>
      </w:r>
      <w:r w:rsidR="001F5D0E" w:rsidRPr="0041577A">
        <w:t>ed</w:t>
      </w:r>
      <w:r w:rsidRPr="0041577A">
        <w:t xml:space="preserve"> data checks documented in the DRS. IHPA only accepted data with zero critical errors </w:t>
      </w:r>
      <w:r w:rsidR="00F46E87">
        <w:t>a</w:t>
      </w:r>
      <w:r w:rsidR="00872D1C">
        <w:t>nd which represented at least 90</w:t>
      </w:r>
      <w:r w:rsidRPr="0041577A">
        <w:t xml:space="preserve"> percent of the submitted hospital establishment’s total in-scope activity.</w:t>
      </w:r>
    </w:p>
    <w:p w14:paraId="05E227BC" w14:textId="787F7BFE" w:rsidR="00BA7AE4" w:rsidRPr="0041577A" w:rsidRDefault="00BA7AE4" w:rsidP="00BA7AE4">
      <w:pPr>
        <w:rPr>
          <w:b/>
        </w:rPr>
      </w:pPr>
      <w:r w:rsidRPr="0041577A">
        <w:t xml:space="preserve">Where the costed data did not meet the DRS requirements, </w:t>
      </w:r>
      <w:r w:rsidR="001F5D0E" w:rsidRPr="0041577A">
        <w:t>p</w:t>
      </w:r>
      <w:r w:rsidRPr="0041577A">
        <w:t>articipants were asked to review the files and make the necessary changes and then re-submit the data.</w:t>
      </w:r>
    </w:p>
    <w:p w14:paraId="501B02AE" w14:textId="43706EC5" w:rsidR="00BA7AE4" w:rsidRPr="0041577A" w:rsidRDefault="00BA7AE4" w:rsidP="00BA7AE4">
      <w:r w:rsidRPr="0041577A">
        <w:t xml:space="preserve">Once the data was validated, </w:t>
      </w:r>
      <w:r w:rsidR="0041577A">
        <w:t xml:space="preserve">PwC </w:t>
      </w:r>
      <w:r w:rsidR="001F5D0E" w:rsidRPr="0041577A">
        <w:t>reviewed the data and produced</w:t>
      </w:r>
      <w:r w:rsidR="00F46E87">
        <w:t xml:space="preserve"> Quality Assurance (</w:t>
      </w:r>
      <w:r w:rsidRPr="0041577A">
        <w:t>QA</w:t>
      </w:r>
      <w:r w:rsidR="00F46E87">
        <w:t>)</w:t>
      </w:r>
      <w:r w:rsidRPr="0041577A">
        <w:t xml:space="preserve"> reports </w:t>
      </w:r>
      <w:r w:rsidR="00924705" w:rsidRPr="0041577A">
        <w:t>which helped</w:t>
      </w:r>
      <w:r w:rsidRPr="0041577A">
        <w:t xml:space="preserve"> participants </w:t>
      </w:r>
      <w:r w:rsidR="00924705" w:rsidRPr="0041577A">
        <w:t>to</w:t>
      </w:r>
      <w:r w:rsidRPr="0041577A">
        <w:t xml:space="preserve"> confirm the accuracy and appropriaten</w:t>
      </w:r>
      <w:r w:rsidR="0041577A" w:rsidRPr="0041577A">
        <w:t>ess of the data submission. The</w:t>
      </w:r>
      <w:r w:rsidRPr="0041577A">
        <w:t>s</w:t>
      </w:r>
      <w:r w:rsidR="0041577A" w:rsidRPr="0041577A">
        <w:t>e</w:t>
      </w:r>
      <w:r w:rsidRPr="0041577A">
        <w:t xml:space="preserve"> included check</w:t>
      </w:r>
      <w:r w:rsidR="0041577A" w:rsidRPr="0041577A">
        <w:t>s</w:t>
      </w:r>
      <w:r w:rsidRPr="0041577A">
        <w:t xml:space="preserve"> in areas </w:t>
      </w:r>
      <w:r w:rsidR="0041577A" w:rsidRPr="0041577A">
        <w:t>with</w:t>
      </w:r>
      <w:r w:rsidRPr="0041577A">
        <w:t xml:space="preserve"> potential to have a material impact on </w:t>
      </w:r>
      <w:r w:rsidR="0041577A" w:rsidRPr="0041577A">
        <w:t>results</w:t>
      </w:r>
      <w:r w:rsidRPr="0041577A">
        <w:t xml:space="preserve">, such as zero or negative cost buckets, </w:t>
      </w:r>
      <w:r w:rsidR="0041577A" w:rsidRPr="0041577A">
        <w:t>extreme high or low cost separations,</w:t>
      </w:r>
      <w:r w:rsidRPr="0041577A">
        <w:t xml:space="preserve"> and DRG flipping</w:t>
      </w:r>
      <w:r w:rsidRPr="0041577A">
        <w:rPr>
          <w:rStyle w:val="FootnoteReference"/>
        </w:rPr>
        <w:footnoteReference w:id="10"/>
      </w:r>
      <w:r w:rsidRPr="0041577A">
        <w:t>. If the QA reports identified uncharacteristic traits, the participant was asked to investigate and either adjust the data or justify the deviation. Once all uncharacteristic traits were justified, the participant</w:t>
      </w:r>
      <w:r w:rsidR="00F46E87">
        <w:t xml:space="preserve"> confirmed their data was final.</w:t>
      </w:r>
    </w:p>
    <w:p w14:paraId="14098425" w14:textId="19F5903E" w:rsidR="00BA7AE4" w:rsidRPr="0041577A" w:rsidRDefault="00BA7AE4" w:rsidP="00BA7AE4">
      <w:r w:rsidRPr="0041577A">
        <w:t>On finalisation of the valid costed data submission, IHPA required participants to submit a data quality statement. The data quality statements inform</w:t>
      </w:r>
      <w:r w:rsidR="006F4D76">
        <w:t>ed</w:t>
      </w:r>
      <w:r w:rsidRPr="0041577A">
        <w:t xml:space="preserve"> IHPA of the key matters that may impact each participant’s data submission and provide</w:t>
      </w:r>
      <w:r w:rsidR="006F4D76">
        <w:t>d</w:t>
      </w:r>
      <w:r w:rsidRPr="0041577A">
        <w:t xml:space="preserve"> assurance that the data was fit for purpose.</w:t>
      </w:r>
      <w:r w:rsidR="00674A8F">
        <w:t xml:space="preserve"> </w:t>
      </w:r>
      <w:r w:rsidRPr="0041577A">
        <w:t>IHPA then consolidated the data submission into a national costed data set.</w:t>
      </w:r>
    </w:p>
    <w:p w14:paraId="4C1F4B91" w14:textId="77777777" w:rsidR="00BA7AE4" w:rsidRPr="003145B1" w:rsidRDefault="00BA7AE4" w:rsidP="008A6A45">
      <w:pPr>
        <w:pStyle w:val="Intro"/>
      </w:pPr>
      <w:r w:rsidRPr="00F46E87">
        <w:t>Stage 7: Data analysis (including adjustments)</w:t>
      </w:r>
    </w:p>
    <w:p w14:paraId="1233647B" w14:textId="48C92F1F" w:rsidR="007951E4" w:rsidRDefault="00561AEE" w:rsidP="003978DC">
      <w:r>
        <w:t xml:space="preserve">PwC checked the </w:t>
      </w:r>
      <w:r w:rsidR="00674A8F">
        <w:t>national cost data set supplied by IHPA</w:t>
      </w:r>
      <w:r>
        <w:t xml:space="preserve"> to ensure that the separations were in-scope. PHDB was also used to estimate the number of in-scope private hospitals and the number of in-scope separations Australia-wide in 2016-17.</w:t>
      </w:r>
    </w:p>
    <w:p w14:paraId="5F38C6C7" w14:textId="123D3DA8" w:rsidR="00561AEE" w:rsidRDefault="00561AEE" w:rsidP="003978DC">
      <w:r>
        <w:t xml:space="preserve">The </w:t>
      </w:r>
      <w:r w:rsidR="00BF0282">
        <w:t xml:space="preserve">data was </w:t>
      </w:r>
      <w:r w:rsidR="00674A8F">
        <w:t xml:space="preserve">also </w:t>
      </w:r>
      <w:r w:rsidR="00BF0282">
        <w:t xml:space="preserve">examined by hospital group and compared against PHDB, in order to ensure that no hospital group was over-represented in the data set (compared to the Australian population) in a way that would </w:t>
      </w:r>
      <w:r w:rsidR="0055280C">
        <w:t xml:space="preserve">potentially bias </w:t>
      </w:r>
      <w:r w:rsidR="00BF0282">
        <w:t xml:space="preserve">the analysis. It was determined that there was no </w:t>
      </w:r>
      <w:r w:rsidR="0055280C">
        <w:t xml:space="preserve">material </w:t>
      </w:r>
      <w:r w:rsidR="00BF0282">
        <w:t xml:space="preserve">over-representation. The separations in the submitted data were then </w:t>
      </w:r>
      <w:r w:rsidR="0055280C">
        <w:t>scaled up using</w:t>
      </w:r>
      <w:r w:rsidR="00BF0282">
        <w:t xml:space="preserve"> </w:t>
      </w:r>
      <w:r w:rsidR="0055280C">
        <w:t xml:space="preserve">estimated weights to be reflective of </w:t>
      </w:r>
      <w:r w:rsidR="00BF0282">
        <w:t>the Australian population.</w:t>
      </w:r>
    </w:p>
    <w:p w14:paraId="67A2E87E" w14:textId="60AD1866" w:rsidR="00BA7AE4" w:rsidRPr="003145B1" w:rsidRDefault="00BA7AE4" w:rsidP="003978DC">
      <w:r w:rsidRPr="003145B1">
        <w:t xml:space="preserve">PwC reviewed the data set for DRG flipping. </w:t>
      </w:r>
      <w:r w:rsidR="003145B1" w:rsidRPr="003145B1">
        <w:t>In Round 21</w:t>
      </w:r>
      <w:r w:rsidRPr="003145B1">
        <w:t xml:space="preserve"> there were a small number of instances </w:t>
      </w:r>
      <w:r w:rsidR="003145B1" w:rsidRPr="003145B1">
        <w:t xml:space="preserve">of DRG flipping </w:t>
      </w:r>
      <w:r w:rsidR="00674A8F">
        <w:t>identified, and after consultation with IHPA and the relevant participant, these separations were removed.</w:t>
      </w:r>
      <w:r w:rsidRPr="003145B1">
        <w:t xml:space="preserve"> </w:t>
      </w:r>
    </w:p>
    <w:p w14:paraId="6FBE1C69" w14:textId="3814BE74" w:rsidR="00BA7AE4" w:rsidRPr="003145B1" w:rsidRDefault="00BA7AE4" w:rsidP="00BA7AE4">
      <w:r w:rsidRPr="003145B1">
        <w:t>Based on the adjustments described above the cost weight tables were produced</w:t>
      </w:r>
      <w:r w:rsidR="003145B1" w:rsidRPr="003145B1">
        <w:t>,</w:t>
      </w:r>
      <w:r w:rsidRPr="003145B1">
        <w:t xml:space="preserve"> checked for reasonablen</w:t>
      </w:r>
      <w:r w:rsidR="003145B1" w:rsidRPr="003145B1">
        <w:t>ess, and compared to the Round 20</w:t>
      </w:r>
      <w:r w:rsidRPr="003145B1">
        <w:t xml:space="preserve"> results. </w:t>
      </w:r>
    </w:p>
    <w:p w14:paraId="6B54E4E6" w14:textId="77777777" w:rsidR="00BA7AE4" w:rsidRPr="003145B1" w:rsidRDefault="00BA7AE4" w:rsidP="005A2D60">
      <w:pPr>
        <w:pStyle w:val="Intro"/>
        <w:keepNext/>
      </w:pPr>
      <w:r w:rsidRPr="00F46E87">
        <w:t>Stage 8: Reporting</w:t>
      </w:r>
      <w:r w:rsidRPr="003145B1">
        <w:t xml:space="preserve"> </w:t>
      </w:r>
    </w:p>
    <w:p w14:paraId="17AD4F52" w14:textId="721AB99B" w:rsidR="00A555E6" w:rsidRDefault="00BA7AE4" w:rsidP="00BA7AE4">
      <w:r w:rsidRPr="003145B1">
        <w:t xml:space="preserve">PwC produced </w:t>
      </w:r>
      <w:r w:rsidR="008C2CB1">
        <w:t xml:space="preserve">the NHCDC private sector </w:t>
      </w:r>
      <w:r w:rsidR="003978DC">
        <w:t xml:space="preserve">report </w:t>
      </w:r>
      <w:r w:rsidRPr="003145B1">
        <w:t>which outline</w:t>
      </w:r>
      <w:r w:rsidR="003978DC">
        <w:t>s</w:t>
      </w:r>
      <w:r w:rsidRPr="003145B1">
        <w:t xml:space="preserve"> the results of the Round 2</w:t>
      </w:r>
      <w:r w:rsidR="00F46E87">
        <w:t>1</w:t>
      </w:r>
      <w:r w:rsidRPr="003145B1">
        <w:t xml:space="preserve"> private sector NHCDC</w:t>
      </w:r>
      <w:r w:rsidR="003978DC">
        <w:t xml:space="preserve"> and draws on the data analysis to provide a</w:t>
      </w:r>
      <w:r w:rsidR="00387025">
        <w:t>n</w:t>
      </w:r>
      <w:r w:rsidR="003978DC">
        <w:t xml:space="preserve"> interpretation of the results.</w:t>
      </w:r>
    </w:p>
    <w:p w14:paraId="7D20F5B2" w14:textId="77777777" w:rsidR="00A555E6" w:rsidRDefault="00A555E6" w:rsidP="00BA7AE4"/>
    <w:p w14:paraId="3023F03B" w14:textId="73900D45" w:rsidR="00751830" w:rsidRPr="00EC6416" w:rsidRDefault="00751830" w:rsidP="00751830">
      <w:pPr>
        <w:rPr>
          <w:b/>
          <w:sz w:val="32"/>
          <w:szCs w:val="32"/>
        </w:rPr>
      </w:pPr>
      <w:r>
        <w:rPr>
          <w:b/>
          <w:sz w:val="32"/>
          <w:szCs w:val="32"/>
        </w:rPr>
        <w:t>Data adjustments</w:t>
      </w:r>
    </w:p>
    <w:p w14:paraId="6DC3C7B8" w14:textId="5B6D5FC3" w:rsidR="00751830" w:rsidRPr="00EC6416" w:rsidRDefault="00751830" w:rsidP="00751830">
      <w:pPr>
        <w:rPr>
          <w:sz w:val="20"/>
        </w:rPr>
      </w:pPr>
      <w:r w:rsidRPr="00EC6416">
        <w:t>The following adjustments were applied to the dataset</w:t>
      </w:r>
      <w:r>
        <w:t xml:space="preserve"> during the NHCDC process</w:t>
      </w:r>
      <w:r w:rsidRPr="00EC6416">
        <w:t>:</w:t>
      </w:r>
    </w:p>
    <w:p w14:paraId="0AD1D835" w14:textId="77777777" w:rsidR="00751830" w:rsidRPr="00EC6416" w:rsidRDefault="00751830" w:rsidP="00751830">
      <w:pPr>
        <w:pStyle w:val="Heading3"/>
      </w:pPr>
      <w:bookmarkStart w:id="89" w:name="_Ref433796181"/>
      <w:bookmarkStart w:id="90" w:name="_Toc496857600"/>
      <w:r w:rsidRPr="00EC6416">
        <w:t>Neonate adjustment</w:t>
      </w:r>
      <w:bookmarkEnd w:id="89"/>
      <w:bookmarkEnd w:id="90"/>
    </w:p>
    <w:p w14:paraId="2F600E32" w14:textId="25F9A7B1" w:rsidR="00751830" w:rsidRPr="00EC6416" w:rsidRDefault="00751830" w:rsidP="00751830">
      <w:r w:rsidRPr="00755D99">
        <w:t xml:space="preserve">The costs for newborn infants with zero qualified days, in respect of care type 7 (newborn care) were </w:t>
      </w:r>
      <w:r w:rsidRPr="00EC6416">
        <w:t xml:space="preserve">allocated to the delivery AR-DRGs of mothers at the same hospital. </w:t>
      </w:r>
    </w:p>
    <w:p w14:paraId="130D5CB3" w14:textId="77777777" w:rsidR="00751830" w:rsidRPr="00EC6416" w:rsidRDefault="00751830" w:rsidP="00751830">
      <w:r w:rsidRPr="00EC6416">
        <w:t>The definition of unqualified days is provided in the National Health Data Dictionary</w:t>
      </w:r>
      <w:r w:rsidRPr="00EC6416">
        <w:rPr>
          <w:rStyle w:val="FootnoteReference"/>
          <w:rFonts w:ascii="Georgia" w:hAnsi="Georgia"/>
        </w:rPr>
        <w:footnoteReference w:id="11"/>
      </w:r>
      <w:r w:rsidRPr="00EC6416">
        <w:t xml:space="preserve">: “unqualified days” relates to the first 9 days of a newborn’s life, unless the newborn is a second or subsequent live born infant or it requires intensive care. This adjustment has been performed </w:t>
      </w:r>
      <w:r>
        <w:t xml:space="preserve">in a fashion </w:t>
      </w:r>
      <w:r w:rsidRPr="00EC6416">
        <w:t xml:space="preserve">consistent with </w:t>
      </w:r>
      <w:r>
        <w:t xml:space="preserve">the </w:t>
      </w:r>
      <w:r w:rsidRPr="00EC6416">
        <w:t xml:space="preserve">Round </w:t>
      </w:r>
      <w:r>
        <w:t>20</w:t>
      </w:r>
      <w:r w:rsidRPr="00EC6416">
        <w:t xml:space="preserve"> private NHCDC.</w:t>
      </w:r>
    </w:p>
    <w:p w14:paraId="02A9EBEA" w14:textId="77777777" w:rsidR="00751830" w:rsidRPr="00EC6416" w:rsidRDefault="00751830" w:rsidP="00751830">
      <w:pPr>
        <w:pStyle w:val="Heading3"/>
      </w:pPr>
      <w:bookmarkStart w:id="91" w:name="_Toc496857601"/>
      <w:r w:rsidRPr="00EC6416">
        <w:t>Market share adjustment process</w:t>
      </w:r>
    </w:p>
    <w:p w14:paraId="4BCC1BEA" w14:textId="77777777" w:rsidR="00751830" w:rsidRPr="00EC6416" w:rsidRDefault="00751830" w:rsidP="00751830">
      <w:r w:rsidRPr="00EC6416">
        <w:t>The market share was determined for each hospital group, to ensure they were appropriately represented. This was done by calculating the share of the PHDB separations that belonged to the relevant group, against those of the hospital groups which submitted to the NHCDC. The market share was then compared to the submitted data to see if any hospital groups submitted more separations than their market share would warrant, and if so, whether this would lead to an inappropriate representation. It was concluded that the representation for each hospital group was appropriate, and no adjustments were made to the data due to the market share.</w:t>
      </w:r>
    </w:p>
    <w:p w14:paraId="7057CAC8" w14:textId="77777777" w:rsidR="00751830" w:rsidRPr="00EC6416" w:rsidRDefault="00751830" w:rsidP="00751830">
      <w:pPr>
        <w:pStyle w:val="Heading3"/>
      </w:pPr>
      <w:r w:rsidRPr="00EC6416">
        <w:t>Population adjustment process</w:t>
      </w:r>
      <w:bookmarkEnd w:id="91"/>
    </w:p>
    <w:p w14:paraId="730B4547" w14:textId="77777777" w:rsidR="00751830" w:rsidRPr="00EC6416" w:rsidRDefault="00751830" w:rsidP="00751830">
      <w:r w:rsidRPr="00EC6416">
        <w:t>To ensure the results reflect the full range of Australia’s private hospitals, an estimation process was adopted to create representative national costing and activity figures from sample data. The estimation process produces ‘population’ data by estimating weights, on the basis of acute admitted separations, that are applied to the sample data so that the acute admitted separations equal the total population figures. The weights are calculated based on the number of separations in each hospital group in the submitted data and Australia-wide, based on the total population in PHDB.</w:t>
      </w:r>
    </w:p>
    <w:p w14:paraId="126DA0EB" w14:textId="77777777" w:rsidR="00751830" w:rsidRPr="00EC6416" w:rsidRDefault="00751830" w:rsidP="00751830">
      <w:r w:rsidRPr="00EC6416">
        <w:t xml:space="preserve">The total population was determined as the number of acute separations in 2016-17 obtained from PHDB. All private acute hospitals in Australia (excluding private day hospital facilities) with more than 200 acute admitted separations during the financial year were included. </w:t>
      </w:r>
    </w:p>
    <w:p w14:paraId="12C30F0C" w14:textId="77777777" w:rsidR="00751830" w:rsidRPr="00EC6416" w:rsidRDefault="00751830" w:rsidP="00751830">
      <w:r w:rsidRPr="00EC6416">
        <w:t>The number of hospitals in the population file for Round 21 is 251.</w:t>
      </w:r>
    </w:p>
    <w:p w14:paraId="146F0F68" w14:textId="77777777" w:rsidR="00751830" w:rsidRPr="003145B1" w:rsidRDefault="00751830" w:rsidP="00BA7AE4"/>
    <w:p w14:paraId="3FAE4F79" w14:textId="77777777" w:rsidR="00153087" w:rsidRDefault="00153087">
      <w:pPr>
        <w:spacing w:after="0" w:line="240" w:lineRule="auto"/>
        <w:rPr>
          <w:rFonts w:asciiTheme="majorHAnsi" w:hAnsiTheme="majorHAnsi"/>
          <w:b/>
          <w:sz w:val="64"/>
          <w:szCs w:val="44"/>
        </w:rPr>
      </w:pPr>
      <w:bookmarkStart w:id="92" w:name="_Toc497732628"/>
      <w:bookmarkStart w:id="93" w:name="_Toc497736259"/>
      <w:bookmarkStart w:id="94" w:name="_Toc497736447"/>
      <w:bookmarkStart w:id="95" w:name="_Toc497200460"/>
      <w:bookmarkStart w:id="96" w:name="_Toc497200461"/>
      <w:bookmarkEnd w:id="92"/>
      <w:bookmarkEnd w:id="93"/>
      <w:bookmarkEnd w:id="94"/>
      <w:bookmarkEnd w:id="95"/>
      <w:bookmarkEnd w:id="96"/>
      <w:r>
        <w:br w:type="page"/>
      </w:r>
    </w:p>
    <w:p w14:paraId="1B3FE8AA" w14:textId="27BE040E" w:rsidR="005D7320" w:rsidRPr="00240CEB" w:rsidRDefault="005068A3" w:rsidP="006200A2">
      <w:pPr>
        <w:pStyle w:val="Heading1"/>
      </w:pPr>
      <w:bookmarkStart w:id="97" w:name="_Toc161976"/>
      <w:r w:rsidRPr="00240CEB">
        <w:lastRenderedPageBreak/>
        <w:t>R</w:t>
      </w:r>
      <w:r w:rsidR="005D7320" w:rsidRPr="00240CEB">
        <w:t>esults</w:t>
      </w:r>
      <w:bookmarkEnd w:id="97"/>
    </w:p>
    <w:p w14:paraId="7DCD8A82" w14:textId="3334E1C0" w:rsidR="005D7320" w:rsidRPr="001D3046" w:rsidRDefault="00D90FEE" w:rsidP="006200A2">
      <w:pPr>
        <w:pStyle w:val="Heading2"/>
      </w:pPr>
      <w:bookmarkStart w:id="98" w:name="_Toc435611227"/>
      <w:bookmarkStart w:id="99" w:name="_Ref433272082"/>
      <w:bookmarkStart w:id="100" w:name="_Ref433272076"/>
      <w:bookmarkStart w:id="101" w:name="_Toc496857573"/>
      <w:r w:rsidRPr="001D3046">
        <w:t xml:space="preserve">Participation </w:t>
      </w:r>
      <w:bookmarkEnd w:id="98"/>
      <w:bookmarkEnd w:id="99"/>
      <w:bookmarkEnd w:id="100"/>
      <w:bookmarkEnd w:id="101"/>
    </w:p>
    <w:p w14:paraId="797C6762" w14:textId="2E9469B5" w:rsidR="005D7320" w:rsidRPr="001D3046" w:rsidRDefault="005068A3" w:rsidP="005068A3">
      <w:r w:rsidRPr="001D3046">
        <w:t>The population of separations in Round 2</w:t>
      </w:r>
      <w:r w:rsidR="001D3046" w:rsidRPr="001D3046">
        <w:t>1</w:t>
      </w:r>
      <w:r w:rsidRPr="001D3046">
        <w:t xml:space="preserve"> is defined as all acute admitted s</w:t>
      </w:r>
      <w:r w:rsidR="001D3046" w:rsidRPr="001D3046">
        <w:t>eparations performed at 251</w:t>
      </w:r>
      <w:r w:rsidRPr="001D3046">
        <w:t xml:space="preserve"> in scope </w:t>
      </w:r>
      <w:r w:rsidR="001F788D" w:rsidRPr="001D3046">
        <w:t xml:space="preserve">overnight private </w:t>
      </w:r>
      <w:r w:rsidRPr="001D3046">
        <w:t>hospitals in 201</w:t>
      </w:r>
      <w:r w:rsidR="001D3046" w:rsidRPr="001D3046">
        <w:t>6</w:t>
      </w:r>
      <w:r w:rsidRPr="001D3046">
        <w:t>-1</w:t>
      </w:r>
      <w:r w:rsidR="001D3046" w:rsidRPr="001D3046">
        <w:t>7</w:t>
      </w:r>
      <w:r w:rsidRPr="001D3046">
        <w:t>, which is 3,</w:t>
      </w:r>
      <w:r w:rsidR="001D3046" w:rsidRPr="001D3046">
        <w:t>242</w:t>
      </w:r>
      <w:r w:rsidRPr="001D3046">
        <w:t>,</w:t>
      </w:r>
      <w:r w:rsidR="001D3046" w:rsidRPr="001D3046">
        <w:t>411</w:t>
      </w:r>
      <w:r w:rsidRPr="001D3046">
        <w:t xml:space="preserve"> separations.  </w:t>
      </w:r>
    </w:p>
    <w:p w14:paraId="2328AB61" w14:textId="0B000F6F" w:rsidR="005D7320" w:rsidRPr="001D3046" w:rsidRDefault="005D7320" w:rsidP="005068A3">
      <w:r w:rsidRPr="001D3046">
        <w:t>The number o</w:t>
      </w:r>
      <w:r w:rsidR="001D3046" w:rsidRPr="001D3046">
        <w:t>f sample separations in Round 21</w:t>
      </w:r>
      <w:r w:rsidRPr="001D3046">
        <w:t xml:space="preserve"> was </w:t>
      </w:r>
      <w:r w:rsidR="00CA084B" w:rsidRPr="001D3046">
        <w:t>1,</w:t>
      </w:r>
      <w:r w:rsidR="001D3046" w:rsidRPr="001D3046">
        <w:t>923</w:t>
      </w:r>
      <w:r w:rsidR="00CA084B" w:rsidRPr="001D3046">
        <w:t>,</w:t>
      </w:r>
      <w:r w:rsidR="001D3046" w:rsidRPr="001D3046">
        <w:t>310</w:t>
      </w:r>
      <w:r w:rsidRPr="001D3046">
        <w:t xml:space="preserve"> which represent</w:t>
      </w:r>
      <w:r w:rsidR="001A21FD" w:rsidRPr="001D3046">
        <w:t>s</w:t>
      </w:r>
      <w:r w:rsidRPr="001D3046">
        <w:t xml:space="preserve"> </w:t>
      </w:r>
      <w:r w:rsidR="00E52A05" w:rsidRPr="001D3046">
        <w:t>a</w:t>
      </w:r>
      <w:r w:rsidR="001D3046" w:rsidRPr="001D3046">
        <w:t>n</w:t>
      </w:r>
      <w:r w:rsidR="00E52A05" w:rsidRPr="001D3046">
        <w:t xml:space="preserve"> </w:t>
      </w:r>
      <w:r w:rsidR="001D3046" w:rsidRPr="001D3046">
        <w:t>8</w:t>
      </w:r>
      <w:r w:rsidR="00E359A8" w:rsidRPr="001D3046">
        <w:t xml:space="preserve"> </w:t>
      </w:r>
      <w:r w:rsidR="00F74337">
        <w:t>percent</w:t>
      </w:r>
      <w:r w:rsidR="00BF2A9E" w:rsidRPr="001D3046">
        <w:t xml:space="preserve"> increase in the </w:t>
      </w:r>
      <w:r w:rsidR="001A21FD" w:rsidRPr="001D3046">
        <w:t>sample</w:t>
      </w:r>
      <w:r w:rsidRPr="001D3046">
        <w:t xml:space="preserve"> separations compar</w:t>
      </w:r>
      <w:r w:rsidR="00D379AF" w:rsidRPr="001D3046">
        <w:t xml:space="preserve">ed to Round </w:t>
      </w:r>
      <w:r w:rsidR="001D3046" w:rsidRPr="001D3046">
        <w:t>20</w:t>
      </w:r>
      <w:r w:rsidR="00D379AF" w:rsidRPr="001D3046">
        <w:t xml:space="preserve"> (shown in Table 4</w:t>
      </w:r>
      <w:r w:rsidRPr="001D3046">
        <w:t>).</w:t>
      </w:r>
      <w:r w:rsidR="001F788D" w:rsidRPr="001D3046">
        <w:t xml:space="preserve"> In Round 2</w:t>
      </w:r>
      <w:r w:rsidR="001D3046" w:rsidRPr="001D3046">
        <w:t>1</w:t>
      </w:r>
      <w:r w:rsidR="0055280C">
        <w:t xml:space="preserve"> the participation rate was</w:t>
      </w:r>
      <w:r w:rsidR="001F788D" w:rsidRPr="001D3046">
        <w:t xml:space="preserve"> 5</w:t>
      </w:r>
      <w:r w:rsidR="001D3046" w:rsidRPr="001D3046">
        <w:t>9</w:t>
      </w:r>
      <w:r w:rsidR="001F788D" w:rsidRPr="001D3046">
        <w:t xml:space="preserve"> </w:t>
      </w:r>
      <w:r w:rsidR="00F74337">
        <w:t>percent</w:t>
      </w:r>
      <w:r w:rsidR="001F788D" w:rsidRPr="001D3046">
        <w:t xml:space="preserve"> of separations, which is a</w:t>
      </w:r>
      <w:r w:rsidR="001D3046" w:rsidRPr="001D3046">
        <w:t>n</w:t>
      </w:r>
      <w:r w:rsidR="001F788D" w:rsidRPr="001D3046">
        <w:t xml:space="preserve"> </w:t>
      </w:r>
      <w:r w:rsidR="001D3046" w:rsidRPr="001D3046">
        <w:t>in</w:t>
      </w:r>
      <w:r w:rsidR="001F788D" w:rsidRPr="001D3046">
        <w:t xml:space="preserve">crease of </w:t>
      </w:r>
      <w:r w:rsidR="001D3046" w:rsidRPr="001D3046">
        <w:t>1</w:t>
      </w:r>
      <w:r w:rsidR="00E359A8" w:rsidRPr="001D3046">
        <w:t xml:space="preserve"> </w:t>
      </w:r>
      <w:r w:rsidR="00F74337">
        <w:t>percent</w:t>
      </w:r>
      <w:r w:rsidR="000D0686">
        <w:t>age point</w:t>
      </w:r>
      <w:r w:rsidR="001D3046" w:rsidRPr="001D3046">
        <w:t xml:space="preserve"> compared to Round 20</w:t>
      </w:r>
      <w:r w:rsidR="001F788D" w:rsidRPr="001D3046">
        <w:t>.</w:t>
      </w:r>
    </w:p>
    <w:p w14:paraId="6A436DEB" w14:textId="79A5887C" w:rsidR="005D7320" w:rsidRDefault="005D7320" w:rsidP="005068A3">
      <w:r w:rsidRPr="001D3046">
        <w:t xml:space="preserve">The average number of </w:t>
      </w:r>
      <w:r w:rsidR="0022779A" w:rsidRPr="001D3046">
        <w:t xml:space="preserve">sample </w:t>
      </w:r>
      <w:r w:rsidRPr="001D3046">
        <w:t xml:space="preserve">separations </w:t>
      </w:r>
      <w:r w:rsidR="0022779A" w:rsidRPr="001D3046">
        <w:t xml:space="preserve">submitted </w:t>
      </w:r>
      <w:r w:rsidRPr="001D3046">
        <w:t xml:space="preserve">per participant </w:t>
      </w:r>
      <w:r w:rsidR="001D3046" w:rsidRPr="001D3046">
        <w:t>decreased</w:t>
      </w:r>
      <w:r w:rsidRPr="001D3046">
        <w:t xml:space="preserve"> by </w:t>
      </w:r>
      <w:r w:rsidR="00BF2A9E" w:rsidRPr="001D3046">
        <w:t>1,</w:t>
      </w:r>
      <w:r w:rsidR="001D3046" w:rsidRPr="001D3046">
        <w:t>262</w:t>
      </w:r>
      <w:r w:rsidRPr="001D3046">
        <w:t xml:space="preserve"> separations (from </w:t>
      </w:r>
      <w:r w:rsidR="00BF2A9E" w:rsidRPr="001D3046">
        <w:t>19,579</w:t>
      </w:r>
      <w:r w:rsidR="001D3046" w:rsidRPr="001D3046">
        <w:t xml:space="preserve"> to 18,317</w:t>
      </w:r>
      <w:r w:rsidR="006212A3" w:rsidRPr="001D3046">
        <w:t>) between R</w:t>
      </w:r>
      <w:r w:rsidRPr="001D3046">
        <w:t xml:space="preserve">ound </w:t>
      </w:r>
      <w:r w:rsidR="001D3046" w:rsidRPr="001D3046">
        <w:t>20</w:t>
      </w:r>
      <w:r w:rsidRPr="001D3046">
        <w:t xml:space="preserve"> and </w:t>
      </w:r>
      <w:r w:rsidR="001F788D" w:rsidRPr="001D3046">
        <w:t xml:space="preserve">Round </w:t>
      </w:r>
      <w:r w:rsidRPr="001D3046">
        <w:t>2</w:t>
      </w:r>
      <w:r w:rsidR="001D3046" w:rsidRPr="001D3046">
        <w:t>1</w:t>
      </w:r>
      <w:r w:rsidRPr="001D3046">
        <w:t>.</w:t>
      </w:r>
      <w:r w:rsidR="00BF2A9E" w:rsidRPr="001D3046">
        <w:t xml:space="preserve"> The average number of separations per popu</w:t>
      </w:r>
      <w:r w:rsidR="001D3046" w:rsidRPr="001D3046">
        <w:t>lation hospital increased by 513</w:t>
      </w:r>
      <w:r w:rsidR="00BF2A9E" w:rsidRPr="001D3046">
        <w:t xml:space="preserve"> separations (from 12,405</w:t>
      </w:r>
      <w:r w:rsidR="001D3046" w:rsidRPr="001D3046">
        <w:t xml:space="preserve"> to 12,918</w:t>
      </w:r>
      <w:r w:rsidR="00BF2A9E" w:rsidRPr="001D3046">
        <w:t xml:space="preserve">) between </w:t>
      </w:r>
      <w:r w:rsidR="001D3046" w:rsidRPr="001D3046">
        <w:t>Round 20</w:t>
      </w:r>
      <w:r w:rsidR="0022779A" w:rsidRPr="001D3046">
        <w:t xml:space="preserve"> and </w:t>
      </w:r>
      <w:r w:rsidR="001F788D" w:rsidRPr="001D3046">
        <w:t xml:space="preserve">Round </w:t>
      </w:r>
      <w:r w:rsidR="0022779A" w:rsidRPr="001D3046">
        <w:t>2</w:t>
      </w:r>
      <w:r w:rsidR="001D3046" w:rsidRPr="001D3046">
        <w:t>1</w:t>
      </w:r>
      <w:r w:rsidR="00BF2A9E" w:rsidRPr="001D3046">
        <w:t>.</w:t>
      </w:r>
    </w:p>
    <w:p w14:paraId="5E71ED5D" w14:textId="4991E10E" w:rsidR="005A2D60" w:rsidRPr="001D3046" w:rsidRDefault="005A2D60" w:rsidP="005068A3">
      <w:r>
        <w:t>In the table below, “Change in separations (%)” represents a comparison to the previous Round.</w:t>
      </w:r>
    </w:p>
    <w:p w14:paraId="2CCD2DFD" w14:textId="556B5B7E" w:rsidR="005D7320" w:rsidRPr="0001519D" w:rsidRDefault="005D7320" w:rsidP="00E763E2">
      <w:pPr>
        <w:pStyle w:val="TableHeadings3"/>
      </w:pPr>
      <w:bookmarkStart w:id="102" w:name="_Ref353931865"/>
      <w:bookmarkStart w:id="103" w:name="_Toc432078942"/>
      <w:bookmarkStart w:id="104" w:name="_Toc497488029"/>
      <w:bookmarkStart w:id="105" w:name="_Toc161994"/>
      <w:r w:rsidRPr="0001519D">
        <w:t xml:space="preserve">Table </w:t>
      </w:r>
      <w:bookmarkEnd w:id="102"/>
      <w:r w:rsidR="00D379AF" w:rsidRPr="0001519D">
        <w:t>4</w:t>
      </w:r>
      <w:r w:rsidR="004F7ECE" w:rsidRPr="0001519D">
        <w:t>.</w:t>
      </w:r>
      <w:r w:rsidR="005068A3" w:rsidRPr="0001519D">
        <w:t xml:space="preserve"> </w:t>
      </w:r>
      <w:r w:rsidRPr="0001519D">
        <w:t>Comparison</w:t>
      </w:r>
      <w:r w:rsidR="005068A3" w:rsidRPr="0001519D">
        <w:t xml:space="preserve"> </w:t>
      </w:r>
      <w:r w:rsidRPr="0001519D">
        <w:t xml:space="preserve">of separations and hospitals, Round </w:t>
      </w:r>
      <w:r w:rsidR="00571D9D" w:rsidRPr="0001519D">
        <w:t>1</w:t>
      </w:r>
      <w:r w:rsidR="0001519D" w:rsidRPr="0001519D">
        <w:t>2</w:t>
      </w:r>
      <w:r w:rsidRPr="0001519D">
        <w:t xml:space="preserve"> (200</w:t>
      </w:r>
      <w:r w:rsidR="0001519D" w:rsidRPr="0001519D">
        <w:t>7</w:t>
      </w:r>
      <w:r w:rsidR="00571D9D" w:rsidRPr="0001519D">
        <w:t>-0</w:t>
      </w:r>
      <w:r w:rsidR="0001519D" w:rsidRPr="0001519D">
        <w:t>8</w:t>
      </w:r>
      <w:r w:rsidRPr="0001519D">
        <w:t xml:space="preserve">) to Round </w:t>
      </w:r>
      <w:bookmarkStart w:id="106" w:name="_Toc496794481"/>
      <w:bookmarkStart w:id="107" w:name="_Toc497332904"/>
      <w:r w:rsidR="00CA084B" w:rsidRPr="0001519D">
        <w:t>2</w:t>
      </w:r>
      <w:r w:rsidR="0001519D" w:rsidRPr="0001519D">
        <w:t>1</w:t>
      </w:r>
      <w:r w:rsidR="00CA084B" w:rsidRPr="0001519D">
        <w:t xml:space="preserve"> (201</w:t>
      </w:r>
      <w:r w:rsidR="0001519D" w:rsidRPr="0001519D">
        <w:t>6</w:t>
      </w:r>
      <w:r w:rsidR="00CA084B" w:rsidRPr="0001519D">
        <w:t>-1</w:t>
      </w:r>
      <w:r w:rsidR="0001519D" w:rsidRPr="0001519D">
        <w:t>7</w:t>
      </w:r>
      <w:r w:rsidRPr="0001519D">
        <w:t>)</w:t>
      </w:r>
      <w:bookmarkEnd w:id="103"/>
      <w:bookmarkEnd w:id="104"/>
      <w:bookmarkEnd w:id="105"/>
      <w:bookmarkEnd w:id="106"/>
      <w:bookmarkEnd w:id="107"/>
    </w:p>
    <w:tbl>
      <w:tblPr>
        <w:tblW w:w="9475" w:type="dxa"/>
        <w:tblInd w:w="108" w:type="dxa"/>
        <w:tblLayout w:type="fixed"/>
        <w:tblLook w:val="04A0" w:firstRow="1" w:lastRow="0" w:firstColumn="1" w:lastColumn="0" w:noHBand="0" w:noVBand="1"/>
      </w:tblPr>
      <w:tblGrid>
        <w:gridCol w:w="2494"/>
        <w:gridCol w:w="997"/>
        <w:gridCol w:w="997"/>
        <w:gridCol w:w="997"/>
        <w:gridCol w:w="997"/>
        <w:gridCol w:w="997"/>
        <w:gridCol w:w="998"/>
        <w:gridCol w:w="998"/>
      </w:tblGrid>
      <w:tr w:rsidR="008A2F9D" w:rsidRPr="00E4527E" w14:paraId="538FC0BA" w14:textId="3CB9CD29" w:rsidTr="008A6A45">
        <w:trPr>
          <w:trHeight w:val="510"/>
        </w:trPr>
        <w:tc>
          <w:tcPr>
            <w:tcW w:w="2494" w:type="dxa"/>
            <w:tcBorders>
              <w:top w:val="single" w:sz="4" w:space="0" w:color="auto"/>
              <w:left w:val="nil"/>
              <w:bottom w:val="single" w:sz="4" w:space="0" w:color="000000"/>
              <w:right w:val="nil"/>
            </w:tcBorders>
            <w:shd w:val="clear" w:color="auto" w:fill="auto"/>
            <w:noWrap/>
            <w:hideMark/>
          </w:tcPr>
          <w:p w14:paraId="0D1A4A41"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Key Statistic</w:t>
            </w:r>
          </w:p>
        </w:tc>
        <w:tc>
          <w:tcPr>
            <w:tcW w:w="997" w:type="dxa"/>
            <w:tcBorders>
              <w:top w:val="single" w:sz="4" w:space="0" w:color="auto"/>
              <w:left w:val="nil"/>
              <w:bottom w:val="single" w:sz="4" w:space="0" w:color="000000"/>
              <w:right w:val="nil"/>
            </w:tcBorders>
            <w:shd w:val="clear" w:color="auto" w:fill="auto"/>
            <w:hideMark/>
          </w:tcPr>
          <w:p w14:paraId="170ECABC"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12 2007-08</w:t>
            </w:r>
          </w:p>
        </w:tc>
        <w:tc>
          <w:tcPr>
            <w:tcW w:w="997" w:type="dxa"/>
            <w:tcBorders>
              <w:top w:val="single" w:sz="4" w:space="0" w:color="auto"/>
              <w:left w:val="nil"/>
              <w:bottom w:val="single" w:sz="4" w:space="0" w:color="000000"/>
              <w:right w:val="nil"/>
            </w:tcBorders>
            <w:shd w:val="clear" w:color="auto" w:fill="auto"/>
            <w:hideMark/>
          </w:tcPr>
          <w:p w14:paraId="2D845242"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13 2008-09</w:t>
            </w:r>
          </w:p>
        </w:tc>
        <w:tc>
          <w:tcPr>
            <w:tcW w:w="997" w:type="dxa"/>
            <w:tcBorders>
              <w:top w:val="single" w:sz="4" w:space="0" w:color="auto"/>
              <w:left w:val="nil"/>
              <w:bottom w:val="single" w:sz="4" w:space="0" w:color="000000"/>
              <w:right w:val="nil"/>
            </w:tcBorders>
            <w:shd w:val="clear" w:color="auto" w:fill="auto"/>
            <w:hideMark/>
          </w:tcPr>
          <w:p w14:paraId="48547E26"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16 2011-12</w:t>
            </w:r>
          </w:p>
        </w:tc>
        <w:tc>
          <w:tcPr>
            <w:tcW w:w="997" w:type="dxa"/>
            <w:tcBorders>
              <w:top w:val="single" w:sz="4" w:space="0" w:color="auto"/>
              <w:left w:val="nil"/>
              <w:bottom w:val="single" w:sz="4" w:space="0" w:color="000000"/>
              <w:right w:val="nil"/>
            </w:tcBorders>
            <w:shd w:val="clear" w:color="auto" w:fill="auto"/>
            <w:hideMark/>
          </w:tcPr>
          <w:p w14:paraId="6C785F47"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17 2012-13</w:t>
            </w:r>
          </w:p>
        </w:tc>
        <w:tc>
          <w:tcPr>
            <w:tcW w:w="997" w:type="dxa"/>
            <w:tcBorders>
              <w:top w:val="single" w:sz="4" w:space="0" w:color="auto"/>
              <w:left w:val="nil"/>
              <w:bottom w:val="single" w:sz="4" w:space="0" w:color="000000"/>
              <w:right w:val="nil"/>
            </w:tcBorders>
            <w:shd w:val="clear" w:color="auto" w:fill="auto"/>
            <w:hideMark/>
          </w:tcPr>
          <w:p w14:paraId="60EC2113"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18 2013-14</w:t>
            </w:r>
          </w:p>
        </w:tc>
        <w:tc>
          <w:tcPr>
            <w:tcW w:w="998" w:type="dxa"/>
            <w:tcBorders>
              <w:top w:val="single" w:sz="4" w:space="0" w:color="auto"/>
              <w:left w:val="nil"/>
              <w:bottom w:val="single" w:sz="4" w:space="0" w:color="000000"/>
              <w:right w:val="nil"/>
            </w:tcBorders>
            <w:shd w:val="clear" w:color="auto" w:fill="FFFFFF" w:themeFill="background1"/>
            <w:hideMark/>
          </w:tcPr>
          <w:p w14:paraId="5DBDC086" w14:textId="77777777"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20 2015-16</w:t>
            </w:r>
          </w:p>
        </w:tc>
        <w:tc>
          <w:tcPr>
            <w:tcW w:w="998" w:type="dxa"/>
            <w:tcBorders>
              <w:top w:val="single" w:sz="4" w:space="0" w:color="auto"/>
              <w:left w:val="nil"/>
              <w:bottom w:val="single" w:sz="4" w:space="0" w:color="auto"/>
              <w:right w:val="nil"/>
            </w:tcBorders>
            <w:shd w:val="clear" w:color="auto" w:fill="D9D9D9" w:themeFill="background1" w:themeFillShade="D9"/>
          </w:tcPr>
          <w:p w14:paraId="3F006959" w14:textId="7D009613" w:rsidR="008A2F9D" w:rsidRPr="001D3046" w:rsidRDefault="008A2F9D" w:rsidP="008A6A45">
            <w:pPr>
              <w:pStyle w:val="TableText"/>
              <w:spacing w:line="240" w:lineRule="auto"/>
              <w:rPr>
                <w:b/>
                <w:sz w:val="16"/>
                <w:szCs w:val="16"/>
                <w:lang w:val="en-US" w:eastAsia="en-US"/>
              </w:rPr>
            </w:pPr>
            <w:r w:rsidRPr="001D3046">
              <w:rPr>
                <w:b/>
                <w:sz w:val="16"/>
                <w:szCs w:val="16"/>
                <w:lang w:val="en-US" w:eastAsia="en-US"/>
              </w:rPr>
              <w:t>Round 21 2016-17</w:t>
            </w:r>
          </w:p>
        </w:tc>
      </w:tr>
      <w:tr w:rsidR="008A2F9D" w:rsidRPr="00E4527E" w14:paraId="62894386" w14:textId="75724B57" w:rsidTr="008A6A45">
        <w:trPr>
          <w:trHeight w:val="20"/>
        </w:trPr>
        <w:tc>
          <w:tcPr>
            <w:tcW w:w="2494" w:type="dxa"/>
            <w:tcBorders>
              <w:top w:val="nil"/>
              <w:left w:val="nil"/>
              <w:bottom w:val="nil"/>
              <w:right w:val="nil"/>
            </w:tcBorders>
            <w:shd w:val="clear" w:color="auto" w:fill="auto"/>
            <w:hideMark/>
          </w:tcPr>
          <w:p w14:paraId="11F7665E" w14:textId="77777777"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Sample separations</w:t>
            </w:r>
          </w:p>
        </w:tc>
        <w:tc>
          <w:tcPr>
            <w:tcW w:w="997" w:type="dxa"/>
            <w:tcBorders>
              <w:top w:val="nil"/>
              <w:left w:val="nil"/>
              <w:bottom w:val="nil"/>
              <w:right w:val="nil"/>
            </w:tcBorders>
            <w:shd w:val="clear" w:color="auto" w:fill="auto"/>
            <w:noWrap/>
            <w:hideMark/>
          </w:tcPr>
          <w:p w14:paraId="53E16683"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1,607,678</w:t>
            </w:r>
          </w:p>
        </w:tc>
        <w:tc>
          <w:tcPr>
            <w:tcW w:w="997" w:type="dxa"/>
            <w:tcBorders>
              <w:top w:val="nil"/>
              <w:left w:val="nil"/>
              <w:bottom w:val="nil"/>
              <w:right w:val="nil"/>
            </w:tcBorders>
            <w:shd w:val="clear" w:color="auto" w:fill="auto"/>
            <w:noWrap/>
            <w:hideMark/>
          </w:tcPr>
          <w:p w14:paraId="09268815"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1,648,989</w:t>
            </w:r>
          </w:p>
        </w:tc>
        <w:tc>
          <w:tcPr>
            <w:tcW w:w="997" w:type="dxa"/>
            <w:tcBorders>
              <w:top w:val="nil"/>
              <w:left w:val="nil"/>
              <w:bottom w:val="nil"/>
              <w:right w:val="nil"/>
            </w:tcBorders>
            <w:shd w:val="clear" w:color="auto" w:fill="auto"/>
            <w:noWrap/>
            <w:hideMark/>
          </w:tcPr>
          <w:p w14:paraId="263F54F6"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1,775,059</w:t>
            </w:r>
          </w:p>
        </w:tc>
        <w:tc>
          <w:tcPr>
            <w:tcW w:w="997" w:type="dxa"/>
            <w:tcBorders>
              <w:top w:val="nil"/>
              <w:left w:val="nil"/>
              <w:bottom w:val="nil"/>
              <w:right w:val="nil"/>
            </w:tcBorders>
            <w:shd w:val="clear" w:color="auto" w:fill="auto"/>
            <w:noWrap/>
            <w:hideMark/>
          </w:tcPr>
          <w:p w14:paraId="66AB3835"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1,650,816</w:t>
            </w:r>
          </w:p>
        </w:tc>
        <w:tc>
          <w:tcPr>
            <w:tcW w:w="997" w:type="dxa"/>
            <w:tcBorders>
              <w:top w:val="nil"/>
              <w:left w:val="nil"/>
              <w:bottom w:val="nil"/>
              <w:right w:val="nil"/>
            </w:tcBorders>
            <w:shd w:val="clear" w:color="auto" w:fill="auto"/>
            <w:noWrap/>
            <w:hideMark/>
          </w:tcPr>
          <w:p w14:paraId="51983719"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1,697,311</w:t>
            </w:r>
          </w:p>
        </w:tc>
        <w:tc>
          <w:tcPr>
            <w:tcW w:w="998" w:type="dxa"/>
            <w:tcBorders>
              <w:top w:val="nil"/>
              <w:left w:val="nil"/>
              <w:bottom w:val="nil"/>
              <w:right w:val="nil"/>
            </w:tcBorders>
            <w:shd w:val="clear" w:color="auto" w:fill="FFFFFF" w:themeFill="background1"/>
            <w:noWrap/>
            <w:hideMark/>
          </w:tcPr>
          <w:p w14:paraId="57869ED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1,781,699</w:t>
            </w:r>
          </w:p>
        </w:tc>
        <w:tc>
          <w:tcPr>
            <w:tcW w:w="998" w:type="dxa"/>
            <w:tcBorders>
              <w:top w:val="single" w:sz="4" w:space="0" w:color="auto"/>
              <w:left w:val="nil"/>
              <w:bottom w:val="nil"/>
              <w:right w:val="nil"/>
            </w:tcBorders>
            <w:shd w:val="clear" w:color="auto" w:fill="D9D9D9" w:themeFill="background1" w:themeFillShade="D9"/>
          </w:tcPr>
          <w:p w14:paraId="3CC12C56" w14:textId="5CF6ADE4" w:rsidR="008A2F9D" w:rsidRPr="001D3046" w:rsidRDefault="008A2F9D" w:rsidP="008A6A45">
            <w:pPr>
              <w:pStyle w:val="TableText"/>
              <w:spacing w:line="240" w:lineRule="auto"/>
              <w:jc w:val="right"/>
              <w:rPr>
                <w:b/>
                <w:sz w:val="16"/>
                <w:szCs w:val="16"/>
                <w:lang w:val="en-US" w:eastAsia="en-US"/>
              </w:rPr>
            </w:pPr>
            <w:r w:rsidRPr="001D3046">
              <w:rPr>
                <w:sz w:val="16"/>
              </w:rPr>
              <w:t>1,923,310</w:t>
            </w:r>
          </w:p>
        </w:tc>
      </w:tr>
      <w:tr w:rsidR="008A2F9D" w:rsidRPr="00E4527E" w14:paraId="18C29006" w14:textId="59CEB017" w:rsidTr="008A6A45">
        <w:trPr>
          <w:trHeight w:val="20"/>
        </w:trPr>
        <w:tc>
          <w:tcPr>
            <w:tcW w:w="2494" w:type="dxa"/>
            <w:tcBorders>
              <w:top w:val="nil"/>
              <w:left w:val="nil"/>
              <w:bottom w:val="nil"/>
              <w:right w:val="nil"/>
            </w:tcBorders>
            <w:shd w:val="clear" w:color="auto" w:fill="auto"/>
            <w:hideMark/>
          </w:tcPr>
          <w:p w14:paraId="46F05135" w14:textId="480C727B" w:rsidR="008A2F9D" w:rsidRPr="001D3046" w:rsidRDefault="005A2D60" w:rsidP="008A6A45">
            <w:pPr>
              <w:pStyle w:val="TableText"/>
              <w:spacing w:line="240" w:lineRule="auto"/>
              <w:rPr>
                <w:sz w:val="16"/>
                <w:szCs w:val="16"/>
                <w:lang w:val="en-US" w:eastAsia="en-US"/>
              </w:rPr>
            </w:pPr>
            <w:r>
              <w:rPr>
                <w:sz w:val="16"/>
                <w:szCs w:val="16"/>
                <w:lang w:val="en-US" w:eastAsia="en-US"/>
              </w:rPr>
              <w:t>C</w:t>
            </w:r>
            <w:r w:rsidR="008A2F9D" w:rsidRPr="001D3046">
              <w:rPr>
                <w:sz w:val="16"/>
                <w:szCs w:val="16"/>
                <w:lang w:val="en-US" w:eastAsia="en-US"/>
              </w:rPr>
              <w:t>hange in separations (%)</w:t>
            </w:r>
          </w:p>
        </w:tc>
        <w:tc>
          <w:tcPr>
            <w:tcW w:w="997" w:type="dxa"/>
            <w:tcBorders>
              <w:top w:val="nil"/>
              <w:left w:val="nil"/>
              <w:bottom w:val="nil"/>
              <w:right w:val="nil"/>
            </w:tcBorders>
            <w:shd w:val="clear" w:color="auto" w:fill="auto"/>
            <w:noWrap/>
            <w:hideMark/>
          </w:tcPr>
          <w:p w14:paraId="7A4E5ED3" w14:textId="2337344F"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24</w:t>
            </w:r>
          </w:p>
        </w:tc>
        <w:tc>
          <w:tcPr>
            <w:tcW w:w="997" w:type="dxa"/>
            <w:tcBorders>
              <w:top w:val="nil"/>
              <w:left w:val="nil"/>
              <w:bottom w:val="nil"/>
              <w:right w:val="nil"/>
            </w:tcBorders>
            <w:shd w:val="clear" w:color="auto" w:fill="auto"/>
            <w:noWrap/>
            <w:hideMark/>
          </w:tcPr>
          <w:p w14:paraId="2B98D0D8" w14:textId="17DE70E0"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w:t>
            </w:r>
          </w:p>
        </w:tc>
        <w:tc>
          <w:tcPr>
            <w:tcW w:w="997" w:type="dxa"/>
            <w:tcBorders>
              <w:top w:val="nil"/>
              <w:left w:val="nil"/>
              <w:bottom w:val="nil"/>
              <w:right w:val="nil"/>
            </w:tcBorders>
            <w:shd w:val="clear" w:color="auto" w:fill="auto"/>
            <w:noWrap/>
            <w:hideMark/>
          </w:tcPr>
          <w:p w14:paraId="2090C29E" w14:textId="4B9D015D"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8</w:t>
            </w:r>
          </w:p>
        </w:tc>
        <w:tc>
          <w:tcPr>
            <w:tcW w:w="997" w:type="dxa"/>
            <w:tcBorders>
              <w:top w:val="nil"/>
              <w:left w:val="nil"/>
              <w:bottom w:val="nil"/>
              <w:right w:val="nil"/>
            </w:tcBorders>
            <w:shd w:val="clear" w:color="auto" w:fill="auto"/>
            <w:noWrap/>
            <w:hideMark/>
          </w:tcPr>
          <w:p w14:paraId="6C86DA33" w14:textId="614A2B45"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-7</w:t>
            </w:r>
          </w:p>
        </w:tc>
        <w:tc>
          <w:tcPr>
            <w:tcW w:w="997" w:type="dxa"/>
            <w:tcBorders>
              <w:top w:val="nil"/>
              <w:left w:val="nil"/>
              <w:bottom w:val="nil"/>
              <w:right w:val="nil"/>
            </w:tcBorders>
            <w:shd w:val="clear" w:color="auto" w:fill="auto"/>
            <w:noWrap/>
            <w:hideMark/>
          </w:tcPr>
          <w:p w14:paraId="0C6DB637" w14:textId="756AD1C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w:t>
            </w:r>
          </w:p>
        </w:tc>
        <w:tc>
          <w:tcPr>
            <w:tcW w:w="998" w:type="dxa"/>
            <w:tcBorders>
              <w:top w:val="nil"/>
              <w:left w:val="nil"/>
              <w:bottom w:val="nil"/>
              <w:right w:val="nil"/>
            </w:tcBorders>
            <w:shd w:val="clear" w:color="auto" w:fill="FFFFFF" w:themeFill="background1"/>
            <w:noWrap/>
            <w:hideMark/>
          </w:tcPr>
          <w:p w14:paraId="67F40DCE" w14:textId="1DFEA5B9"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5</w:t>
            </w:r>
          </w:p>
        </w:tc>
        <w:tc>
          <w:tcPr>
            <w:tcW w:w="998" w:type="dxa"/>
            <w:tcBorders>
              <w:top w:val="nil"/>
              <w:left w:val="nil"/>
              <w:bottom w:val="nil"/>
              <w:right w:val="nil"/>
            </w:tcBorders>
            <w:shd w:val="clear" w:color="auto" w:fill="D9D9D9" w:themeFill="background1" w:themeFillShade="D9"/>
          </w:tcPr>
          <w:p w14:paraId="69463BD1" w14:textId="23F54A66" w:rsidR="008A2F9D" w:rsidRPr="001D3046" w:rsidRDefault="008A2F9D" w:rsidP="008A6A45">
            <w:pPr>
              <w:pStyle w:val="TableText"/>
              <w:spacing w:line="240" w:lineRule="auto"/>
              <w:jc w:val="right"/>
              <w:rPr>
                <w:b/>
                <w:sz w:val="16"/>
                <w:szCs w:val="16"/>
                <w:lang w:val="en-US" w:eastAsia="en-US"/>
              </w:rPr>
            </w:pPr>
            <w:r w:rsidRPr="001D3046">
              <w:rPr>
                <w:sz w:val="16"/>
              </w:rPr>
              <w:t>8</w:t>
            </w:r>
          </w:p>
        </w:tc>
      </w:tr>
      <w:tr w:rsidR="008A2F9D" w:rsidRPr="00E4527E" w14:paraId="55730B48" w14:textId="4671BC7C" w:rsidTr="008A6A45">
        <w:trPr>
          <w:trHeight w:val="20"/>
        </w:trPr>
        <w:tc>
          <w:tcPr>
            <w:tcW w:w="2494" w:type="dxa"/>
            <w:tcBorders>
              <w:top w:val="nil"/>
              <w:left w:val="nil"/>
              <w:bottom w:val="nil"/>
              <w:right w:val="nil"/>
            </w:tcBorders>
            <w:shd w:val="clear" w:color="auto" w:fill="auto"/>
            <w:hideMark/>
          </w:tcPr>
          <w:p w14:paraId="7B1BF724" w14:textId="77777777"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Population separations</w:t>
            </w:r>
          </w:p>
        </w:tc>
        <w:tc>
          <w:tcPr>
            <w:tcW w:w="997" w:type="dxa"/>
            <w:tcBorders>
              <w:top w:val="nil"/>
              <w:left w:val="nil"/>
              <w:bottom w:val="nil"/>
              <w:right w:val="nil"/>
            </w:tcBorders>
            <w:shd w:val="clear" w:color="auto" w:fill="auto"/>
            <w:noWrap/>
            <w:hideMark/>
          </w:tcPr>
          <w:p w14:paraId="536A3032"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2,248,324</w:t>
            </w:r>
          </w:p>
        </w:tc>
        <w:tc>
          <w:tcPr>
            <w:tcW w:w="997" w:type="dxa"/>
            <w:tcBorders>
              <w:top w:val="nil"/>
              <w:left w:val="nil"/>
              <w:bottom w:val="nil"/>
              <w:right w:val="nil"/>
            </w:tcBorders>
            <w:shd w:val="clear" w:color="auto" w:fill="auto"/>
            <w:noWrap/>
            <w:hideMark/>
          </w:tcPr>
          <w:p w14:paraId="2BC7CAED"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2,328,814</w:t>
            </w:r>
          </w:p>
        </w:tc>
        <w:tc>
          <w:tcPr>
            <w:tcW w:w="997" w:type="dxa"/>
            <w:tcBorders>
              <w:top w:val="nil"/>
              <w:left w:val="nil"/>
              <w:bottom w:val="nil"/>
              <w:right w:val="nil"/>
            </w:tcBorders>
            <w:shd w:val="clear" w:color="auto" w:fill="auto"/>
            <w:noWrap/>
            <w:hideMark/>
          </w:tcPr>
          <w:p w14:paraId="2AC0BAFE"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2,703,667</w:t>
            </w:r>
          </w:p>
        </w:tc>
        <w:tc>
          <w:tcPr>
            <w:tcW w:w="997" w:type="dxa"/>
            <w:tcBorders>
              <w:top w:val="nil"/>
              <w:left w:val="nil"/>
              <w:bottom w:val="nil"/>
              <w:right w:val="nil"/>
            </w:tcBorders>
            <w:shd w:val="clear" w:color="auto" w:fill="auto"/>
            <w:noWrap/>
            <w:hideMark/>
          </w:tcPr>
          <w:p w14:paraId="3ED27465"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2,753,670</w:t>
            </w:r>
          </w:p>
        </w:tc>
        <w:tc>
          <w:tcPr>
            <w:tcW w:w="997" w:type="dxa"/>
            <w:tcBorders>
              <w:top w:val="nil"/>
              <w:left w:val="nil"/>
              <w:bottom w:val="nil"/>
              <w:right w:val="nil"/>
            </w:tcBorders>
            <w:shd w:val="clear" w:color="auto" w:fill="auto"/>
            <w:noWrap/>
            <w:hideMark/>
          </w:tcPr>
          <w:p w14:paraId="2AC82387"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2,827,996</w:t>
            </w:r>
          </w:p>
        </w:tc>
        <w:tc>
          <w:tcPr>
            <w:tcW w:w="998" w:type="dxa"/>
            <w:tcBorders>
              <w:top w:val="nil"/>
              <w:left w:val="nil"/>
              <w:bottom w:val="nil"/>
              <w:right w:val="nil"/>
            </w:tcBorders>
            <w:shd w:val="clear" w:color="auto" w:fill="FFFFFF" w:themeFill="background1"/>
            <w:noWrap/>
            <w:hideMark/>
          </w:tcPr>
          <w:p w14:paraId="5B07CDE7"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3,051,681</w:t>
            </w:r>
          </w:p>
        </w:tc>
        <w:tc>
          <w:tcPr>
            <w:tcW w:w="998" w:type="dxa"/>
            <w:tcBorders>
              <w:top w:val="nil"/>
              <w:left w:val="nil"/>
              <w:bottom w:val="nil"/>
              <w:right w:val="nil"/>
            </w:tcBorders>
            <w:shd w:val="clear" w:color="auto" w:fill="D9D9D9" w:themeFill="background1" w:themeFillShade="D9"/>
          </w:tcPr>
          <w:p w14:paraId="1458A8AE" w14:textId="2436DAED" w:rsidR="008A2F9D" w:rsidRPr="001D3046" w:rsidRDefault="008A2F9D" w:rsidP="008A6A45">
            <w:pPr>
              <w:pStyle w:val="TableText"/>
              <w:spacing w:line="240" w:lineRule="auto"/>
              <w:jc w:val="right"/>
              <w:rPr>
                <w:b/>
                <w:sz w:val="16"/>
                <w:szCs w:val="16"/>
                <w:lang w:val="en-US" w:eastAsia="en-US"/>
              </w:rPr>
            </w:pPr>
            <w:r w:rsidRPr="001D3046">
              <w:rPr>
                <w:sz w:val="16"/>
              </w:rPr>
              <w:t>3,242,411</w:t>
            </w:r>
          </w:p>
        </w:tc>
      </w:tr>
      <w:tr w:rsidR="008A2F9D" w:rsidRPr="00E4527E" w14:paraId="59814494" w14:textId="284BE791" w:rsidTr="008A6A45">
        <w:trPr>
          <w:trHeight w:val="20"/>
        </w:trPr>
        <w:tc>
          <w:tcPr>
            <w:tcW w:w="2494" w:type="dxa"/>
            <w:tcBorders>
              <w:top w:val="nil"/>
              <w:left w:val="nil"/>
              <w:bottom w:val="nil"/>
              <w:right w:val="nil"/>
            </w:tcBorders>
            <w:shd w:val="clear" w:color="auto" w:fill="auto"/>
            <w:hideMark/>
          </w:tcPr>
          <w:p w14:paraId="3984A65E" w14:textId="4D28695F"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Participation rate (%)</w:t>
            </w:r>
          </w:p>
        </w:tc>
        <w:tc>
          <w:tcPr>
            <w:tcW w:w="997" w:type="dxa"/>
            <w:tcBorders>
              <w:top w:val="nil"/>
              <w:left w:val="nil"/>
              <w:bottom w:val="nil"/>
              <w:right w:val="nil"/>
            </w:tcBorders>
            <w:shd w:val="clear" w:color="auto" w:fill="auto"/>
            <w:noWrap/>
            <w:hideMark/>
          </w:tcPr>
          <w:p w14:paraId="75B2BBB4" w14:textId="3B29D538"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72</w:t>
            </w:r>
          </w:p>
        </w:tc>
        <w:tc>
          <w:tcPr>
            <w:tcW w:w="997" w:type="dxa"/>
            <w:tcBorders>
              <w:top w:val="nil"/>
              <w:left w:val="nil"/>
              <w:bottom w:val="nil"/>
              <w:right w:val="nil"/>
            </w:tcBorders>
            <w:shd w:val="clear" w:color="auto" w:fill="auto"/>
            <w:noWrap/>
            <w:hideMark/>
          </w:tcPr>
          <w:p w14:paraId="64D7D57C" w14:textId="4EE5A7A6"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71</w:t>
            </w:r>
          </w:p>
        </w:tc>
        <w:tc>
          <w:tcPr>
            <w:tcW w:w="997" w:type="dxa"/>
            <w:tcBorders>
              <w:top w:val="nil"/>
              <w:left w:val="nil"/>
              <w:bottom w:val="nil"/>
              <w:right w:val="nil"/>
            </w:tcBorders>
            <w:shd w:val="clear" w:color="auto" w:fill="auto"/>
            <w:noWrap/>
            <w:hideMark/>
          </w:tcPr>
          <w:p w14:paraId="4725E1DE" w14:textId="5B5D7122"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66</w:t>
            </w:r>
          </w:p>
        </w:tc>
        <w:tc>
          <w:tcPr>
            <w:tcW w:w="997" w:type="dxa"/>
            <w:tcBorders>
              <w:top w:val="nil"/>
              <w:left w:val="nil"/>
              <w:bottom w:val="nil"/>
              <w:right w:val="nil"/>
            </w:tcBorders>
            <w:shd w:val="clear" w:color="auto" w:fill="auto"/>
            <w:noWrap/>
            <w:hideMark/>
          </w:tcPr>
          <w:p w14:paraId="1356EA1A" w14:textId="2AC9F96C"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60</w:t>
            </w:r>
          </w:p>
        </w:tc>
        <w:tc>
          <w:tcPr>
            <w:tcW w:w="997" w:type="dxa"/>
            <w:tcBorders>
              <w:top w:val="nil"/>
              <w:left w:val="nil"/>
              <w:bottom w:val="nil"/>
              <w:right w:val="nil"/>
            </w:tcBorders>
            <w:shd w:val="clear" w:color="auto" w:fill="auto"/>
            <w:noWrap/>
            <w:hideMark/>
          </w:tcPr>
          <w:p w14:paraId="085FA2DE" w14:textId="2172766F"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60</w:t>
            </w:r>
          </w:p>
        </w:tc>
        <w:tc>
          <w:tcPr>
            <w:tcW w:w="998" w:type="dxa"/>
            <w:tcBorders>
              <w:top w:val="nil"/>
              <w:left w:val="nil"/>
              <w:bottom w:val="nil"/>
              <w:right w:val="nil"/>
            </w:tcBorders>
            <w:shd w:val="clear" w:color="auto" w:fill="FFFFFF" w:themeFill="background1"/>
            <w:noWrap/>
            <w:hideMark/>
          </w:tcPr>
          <w:p w14:paraId="57F7D3B2" w14:textId="3F363DC4"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58</w:t>
            </w:r>
          </w:p>
        </w:tc>
        <w:tc>
          <w:tcPr>
            <w:tcW w:w="998" w:type="dxa"/>
            <w:tcBorders>
              <w:top w:val="nil"/>
              <w:left w:val="nil"/>
              <w:bottom w:val="nil"/>
              <w:right w:val="nil"/>
            </w:tcBorders>
            <w:shd w:val="clear" w:color="auto" w:fill="D9D9D9" w:themeFill="background1" w:themeFillShade="D9"/>
          </w:tcPr>
          <w:p w14:paraId="02FF5CAD" w14:textId="475BCFEB" w:rsidR="008A2F9D" w:rsidRPr="001D3046" w:rsidRDefault="008A2F9D" w:rsidP="008A6A45">
            <w:pPr>
              <w:pStyle w:val="TableText"/>
              <w:spacing w:line="240" w:lineRule="auto"/>
              <w:jc w:val="right"/>
              <w:rPr>
                <w:b/>
                <w:sz w:val="16"/>
                <w:szCs w:val="16"/>
                <w:lang w:val="en-US" w:eastAsia="en-US"/>
              </w:rPr>
            </w:pPr>
            <w:r w:rsidRPr="001D3046">
              <w:rPr>
                <w:sz w:val="16"/>
              </w:rPr>
              <w:t>59</w:t>
            </w:r>
          </w:p>
        </w:tc>
      </w:tr>
      <w:tr w:rsidR="008A2F9D" w:rsidRPr="00E4527E" w14:paraId="162F7DCB" w14:textId="199318C4" w:rsidTr="008A6A45">
        <w:trPr>
          <w:trHeight w:val="20"/>
        </w:trPr>
        <w:tc>
          <w:tcPr>
            <w:tcW w:w="2494" w:type="dxa"/>
            <w:tcBorders>
              <w:top w:val="nil"/>
              <w:left w:val="nil"/>
              <w:bottom w:val="nil"/>
              <w:right w:val="nil"/>
            </w:tcBorders>
            <w:shd w:val="clear" w:color="auto" w:fill="auto"/>
            <w:hideMark/>
          </w:tcPr>
          <w:p w14:paraId="4F30D7B4" w14:textId="77777777"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Sample hospitals</w:t>
            </w:r>
          </w:p>
        </w:tc>
        <w:tc>
          <w:tcPr>
            <w:tcW w:w="997" w:type="dxa"/>
            <w:tcBorders>
              <w:top w:val="nil"/>
              <w:left w:val="nil"/>
              <w:bottom w:val="nil"/>
              <w:right w:val="nil"/>
            </w:tcBorders>
            <w:shd w:val="clear" w:color="auto" w:fill="auto"/>
            <w:noWrap/>
            <w:hideMark/>
          </w:tcPr>
          <w:p w14:paraId="2E3C79AB"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109</w:t>
            </w:r>
          </w:p>
        </w:tc>
        <w:tc>
          <w:tcPr>
            <w:tcW w:w="997" w:type="dxa"/>
            <w:tcBorders>
              <w:top w:val="nil"/>
              <w:left w:val="nil"/>
              <w:bottom w:val="nil"/>
              <w:right w:val="nil"/>
            </w:tcBorders>
            <w:shd w:val="clear" w:color="auto" w:fill="auto"/>
            <w:noWrap/>
            <w:hideMark/>
          </w:tcPr>
          <w:p w14:paraId="6114509D"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110</w:t>
            </w:r>
          </w:p>
        </w:tc>
        <w:tc>
          <w:tcPr>
            <w:tcW w:w="997" w:type="dxa"/>
            <w:tcBorders>
              <w:top w:val="nil"/>
              <w:left w:val="nil"/>
              <w:bottom w:val="nil"/>
              <w:right w:val="nil"/>
            </w:tcBorders>
            <w:shd w:val="clear" w:color="auto" w:fill="auto"/>
            <w:noWrap/>
            <w:hideMark/>
          </w:tcPr>
          <w:p w14:paraId="6365796A"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105</w:t>
            </w:r>
          </w:p>
        </w:tc>
        <w:tc>
          <w:tcPr>
            <w:tcW w:w="997" w:type="dxa"/>
            <w:tcBorders>
              <w:top w:val="nil"/>
              <w:left w:val="nil"/>
              <w:bottom w:val="nil"/>
              <w:right w:val="nil"/>
            </w:tcBorders>
            <w:shd w:val="clear" w:color="auto" w:fill="auto"/>
            <w:noWrap/>
            <w:hideMark/>
          </w:tcPr>
          <w:p w14:paraId="46EFC44E"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95</w:t>
            </w:r>
          </w:p>
        </w:tc>
        <w:tc>
          <w:tcPr>
            <w:tcW w:w="997" w:type="dxa"/>
            <w:tcBorders>
              <w:top w:val="nil"/>
              <w:left w:val="nil"/>
              <w:bottom w:val="nil"/>
              <w:right w:val="nil"/>
            </w:tcBorders>
            <w:shd w:val="clear" w:color="auto" w:fill="auto"/>
            <w:noWrap/>
            <w:hideMark/>
          </w:tcPr>
          <w:p w14:paraId="774AB448"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96</w:t>
            </w:r>
          </w:p>
        </w:tc>
        <w:tc>
          <w:tcPr>
            <w:tcW w:w="998" w:type="dxa"/>
            <w:tcBorders>
              <w:top w:val="nil"/>
              <w:left w:val="nil"/>
              <w:bottom w:val="nil"/>
              <w:right w:val="nil"/>
            </w:tcBorders>
            <w:shd w:val="clear" w:color="auto" w:fill="FFFFFF" w:themeFill="background1"/>
            <w:noWrap/>
            <w:hideMark/>
          </w:tcPr>
          <w:p w14:paraId="07F32718"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91</w:t>
            </w:r>
          </w:p>
        </w:tc>
        <w:tc>
          <w:tcPr>
            <w:tcW w:w="998" w:type="dxa"/>
            <w:tcBorders>
              <w:top w:val="nil"/>
              <w:left w:val="nil"/>
              <w:bottom w:val="nil"/>
              <w:right w:val="nil"/>
            </w:tcBorders>
            <w:shd w:val="clear" w:color="auto" w:fill="D9D9D9" w:themeFill="background1" w:themeFillShade="D9"/>
          </w:tcPr>
          <w:p w14:paraId="3B29C85C" w14:textId="3863B79C" w:rsidR="008A2F9D" w:rsidRPr="001D3046" w:rsidRDefault="008A2F9D" w:rsidP="008A6A45">
            <w:pPr>
              <w:pStyle w:val="TableText"/>
              <w:spacing w:line="240" w:lineRule="auto"/>
              <w:jc w:val="right"/>
              <w:rPr>
                <w:b/>
                <w:sz w:val="16"/>
                <w:szCs w:val="16"/>
                <w:lang w:val="en-US" w:eastAsia="en-US"/>
              </w:rPr>
            </w:pPr>
            <w:r w:rsidRPr="001D3046">
              <w:rPr>
                <w:sz w:val="16"/>
              </w:rPr>
              <w:t>105</w:t>
            </w:r>
          </w:p>
        </w:tc>
      </w:tr>
      <w:tr w:rsidR="008A2F9D" w:rsidRPr="00E4527E" w14:paraId="01963CE4" w14:textId="4CF841E5" w:rsidTr="008A6A45">
        <w:trPr>
          <w:trHeight w:val="20"/>
        </w:trPr>
        <w:tc>
          <w:tcPr>
            <w:tcW w:w="2494" w:type="dxa"/>
            <w:tcBorders>
              <w:top w:val="nil"/>
              <w:left w:val="nil"/>
              <w:bottom w:val="nil"/>
              <w:right w:val="nil"/>
            </w:tcBorders>
            <w:shd w:val="clear" w:color="auto" w:fill="auto"/>
            <w:hideMark/>
          </w:tcPr>
          <w:p w14:paraId="36F97F75" w14:textId="063BD9E5"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Change in sample hospitals (%)</w:t>
            </w:r>
          </w:p>
        </w:tc>
        <w:tc>
          <w:tcPr>
            <w:tcW w:w="997" w:type="dxa"/>
            <w:tcBorders>
              <w:top w:val="nil"/>
              <w:left w:val="nil"/>
              <w:bottom w:val="nil"/>
              <w:right w:val="nil"/>
            </w:tcBorders>
            <w:shd w:val="clear" w:color="auto" w:fill="auto"/>
            <w:noWrap/>
            <w:hideMark/>
          </w:tcPr>
          <w:p w14:paraId="4C93C4FD" w14:textId="6F511192"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33</w:t>
            </w:r>
          </w:p>
        </w:tc>
        <w:tc>
          <w:tcPr>
            <w:tcW w:w="997" w:type="dxa"/>
            <w:tcBorders>
              <w:top w:val="nil"/>
              <w:left w:val="nil"/>
              <w:bottom w:val="nil"/>
              <w:right w:val="nil"/>
            </w:tcBorders>
            <w:shd w:val="clear" w:color="auto" w:fill="auto"/>
            <w:noWrap/>
            <w:hideMark/>
          </w:tcPr>
          <w:p w14:paraId="5BF9060F" w14:textId="141BF83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w:t>
            </w:r>
          </w:p>
        </w:tc>
        <w:tc>
          <w:tcPr>
            <w:tcW w:w="997" w:type="dxa"/>
            <w:tcBorders>
              <w:top w:val="nil"/>
              <w:left w:val="nil"/>
              <w:bottom w:val="nil"/>
              <w:right w:val="nil"/>
            </w:tcBorders>
            <w:shd w:val="clear" w:color="auto" w:fill="auto"/>
            <w:noWrap/>
            <w:hideMark/>
          </w:tcPr>
          <w:p w14:paraId="7B6A59B8" w14:textId="100E184C"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-5</w:t>
            </w:r>
          </w:p>
        </w:tc>
        <w:tc>
          <w:tcPr>
            <w:tcW w:w="997" w:type="dxa"/>
            <w:tcBorders>
              <w:top w:val="nil"/>
              <w:left w:val="nil"/>
              <w:bottom w:val="nil"/>
              <w:right w:val="nil"/>
            </w:tcBorders>
            <w:shd w:val="clear" w:color="auto" w:fill="auto"/>
            <w:noWrap/>
            <w:hideMark/>
          </w:tcPr>
          <w:p w14:paraId="3A00D3BE" w14:textId="07C6C593"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-10</w:t>
            </w:r>
          </w:p>
        </w:tc>
        <w:tc>
          <w:tcPr>
            <w:tcW w:w="997" w:type="dxa"/>
            <w:tcBorders>
              <w:top w:val="nil"/>
              <w:left w:val="nil"/>
              <w:bottom w:val="nil"/>
              <w:right w:val="nil"/>
            </w:tcBorders>
            <w:shd w:val="clear" w:color="auto" w:fill="auto"/>
            <w:noWrap/>
            <w:hideMark/>
          </w:tcPr>
          <w:p w14:paraId="4CC7E914" w14:textId="6F964116"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w:t>
            </w:r>
          </w:p>
        </w:tc>
        <w:tc>
          <w:tcPr>
            <w:tcW w:w="998" w:type="dxa"/>
            <w:tcBorders>
              <w:top w:val="nil"/>
              <w:left w:val="nil"/>
              <w:bottom w:val="nil"/>
              <w:right w:val="nil"/>
            </w:tcBorders>
            <w:shd w:val="clear" w:color="auto" w:fill="FFFFFF" w:themeFill="background1"/>
            <w:noWrap/>
            <w:hideMark/>
          </w:tcPr>
          <w:p w14:paraId="2C4581ED" w14:textId="724BDB08"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-5</w:t>
            </w:r>
          </w:p>
        </w:tc>
        <w:tc>
          <w:tcPr>
            <w:tcW w:w="998" w:type="dxa"/>
            <w:tcBorders>
              <w:top w:val="nil"/>
              <w:left w:val="nil"/>
              <w:bottom w:val="nil"/>
              <w:right w:val="nil"/>
            </w:tcBorders>
            <w:shd w:val="clear" w:color="auto" w:fill="D9D9D9" w:themeFill="background1" w:themeFillShade="D9"/>
          </w:tcPr>
          <w:p w14:paraId="6B04CB2D" w14:textId="4DC0A849" w:rsidR="008A2F9D" w:rsidRPr="001D3046" w:rsidRDefault="008A2F9D" w:rsidP="008A6A45">
            <w:pPr>
              <w:pStyle w:val="TableText"/>
              <w:spacing w:line="240" w:lineRule="auto"/>
              <w:jc w:val="right"/>
              <w:rPr>
                <w:b/>
                <w:sz w:val="16"/>
                <w:szCs w:val="16"/>
                <w:lang w:val="en-US" w:eastAsia="en-US"/>
              </w:rPr>
            </w:pPr>
            <w:r w:rsidRPr="001D3046">
              <w:rPr>
                <w:sz w:val="16"/>
              </w:rPr>
              <w:t>15</w:t>
            </w:r>
          </w:p>
        </w:tc>
      </w:tr>
      <w:tr w:rsidR="008A2F9D" w:rsidRPr="00E4527E" w14:paraId="19680484" w14:textId="31F36726" w:rsidTr="008A6A45">
        <w:trPr>
          <w:trHeight w:val="20"/>
        </w:trPr>
        <w:tc>
          <w:tcPr>
            <w:tcW w:w="2494" w:type="dxa"/>
            <w:tcBorders>
              <w:top w:val="nil"/>
              <w:left w:val="nil"/>
              <w:bottom w:val="nil"/>
              <w:right w:val="nil"/>
            </w:tcBorders>
            <w:shd w:val="clear" w:color="auto" w:fill="auto"/>
            <w:hideMark/>
          </w:tcPr>
          <w:p w14:paraId="7BAA977E" w14:textId="77777777"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Population hospitals</w:t>
            </w:r>
          </w:p>
        </w:tc>
        <w:tc>
          <w:tcPr>
            <w:tcW w:w="997" w:type="dxa"/>
            <w:tcBorders>
              <w:top w:val="nil"/>
              <w:left w:val="nil"/>
              <w:bottom w:val="nil"/>
              <w:right w:val="nil"/>
            </w:tcBorders>
            <w:shd w:val="clear" w:color="auto" w:fill="auto"/>
            <w:noWrap/>
            <w:hideMark/>
          </w:tcPr>
          <w:p w14:paraId="61C4682F"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229</w:t>
            </w:r>
          </w:p>
        </w:tc>
        <w:tc>
          <w:tcPr>
            <w:tcW w:w="997" w:type="dxa"/>
            <w:tcBorders>
              <w:top w:val="nil"/>
              <w:left w:val="nil"/>
              <w:bottom w:val="nil"/>
              <w:right w:val="nil"/>
            </w:tcBorders>
            <w:shd w:val="clear" w:color="auto" w:fill="auto"/>
            <w:noWrap/>
            <w:hideMark/>
          </w:tcPr>
          <w:p w14:paraId="46DDADD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226</w:t>
            </w:r>
          </w:p>
        </w:tc>
        <w:tc>
          <w:tcPr>
            <w:tcW w:w="997" w:type="dxa"/>
            <w:tcBorders>
              <w:top w:val="nil"/>
              <w:left w:val="nil"/>
              <w:bottom w:val="nil"/>
              <w:right w:val="nil"/>
            </w:tcBorders>
            <w:shd w:val="clear" w:color="auto" w:fill="auto"/>
            <w:noWrap/>
            <w:hideMark/>
          </w:tcPr>
          <w:p w14:paraId="4161DD21"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248</w:t>
            </w:r>
          </w:p>
        </w:tc>
        <w:tc>
          <w:tcPr>
            <w:tcW w:w="997" w:type="dxa"/>
            <w:tcBorders>
              <w:top w:val="nil"/>
              <w:left w:val="nil"/>
              <w:bottom w:val="nil"/>
              <w:right w:val="nil"/>
            </w:tcBorders>
            <w:shd w:val="clear" w:color="auto" w:fill="auto"/>
            <w:noWrap/>
            <w:hideMark/>
          </w:tcPr>
          <w:p w14:paraId="626D0949"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244</w:t>
            </w:r>
          </w:p>
        </w:tc>
        <w:tc>
          <w:tcPr>
            <w:tcW w:w="997" w:type="dxa"/>
            <w:tcBorders>
              <w:top w:val="nil"/>
              <w:left w:val="nil"/>
              <w:bottom w:val="nil"/>
              <w:right w:val="nil"/>
            </w:tcBorders>
            <w:shd w:val="clear" w:color="auto" w:fill="auto"/>
            <w:noWrap/>
            <w:hideMark/>
          </w:tcPr>
          <w:p w14:paraId="0C0A2E9B"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235</w:t>
            </w:r>
          </w:p>
        </w:tc>
        <w:tc>
          <w:tcPr>
            <w:tcW w:w="998" w:type="dxa"/>
            <w:tcBorders>
              <w:top w:val="nil"/>
              <w:left w:val="nil"/>
              <w:bottom w:val="nil"/>
              <w:right w:val="nil"/>
            </w:tcBorders>
            <w:shd w:val="clear" w:color="auto" w:fill="FFFFFF" w:themeFill="background1"/>
            <w:noWrap/>
            <w:hideMark/>
          </w:tcPr>
          <w:p w14:paraId="7DAAB829"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246</w:t>
            </w:r>
          </w:p>
        </w:tc>
        <w:tc>
          <w:tcPr>
            <w:tcW w:w="998" w:type="dxa"/>
            <w:tcBorders>
              <w:top w:val="nil"/>
              <w:left w:val="nil"/>
              <w:bottom w:val="nil"/>
              <w:right w:val="nil"/>
            </w:tcBorders>
            <w:shd w:val="clear" w:color="auto" w:fill="D9D9D9" w:themeFill="background1" w:themeFillShade="D9"/>
          </w:tcPr>
          <w:p w14:paraId="61C8E290" w14:textId="4317CD9C" w:rsidR="008A2F9D" w:rsidRPr="001D3046" w:rsidRDefault="008A2F9D" w:rsidP="008A6A45">
            <w:pPr>
              <w:pStyle w:val="TableText"/>
              <w:spacing w:line="240" w:lineRule="auto"/>
              <w:jc w:val="right"/>
              <w:rPr>
                <w:b/>
                <w:sz w:val="16"/>
                <w:szCs w:val="16"/>
                <w:lang w:val="en-US" w:eastAsia="en-US"/>
              </w:rPr>
            </w:pPr>
            <w:r w:rsidRPr="001D3046">
              <w:rPr>
                <w:sz w:val="16"/>
              </w:rPr>
              <w:t>251</w:t>
            </w:r>
          </w:p>
        </w:tc>
      </w:tr>
      <w:tr w:rsidR="008A2F9D" w:rsidRPr="00E4527E" w14:paraId="13F3D9A7" w14:textId="72A88C45" w:rsidTr="008A6A45">
        <w:trPr>
          <w:trHeight w:val="20"/>
        </w:trPr>
        <w:tc>
          <w:tcPr>
            <w:tcW w:w="2494" w:type="dxa"/>
            <w:tcBorders>
              <w:top w:val="nil"/>
              <w:left w:val="nil"/>
              <w:bottom w:val="single" w:sz="4" w:space="0" w:color="auto"/>
              <w:right w:val="nil"/>
            </w:tcBorders>
            <w:shd w:val="clear" w:color="auto" w:fill="auto"/>
            <w:hideMark/>
          </w:tcPr>
          <w:p w14:paraId="46820D1A" w14:textId="19EA13B5"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Sample hospitals to population hospitals (%)</w:t>
            </w:r>
          </w:p>
        </w:tc>
        <w:tc>
          <w:tcPr>
            <w:tcW w:w="997" w:type="dxa"/>
            <w:tcBorders>
              <w:top w:val="nil"/>
              <w:left w:val="nil"/>
              <w:bottom w:val="single" w:sz="4" w:space="0" w:color="auto"/>
              <w:right w:val="nil"/>
            </w:tcBorders>
            <w:shd w:val="clear" w:color="auto" w:fill="auto"/>
            <w:noWrap/>
            <w:hideMark/>
          </w:tcPr>
          <w:p w14:paraId="537AE90B" w14:textId="4E5D4E58"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48</w:t>
            </w:r>
          </w:p>
        </w:tc>
        <w:tc>
          <w:tcPr>
            <w:tcW w:w="997" w:type="dxa"/>
            <w:tcBorders>
              <w:top w:val="nil"/>
              <w:left w:val="nil"/>
              <w:bottom w:val="single" w:sz="4" w:space="0" w:color="auto"/>
              <w:right w:val="nil"/>
            </w:tcBorders>
            <w:shd w:val="clear" w:color="auto" w:fill="auto"/>
            <w:noWrap/>
            <w:hideMark/>
          </w:tcPr>
          <w:p w14:paraId="2D4B2FA0" w14:textId="6C93642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49</w:t>
            </w:r>
          </w:p>
        </w:tc>
        <w:tc>
          <w:tcPr>
            <w:tcW w:w="997" w:type="dxa"/>
            <w:tcBorders>
              <w:top w:val="nil"/>
              <w:left w:val="nil"/>
              <w:bottom w:val="single" w:sz="4" w:space="0" w:color="auto"/>
              <w:right w:val="nil"/>
            </w:tcBorders>
            <w:shd w:val="clear" w:color="auto" w:fill="auto"/>
            <w:noWrap/>
            <w:hideMark/>
          </w:tcPr>
          <w:p w14:paraId="386EE4CB" w14:textId="6D76125E"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42</w:t>
            </w:r>
          </w:p>
        </w:tc>
        <w:tc>
          <w:tcPr>
            <w:tcW w:w="997" w:type="dxa"/>
            <w:tcBorders>
              <w:top w:val="nil"/>
              <w:left w:val="nil"/>
              <w:bottom w:val="single" w:sz="4" w:space="0" w:color="auto"/>
              <w:right w:val="nil"/>
            </w:tcBorders>
            <w:shd w:val="clear" w:color="auto" w:fill="auto"/>
            <w:noWrap/>
            <w:hideMark/>
          </w:tcPr>
          <w:p w14:paraId="114C0728" w14:textId="65AB970F"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39</w:t>
            </w:r>
          </w:p>
        </w:tc>
        <w:tc>
          <w:tcPr>
            <w:tcW w:w="997" w:type="dxa"/>
            <w:tcBorders>
              <w:top w:val="nil"/>
              <w:left w:val="nil"/>
              <w:bottom w:val="single" w:sz="4" w:space="0" w:color="auto"/>
              <w:right w:val="nil"/>
            </w:tcBorders>
            <w:shd w:val="clear" w:color="auto" w:fill="auto"/>
            <w:noWrap/>
            <w:hideMark/>
          </w:tcPr>
          <w:p w14:paraId="2CBB40FB" w14:textId="02CEFE7C"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41</w:t>
            </w:r>
          </w:p>
        </w:tc>
        <w:tc>
          <w:tcPr>
            <w:tcW w:w="998" w:type="dxa"/>
            <w:tcBorders>
              <w:top w:val="nil"/>
              <w:left w:val="nil"/>
              <w:bottom w:val="single" w:sz="4" w:space="0" w:color="auto"/>
              <w:right w:val="nil"/>
            </w:tcBorders>
            <w:shd w:val="clear" w:color="auto" w:fill="FFFFFF" w:themeFill="background1"/>
            <w:noWrap/>
            <w:hideMark/>
          </w:tcPr>
          <w:p w14:paraId="26B8A08C" w14:textId="5A057AF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37</w:t>
            </w:r>
          </w:p>
        </w:tc>
        <w:tc>
          <w:tcPr>
            <w:tcW w:w="998" w:type="dxa"/>
            <w:tcBorders>
              <w:top w:val="nil"/>
              <w:left w:val="nil"/>
              <w:bottom w:val="single" w:sz="4" w:space="0" w:color="auto"/>
              <w:right w:val="nil"/>
            </w:tcBorders>
            <w:shd w:val="clear" w:color="auto" w:fill="D9D9D9" w:themeFill="background1" w:themeFillShade="D9"/>
          </w:tcPr>
          <w:p w14:paraId="471A2ABA" w14:textId="5DC64B4E" w:rsidR="008A2F9D" w:rsidRPr="001D3046" w:rsidRDefault="008A2F9D" w:rsidP="008A6A45">
            <w:pPr>
              <w:pStyle w:val="TableText"/>
              <w:spacing w:line="240" w:lineRule="auto"/>
              <w:jc w:val="right"/>
              <w:rPr>
                <w:b/>
                <w:sz w:val="16"/>
                <w:szCs w:val="16"/>
                <w:lang w:val="en-US" w:eastAsia="en-US"/>
              </w:rPr>
            </w:pPr>
            <w:r w:rsidRPr="001D3046">
              <w:rPr>
                <w:sz w:val="16"/>
              </w:rPr>
              <w:t>42</w:t>
            </w:r>
          </w:p>
        </w:tc>
      </w:tr>
      <w:tr w:rsidR="008A2F9D" w:rsidRPr="00E4527E" w14:paraId="1B7BC548" w14:textId="51E5FE8E" w:rsidTr="008A6A45">
        <w:trPr>
          <w:trHeight w:val="20"/>
        </w:trPr>
        <w:tc>
          <w:tcPr>
            <w:tcW w:w="2494" w:type="dxa"/>
            <w:tcBorders>
              <w:top w:val="nil"/>
              <w:left w:val="nil"/>
              <w:bottom w:val="nil"/>
              <w:right w:val="nil"/>
            </w:tcBorders>
            <w:shd w:val="clear" w:color="auto" w:fill="auto"/>
            <w:hideMark/>
          </w:tcPr>
          <w:p w14:paraId="0CF19764" w14:textId="631EAD47"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Average separations per participant</w:t>
            </w:r>
          </w:p>
        </w:tc>
        <w:tc>
          <w:tcPr>
            <w:tcW w:w="997" w:type="dxa"/>
            <w:tcBorders>
              <w:top w:val="nil"/>
              <w:left w:val="nil"/>
              <w:bottom w:val="nil"/>
              <w:right w:val="nil"/>
            </w:tcBorders>
            <w:shd w:val="clear" w:color="auto" w:fill="auto"/>
            <w:noWrap/>
            <w:hideMark/>
          </w:tcPr>
          <w:p w14:paraId="710365A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14,749</w:t>
            </w:r>
          </w:p>
        </w:tc>
        <w:tc>
          <w:tcPr>
            <w:tcW w:w="997" w:type="dxa"/>
            <w:tcBorders>
              <w:top w:val="nil"/>
              <w:left w:val="nil"/>
              <w:bottom w:val="nil"/>
              <w:right w:val="nil"/>
            </w:tcBorders>
            <w:shd w:val="clear" w:color="auto" w:fill="auto"/>
            <w:noWrap/>
            <w:hideMark/>
          </w:tcPr>
          <w:p w14:paraId="2A5E997F"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14,991</w:t>
            </w:r>
          </w:p>
        </w:tc>
        <w:tc>
          <w:tcPr>
            <w:tcW w:w="997" w:type="dxa"/>
            <w:tcBorders>
              <w:top w:val="nil"/>
              <w:left w:val="nil"/>
              <w:bottom w:val="nil"/>
              <w:right w:val="nil"/>
            </w:tcBorders>
            <w:shd w:val="clear" w:color="auto" w:fill="auto"/>
            <w:noWrap/>
            <w:hideMark/>
          </w:tcPr>
          <w:p w14:paraId="0A33660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16,905</w:t>
            </w:r>
          </w:p>
        </w:tc>
        <w:tc>
          <w:tcPr>
            <w:tcW w:w="997" w:type="dxa"/>
            <w:tcBorders>
              <w:top w:val="nil"/>
              <w:left w:val="nil"/>
              <w:bottom w:val="nil"/>
              <w:right w:val="nil"/>
            </w:tcBorders>
            <w:shd w:val="clear" w:color="auto" w:fill="auto"/>
            <w:noWrap/>
            <w:hideMark/>
          </w:tcPr>
          <w:p w14:paraId="70DE83B8"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17,377</w:t>
            </w:r>
          </w:p>
        </w:tc>
        <w:tc>
          <w:tcPr>
            <w:tcW w:w="997" w:type="dxa"/>
            <w:tcBorders>
              <w:top w:val="nil"/>
              <w:left w:val="nil"/>
              <w:bottom w:val="nil"/>
              <w:right w:val="nil"/>
            </w:tcBorders>
            <w:shd w:val="clear" w:color="auto" w:fill="auto"/>
            <w:noWrap/>
            <w:hideMark/>
          </w:tcPr>
          <w:p w14:paraId="23700DE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17,680</w:t>
            </w:r>
          </w:p>
        </w:tc>
        <w:tc>
          <w:tcPr>
            <w:tcW w:w="998" w:type="dxa"/>
            <w:tcBorders>
              <w:top w:val="nil"/>
              <w:left w:val="nil"/>
              <w:bottom w:val="nil"/>
              <w:right w:val="nil"/>
            </w:tcBorders>
            <w:shd w:val="clear" w:color="auto" w:fill="FFFFFF" w:themeFill="background1"/>
            <w:noWrap/>
            <w:hideMark/>
          </w:tcPr>
          <w:p w14:paraId="1CD110B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19,579</w:t>
            </w:r>
          </w:p>
        </w:tc>
        <w:tc>
          <w:tcPr>
            <w:tcW w:w="998" w:type="dxa"/>
            <w:tcBorders>
              <w:top w:val="nil"/>
              <w:left w:val="nil"/>
              <w:bottom w:val="nil"/>
              <w:right w:val="nil"/>
            </w:tcBorders>
            <w:shd w:val="clear" w:color="auto" w:fill="D9D9D9" w:themeFill="background1" w:themeFillShade="D9"/>
          </w:tcPr>
          <w:p w14:paraId="7F637762" w14:textId="7B223F1D" w:rsidR="008A2F9D" w:rsidRPr="001D3046" w:rsidRDefault="008A2F9D" w:rsidP="008A6A45">
            <w:pPr>
              <w:pStyle w:val="TableText"/>
              <w:spacing w:line="240" w:lineRule="auto"/>
              <w:jc w:val="right"/>
              <w:rPr>
                <w:b/>
                <w:sz w:val="16"/>
                <w:szCs w:val="16"/>
                <w:lang w:val="en-US" w:eastAsia="en-US"/>
              </w:rPr>
            </w:pPr>
            <w:r w:rsidRPr="001D3046">
              <w:rPr>
                <w:b/>
                <w:sz w:val="16"/>
                <w:szCs w:val="16"/>
                <w:lang w:val="en-US" w:eastAsia="en-US"/>
              </w:rPr>
              <w:t>18,317</w:t>
            </w:r>
          </w:p>
        </w:tc>
      </w:tr>
      <w:tr w:rsidR="008A2F9D" w:rsidRPr="00E4527E" w14:paraId="529E87DA" w14:textId="25E7D6BA" w:rsidTr="008A6A45">
        <w:trPr>
          <w:trHeight w:val="20"/>
        </w:trPr>
        <w:tc>
          <w:tcPr>
            <w:tcW w:w="2494" w:type="dxa"/>
            <w:tcBorders>
              <w:top w:val="nil"/>
              <w:left w:val="nil"/>
              <w:bottom w:val="nil"/>
              <w:right w:val="nil"/>
            </w:tcBorders>
            <w:shd w:val="clear" w:color="auto" w:fill="auto"/>
            <w:hideMark/>
          </w:tcPr>
          <w:p w14:paraId="764C0B7B" w14:textId="2AEA61DF"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Average separations per population hospital</w:t>
            </w:r>
          </w:p>
        </w:tc>
        <w:tc>
          <w:tcPr>
            <w:tcW w:w="997" w:type="dxa"/>
            <w:tcBorders>
              <w:top w:val="nil"/>
              <w:left w:val="nil"/>
              <w:bottom w:val="nil"/>
              <w:right w:val="nil"/>
            </w:tcBorders>
            <w:shd w:val="clear" w:color="auto" w:fill="auto"/>
            <w:noWrap/>
            <w:hideMark/>
          </w:tcPr>
          <w:p w14:paraId="2E18EC4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9,818</w:t>
            </w:r>
          </w:p>
        </w:tc>
        <w:tc>
          <w:tcPr>
            <w:tcW w:w="997" w:type="dxa"/>
            <w:tcBorders>
              <w:top w:val="nil"/>
              <w:left w:val="nil"/>
              <w:bottom w:val="nil"/>
              <w:right w:val="nil"/>
            </w:tcBorders>
            <w:shd w:val="clear" w:color="auto" w:fill="auto"/>
            <w:noWrap/>
            <w:hideMark/>
          </w:tcPr>
          <w:p w14:paraId="0D2C1976"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10,304</w:t>
            </w:r>
          </w:p>
        </w:tc>
        <w:tc>
          <w:tcPr>
            <w:tcW w:w="997" w:type="dxa"/>
            <w:tcBorders>
              <w:top w:val="nil"/>
              <w:left w:val="nil"/>
              <w:bottom w:val="nil"/>
              <w:right w:val="nil"/>
            </w:tcBorders>
            <w:shd w:val="clear" w:color="auto" w:fill="auto"/>
            <w:noWrap/>
            <w:hideMark/>
          </w:tcPr>
          <w:p w14:paraId="6FD97EE8"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10,902</w:t>
            </w:r>
          </w:p>
        </w:tc>
        <w:tc>
          <w:tcPr>
            <w:tcW w:w="997" w:type="dxa"/>
            <w:tcBorders>
              <w:top w:val="nil"/>
              <w:left w:val="nil"/>
              <w:bottom w:val="nil"/>
              <w:right w:val="nil"/>
            </w:tcBorders>
            <w:shd w:val="clear" w:color="auto" w:fill="auto"/>
            <w:noWrap/>
            <w:hideMark/>
          </w:tcPr>
          <w:p w14:paraId="05E68F95"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11,286</w:t>
            </w:r>
          </w:p>
        </w:tc>
        <w:tc>
          <w:tcPr>
            <w:tcW w:w="997" w:type="dxa"/>
            <w:tcBorders>
              <w:top w:val="nil"/>
              <w:left w:val="nil"/>
              <w:bottom w:val="nil"/>
              <w:right w:val="nil"/>
            </w:tcBorders>
            <w:shd w:val="clear" w:color="auto" w:fill="auto"/>
            <w:noWrap/>
            <w:hideMark/>
          </w:tcPr>
          <w:p w14:paraId="791EFFFF"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12,034</w:t>
            </w:r>
          </w:p>
        </w:tc>
        <w:tc>
          <w:tcPr>
            <w:tcW w:w="998" w:type="dxa"/>
            <w:tcBorders>
              <w:top w:val="nil"/>
              <w:left w:val="nil"/>
              <w:bottom w:val="nil"/>
              <w:right w:val="nil"/>
            </w:tcBorders>
            <w:shd w:val="clear" w:color="auto" w:fill="FFFFFF" w:themeFill="background1"/>
            <w:noWrap/>
            <w:hideMark/>
          </w:tcPr>
          <w:p w14:paraId="354FD4A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12,405</w:t>
            </w:r>
          </w:p>
        </w:tc>
        <w:tc>
          <w:tcPr>
            <w:tcW w:w="998" w:type="dxa"/>
            <w:tcBorders>
              <w:top w:val="nil"/>
              <w:left w:val="nil"/>
              <w:bottom w:val="nil"/>
              <w:right w:val="nil"/>
            </w:tcBorders>
            <w:shd w:val="clear" w:color="auto" w:fill="D9D9D9" w:themeFill="background1" w:themeFillShade="D9"/>
          </w:tcPr>
          <w:p w14:paraId="4A25553E" w14:textId="0452DC0F" w:rsidR="008A2F9D" w:rsidRPr="001D3046" w:rsidRDefault="008A2F9D" w:rsidP="008A6A45">
            <w:pPr>
              <w:pStyle w:val="TableText"/>
              <w:spacing w:line="240" w:lineRule="auto"/>
              <w:jc w:val="right"/>
              <w:rPr>
                <w:b/>
                <w:sz w:val="16"/>
                <w:szCs w:val="16"/>
                <w:lang w:val="en-US" w:eastAsia="en-US"/>
              </w:rPr>
            </w:pPr>
            <w:r w:rsidRPr="001D3046">
              <w:rPr>
                <w:b/>
                <w:sz w:val="16"/>
                <w:szCs w:val="16"/>
                <w:lang w:val="en-US" w:eastAsia="en-US"/>
              </w:rPr>
              <w:t>12,918</w:t>
            </w:r>
          </w:p>
        </w:tc>
      </w:tr>
      <w:tr w:rsidR="008A2F9D" w:rsidRPr="00E4527E" w14:paraId="0BBF5B8D" w14:textId="154403CB" w:rsidTr="008A6A45">
        <w:trPr>
          <w:trHeight w:val="20"/>
        </w:trPr>
        <w:tc>
          <w:tcPr>
            <w:tcW w:w="2494" w:type="dxa"/>
            <w:tcBorders>
              <w:top w:val="single" w:sz="4" w:space="0" w:color="auto"/>
              <w:left w:val="nil"/>
              <w:bottom w:val="nil"/>
              <w:right w:val="nil"/>
            </w:tcBorders>
            <w:shd w:val="clear" w:color="auto" w:fill="auto"/>
            <w:hideMark/>
          </w:tcPr>
          <w:p w14:paraId="26CE86F8" w14:textId="42B487F6" w:rsidR="008A2F9D" w:rsidRPr="001D3046" w:rsidRDefault="008C3232" w:rsidP="008A6A45">
            <w:pPr>
              <w:pStyle w:val="TableText"/>
              <w:spacing w:line="240" w:lineRule="auto"/>
              <w:rPr>
                <w:sz w:val="16"/>
                <w:szCs w:val="16"/>
                <w:lang w:val="en-US" w:eastAsia="en-US"/>
              </w:rPr>
            </w:pPr>
            <w:r>
              <w:rPr>
                <w:sz w:val="16"/>
                <w:szCs w:val="16"/>
                <w:lang w:val="en-US" w:eastAsia="en-US"/>
              </w:rPr>
              <w:t>Average L</w:t>
            </w:r>
            <w:r w:rsidR="00F408F7">
              <w:rPr>
                <w:sz w:val="16"/>
                <w:szCs w:val="16"/>
                <w:lang w:val="en-US" w:eastAsia="en-US"/>
              </w:rPr>
              <w:t xml:space="preserve">ength of </w:t>
            </w:r>
            <w:r>
              <w:rPr>
                <w:sz w:val="16"/>
                <w:szCs w:val="16"/>
                <w:lang w:val="en-US" w:eastAsia="en-US"/>
              </w:rPr>
              <w:t>S</w:t>
            </w:r>
            <w:r w:rsidR="00F408F7">
              <w:rPr>
                <w:sz w:val="16"/>
                <w:szCs w:val="16"/>
                <w:lang w:val="en-US" w:eastAsia="en-US"/>
              </w:rPr>
              <w:t>tay</w:t>
            </w:r>
          </w:p>
        </w:tc>
        <w:tc>
          <w:tcPr>
            <w:tcW w:w="997" w:type="dxa"/>
            <w:tcBorders>
              <w:top w:val="single" w:sz="4" w:space="0" w:color="auto"/>
              <w:left w:val="nil"/>
              <w:bottom w:val="nil"/>
              <w:right w:val="nil"/>
            </w:tcBorders>
            <w:shd w:val="clear" w:color="auto" w:fill="auto"/>
            <w:noWrap/>
            <w:hideMark/>
          </w:tcPr>
          <w:p w14:paraId="0D162B3F"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2.62</w:t>
            </w:r>
          </w:p>
        </w:tc>
        <w:tc>
          <w:tcPr>
            <w:tcW w:w="997" w:type="dxa"/>
            <w:tcBorders>
              <w:top w:val="single" w:sz="4" w:space="0" w:color="auto"/>
              <w:left w:val="nil"/>
              <w:bottom w:val="nil"/>
              <w:right w:val="nil"/>
            </w:tcBorders>
            <w:shd w:val="clear" w:color="auto" w:fill="auto"/>
            <w:noWrap/>
            <w:hideMark/>
          </w:tcPr>
          <w:p w14:paraId="2685B966"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2.57</w:t>
            </w:r>
          </w:p>
        </w:tc>
        <w:tc>
          <w:tcPr>
            <w:tcW w:w="997" w:type="dxa"/>
            <w:tcBorders>
              <w:top w:val="single" w:sz="4" w:space="0" w:color="auto"/>
              <w:left w:val="nil"/>
              <w:bottom w:val="nil"/>
              <w:right w:val="nil"/>
            </w:tcBorders>
            <w:shd w:val="clear" w:color="auto" w:fill="auto"/>
            <w:noWrap/>
            <w:hideMark/>
          </w:tcPr>
          <w:p w14:paraId="732649A8"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2.51</w:t>
            </w:r>
          </w:p>
        </w:tc>
        <w:tc>
          <w:tcPr>
            <w:tcW w:w="997" w:type="dxa"/>
            <w:tcBorders>
              <w:top w:val="single" w:sz="4" w:space="0" w:color="auto"/>
              <w:left w:val="nil"/>
              <w:bottom w:val="nil"/>
              <w:right w:val="nil"/>
            </w:tcBorders>
            <w:shd w:val="clear" w:color="auto" w:fill="auto"/>
            <w:noWrap/>
            <w:hideMark/>
          </w:tcPr>
          <w:p w14:paraId="1EE4967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2.53</w:t>
            </w:r>
          </w:p>
        </w:tc>
        <w:tc>
          <w:tcPr>
            <w:tcW w:w="997" w:type="dxa"/>
            <w:tcBorders>
              <w:top w:val="single" w:sz="4" w:space="0" w:color="auto"/>
              <w:left w:val="nil"/>
              <w:bottom w:val="nil"/>
              <w:right w:val="nil"/>
            </w:tcBorders>
            <w:shd w:val="clear" w:color="auto" w:fill="auto"/>
            <w:noWrap/>
            <w:hideMark/>
          </w:tcPr>
          <w:p w14:paraId="426C0973"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2.45</w:t>
            </w:r>
          </w:p>
        </w:tc>
        <w:tc>
          <w:tcPr>
            <w:tcW w:w="998" w:type="dxa"/>
            <w:tcBorders>
              <w:top w:val="single" w:sz="4" w:space="0" w:color="auto"/>
              <w:left w:val="nil"/>
              <w:bottom w:val="nil"/>
              <w:right w:val="nil"/>
            </w:tcBorders>
            <w:shd w:val="clear" w:color="auto" w:fill="FFFFFF" w:themeFill="background1"/>
            <w:noWrap/>
            <w:hideMark/>
          </w:tcPr>
          <w:p w14:paraId="45B3548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2.34</w:t>
            </w:r>
          </w:p>
        </w:tc>
        <w:tc>
          <w:tcPr>
            <w:tcW w:w="998" w:type="dxa"/>
            <w:tcBorders>
              <w:top w:val="single" w:sz="4" w:space="0" w:color="auto"/>
              <w:left w:val="nil"/>
              <w:bottom w:val="nil"/>
              <w:right w:val="nil"/>
            </w:tcBorders>
            <w:shd w:val="clear" w:color="auto" w:fill="D9D9D9" w:themeFill="background1" w:themeFillShade="D9"/>
          </w:tcPr>
          <w:p w14:paraId="6D52352C" w14:textId="2FCF1438" w:rsidR="008A2F9D" w:rsidRPr="001D3046" w:rsidRDefault="008A2F9D" w:rsidP="008A6A45">
            <w:pPr>
              <w:pStyle w:val="TableText"/>
              <w:spacing w:line="240" w:lineRule="auto"/>
              <w:jc w:val="right"/>
              <w:rPr>
                <w:b/>
                <w:sz w:val="16"/>
                <w:szCs w:val="16"/>
                <w:lang w:val="en-US" w:eastAsia="en-US"/>
              </w:rPr>
            </w:pPr>
            <w:r w:rsidRPr="001D3046">
              <w:rPr>
                <w:b/>
                <w:sz w:val="16"/>
                <w:szCs w:val="16"/>
                <w:lang w:val="en-US" w:eastAsia="en-US"/>
              </w:rPr>
              <w:t>2.26</w:t>
            </w:r>
          </w:p>
        </w:tc>
      </w:tr>
      <w:tr w:rsidR="008A2F9D" w:rsidRPr="00E4527E" w14:paraId="4037CB7D" w14:textId="05CEBC31" w:rsidTr="008A6A45">
        <w:trPr>
          <w:trHeight w:val="20"/>
        </w:trPr>
        <w:tc>
          <w:tcPr>
            <w:tcW w:w="2494" w:type="dxa"/>
            <w:tcBorders>
              <w:top w:val="nil"/>
              <w:left w:val="nil"/>
              <w:right w:val="nil"/>
            </w:tcBorders>
            <w:shd w:val="clear" w:color="auto" w:fill="auto"/>
            <w:hideMark/>
          </w:tcPr>
          <w:p w14:paraId="4727D7C9" w14:textId="26ED69FD" w:rsidR="008A2F9D" w:rsidRPr="001D3046" w:rsidRDefault="00F408F7" w:rsidP="008A6A45">
            <w:pPr>
              <w:pStyle w:val="TableText"/>
              <w:spacing w:line="240" w:lineRule="auto"/>
              <w:rPr>
                <w:sz w:val="16"/>
                <w:szCs w:val="16"/>
                <w:lang w:val="en-US" w:eastAsia="en-US"/>
              </w:rPr>
            </w:pPr>
            <w:r>
              <w:rPr>
                <w:sz w:val="16"/>
                <w:szCs w:val="16"/>
                <w:lang w:val="en-US" w:eastAsia="en-US"/>
              </w:rPr>
              <w:t>C</w:t>
            </w:r>
            <w:r w:rsidR="008A2F9D" w:rsidRPr="001D3046">
              <w:rPr>
                <w:sz w:val="16"/>
                <w:szCs w:val="16"/>
                <w:lang w:val="en-US" w:eastAsia="en-US"/>
              </w:rPr>
              <w:t>hange (%)</w:t>
            </w:r>
          </w:p>
        </w:tc>
        <w:tc>
          <w:tcPr>
            <w:tcW w:w="997" w:type="dxa"/>
            <w:tcBorders>
              <w:top w:val="nil"/>
              <w:left w:val="nil"/>
              <w:right w:val="nil"/>
            </w:tcBorders>
            <w:shd w:val="clear" w:color="auto" w:fill="auto"/>
            <w:noWrap/>
            <w:hideMark/>
          </w:tcPr>
          <w:p w14:paraId="67FBB5DB" w14:textId="2EAC7B41"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-9.0</w:t>
            </w:r>
          </w:p>
        </w:tc>
        <w:tc>
          <w:tcPr>
            <w:tcW w:w="997" w:type="dxa"/>
            <w:tcBorders>
              <w:top w:val="nil"/>
              <w:left w:val="nil"/>
              <w:right w:val="nil"/>
            </w:tcBorders>
            <w:shd w:val="clear" w:color="auto" w:fill="auto"/>
            <w:noWrap/>
            <w:hideMark/>
          </w:tcPr>
          <w:p w14:paraId="3E7C752A" w14:textId="2A014841"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-1.9</w:t>
            </w:r>
          </w:p>
        </w:tc>
        <w:tc>
          <w:tcPr>
            <w:tcW w:w="997" w:type="dxa"/>
            <w:tcBorders>
              <w:top w:val="nil"/>
              <w:left w:val="nil"/>
              <w:right w:val="nil"/>
            </w:tcBorders>
            <w:shd w:val="clear" w:color="auto" w:fill="auto"/>
            <w:noWrap/>
            <w:hideMark/>
          </w:tcPr>
          <w:p w14:paraId="47A7A798" w14:textId="0E3D9EB6"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-2.2</w:t>
            </w:r>
          </w:p>
        </w:tc>
        <w:tc>
          <w:tcPr>
            <w:tcW w:w="997" w:type="dxa"/>
            <w:tcBorders>
              <w:top w:val="nil"/>
              <w:left w:val="nil"/>
              <w:right w:val="nil"/>
            </w:tcBorders>
            <w:shd w:val="clear" w:color="auto" w:fill="auto"/>
            <w:noWrap/>
            <w:hideMark/>
          </w:tcPr>
          <w:p w14:paraId="05D55C2C" w14:textId="6CFE6F53"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0.5</w:t>
            </w:r>
          </w:p>
        </w:tc>
        <w:tc>
          <w:tcPr>
            <w:tcW w:w="997" w:type="dxa"/>
            <w:tcBorders>
              <w:top w:val="nil"/>
              <w:left w:val="nil"/>
              <w:right w:val="nil"/>
            </w:tcBorders>
            <w:shd w:val="clear" w:color="auto" w:fill="auto"/>
            <w:noWrap/>
            <w:hideMark/>
          </w:tcPr>
          <w:p w14:paraId="653DB150" w14:textId="7801C0BB"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-3.1</w:t>
            </w:r>
          </w:p>
        </w:tc>
        <w:tc>
          <w:tcPr>
            <w:tcW w:w="998" w:type="dxa"/>
            <w:tcBorders>
              <w:top w:val="nil"/>
              <w:left w:val="nil"/>
              <w:right w:val="nil"/>
            </w:tcBorders>
            <w:shd w:val="clear" w:color="auto" w:fill="FFFFFF" w:themeFill="background1"/>
            <w:noWrap/>
            <w:hideMark/>
          </w:tcPr>
          <w:p w14:paraId="0AC84626" w14:textId="764BB041"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-4.6</w:t>
            </w:r>
          </w:p>
        </w:tc>
        <w:tc>
          <w:tcPr>
            <w:tcW w:w="998" w:type="dxa"/>
            <w:tcBorders>
              <w:top w:val="nil"/>
              <w:left w:val="nil"/>
              <w:right w:val="nil"/>
            </w:tcBorders>
            <w:shd w:val="clear" w:color="auto" w:fill="D9D9D9" w:themeFill="background1" w:themeFillShade="D9"/>
          </w:tcPr>
          <w:p w14:paraId="67166A28" w14:textId="3D6AF16A" w:rsidR="008A2F9D" w:rsidRPr="001D3046" w:rsidRDefault="008A2F9D" w:rsidP="008A6A45">
            <w:pPr>
              <w:pStyle w:val="TableText"/>
              <w:spacing w:line="240" w:lineRule="auto"/>
              <w:jc w:val="right"/>
              <w:rPr>
                <w:b/>
                <w:sz w:val="16"/>
                <w:szCs w:val="16"/>
                <w:lang w:val="en-US" w:eastAsia="en-US"/>
              </w:rPr>
            </w:pPr>
            <w:r w:rsidRPr="001D3046">
              <w:rPr>
                <w:b/>
                <w:sz w:val="16"/>
                <w:szCs w:val="16"/>
                <w:lang w:val="en-US" w:eastAsia="en-US"/>
              </w:rPr>
              <w:t>-3.2</w:t>
            </w:r>
          </w:p>
        </w:tc>
      </w:tr>
      <w:tr w:rsidR="008A2F9D" w:rsidRPr="00E4527E" w14:paraId="2EFA22BB" w14:textId="61F36FDF" w:rsidTr="008A6A45">
        <w:trPr>
          <w:trHeight w:val="20"/>
        </w:trPr>
        <w:tc>
          <w:tcPr>
            <w:tcW w:w="2494" w:type="dxa"/>
            <w:tcBorders>
              <w:top w:val="nil"/>
              <w:left w:val="nil"/>
              <w:bottom w:val="single" w:sz="4" w:space="0" w:color="auto"/>
              <w:right w:val="nil"/>
            </w:tcBorders>
            <w:shd w:val="clear" w:color="auto" w:fill="auto"/>
            <w:hideMark/>
          </w:tcPr>
          <w:p w14:paraId="37865047" w14:textId="2C1AD356" w:rsidR="008A2F9D" w:rsidRPr="001D3046" w:rsidRDefault="008A2F9D" w:rsidP="008A6A45">
            <w:pPr>
              <w:pStyle w:val="TableText"/>
              <w:spacing w:line="240" w:lineRule="auto"/>
              <w:rPr>
                <w:sz w:val="16"/>
                <w:szCs w:val="16"/>
                <w:lang w:val="en-US" w:eastAsia="en-US"/>
              </w:rPr>
            </w:pPr>
            <w:r w:rsidRPr="001D3046">
              <w:rPr>
                <w:sz w:val="16"/>
                <w:szCs w:val="16"/>
                <w:lang w:val="en-US" w:eastAsia="en-US"/>
              </w:rPr>
              <w:t xml:space="preserve">Overnight </w:t>
            </w:r>
            <w:r w:rsidR="008C3232">
              <w:rPr>
                <w:sz w:val="16"/>
                <w:szCs w:val="16"/>
                <w:lang w:val="en-US" w:eastAsia="en-US"/>
              </w:rPr>
              <w:t>A</w:t>
            </w:r>
            <w:r w:rsidR="00F408F7">
              <w:rPr>
                <w:sz w:val="16"/>
                <w:szCs w:val="16"/>
                <w:lang w:val="en-US" w:eastAsia="en-US"/>
              </w:rPr>
              <w:t xml:space="preserve">verage </w:t>
            </w:r>
            <w:r w:rsidR="008C3232">
              <w:rPr>
                <w:sz w:val="16"/>
                <w:szCs w:val="16"/>
                <w:lang w:val="en-US" w:eastAsia="en-US"/>
              </w:rPr>
              <w:t>L</w:t>
            </w:r>
            <w:r w:rsidR="00F408F7">
              <w:rPr>
                <w:sz w:val="16"/>
                <w:szCs w:val="16"/>
                <w:lang w:val="en-US" w:eastAsia="en-US"/>
              </w:rPr>
              <w:t xml:space="preserve">ength of </w:t>
            </w:r>
            <w:r w:rsidR="008C3232">
              <w:rPr>
                <w:sz w:val="16"/>
                <w:szCs w:val="16"/>
                <w:lang w:val="en-US" w:eastAsia="en-US"/>
              </w:rPr>
              <w:t>S</w:t>
            </w:r>
            <w:r w:rsidR="00F408F7">
              <w:rPr>
                <w:sz w:val="16"/>
                <w:szCs w:val="16"/>
                <w:lang w:val="en-US" w:eastAsia="en-US"/>
              </w:rPr>
              <w:t>tay</w:t>
            </w:r>
          </w:p>
        </w:tc>
        <w:tc>
          <w:tcPr>
            <w:tcW w:w="997" w:type="dxa"/>
            <w:tcBorders>
              <w:top w:val="nil"/>
              <w:left w:val="nil"/>
              <w:bottom w:val="single" w:sz="4" w:space="0" w:color="auto"/>
              <w:right w:val="nil"/>
            </w:tcBorders>
            <w:shd w:val="clear" w:color="auto" w:fill="auto"/>
            <w:noWrap/>
            <w:hideMark/>
          </w:tcPr>
          <w:p w14:paraId="1F92461B"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49984064"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70EB1A36"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06597A50"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4.42</w:t>
            </w:r>
          </w:p>
        </w:tc>
        <w:tc>
          <w:tcPr>
            <w:tcW w:w="997" w:type="dxa"/>
            <w:tcBorders>
              <w:top w:val="nil"/>
              <w:left w:val="nil"/>
              <w:bottom w:val="single" w:sz="4" w:space="0" w:color="auto"/>
              <w:right w:val="nil"/>
            </w:tcBorders>
            <w:shd w:val="clear" w:color="auto" w:fill="auto"/>
            <w:noWrap/>
            <w:hideMark/>
          </w:tcPr>
          <w:p w14:paraId="31B609BC"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4.38</w:t>
            </w:r>
          </w:p>
        </w:tc>
        <w:tc>
          <w:tcPr>
            <w:tcW w:w="998" w:type="dxa"/>
            <w:tcBorders>
              <w:top w:val="nil"/>
              <w:left w:val="nil"/>
              <w:bottom w:val="single" w:sz="4" w:space="0" w:color="auto"/>
              <w:right w:val="nil"/>
            </w:tcBorders>
            <w:shd w:val="clear" w:color="auto" w:fill="FFFFFF" w:themeFill="background1"/>
            <w:noWrap/>
            <w:hideMark/>
          </w:tcPr>
          <w:p w14:paraId="2FA02D64" w14:textId="77777777" w:rsidR="008A2F9D" w:rsidRPr="001D3046" w:rsidRDefault="008A2F9D" w:rsidP="008A6A45">
            <w:pPr>
              <w:pStyle w:val="TableText"/>
              <w:spacing w:line="240" w:lineRule="auto"/>
              <w:jc w:val="right"/>
              <w:rPr>
                <w:sz w:val="16"/>
                <w:szCs w:val="16"/>
                <w:lang w:val="en-US" w:eastAsia="en-US"/>
              </w:rPr>
            </w:pPr>
            <w:r w:rsidRPr="001D3046">
              <w:rPr>
                <w:sz w:val="16"/>
                <w:szCs w:val="16"/>
                <w:lang w:val="en-US" w:eastAsia="en-US"/>
              </w:rPr>
              <w:t>4.18</w:t>
            </w:r>
          </w:p>
        </w:tc>
        <w:tc>
          <w:tcPr>
            <w:tcW w:w="998" w:type="dxa"/>
            <w:tcBorders>
              <w:top w:val="nil"/>
              <w:left w:val="nil"/>
              <w:bottom w:val="single" w:sz="4" w:space="0" w:color="auto"/>
              <w:right w:val="nil"/>
            </w:tcBorders>
            <w:shd w:val="clear" w:color="auto" w:fill="D9D9D9" w:themeFill="background1" w:themeFillShade="D9"/>
          </w:tcPr>
          <w:p w14:paraId="5317BB11" w14:textId="3552B806" w:rsidR="008A2F9D" w:rsidRPr="001D3046" w:rsidRDefault="008A2F9D" w:rsidP="008A6A45">
            <w:pPr>
              <w:pStyle w:val="TableText"/>
              <w:spacing w:line="240" w:lineRule="auto"/>
              <w:jc w:val="right"/>
              <w:rPr>
                <w:b/>
                <w:sz w:val="16"/>
                <w:szCs w:val="16"/>
                <w:lang w:val="en-US" w:eastAsia="en-US"/>
              </w:rPr>
            </w:pPr>
            <w:r w:rsidRPr="001D3046">
              <w:rPr>
                <w:b/>
                <w:sz w:val="16"/>
                <w:szCs w:val="16"/>
                <w:lang w:val="en-US" w:eastAsia="en-US"/>
              </w:rPr>
              <w:t>4.10</w:t>
            </w:r>
          </w:p>
        </w:tc>
      </w:tr>
    </w:tbl>
    <w:p w14:paraId="353BF35A" w14:textId="3B7F1174" w:rsidR="005D7320" w:rsidRPr="00F87B64" w:rsidRDefault="004A249A" w:rsidP="005068A3">
      <w:pPr>
        <w:spacing w:before="240"/>
        <w:rPr>
          <w:rFonts w:ascii="Georgia" w:hAnsi="Georgia"/>
          <w:sz w:val="20"/>
          <w:lang w:eastAsia="en-US"/>
        </w:rPr>
      </w:pPr>
      <w:bookmarkStart w:id="108" w:name="OLE_LINK1"/>
      <w:r w:rsidRPr="005478BD">
        <w:t xml:space="preserve">The </w:t>
      </w:r>
      <w:r w:rsidR="008C3232">
        <w:t>A</w:t>
      </w:r>
      <w:r w:rsidR="00F408F7">
        <w:t xml:space="preserve">verage </w:t>
      </w:r>
      <w:r w:rsidR="008C3232">
        <w:t>L</w:t>
      </w:r>
      <w:r w:rsidR="00F408F7">
        <w:t xml:space="preserve">ength of </w:t>
      </w:r>
      <w:r w:rsidR="008C3232">
        <w:t>S</w:t>
      </w:r>
      <w:r w:rsidR="00F408F7">
        <w:t>tay</w:t>
      </w:r>
      <w:r w:rsidR="00F408F7" w:rsidRPr="005478BD">
        <w:t xml:space="preserve"> </w:t>
      </w:r>
      <w:r w:rsidR="005D7320" w:rsidRPr="005478BD">
        <w:t xml:space="preserve">decreased from </w:t>
      </w:r>
      <w:r w:rsidR="00082B35" w:rsidRPr="005478BD">
        <w:t>2.</w:t>
      </w:r>
      <w:r w:rsidR="005478BD" w:rsidRPr="005478BD">
        <w:t>3</w:t>
      </w:r>
      <w:r w:rsidR="00082B35" w:rsidRPr="005478BD">
        <w:t xml:space="preserve">4 </w:t>
      </w:r>
      <w:r w:rsidR="005D7320" w:rsidRPr="005478BD">
        <w:t xml:space="preserve">days </w:t>
      </w:r>
      <w:r w:rsidRPr="005478BD">
        <w:t xml:space="preserve">in Round </w:t>
      </w:r>
      <w:r w:rsidR="005478BD" w:rsidRPr="005478BD">
        <w:t>20</w:t>
      </w:r>
      <w:r w:rsidRPr="005478BD">
        <w:t xml:space="preserve"> </w:t>
      </w:r>
      <w:r w:rsidR="005D7320" w:rsidRPr="005478BD">
        <w:t>to 2.</w:t>
      </w:r>
      <w:r w:rsidR="005478BD" w:rsidRPr="005478BD">
        <w:t>26</w:t>
      </w:r>
      <w:r w:rsidR="005D7320" w:rsidRPr="005478BD">
        <w:t xml:space="preserve"> days</w:t>
      </w:r>
      <w:r w:rsidRPr="005478BD">
        <w:t xml:space="preserve"> in</w:t>
      </w:r>
      <w:r w:rsidR="005D7320" w:rsidRPr="005478BD">
        <w:t xml:space="preserve"> </w:t>
      </w:r>
      <w:r w:rsidRPr="005478BD">
        <w:t>Round 2</w:t>
      </w:r>
      <w:r w:rsidR="005478BD" w:rsidRPr="005478BD">
        <w:t>1</w:t>
      </w:r>
      <w:r w:rsidRPr="005478BD">
        <w:t xml:space="preserve"> </w:t>
      </w:r>
      <w:r w:rsidR="005D7320" w:rsidRPr="005478BD">
        <w:t xml:space="preserve">which is a reduction of </w:t>
      </w:r>
      <w:r w:rsidR="005478BD" w:rsidRPr="005478BD">
        <w:t>3</w:t>
      </w:r>
      <w:r w:rsidR="00082B35" w:rsidRPr="005478BD">
        <w:t>.</w:t>
      </w:r>
      <w:r w:rsidR="005478BD" w:rsidRPr="005478BD">
        <w:t>2</w:t>
      </w:r>
      <w:r w:rsidR="00FA5DC3" w:rsidRPr="005478BD">
        <w:t xml:space="preserve"> </w:t>
      </w:r>
      <w:r w:rsidR="00F74337">
        <w:t>percent</w:t>
      </w:r>
      <w:r w:rsidR="005D7320" w:rsidRPr="005478BD">
        <w:t xml:space="preserve"> (see </w:t>
      </w:r>
      <w:r w:rsidR="00D379AF" w:rsidRPr="005478BD">
        <w:t>Table 4</w:t>
      </w:r>
      <w:r w:rsidR="005D7320" w:rsidRPr="005478BD">
        <w:t>)</w:t>
      </w:r>
      <w:r w:rsidR="000D0686">
        <w:t>, and continued</w:t>
      </w:r>
      <w:r w:rsidR="005478BD" w:rsidRPr="005478BD">
        <w:t xml:space="preserve"> the downward trend visible since Round 12</w:t>
      </w:r>
      <w:r w:rsidR="005D7320" w:rsidRPr="005478BD">
        <w:t xml:space="preserve">. </w:t>
      </w:r>
      <w:r w:rsidR="00082B35" w:rsidRPr="00F87B64">
        <w:t xml:space="preserve">Contributing to this decline is the </w:t>
      </w:r>
      <w:r w:rsidR="00F74337">
        <w:t xml:space="preserve">reduction in </w:t>
      </w:r>
      <w:r w:rsidR="00082B35" w:rsidRPr="00F87B64">
        <w:t xml:space="preserve">overnight </w:t>
      </w:r>
      <w:r w:rsidR="008C3232">
        <w:t>A</w:t>
      </w:r>
      <w:r w:rsidR="00F408F7">
        <w:t xml:space="preserve">verage </w:t>
      </w:r>
      <w:r w:rsidR="008C3232">
        <w:t>L</w:t>
      </w:r>
      <w:r w:rsidR="00F408F7">
        <w:t xml:space="preserve">ength of </w:t>
      </w:r>
      <w:r w:rsidR="008C3232">
        <w:t>S</w:t>
      </w:r>
      <w:r w:rsidR="00F408F7">
        <w:t>tay</w:t>
      </w:r>
      <w:r w:rsidR="00F408F7" w:rsidRPr="00F87B64">
        <w:t xml:space="preserve"> </w:t>
      </w:r>
      <w:r w:rsidR="00BF2A9E" w:rsidRPr="00F87B64">
        <w:t xml:space="preserve">from </w:t>
      </w:r>
      <w:r w:rsidR="00E52A05" w:rsidRPr="00F87B64">
        <w:t>4.</w:t>
      </w:r>
      <w:r w:rsidR="00F87B64" w:rsidRPr="00F87B64">
        <w:t>1</w:t>
      </w:r>
      <w:r w:rsidR="00E52A05" w:rsidRPr="00F87B64">
        <w:t>8 to 4.1</w:t>
      </w:r>
      <w:r w:rsidR="00F87B64" w:rsidRPr="00F87B64">
        <w:t>0</w:t>
      </w:r>
      <w:r w:rsidR="00BF2A9E" w:rsidRPr="00F87B64">
        <w:t xml:space="preserve"> (</w:t>
      </w:r>
      <w:r w:rsidR="00F87B64" w:rsidRPr="00F87B64">
        <w:t>1</w:t>
      </w:r>
      <w:r w:rsidR="00BF2A9E" w:rsidRPr="00F87B64">
        <w:t>.</w:t>
      </w:r>
      <w:r w:rsidR="00F87B64" w:rsidRPr="00F87B64">
        <w:t>9</w:t>
      </w:r>
      <w:r w:rsidR="00E52A05" w:rsidRPr="00F87B64">
        <w:t xml:space="preserve"> </w:t>
      </w:r>
      <w:r w:rsidR="00F74337">
        <w:t>percent</w:t>
      </w:r>
      <w:r w:rsidR="00082B35" w:rsidRPr="00F87B64">
        <w:t>; 0.0</w:t>
      </w:r>
      <w:r w:rsidR="00F87B64" w:rsidRPr="00F87B64">
        <w:t>8</w:t>
      </w:r>
      <w:r w:rsidR="00082B35" w:rsidRPr="00F87B64">
        <w:t xml:space="preserve"> days reduction)</w:t>
      </w:r>
      <w:r w:rsidR="00F408F7">
        <w:t xml:space="preserve"> and the overall shift in overnight separations towards same-day</w:t>
      </w:r>
      <w:r w:rsidR="00EF4B36">
        <w:t xml:space="preserve"> – in Round 20, 57.8 perce</w:t>
      </w:r>
      <w:r w:rsidR="00A64042">
        <w:t>nt of all separations were same-</w:t>
      </w:r>
      <w:r w:rsidR="00EF4B36">
        <w:t>day, but this increased by 1.5 percent to 59.3 percent of all separations in Round 21</w:t>
      </w:r>
      <w:r w:rsidR="00F408F7">
        <w:t>.</w:t>
      </w:r>
    </w:p>
    <w:p w14:paraId="57F38E53" w14:textId="7A73486E" w:rsidR="005D7320" w:rsidRPr="00F87B64" w:rsidRDefault="005D7320" w:rsidP="005068A3">
      <w:r w:rsidRPr="00F87B64">
        <w:lastRenderedPageBreak/>
        <w:t xml:space="preserve">Literature in the public domain supports a reduction in </w:t>
      </w:r>
      <w:r w:rsidR="008C3232">
        <w:t>A</w:t>
      </w:r>
      <w:r w:rsidR="00F408F7">
        <w:t xml:space="preserve">verage </w:t>
      </w:r>
      <w:r w:rsidR="008C3232">
        <w:t>L</w:t>
      </w:r>
      <w:r w:rsidR="00F408F7">
        <w:t xml:space="preserve">ength of </w:t>
      </w:r>
      <w:r w:rsidR="008C3232">
        <w:t>S</w:t>
      </w:r>
      <w:r w:rsidR="00F408F7">
        <w:t>tay</w:t>
      </w:r>
      <w:r w:rsidR="00F408F7" w:rsidRPr="00F87B64">
        <w:t xml:space="preserve"> </w:t>
      </w:r>
      <w:r w:rsidR="00F408F7">
        <w:t>as</w:t>
      </w:r>
      <w:r w:rsidRPr="00F87B64">
        <w:t xml:space="preserve"> hospitals focus</w:t>
      </w:r>
      <w:r w:rsidR="00F408F7">
        <w:t xml:space="preserve"> </w:t>
      </w:r>
      <w:r w:rsidRPr="00F87B64">
        <w:t>on</w:t>
      </w:r>
      <w:r w:rsidR="00F408F7">
        <w:t xml:space="preserve"> </w:t>
      </w:r>
      <w:r w:rsidR="00240CEB">
        <w:t>increasing</w:t>
      </w:r>
      <w:r w:rsidRPr="00F87B64">
        <w:t xml:space="preserve"> efficiency</w:t>
      </w:r>
      <w:r w:rsidR="00F408F7">
        <w:t xml:space="preserve"> through improving patient pathways and discharge planning, an</w:t>
      </w:r>
      <w:r w:rsidRPr="00F87B64">
        <w:t>d</w:t>
      </w:r>
      <w:r w:rsidR="00240CEB">
        <w:t xml:space="preserve"> using</w:t>
      </w:r>
      <w:r w:rsidRPr="00F87B64">
        <w:t xml:space="preserve"> new technologies and medical </w:t>
      </w:r>
      <w:r w:rsidR="00240CEB">
        <w:t>devices which</w:t>
      </w:r>
      <w:r w:rsidRPr="00F87B64">
        <w:t xml:space="preserve"> enab</w:t>
      </w:r>
      <w:r w:rsidR="00240CEB">
        <w:t>le</w:t>
      </w:r>
      <w:r w:rsidRPr="00F87B64">
        <w:t xml:space="preserve"> certain procedures to be performed </w:t>
      </w:r>
      <w:r w:rsidR="00240CEB">
        <w:t>faster</w:t>
      </w:r>
      <w:r w:rsidRPr="00F87B64">
        <w:t xml:space="preserve"> </w:t>
      </w:r>
      <w:r w:rsidR="00240CEB">
        <w:t>and/</w:t>
      </w:r>
      <w:r w:rsidRPr="00F87B64">
        <w:t>or with shorte</w:t>
      </w:r>
      <w:r w:rsidR="0053227C" w:rsidRPr="00F87B64">
        <w:t>r</w:t>
      </w:r>
      <w:r w:rsidRPr="00F87B64">
        <w:t xml:space="preserve"> recovery times.</w:t>
      </w:r>
    </w:p>
    <w:p w14:paraId="02762B4E" w14:textId="1993E990" w:rsidR="005D7320" w:rsidRPr="00F87B64" w:rsidRDefault="00A22971" w:rsidP="006200A2">
      <w:pPr>
        <w:pStyle w:val="Heading2"/>
      </w:pPr>
      <w:bookmarkStart w:id="109" w:name="_Toc355118820"/>
      <w:bookmarkStart w:id="110" w:name="_Toc355166877"/>
      <w:bookmarkStart w:id="111" w:name="_Toc355166982"/>
      <w:bookmarkStart w:id="112" w:name="_Toc355167030"/>
      <w:bookmarkStart w:id="113" w:name="_Toc355167060"/>
      <w:bookmarkStart w:id="114" w:name="_Toc355172499"/>
      <w:bookmarkStart w:id="115" w:name="_Toc355172564"/>
      <w:bookmarkStart w:id="116" w:name="_Toc355172596"/>
      <w:bookmarkStart w:id="117" w:name="_Toc355172628"/>
      <w:bookmarkStart w:id="118" w:name="_Toc355172661"/>
      <w:bookmarkStart w:id="119" w:name="_Toc497200466"/>
      <w:bookmarkStart w:id="120" w:name="_Toc497732636"/>
      <w:bookmarkStart w:id="121" w:name="_Toc497736267"/>
      <w:bookmarkStart w:id="122" w:name="_Toc497736455"/>
      <w:bookmarkStart w:id="123" w:name="_Toc497732637"/>
      <w:bookmarkStart w:id="124" w:name="_Toc497736268"/>
      <w:bookmarkStart w:id="125" w:name="_Toc497736456"/>
      <w:bookmarkStart w:id="126" w:name="_Toc497732638"/>
      <w:bookmarkStart w:id="127" w:name="_Toc497736269"/>
      <w:bookmarkStart w:id="128" w:name="_Toc497736457"/>
      <w:bookmarkStart w:id="129" w:name="_Toc497732645"/>
      <w:bookmarkStart w:id="130" w:name="_Toc497736276"/>
      <w:bookmarkStart w:id="131" w:name="_Toc497736464"/>
      <w:bookmarkStart w:id="132" w:name="_Toc497732675"/>
      <w:bookmarkStart w:id="133" w:name="_Toc497736306"/>
      <w:bookmarkStart w:id="134" w:name="_Toc497736494"/>
      <w:bookmarkStart w:id="135" w:name="_Toc435610623"/>
      <w:bookmarkStart w:id="136" w:name="_Ref5359314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F87B64">
        <w:t xml:space="preserve">Analysis of </w:t>
      </w:r>
      <w:bookmarkStart w:id="137" w:name="_Toc497732676"/>
      <w:bookmarkStart w:id="138" w:name="_Toc497736307"/>
      <w:bookmarkStart w:id="139" w:name="_Toc497736495"/>
      <w:bookmarkStart w:id="140" w:name="_Toc497732677"/>
      <w:bookmarkStart w:id="141" w:name="_Toc497736308"/>
      <w:bookmarkStart w:id="142" w:name="_Toc497736496"/>
      <w:bookmarkStart w:id="143" w:name="_Ref432971296"/>
      <w:bookmarkStart w:id="144" w:name="_Ref432971289"/>
      <w:bookmarkStart w:id="145" w:name="_Toc435611229"/>
      <w:bookmarkStart w:id="146" w:name="_Toc496857577"/>
      <w:bookmarkEnd w:id="135"/>
      <w:bookmarkEnd w:id="137"/>
      <w:bookmarkEnd w:id="138"/>
      <w:bookmarkEnd w:id="139"/>
      <w:bookmarkEnd w:id="140"/>
      <w:bookmarkEnd w:id="141"/>
      <w:bookmarkEnd w:id="142"/>
      <w:r w:rsidR="004F7ECE" w:rsidRPr="00F87B64">
        <w:t>T</w:t>
      </w:r>
      <w:r w:rsidR="005D7320" w:rsidRPr="00F87B64">
        <w:t>op 20</w:t>
      </w:r>
      <w:r w:rsidR="00F74337">
        <w:t xml:space="preserve"> </w:t>
      </w:r>
      <w:bookmarkEnd w:id="143"/>
      <w:bookmarkEnd w:id="144"/>
      <w:r w:rsidR="00F74337">
        <w:t>DRGs</w:t>
      </w:r>
      <w:bookmarkEnd w:id="136"/>
      <w:r w:rsidR="004F7ECE" w:rsidRPr="00F87B64">
        <w:t xml:space="preserve"> </w:t>
      </w:r>
      <w:bookmarkEnd w:id="145"/>
      <w:bookmarkEnd w:id="146"/>
    </w:p>
    <w:p w14:paraId="500171E0" w14:textId="2FA9692A" w:rsidR="00E7439E" w:rsidRPr="00F87B64" w:rsidRDefault="00240CEB" w:rsidP="00A53818">
      <w:r>
        <w:t xml:space="preserve">Analysing </w:t>
      </w:r>
      <w:r w:rsidRPr="00240CEB">
        <w:t xml:space="preserve">the top 20 DRGs </w:t>
      </w:r>
      <w:r w:rsidR="0031336E">
        <w:t xml:space="preserve">provides insight into the </w:t>
      </w:r>
      <w:r w:rsidRPr="00240CEB">
        <w:t xml:space="preserve">consistency between rounds, </w:t>
      </w:r>
      <w:r w:rsidR="0031336E">
        <w:t>the identification of</w:t>
      </w:r>
      <w:r w:rsidRPr="00240CEB">
        <w:t xml:space="preserve"> any trends, and highlight</w:t>
      </w:r>
      <w:r w:rsidR="0031336E">
        <w:t>s</w:t>
      </w:r>
      <w:r w:rsidRPr="00240CEB">
        <w:t xml:space="preserve"> the DRGs</w:t>
      </w:r>
      <w:r>
        <w:t xml:space="preserve"> that are driving costs. This section of the report</w:t>
      </w:r>
      <w:r w:rsidR="005D7320" w:rsidRPr="00F87B64">
        <w:t xml:space="preserve"> </w:t>
      </w:r>
      <w:r>
        <w:t>provides an analysis of</w:t>
      </w:r>
      <w:r w:rsidR="005D7320" w:rsidRPr="00F87B64">
        <w:t xml:space="preserve"> the top 20 DRGs by the </w:t>
      </w:r>
      <w:r w:rsidR="00D13CD5" w:rsidRPr="00F87B64">
        <w:t xml:space="preserve">following </w:t>
      </w:r>
      <w:r w:rsidR="005D7320" w:rsidRPr="00F87B64">
        <w:t>categories</w:t>
      </w:r>
      <w:r>
        <w:t>:</w:t>
      </w:r>
    </w:p>
    <w:p w14:paraId="7EC151EC" w14:textId="3C239A3D" w:rsidR="005D7320" w:rsidRPr="00714DFA" w:rsidRDefault="005D7320" w:rsidP="00235DEA">
      <w:pPr>
        <w:pStyle w:val="ListBullet"/>
      </w:pPr>
      <w:r w:rsidRPr="00714DFA">
        <w:t>Highest cost weight</w:t>
      </w:r>
    </w:p>
    <w:p w14:paraId="5970D5BA" w14:textId="20E481AB" w:rsidR="005D7320" w:rsidRPr="00714DFA" w:rsidRDefault="005D7320" w:rsidP="00235DEA">
      <w:pPr>
        <w:pStyle w:val="ListBullet"/>
      </w:pPr>
      <w:r w:rsidRPr="00714DFA">
        <w:t>Highest number of population-adjusted separations</w:t>
      </w:r>
    </w:p>
    <w:p w14:paraId="58C4184F" w14:textId="504D1AD0" w:rsidR="005D7320" w:rsidRPr="00714DFA" w:rsidRDefault="007E6F3B" w:rsidP="00235DEA">
      <w:pPr>
        <w:pStyle w:val="ListBullet"/>
      </w:pPr>
      <w:r>
        <w:t>Highest cost-</w:t>
      </w:r>
      <w:r w:rsidR="003D1557">
        <w:t>weighted</w:t>
      </w:r>
      <w:r w:rsidR="005D7320" w:rsidRPr="00714DFA">
        <w:t xml:space="preserve"> separations</w:t>
      </w:r>
    </w:p>
    <w:p w14:paraId="75E5836F" w14:textId="055C8E3E" w:rsidR="005D7320" w:rsidRPr="00714DFA" w:rsidRDefault="005D7320" w:rsidP="00235DEA">
      <w:pPr>
        <w:pStyle w:val="ListBullet"/>
      </w:pPr>
      <w:r w:rsidRPr="00714DFA">
        <w:t xml:space="preserve">Highest </w:t>
      </w:r>
      <w:r w:rsidR="008C3232">
        <w:t>A</w:t>
      </w:r>
      <w:r w:rsidR="00F74337">
        <w:t xml:space="preserve">verage </w:t>
      </w:r>
      <w:r w:rsidR="008C3232">
        <w:t>L</w:t>
      </w:r>
      <w:r w:rsidR="00F74337">
        <w:t xml:space="preserve">ength of </w:t>
      </w:r>
      <w:r w:rsidR="008C3232">
        <w:t>S</w:t>
      </w:r>
      <w:r w:rsidR="00F74337">
        <w:t>tay</w:t>
      </w:r>
      <w:r w:rsidR="00F74337" w:rsidRPr="00714DFA">
        <w:t xml:space="preserve"> </w:t>
      </w:r>
      <w:r w:rsidRPr="00714DFA">
        <w:t xml:space="preserve">including minimum and maximum range. </w:t>
      </w:r>
    </w:p>
    <w:p w14:paraId="2717331F" w14:textId="7822B213" w:rsidR="00EE4BB9" w:rsidRPr="00714DFA" w:rsidRDefault="00240CEB" w:rsidP="00E763E2">
      <w:pPr>
        <w:spacing w:before="120"/>
      </w:pPr>
      <w:r>
        <w:t>A</w:t>
      </w:r>
      <w:r w:rsidR="005D7320" w:rsidRPr="00714DFA">
        <w:t>dditional analysis of the cost buckets (</w:t>
      </w:r>
      <w:r w:rsidR="002D3040">
        <w:t>operating room/special</w:t>
      </w:r>
      <w:r w:rsidR="00F83BB8">
        <w:t>ist</w:t>
      </w:r>
      <w:r>
        <w:t xml:space="preserve"> procedure suites, </w:t>
      </w:r>
      <w:r w:rsidR="005D7320" w:rsidRPr="00714DFA">
        <w:t xml:space="preserve">critical care, prostheses and miscellaneous) </w:t>
      </w:r>
      <w:r>
        <w:t>has been</w:t>
      </w:r>
      <w:r w:rsidR="005D7320" w:rsidRPr="00714DFA">
        <w:t xml:space="preserve"> undertaken </w:t>
      </w:r>
      <w:r>
        <w:t xml:space="preserve">to </w:t>
      </w:r>
      <w:r w:rsidR="00B51237">
        <w:t xml:space="preserve">identify </w:t>
      </w:r>
      <w:r w:rsidR="005D7320" w:rsidRPr="00714DFA">
        <w:t xml:space="preserve">the </w:t>
      </w:r>
      <w:r>
        <w:t>t</w:t>
      </w:r>
      <w:r w:rsidR="005D7320" w:rsidRPr="00714DFA">
        <w:t xml:space="preserve">op 20 </w:t>
      </w:r>
      <w:r>
        <w:t xml:space="preserve">DRGs </w:t>
      </w:r>
      <w:r w:rsidR="005D7320" w:rsidRPr="00714DFA">
        <w:t>for each of these buckets.</w:t>
      </w:r>
    </w:p>
    <w:p w14:paraId="3F8664B4" w14:textId="6EDA9BBB" w:rsidR="00EE4BB9" w:rsidRPr="00714DFA" w:rsidRDefault="006212A3" w:rsidP="00A53818">
      <w:pPr>
        <w:pStyle w:val="Disclaimer"/>
      </w:pPr>
      <w:r w:rsidRPr="00714DFA">
        <w:t>Please note:</w:t>
      </w:r>
      <w:r w:rsidR="00EE4BB9" w:rsidRPr="00714DFA">
        <w:t xml:space="preserve"> </w:t>
      </w:r>
      <w:r w:rsidRPr="00714DFA">
        <w:t>The Round 2</w:t>
      </w:r>
      <w:r w:rsidR="00714DFA" w:rsidRPr="00714DFA">
        <w:t>1</w:t>
      </w:r>
      <w:r w:rsidRPr="00714DFA">
        <w:t xml:space="preserve"> ranking analysis cannot be </w:t>
      </w:r>
      <w:r w:rsidR="00714DFA" w:rsidRPr="00714DFA">
        <w:t xml:space="preserve">directly </w:t>
      </w:r>
      <w:r w:rsidRPr="00714DFA">
        <w:t xml:space="preserve">compared to the published Round </w:t>
      </w:r>
      <w:r w:rsidR="00714DFA" w:rsidRPr="00714DFA">
        <w:t>20</w:t>
      </w:r>
      <w:r w:rsidRPr="00714DFA">
        <w:t xml:space="preserve"> NHCDC report due to moving from AR-DRG version </w:t>
      </w:r>
      <w:r w:rsidR="00714DFA" w:rsidRPr="00714DFA">
        <w:t>8</w:t>
      </w:r>
      <w:r w:rsidRPr="00714DFA">
        <w:t xml:space="preserve">.0 to version </w:t>
      </w:r>
      <w:r w:rsidR="00714DFA" w:rsidRPr="00714DFA">
        <w:t>9</w:t>
      </w:r>
      <w:r w:rsidRPr="00714DFA">
        <w:t xml:space="preserve">.0. Therefore the Round </w:t>
      </w:r>
      <w:r w:rsidR="00714DFA" w:rsidRPr="00714DFA">
        <w:t>20</w:t>
      </w:r>
      <w:r w:rsidRPr="00714DFA">
        <w:t xml:space="preserve"> data</w:t>
      </w:r>
      <w:r w:rsidR="00714DFA">
        <w:t xml:space="preserve"> </w:t>
      </w:r>
      <w:r w:rsidR="006B1A0A">
        <w:t xml:space="preserve">has been regrouped in version 9.0 to </w:t>
      </w:r>
      <w:r w:rsidR="00AD5AB4">
        <w:t xml:space="preserve">provide a </w:t>
      </w:r>
      <w:r w:rsidR="006B1A0A">
        <w:t xml:space="preserve">more accurate </w:t>
      </w:r>
      <w:r w:rsidR="00AD5AB4">
        <w:t>comparison</w:t>
      </w:r>
      <w:r w:rsidR="006B1A0A">
        <w:t xml:space="preserve">. </w:t>
      </w:r>
    </w:p>
    <w:p w14:paraId="627A8852" w14:textId="56A603CF" w:rsidR="00E7439E" w:rsidRPr="000E0252" w:rsidRDefault="005D7320" w:rsidP="00302DDA">
      <w:pPr>
        <w:pStyle w:val="Heading3"/>
      </w:pPr>
      <w:bookmarkStart w:id="147" w:name="_Ref433273435"/>
      <w:bookmarkStart w:id="148" w:name="_Toc496857578"/>
      <w:r w:rsidRPr="000E0252">
        <w:t>Top 20 DRGs ranked by highest cost weight</w:t>
      </w:r>
      <w:bookmarkStart w:id="149" w:name="_Toc497200470"/>
      <w:bookmarkEnd w:id="147"/>
      <w:bookmarkEnd w:id="148"/>
      <w:bookmarkEnd w:id="149"/>
    </w:p>
    <w:p w14:paraId="1F196EF6" w14:textId="1AE3E072" w:rsidR="005D7320" w:rsidRPr="000E0252" w:rsidRDefault="005D7320" w:rsidP="005D7320">
      <w:pPr>
        <w:pStyle w:val="Intro"/>
      </w:pPr>
      <w:r w:rsidRPr="000E0252">
        <w:t>Key findings</w:t>
      </w:r>
    </w:p>
    <w:p w14:paraId="2F21B06F" w14:textId="1E9B04C5" w:rsidR="006E570D" w:rsidRPr="00F467C8" w:rsidRDefault="005D7320" w:rsidP="00BF794D">
      <w:r w:rsidRPr="005A4CA8">
        <w:t xml:space="preserve">As shown in </w:t>
      </w:r>
      <w:r w:rsidR="006654BA" w:rsidRPr="00F467C8">
        <w:t>Figure 1</w:t>
      </w:r>
      <w:r w:rsidR="000D0686">
        <w:t xml:space="preserve"> the highest cost weight DRG wa</w:t>
      </w:r>
      <w:r w:rsidRPr="00F467C8">
        <w:t>s A</w:t>
      </w:r>
      <w:r w:rsidR="005A4CA8" w:rsidRPr="00F467C8">
        <w:t>13</w:t>
      </w:r>
      <w:r w:rsidR="004F1D8C" w:rsidRPr="00F467C8">
        <w:t>A (</w:t>
      </w:r>
      <w:r w:rsidR="005A4CA8" w:rsidRPr="00F467C8">
        <w:rPr>
          <w:rFonts w:asciiTheme="minorHAnsi" w:hAnsiTheme="minorHAnsi" w:cstheme="minorHAnsi"/>
          <w:szCs w:val="14"/>
        </w:rPr>
        <w:t>Ventilation &gt;=336hours, Major Complexity</w:t>
      </w:r>
      <w:r w:rsidR="004F1D8C" w:rsidRPr="00F467C8">
        <w:rPr>
          <w:rFonts w:asciiTheme="minorHAnsi" w:hAnsiTheme="minorHAnsi" w:cstheme="minorHAnsi"/>
          <w:szCs w:val="14"/>
        </w:rPr>
        <w:t>)</w:t>
      </w:r>
      <w:r w:rsidR="00E53105" w:rsidRPr="00F467C8">
        <w:t xml:space="preserve">. As illustrated in </w:t>
      </w:r>
      <w:r w:rsidR="006654BA" w:rsidRPr="00F467C8">
        <w:t>Table 5</w:t>
      </w:r>
      <w:r w:rsidR="00E53105" w:rsidRPr="00F467C8">
        <w:t xml:space="preserve">, </w:t>
      </w:r>
      <w:r w:rsidRPr="00F467C8">
        <w:t xml:space="preserve">this was ranked number </w:t>
      </w:r>
      <w:r w:rsidR="002A5193" w:rsidRPr="00F467C8">
        <w:t>one</w:t>
      </w:r>
      <w:r w:rsidRPr="00F467C8">
        <w:t xml:space="preserve"> </w:t>
      </w:r>
      <w:r w:rsidR="008C597F" w:rsidRPr="00F467C8">
        <w:t xml:space="preserve">in Round </w:t>
      </w:r>
      <w:r w:rsidR="005A4CA8" w:rsidRPr="00F467C8">
        <w:t>20</w:t>
      </w:r>
      <w:r w:rsidR="008C597F" w:rsidRPr="00F467C8">
        <w:t xml:space="preserve"> </w:t>
      </w:r>
      <w:r w:rsidR="000D0686">
        <w:t>and was</w:t>
      </w:r>
      <w:r w:rsidRPr="00F467C8">
        <w:t xml:space="preserve"> ranked </w:t>
      </w:r>
      <w:r w:rsidR="006035EC" w:rsidRPr="00F467C8">
        <w:t>among the highest cost weight</w:t>
      </w:r>
      <w:r w:rsidRPr="00F467C8">
        <w:t xml:space="preserve"> DRGs </w:t>
      </w:r>
      <w:r w:rsidR="001348AC" w:rsidRPr="00F467C8">
        <w:t>due to</w:t>
      </w:r>
      <w:r w:rsidRPr="00F467C8">
        <w:t xml:space="preserve"> it</w:t>
      </w:r>
      <w:r w:rsidR="006035EC" w:rsidRPr="00F467C8">
        <w:t>s complexity.</w:t>
      </w:r>
      <w:r w:rsidR="00E52A05" w:rsidRPr="00F467C8">
        <w:t xml:space="preserve"> </w:t>
      </w:r>
      <w:r w:rsidR="006035EC" w:rsidRPr="00F467C8">
        <w:t xml:space="preserve">The five highest cost weight DRGs </w:t>
      </w:r>
      <w:r w:rsidR="000D0686">
        <w:t>were</w:t>
      </w:r>
      <w:r w:rsidR="006035EC" w:rsidRPr="00F467C8">
        <w:t xml:space="preserve"> all closely related to A13A, reflecting the re</w:t>
      </w:r>
      <w:r w:rsidR="004F1D8C" w:rsidRPr="00F467C8">
        <w:t xml:space="preserve">source-intensive nature of these </w:t>
      </w:r>
      <w:r w:rsidR="001348AC" w:rsidRPr="00F467C8">
        <w:t>group</w:t>
      </w:r>
      <w:r w:rsidR="004F1D8C" w:rsidRPr="00F467C8">
        <w:t>s</w:t>
      </w:r>
      <w:r w:rsidR="006035EC" w:rsidRPr="00F467C8">
        <w:t xml:space="preserve">. A13A has increased by 6.08 cost weights between rounds, </w:t>
      </w:r>
      <w:r w:rsidR="004F1D8C" w:rsidRPr="00F467C8">
        <w:t xml:space="preserve">which may be due to the small number of sample separations. </w:t>
      </w:r>
    </w:p>
    <w:p w14:paraId="5EE8E845" w14:textId="5E87386D" w:rsidR="00E7439E" w:rsidRPr="000E0252" w:rsidRDefault="004F1D8C" w:rsidP="005D7320">
      <w:r w:rsidRPr="00F467C8">
        <w:t xml:space="preserve">The DRGs </w:t>
      </w:r>
      <w:r w:rsidR="00281672" w:rsidRPr="00F467C8">
        <w:t xml:space="preserve">in </w:t>
      </w:r>
      <w:r w:rsidR="006654BA" w:rsidRPr="00F467C8">
        <w:t>Table 5</w:t>
      </w:r>
      <w:r w:rsidRPr="00F467C8">
        <w:t xml:space="preserve"> </w:t>
      </w:r>
      <w:r w:rsidR="00A3433C">
        <w:t>were</w:t>
      </w:r>
      <w:r w:rsidR="001348AC">
        <w:t xml:space="preserve"> high cost low volume DRGs, that </w:t>
      </w:r>
      <w:r w:rsidR="005D7320" w:rsidRPr="000E0252">
        <w:t>repres</w:t>
      </w:r>
      <w:r w:rsidR="000E0252" w:rsidRPr="000E0252">
        <w:t>ent</w:t>
      </w:r>
      <w:r w:rsidR="00A3433C">
        <w:t>ed</w:t>
      </w:r>
      <w:r w:rsidR="001348AC">
        <w:t xml:space="preserve"> only</w:t>
      </w:r>
      <w:r w:rsidR="000E0252" w:rsidRPr="000E0252">
        <w:t xml:space="preserve"> 0.2</w:t>
      </w:r>
      <w:r w:rsidR="00A45C4C" w:rsidRPr="000E0252">
        <w:t xml:space="preserve"> </w:t>
      </w:r>
      <w:r w:rsidR="00F74337">
        <w:t>percent</w:t>
      </w:r>
      <w:r w:rsidR="005D7320" w:rsidRPr="000E0252">
        <w:t xml:space="preserve"> </w:t>
      </w:r>
      <w:r w:rsidR="001348AC">
        <w:t xml:space="preserve">(or </w:t>
      </w:r>
      <w:r w:rsidR="000E0252" w:rsidRPr="000E0252">
        <w:t>6</w:t>
      </w:r>
      <w:r w:rsidR="007E620E" w:rsidRPr="000E0252">
        <w:t>,</w:t>
      </w:r>
      <w:r w:rsidR="000E0252" w:rsidRPr="000E0252">
        <w:t>067</w:t>
      </w:r>
      <w:r w:rsidR="007E620E" w:rsidRPr="000E0252">
        <w:t xml:space="preserve"> </w:t>
      </w:r>
      <w:r w:rsidR="005D7320" w:rsidRPr="000E0252">
        <w:t>population-adjusted separations) of the total population-adjusted separations (</w:t>
      </w:r>
      <w:r w:rsidR="006923CA" w:rsidRPr="006923CA">
        <w:t>3,242,411</w:t>
      </w:r>
      <w:r w:rsidR="001348AC">
        <w:t>)</w:t>
      </w:r>
      <w:r>
        <w:t>. They also represent</w:t>
      </w:r>
      <w:r w:rsidR="00A3433C">
        <w:t>ed</w:t>
      </w:r>
      <w:r>
        <w:t xml:space="preserve"> only </w:t>
      </w:r>
      <w:r w:rsidR="000E0252" w:rsidRPr="000E0252">
        <w:t>3</w:t>
      </w:r>
      <w:r w:rsidR="00155707" w:rsidRPr="000E0252">
        <w:t>.</w:t>
      </w:r>
      <w:r w:rsidR="000E0252" w:rsidRPr="000E0252">
        <w:t>1</w:t>
      </w:r>
      <w:r w:rsidR="00A45C4C" w:rsidRPr="000E0252">
        <w:t xml:space="preserve"> </w:t>
      </w:r>
      <w:r w:rsidR="00F74337">
        <w:t>percent</w:t>
      </w:r>
      <w:r w:rsidR="005D7320" w:rsidRPr="000E0252">
        <w:t xml:space="preserve"> of the total </w:t>
      </w:r>
      <w:r>
        <w:t xml:space="preserve">population </w:t>
      </w:r>
      <w:r w:rsidR="003D1557">
        <w:t>cost</w:t>
      </w:r>
      <w:r w:rsidR="007E6F3B">
        <w:t>-</w:t>
      </w:r>
      <w:r w:rsidR="003D1557">
        <w:t>weighted</w:t>
      </w:r>
      <w:r>
        <w:t xml:space="preserve"> separations</w:t>
      </w:r>
      <w:r w:rsidR="001348AC">
        <w:t xml:space="preserve">. </w:t>
      </w:r>
    </w:p>
    <w:p w14:paraId="2BB2F134" w14:textId="02575B28" w:rsidR="005D7320" w:rsidRPr="000E0252" w:rsidRDefault="005D7320" w:rsidP="005D7320">
      <w:pPr>
        <w:pStyle w:val="Intro"/>
      </w:pPr>
      <w:r w:rsidRPr="000E0252">
        <w:t xml:space="preserve">Consistencies between Round </w:t>
      </w:r>
      <w:r w:rsidR="000E0252" w:rsidRPr="000E0252">
        <w:t>2</w:t>
      </w:r>
      <w:r w:rsidR="00162614">
        <w:t>1</w:t>
      </w:r>
      <w:r w:rsidRPr="000E0252">
        <w:t xml:space="preserve"> and Round 2</w:t>
      </w:r>
      <w:r w:rsidR="00162614">
        <w:t>0</w:t>
      </w:r>
    </w:p>
    <w:p w14:paraId="28237503" w14:textId="40EFCB57" w:rsidR="00E7439E" w:rsidRPr="00E4527E" w:rsidRDefault="00D2555B" w:rsidP="005D7320">
      <w:pPr>
        <w:rPr>
          <w:highlight w:val="yellow"/>
        </w:rPr>
      </w:pPr>
      <w:r w:rsidRPr="000E0252">
        <w:t>8</w:t>
      </w:r>
      <w:r w:rsidR="000E0252" w:rsidRPr="000E0252">
        <w:t>5</w:t>
      </w:r>
      <w:r w:rsidR="00A45C4C" w:rsidRPr="000E0252">
        <w:t xml:space="preserve"> </w:t>
      </w:r>
      <w:r w:rsidR="00F74337">
        <w:t>percent</w:t>
      </w:r>
      <w:r w:rsidR="005D7320" w:rsidRPr="000E0252">
        <w:t xml:space="preserve"> (1</w:t>
      </w:r>
      <w:r w:rsidR="000E0252" w:rsidRPr="000E0252">
        <w:t>7</w:t>
      </w:r>
      <w:r w:rsidR="005D7320" w:rsidRPr="000E0252">
        <w:t xml:space="preserve"> out of 20) of the top 20 DRGs for </w:t>
      </w:r>
      <w:r w:rsidR="0053227C" w:rsidRPr="000E0252">
        <w:t>Round 2</w:t>
      </w:r>
      <w:r w:rsidR="000E0252" w:rsidRPr="000E0252">
        <w:t>1</w:t>
      </w:r>
      <w:r w:rsidR="00D61C39" w:rsidRPr="000E0252">
        <w:t xml:space="preserve"> were </w:t>
      </w:r>
      <w:r w:rsidR="004F1D8C">
        <w:t>also in the</w:t>
      </w:r>
      <w:r w:rsidR="0053227C" w:rsidRPr="000E0252">
        <w:t xml:space="preserve"> </w:t>
      </w:r>
      <w:r w:rsidR="00D61C39" w:rsidRPr="000E0252">
        <w:t xml:space="preserve">Round </w:t>
      </w:r>
      <w:r w:rsidR="000E0252" w:rsidRPr="000E0252">
        <w:t>20</w:t>
      </w:r>
      <w:r w:rsidR="005D7320" w:rsidRPr="000E0252">
        <w:t xml:space="preserve"> results with the top </w:t>
      </w:r>
      <w:r w:rsidR="000E0252" w:rsidRPr="000E0252">
        <w:t xml:space="preserve">six </w:t>
      </w:r>
      <w:r w:rsidR="005D7320" w:rsidRPr="000E0252">
        <w:t xml:space="preserve">being </w:t>
      </w:r>
      <w:r w:rsidR="000E0252" w:rsidRPr="000E0252">
        <w:t>the same DRGs (although in a different order)</w:t>
      </w:r>
      <w:r w:rsidR="005D7320" w:rsidRPr="000E0252">
        <w:t xml:space="preserve">. </w:t>
      </w:r>
      <w:r w:rsidR="0074173A" w:rsidRPr="000E0252">
        <w:rPr>
          <w:szCs w:val="22"/>
        </w:rPr>
        <w:t>A</w:t>
      </w:r>
      <w:r w:rsidR="004F1D8C">
        <w:rPr>
          <w:szCs w:val="22"/>
        </w:rPr>
        <w:t>14A (</w:t>
      </w:r>
      <w:r w:rsidR="000E0252" w:rsidRPr="000E0252">
        <w:rPr>
          <w:rFonts w:asciiTheme="minorHAnsi" w:hAnsiTheme="minorHAnsi" w:cstheme="minorHAnsi"/>
          <w:szCs w:val="22"/>
        </w:rPr>
        <w:t>Ventilation &gt;=96hours</w:t>
      </w:r>
      <w:r w:rsidR="004F1D8C">
        <w:rPr>
          <w:rFonts w:asciiTheme="minorHAnsi" w:hAnsiTheme="minorHAnsi" w:cstheme="minorHAnsi"/>
          <w:szCs w:val="22"/>
        </w:rPr>
        <w:t xml:space="preserve"> &amp; &lt;336hours, Major Complexity) </w:t>
      </w:r>
      <w:r w:rsidR="004F1D8C">
        <w:rPr>
          <w:szCs w:val="22"/>
        </w:rPr>
        <w:t>ranked number two was ranked number three in Round 20</w:t>
      </w:r>
      <w:r w:rsidR="000E0252" w:rsidRPr="000E0252">
        <w:rPr>
          <w:szCs w:val="22"/>
        </w:rPr>
        <w:t>, and A14B</w:t>
      </w:r>
      <w:r w:rsidR="004F1D8C">
        <w:rPr>
          <w:szCs w:val="22"/>
        </w:rPr>
        <w:t xml:space="preserve"> (</w:t>
      </w:r>
      <w:r w:rsidR="000E0252" w:rsidRPr="000E0252">
        <w:rPr>
          <w:rFonts w:asciiTheme="minorHAnsi" w:hAnsiTheme="minorHAnsi" w:cstheme="minorHAnsi"/>
          <w:szCs w:val="22"/>
        </w:rPr>
        <w:t>Ventilation &gt;=96hours &amp; &lt;336hours, Intermediate Complexity</w:t>
      </w:r>
      <w:r w:rsidR="004F1D8C">
        <w:rPr>
          <w:rFonts w:asciiTheme="minorHAnsi" w:hAnsiTheme="minorHAnsi" w:cstheme="minorHAnsi"/>
          <w:szCs w:val="22"/>
        </w:rPr>
        <w:t xml:space="preserve">) </w:t>
      </w:r>
      <w:r w:rsidR="000E0252" w:rsidRPr="000E0252">
        <w:rPr>
          <w:szCs w:val="22"/>
        </w:rPr>
        <w:t>r</w:t>
      </w:r>
      <w:r w:rsidR="004F1D8C">
        <w:t xml:space="preserve">anked number three was ranked number six </w:t>
      </w:r>
      <w:r w:rsidR="000E0252" w:rsidRPr="000E0252">
        <w:t>Round 20</w:t>
      </w:r>
      <w:r w:rsidR="004F1D8C">
        <w:t>.</w:t>
      </w:r>
      <w:r w:rsidR="000E0252" w:rsidRPr="000E0252">
        <w:t xml:space="preserve"> </w:t>
      </w:r>
    </w:p>
    <w:p w14:paraId="734CB4AD" w14:textId="79695365" w:rsidR="00E7439E" w:rsidRPr="00DA4A8E" w:rsidRDefault="005D7320" w:rsidP="005D7320">
      <w:r w:rsidRPr="00DA4A8E">
        <w:t xml:space="preserve">Overall these top 20 DRGs </w:t>
      </w:r>
      <w:r w:rsidR="000D0686">
        <w:t>were</w:t>
      </w:r>
      <w:r w:rsidRPr="00DA4A8E">
        <w:t xml:space="preserve"> anticipated to be represented in the top 20 l</w:t>
      </w:r>
      <w:r w:rsidR="004F1D8C">
        <w:t xml:space="preserve">ist given their </w:t>
      </w:r>
      <w:r w:rsidRPr="00DA4A8E">
        <w:t xml:space="preserve">high </w:t>
      </w:r>
      <w:r w:rsidR="004F1D8C">
        <w:t xml:space="preserve">patient </w:t>
      </w:r>
      <w:r w:rsidRPr="00DA4A8E">
        <w:t>complexity and resource utilisation.</w:t>
      </w:r>
    </w:p>
    <w:p w14:paraId="727261D5" w14:textId="77777777" w:rsidR="001C5CC3" w:rsidRDefault="001C5CC3">
      <w:pPr>
        <w:spacing w:after="0" w:line="240" w:lineRule="auto"/>
        <w:rPr>
          <w:color w:val="008A00"/>
          <w:szCs w:val="30"/>
        </w:rPr>
      </w:pPr>
      <w:r>
        <w:br w:type="page"/>
      </w:r>
    </w:p>
    <w:p w14:paraId="7F0AC4ED" w14:textId="14BBB933" w:rsidR="00BF794D" w:rsidRPr="00DA4A8E" w:rsidRDefault="00162614" w:rsidP="00BF794D">
      <w:pPr>
        <w:pStyle w:val="Intro"/>
      </w:pPr>
      <w:r>
        <w:lastRenderedPageBreak/>
        <w:t>Differences between Round 21 and Round 20</w:t>
      </w:r>
    </w:p>
    <w:p w14:paraId="19B177E6" w14:textId="12768866" w:rsidR="00DA4A8E" w:rsidRPr="00DA4A8E" w:rsidRDefault="00DA4A8E" w:rsidP="005D7320">
      <w:pPr>
        <w:rPr>
          <w:szCs w:val="22"/>
        </w:rPr>
      </w:pPr>
      <w:r w:rsidRPr="00DA4A8E">
        <w:t xml:space="preserve">There </w:t>
      </w:r>
      <w:r w:rsidR="000D0686">
        <w:t>were</w:t>
      </w:r>
      <w:r w:rsidRPr="00DA4A8E">
        <w:t xml:space="preserve"> three DRGs which </w:t>
      </w:r>
      <w:r w:rsidR="000D0686">
        <w:t>were</w:t>
      </w:r>
      <w:r w:rsidRPr="00DA4A8E">
        <w:t xml:space="preserve"> new to the top 20 in </w:t>
      </w:r>
      <w:r w:rsidRPr="00DA4A8E">
        <w:rPr>
          <w:szCs w:val="22"/>
        </w:rPr>
        <w:t xml:space="preserve">Round 21: </w:t>
      </w:r>
    </w:p>
    <w:p w14:paraId="4E6C0DF1" w14:textId="074806BE" w:rsidR="00DA4A8E" w:rsidRPr="00DA4A8E" w:rsidRDefault="004F1D8C" w:rsidP="00E763E2">
      <w:pPr>
        <w:pStyle w:val="ListBullet"/>
      </w:pPr>
      <w:r w:rsidRPr="00E763E2">
        <w:t>A40Z (</w:t>
      </w:r>
      <w:r w:rsidR="00DA4A8E" w:rsidRPr="00E763E2">
        <w:t>ECMO</w:t>
      </w:r>
      <w:r w:rsidRPr="00E763E2">
        <w:t>)</w:t>
      </w:r>
    </w:p>
    <w:p w14:paraId="3121FEA0" w14:textId="1A41C5FD" w:rsidR="00DA4A8E" w:rsidRPr="00DA4A8E" w:rsidRDefault="004F1D8C" w:rsidP="00E763E2">
      <w:pPr>
        <w:pStyle w:val="ListBullet"/>
      </w:pPr>
      <w:r w:rsidRPr="00E763E2">
        <w:t>F11A (</w:t>
      </w:r>
      <w:r w:rsidR="00DA4A8E" w:rsidRPr="00E763E2">
        <w:t>Amputation, Except Upper Limb and Toe, for Circulatory Disorders, Major Comp</w:t>
      </w:r>
      <w:r w:rsidRPr="00E763E2">
        <w:t>)</w:t>
      </w:r>
    </w:p>
    <w:p w14:paraId="58995C65" w14:textId="372D2ADF" w:rsidR="00DA4A8E" w:rsidRPr="00DA4A8E" w:rsidRDefault="004F1D8C" w:rsidP="00E763E2">
      <w:pPr>
        <w:pStyle w:val="ListBullet"/>
      </w:pPr>
      <w:r w:rsidRPr="00E763E2">
        <w:t>G01A (</w:t>
      </w:r>
      <w:r w:rsidR="00DA4A8E" w:rsidRPr="00E763E2">
        <w:t>Rectal Resection, Major Complexity</w:t>
      </w:r>
      <w:r w:rsidRPr="00E763E2">
        <w:t>)</w:t>
      </w:r>
      <w:r w:rsidR="00DA4A8E" w:rsidRPr="00E763E2">
        <w:t xml:space="preserve">. </w:t>
      </w:r>
    </w:p>
    <w:p w14:paraId="6C8FBAD8" w14:textId="59A17AE6" w:rsidR="00DA4A8E" w:rsidRDefault="00DA4A8E" w:rsidP="00674A8F">
      <w:pPr>
        <w:spacing w:before="120"/>
        <w:rPr>
          <w:highlight w:val="yellow"/>
        </w:rPr>
      </w:pPr>
      <w:r w:rsidRPr="00DA4A8E">
        <w:rPr>
          <w:rFonts w:asciiTheme="minorHAnsi" w:hAnsiTheme="minorHAnsi" w:cstheme="minorHAnsi"/>
          <w:szCs w:val="22"/>
        </w:rPr>
        <w:t xml:space="preserve">These DRGs were all just outside the top 20 in Round 20, sitting at ranks 26, 24 and 31 respectively, indicating that they </w:t>
      </w:r>
      <w:r w:rsidR="000D0686">
        <w:rPr>
          <w:rFonts w:asciiTheme="minorHAnsi" w:hAnsiTheme="minorHAnsi" w:cstheme="minorHAnsi"/>
          <w:szCs w:val="22"/>
        </w:rPr>
        <w:t>were</w:t>
      </w:r>
      <w:r w:rsidRPr="00DA4A8E">
        <w:rPr>
          <w:rFonts w:asciiTheme="minorHAnsi" w:hAnsiTheme="minorHAnsi" w:cstheme="minorHAnsi"/>
          <w:szCs w:val="22"/>
        </w:rPr>
        <w:t xml:space="preserve"> consistently high cost weight DRGs.</w:t>
      </w:r>
    </w:p>
    <w:p w14:paraId="2B994534" w14:textId="29164BF8" w:rsidR="00A53818" w:rsidRPr="005319AA" w:rsidRDefault="006654BA" w:rsidP="005319AA">
      <w:pPr>
        <w:pStyle w:val="Tableoffigures3"/>
        <w:spacing w:after="120"/>
        <w:rPr>
          <w:color w:val="004200" w:themeColor="accent1"/>
          <w:sz w:val="18"/>
        </w:rPr>
      </w:pPr>
      <w:bookmarkStart w:id="150" w:name="_Toc162092"/>
      <w:r w:rsidRPr="005319AA">
        <w:rPr>
          <w:color w:val="004200" w:themeColor="accent1"/>
          <w:sz w:val="18"/>
        </w:rPr>
        <w:t>Figure 1</w:t>
      </w:r>
      <w:r w:rsidR="004F7ECE" w:rsidRPr="005319AA">
        <w:rPr>
          <w:color w:val="004200" w:themeColor="accent1"/>
          <w:sz w:val="18"/>
        </w:rPr>
        <w:t>.</w:t>
      </w:r>
      <w:r w:rsidR="00A53818" w:rsidRPr="005319AA">
        <w:rPr>
          <w:color w:val="004200" w:themeColor="accent1"/>
          <w:sz w:val="18"/>
        </w:rPr>
        <w:t xml:space="preserve"> Top 20 DRGs ranked by highest cost weight</w:t>
      </w:r>
      <w:bookmarkEnd w:id="150"/>
    </w:p>
    <w:p w14:paraId="5A5689BE" w14:textId="722D7176" w:rsidR="000E57F0" w:rsidRPr="00E4527E" w:rsidRDefault="00235DEA" w:rsidP="00A53818">
      <w:pPr>
        <w:rPr>
          <w:highlight w:val="yellow"/>
        </w:rPr>
      </w:pPr>
      <w:r w:rsidRPr="007B51EC">
        <w:rPr>
          <w:noProof/>
        </w:rPr>
        <w:drawing>
          <wp:inline distT="0" distB="0" distL="0" distR="0" wp14:anchorId="529925EF" wp14:editId="02E13142">
            <wp:extent cx="5998210" cy="228787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8210" cy="2287872"/>
                    </a:xfrm>
                    <a:prstGeom prst="rect">
                      <a:avLst/>
                    </a:prstGeom>
                    <a:noFill/>
                    <a:ln>
                      <a:noFill/>
                    </a:ln>
                  </pic:spPr>
                </pic:pic>
              </a:graphicData>
            </a:graphic>
          </wp:inline>
        </w:drawing>
      </w:r>
    </w:p>
    <w:p w14:paraId="45D9A678" w14:textId="77777777" w:rsidR="00A53818" w:rsidRPr="00E4527E" w:rsidRDefault="00A53818" w:rsidP="00AB5C8A">
      <w:pPr>
        <w:rPr>
          <w:highlight w:val="yellow"/>
        </w:rPr>
        <w:sectPr w:rsidR="00A53818" w:rsidRPr="00E4527E" w:rsidSect="00384647">
          <w:footerReference w:type="default" r:id="rId17"/>
          <w:pgSz w:w="11907" w:h="16840" w:code="9"/>
          <w:pgMar w:top="1843" w:right="1440" w:bottom="1021" w:left="1021" w:header="680" w:footer="510" w:gutter="0"/>
          <w:pgNumType w:start="1"/>
          <w:cols w:space="708"/>
          <w:docGrid w:linePitch="360"/>
        </w:sectPr>
      </w:pPr>
    </w:p>
    <w:p w14:paraId="2550806E" w14:textId="073F6B7B" w:rsidR="00AC5EF9" w:rsidRDefault="006654BA" w:rsidP="00E763E2">
      <w:pPr>
        <w:pStyle w:val="TableHeadings3"/>
      </w:pPr>
      <w:bookmarkStart w:id="151" w:name="_Toc497488031"/>
      <w:bookmarkStart w:id="152" w:name="_Toc161995"/>
      <w:r w:rsidRPr="00EA63C0">
        <w:lastRenderedPageBreak/>
        <w:t>Table 5</w:t>
      </w:r>
      <w:r w:rsidR="004F7ECE" w:rsidRPr="00EA63C0">
        <w:t>.</w:t>
      </w:r>
      <w:r w:rsidR="005D7320" w:rsidRPr="00EA63C0">
        <w:t xml:space="preserve"> Top 20 DRG</w:t>
      </w:r>
      <w:r w:rsidR="008C43C2" w:rsidRPr="00EA63C0">
        <w:t>s</w:t>
      </w:r>
      <w:r w:rsidR="005D7320" w:rsidRPr="00EA63C0">
        <w:t xml:space="preserve"> ranked by highest cost weight</w:t>
      </w:r>
      <w:bookmarkEnd w:id="151"/>
      <w:bookmarkEnd w:id="152"/>
    </w:p>
    <w:tbl>
      <w:tblPr>
        <w:tblW w:w="15177" w:type="dxa"/>
        <w:tblLayout w:type="fixed"/>
        <w:tblLook w:val="04A0" w:firstRow="1" w:lastRow="0" w:firstColumn="1" w:lastColumn="0" w:noHBand="0" w:noVBand="1"/>
      </w:tblPr>
      <w:tblGrid>
        <w:gridCol w:w="675"/>
        <w:gridCol w:w="709"/>
        <w:gridCol w:w="709"/>
        <w:gridCol w:w="4961"/>
        <w:gridCol w:w="567"/>
        <w:gridCol w:w="851"/>
        <w:gridCol w:w="954"/>
        <w:gridCol w:w="839"/>
        <w:gridCol w:w="918"/>
        <w:gridCol w:w="597"/>
        <w:gridCol w:w="575"/>
        <w:gridCol w:w="575"/>
        <w:gridCol w:w="693"/>
        <w:gridCol w:w="693"/>
        <w:gridCol w:w="861"/>
      </w:tblGrid>
      <w:tr w:rsidR="001C198D" w:rsidRPr="00EA63C0" w14:paraId="6A04D672" w14:textId="77777777" w:rsidTr="00751830">
        <w:trPr>
          <w:trHeight w:val="161"/>
        </w:trPr>
        <w:tc>
          <w:tcPr>
            <w:tcW w:w="675" w:type="dxa"/>
            <w:tcBorders>
              <w:top w:val="single" w:sz="4" w:space="0" w:color="auto"/>
              <w:left w:val="nil"/>
              <w:bottom w:val="single" w:sz="4" w:space="0" w:color="000000"/>
              <w:right w:val="nil"/>
            </w:tcBorders>
            <w:shd w:val="clear" w:color="auto" w:fill="auto"/>
            <w:hideMark/>
          </w:tcPr>
          <w:p w14:paraId="0D4E02BA"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Top 20 Round 20</w:t>
            </w:r>
          </w:p>
        </w:tc>
        <w:tc>
          <w:tcPr>
            <w:tcW w:w="709" w:type="dxa"/>
            <w:tcBorders>
              <w:top w:val="single" w:sz="4" w:space="0" w:color="auto"/>
              <w:left w:val="nil"/>
              <w:bottom w:val="single" w:sz="4" w:space="0" w:color="000000"/>
              <w:right w:val="nil"/>
            </w:tcBorders>
            <w:shd w:val="clear" w:color="auto" w:fill="auto"/>
            <w:hideMark/>
          </w:tcPr>
          <w:p w14:paraId="04CB5CDC"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Rank Round 21</w:t>
            </w:r>
          </w:p>
        </w:tc>
        <w:tc>
          <w:tcPr>
            <w:tcW w:w="709" w:type="dxa"/>
            <w:tcBorders>
              <w:top w:val="single" w:sz="4" w:space="0" w:color="auto"/>
              <w:left w:val="nil"/>
              <w:bottom w:val="single" w:sz="4" w:space="0" w:color="000000"/>
              <w:right w:val="nil"/>
            </w:tcBorders>
            <w:shd w:val="clear" w:color="auto" w:fill="auto"/>
            <w:hideMark/>
          </w:tcPr>
          <w:p w14:paraId="08B61BBF"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DRG</w:t>
            </w:r>
          </w:p>
        </w:tc>
        <w:tc>
          <w:tcPr>
            <w:tcW w:w="4961" w:type="dxa"/>
            <w:tcBorders>
              <w:top w:val="single" w:sz="4" w:space="0" w:color="auto"/>
              <w:left w:val="nil"/>
              <w:bottom w:val="single" w:sz="4" w:space="0" w:color="000000"/>
              <w:right w:val="nil"/>
            </w:tcBorders>
            <w:shd w:val="clear" w:color="auto" w:fill="auto"/>
            <w:noWrap/>
            <w:hideMark/>
          </w:tcPr>
          <w:p w14:paraId="4D532E3A"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DRG Description</w:t>
            </w:r>
          </w:p>
        </w:tc>
        <w:tc>
          <w:tcPr>
            <w:tcW w:w="567" w:type="dxa"/>
            <w:tcBorders>
              <w:top w:val="single" w:sz="4" w:space="0" w:color="auto"/>
              <w:left w:val="nil"/>
              <w:bottom w:val="single" w:sz="4" w:space="0" w:color="000000"/>
              <w:right w:val="nil"/>
            </w:tcBorders>
            <w:shd w:val="clear" w:color="auto" w:fill="auto"/>
            <w:hideMark/>
          </w:tcPr>
          <w:p w14:paraId="0B21379F"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Cost weight</w:t>
            </w:r>
            <w:r w:rsidRPr="00EA63C0">
              <w:rPr>
                <w:rFonts w:asciiTheme="minorHAnsi" w:hAnsiTheme="minorHAnsi" w:cstheme="minorHAnsi"/>
                <w:b/>
                <w:bCs/>
                <w:color w:val="000000"/>
                <w:sz w:val="14"/>
                <w:szCs w:val="14"/>
                <w:lang w:val="en-US" w:eastAsia="en-US"/>
              </w:rPr>
              <w:br/>
              <w:t>(a)</w:t>
            </w:r>
          </w:p>
        </w:tc>
        <w:tc>
          <w:tcPr>
            <w:tcW w:w="851" w:type="dxa"/>
            <w:tcBorders>
              <w:top w:val="single" w:sz="4" w:space="0" w:color="auto"/>
              <w:left w:val="nil"/>
              <w:bottom w:val="single" w:sz="4" w:space="0" w:color="000000"/>
              <w:right w:val="nil"/>
            </w:tcBorders>
            <w:shd w:val="clear" w:color="auto" w:fill="auto"/>
            <w:hideMark/>
          </w:tcPr>
          <w:p w14:paraId="145F8C5B"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No. of weighted seps</w:t>
            </w:r>
            <w:r w:rsidRPr="00EA63C0">
              <w:rPr>
                <w:rFonts w:asciiTheme="minorHAnsi" w:hAnsiTheme="minorHAnsi" w:cstheme="minorHAnsi"/>
                <w:b/>
                <w:bCs/>
                <w:color w:val="000000"/>
                <w:sz w:val="14"/>
                <w:szCs w:val="14"/>
                <w:lang w:val="en-US" w:eastAsia="en-US"/>
              </w:rPr>
              <w:br/>
              <w:t>(b)</w:t>
            </w:r>
          </w:p>
        </w:tc>
        <w:tc>
          <w:tcPr>
            <w:tcW w:w="954" w:type="dxa"/>
            <w:tcBorders>
              <w:top w:val="single" w:sz="4" w:space="0" w:color="auto"/>
              <w:left w:val="nil"/>
              <w:bottom w:val="single" w:sz="4" w:space="0" w:color="000000"/>
              <w:right w:val="nil"/>
            </w:tcBorders>
            <w:shd w:val="clear" w:color="auto" w:fill="auto"/>
            <w:hideMark/>
          </w:tcPr>
          <w:p w14:paraId="30983E60"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Cost</w:t>
            </w:r>
            <w:r>
              <w:rPr>
                <w:rFonts w:asciiTheme="minorHAnsi" w:hAnsiTheme="minorHAnsi" w:cstheme="minorHAnsi"/>
                <w:b/>
                <w:bCs/>
                <w:color w:val="000000"/>
                <w:sz w:val="14"/>
                <w:szCs w:val="14"/>
                <w:lang w:val="en-US" w:eastAsia="en-US"/>
              </w:rPr>
              <w:t>-</w:t>
            </w:r>
            <w:r w:rsidRPr="00EA63C0">
              <w:rPr>
                <w:rFonts w:asciiTheme="minorHAnsi" w:hAnsiTheme="minorHAnsi" w:cstheme="minorHAnsi"/>
                <w:b/>
                <w:bCs/>
                <w:color w:val="000000"/>
                <w:sz w:val="14"/>
                <w:szCs w:val="14"/>
                <w:lang w:val="en-US" w:eastAsia="en-US"/>
              </w:rPr>
              <w:t>weighted seps</w:t>
            </w:r>
            <w:r w:rsidRPr="00EA63C0">
              <w:rPr>
                <w:rFonts w:asciiTheme="minorHAnsi" w:hAnsiTheme="minorHAnsi" w:cstheme="minorHAnsi"/>
                <w:b/>
                <w:bCs/>
                <w:color w:val="000000"/>
                <w:sz w:val="14"/>
                <w:szCs w:val="14"/>
                <w:lang w:val="en-US" w:eastAsia="en-US"/>
              </w:rPr>
              <w:br/>
              <w:t>(c)=(a)x(b)</w:t>
            </w:r>
          </w:p>
        </w:tc>
        <w:tc>
          <w:tcPr>
            <w:tcW w:w="839" w:type="dxa"/>
            <w:tcBorders>
              <w:top w:val="single" w:sz="4" w:space="0" w:color="auto"/>
              <w:left w:val="nil"/>
              <w:bottom w:val="single" w:sz="4" w:space="0" w:color="000000"/>
              <w:right w:val="nil"/>
            </w:tcBorders>
            <w:shd w:val="clear" w:color="auto" w:fill="auto"/>
            <w:hideMark/>
          </w:tcPr>
          <w:p w14:paraId="5B9DAF02"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Number of days</w:t>
            </w:r>
            <w:r w:rsidRPr="00EA63C0">
              <w:rPr>
                <w:rFonts w:asciiTheme="minorHAnsi" w:hAnsiTheme="minorHAnsi" w:cstheme="minorHAnsi"/>
                <w:b/>
                <w:bCs/>
                <w:color w:val="000000"/>
                <w:sz w:val="14"/>
                <w:szCs w:val="14"/>
                <w:lang w:val="en-US" w:eastAsia="en-US"/>
              </w:rPr>
              <w:br/>
              <w:t>(d)</w:t>
            </w:r>
          </w:p>
        </w:tc>
        <w:tc>
          <w:tcPr>
            <w:tcW w:w="918" w:type="dxa"/>
            <w:tcBorders>
              <w:top w:val="single" w:sz="4" w:space="0" w:color="auto"/>
              <w:left w:val="nil"/>
              <w:bottom w:val="single" w:sz="4" w:space="0" w:color="000000"/>
              <w:right w:val="nil"/>
            </w:tcBorders>
            <w:shd w:val="clear" w:color="auto" w:fill="auto"/>
            <w:hideMark/>
          </w:tcPr>
          <w:p w14:paraId="4B4FBA2A"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ALoS (days)</w:t>
            </w:r>
            <w:r w:rsidRPr="00EA63C0">
              <w:rPr>
                <w:rFonts w:asciiTheme="minorHAnsi" w:hAnsiTheme="minorHAnsi" w:cstheme="minorHAnsi"/>
                <w:b/>
                <w:bCs/>
                <w:color w:val="000000"/>
                <w:sz w:val="14"/>
                <w:szCs w:val="14"/>
                <w:lang w:val="en-US" w:eastAsia="en-US"/>
              </w:rPr>
              <w:br/>
              <w:t>(e)=(d)/(b)</w:t>
            </w:r>
          </w:p>
        </w:tc>
        <w:tc>
          <w:tcPr>
            <w:tcW w:w="597" w:type="dxa"/>
            <w:tcBorders>
              <w:top w:val="single" w:sz="4" w:space="0" w:color="auto"/>
              <w:left w:val="nil"/>
              <w:bottom w:val="single" w:sz="4" w:space="0" w:color="000000"/>
              <w:right w:val="nil"/>
            </w:tcBorders>
            <w:shd w:val="clear" w:color="auto" w:fill="auto"/>
            <w:hideMark/>
          </w:tcPr>
          <w:p w14:paraId="4CA5C050"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Std error</w:t>
            </w:r>
          </w:p>
        </w:tc>
        <w:tc>
          <w:tcPr>
            <w:tcW w:w="575" w:type="dxa"/>
            <w:tcBorders>
              <w:top w:val="single" w:sz="4" w:space="0" w:color="auto"/>
              <w:left w:val="nil"/>
              <w:bottom w:val="single" w:sz="4" w:space="0" w:color="000000"/>
              <w:right w:val="nil"/>
            </w:tcBorders>
            <w:shd w:val="clear" w:color="auto" w:fill="auto"/>
            <w:hideMark/>
          </w:tcPr>
          <w:p w14:paraId="0DCF9BDA"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of total seps</w:t>
            </w:r>
          </w:p>
        </w:tc>
        <w:tc>
          <w:tcPr>
            <w:tcW w:w="575" w:type="dxa"/>
            <w:tcBorders>
              <w:top w:val="single" w:sz="4" w:space="0" w:color="auto"/>
              <w:left w:val="nil"/>
              <w:bottom w:val="single" w:sz="4" w:space="0" w:color="000000"/>
              <w:right w:val="nil"/>
            </w:tcBorders>
            <w:shd w:val="clear" w:color="auto" w:fill="auto"/>
            <w:hideMark/>
          </w:tcPr>
          <w:p w14:paraId="709AA50D"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of CW seps</w:t>
            </w:r>
          </w:p>
        </w:tc>
        <w:tc>
          <w:tcPr>
            <w:tcW w:w="693" w:type="dxa"/>
            <w:tcBorders>
              <w:top w:val="single" w:sz="4" w:space="0" w:color="auto"/>
              <w:left w:val="nil"/>
              <w:bottom w:val="single" w:sz="4" w:space="0" w:color="000000"/>
              <w:right w:val="nil"/>
            </w:tcBorders>
            <w:shd w:val="clear" w:color="auto" w:fill="auto"/>
            <w:hideMark/>
          </w:tcPr>
          <w:p w14:paraId="77BAE007"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Cost weight Round 20</w:t>
            </w:r>
          </w:p>
        </w:tc>
        <w:tc>
          <w:tcPr>
            <w:tcW w:w="693" w:type="dxa"/>
            <w:tcBorders>
              <w:top w:val="single" w:sz="4" w:space="0" w:color="auto"/>
              <w:left w:val="nil"/>
              <w:bottom w:val="single" w:sz="4" w:space="0" w:color="000000"/>
              <w:right w:val="nil"/>
            </w:tcBorders>
            <w:shd w:val="clear" w:color="auto" w:fill="auto"/>
            <w:hideMark/>
          </w:tcPr>
          <w:p w14:paraId="57315391"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Rank Round 20</w:t>
            </w:r>
          </w:p>
        </w:tc>
        <w:tc>
          <w:tcPr>
            <w:tcW w:w="861" w:type="dxa"/>
            <w:tcBorders>
              <w:top w:val="single" w:sz="4" w:space="0" w:color="auto"/>
              <w:left w:val="nil"/>
              <w:bottom w:val="single" w:sz="4" w:space="0" w:color="000000"/>
              <w:right w:val="nil"/>
            </w:tcBorders>
            <w:shd w:val="clear" w:color="auto" w:fill="auto"/>
            <w:hideMark/>
          </w:tcPr>
          <w:p w14:paraId="1A5FD897" w14:textId="77777777" w:rsidR="001C198D" w:rsidRPr="00EA63C0" w:rsidRDefault="001C198D" w:rsidP="00191507">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 xml:space="preserve">No. of </w:t>
            </w:r>
            <w:r w:rsidRPr="00EA63C0">
              <w:rPr>
                <w:rFonts w:asciiTheme="minorHAnsi" w:hAnsiTheme="minorHAnsi" w:cstheme="minorHAnsi"/>
                <w:b/>
                <w:bCs/>
                <w:color w:val="000000"/>
                <w:sz w:val="14"/>
                <w:szCs w:val="14"/>
                <w:lang w:val="en-US" w:eastAsia="en-US"/>
              </w:rPr>
              <w:t>weighted seps</w:t>
            </w:r>
            <w:r>
              <w:rPr>
                <w:rFonts w:asciiTheme="minorHAnsi" w:hAnsiTheme="minorHAnsi" w:cstheme="minorHAnsi"/>
                <w:b/>
                <w:bCs/>
                <w:color w:val="000000"/>
                <w:sz w:val="14"/>
                <w:szCs w:val="14"/>
                <w:lang w:val="en-US" w:eastAsia="en-US"/>
              </w:rPr>
              <w:t xml:space="preserve"> Round 20</w:t>
            </w:r>
          </w:p>
        </w:tc>
      </w:tr>
      <w:tr w:rsidR="001C198D" w:rsidRPr="00EA63C0" w14:paraId="07E6C8B7" w14:textId="77777777" w:rsidTr="00751830">
        <w:trPr>
          <w:trHeight w:hRule="exact" w:val="312"/>
        </w:trPr>
        <w:tc>
          <w:tcPr>
            <w:tcW w:w="675" w:type="dxa"/>
            <w:tcBorders>
              <w:top w:val="nil"/>
              <w:left w:val="nil"/>
              <w:bottom w:val="nil"/>
              <w:right w:val="nil"/>
            </w:tcBorders>
            <w:shd w:val="clear" w:color="auto" w:fill="auto"/>
            <w:noWrap/>
            <w:hideMark/>
          </w:tcPr>
          <w:p w14:paraId="5D58BF64"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30B34BD3"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w:t>
            </w:r>
          </w:p>
        </w:tc>
        <w:tc>
          <w:tcPr>
            <w:tcW w:w="709" w:type="dxa"/>
            <w:tcBorders>
              <w:top w:val="nil"/>
              <w:left w:val="nil"/>
              <w:bottom w:val="nil"/>
              <w:right w:val="nil"/>
            </w:tcBorders>
            <w:shd w:val="clear" w:color="auto" w:fill="auto"/>
            <w:noWrap/>
            <w:hideMark/>
          </w:tcPr>
          <w:p w14:paraId="6970B817"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A13A</w:t>
            </w:r>
          </w:p>
        </w:tc>
        <w:tc>
          <w:tcPr>
            <w:tcW w:w="4961" w:type="dxa"/>
            <w:tcBorders>
              <w:top w:val="nil"/>
              <w:left w:val="nil"/>
              <w:bottom w:val="nil"/>
              <w:right w:val="nil"/>
            </w:tcBorders>
            <w:shd w:val="clear" w:color="auto" w:fill="auto"/>
            <w:noWrap/>
            <w:hideMark/>
          </w:tcPr>
          <w:p w14:paraId="24532D6A"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Ventilation &gt;=336hours, Major Complexity</w:t>
            </w:r>
          </w:p>
        </w:tc>
        <w:tc>
          <w:tcPr>
            <w:tcW w:w="567" w:type="dxa"/>
            <w:tcBorders>
              <w:top w:val="nil"/>
              <w:left w:val="nil"/>
              <w:bottom w:val="nil"/>
              <w:right w:val="nil"/>
            </w:tcBorders>
            <w:shd w:val="clear" w:color="auto" w:fill="auto"/>
            <w:noWrap/>
            <w:hideMark/>
          </w:tcPr>
          <w:p w14:paraId="2601F3EE"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46.60</w:t>
            </w:r>
          </w:p>
        </w:tc>
        <w:tc>
          <w:tcPr>
            <w:tcW w:w="851" w:type="dxa"/>
            <w:tcBorders>
              <w:top w:val="nil"/>
              <w:left w:val="nil"/>
              <w:bottom w:val="nil"/>
              <w:right w:val="nil"/>
            </w:tcBorders>
            <w:shd w:val="clear" w:color="auto" w:fill="auto"/>
            <w:noWrap/>
            <w:hideMark/>
          </w:tcPr>
          <w:p w14:paraId="33F7C2A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98</w:t>
            </w:r>
          </w:p>
        </w:tc>
        <w:tc>
          <w:tcPr>
            <w:tcW w:w="954" w:type="dxa"/>
            <w:tcBorders>
              <w:top w:val="nil"/>
              <w:left w:val="nil"/>
              <w:bottom w:val="nil"/>
              <w:right w:val="nil"/>
            </w:tcBorders>
            <w:shd w:val="clear" w:color="auto" w:fill="auto"/>
            <w:noWrap/>
            <w:hideMark/>
          </w:tcPr>
          <w:p w14:paraId="42F4898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4,567</w:t>
            </w:r>
          </w:p>
        </w:tc>
        <w:tc>
          <w:tcPr>
            <w:tcW w:w="839" w:type="dxa"/>
            <w:tcBorders>
              <w:top w:val="nil"/>
              <w:left w:val="nil"/>
              <w:bottom w:val="nil"/>
              <w:right w:val="nil"/>
            </w:tcBorders>
            <w:shd w:val="clear" w:color="auto" w:fill="auto"/>
            <w:noWrap/>
            <w:hideMark/>
          </w:tcPr>
          <w:p w14:paraId="3A4C73E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5,575</w:t>
            </w:r>
          </w:p>
        </w:tc>
        <w:tc>
          <w:tcPr>
            <w:tcW w:w="918" w:type="dxa"/>
            <w:tcBorders>
              <w:top w:val="nil"/>
              <w:left w:val="nil"/>
              <w:bottom w:val="nil"/>
              <w:right w:val="nil"/>
            </w:tcBorders>
            <w:shd w:val="clear" w:color="auto" w:fill="auto"/>
            <w:noWrap/>
            <w:hideMark/>
          </w:tcPr>
          <w:p w14:paraId="220754C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56.7</w:t>
            </w:r>
          </w:p>
        </w:tc>
        <w:tc>
          <w:tcPr>
            <w:tcW w:w="597" w:type="dxa"/>
            <w:tcBorders>
              <w:top w:val="nil"/>
              <w:left w:val="nil"/>
              <w:bottom w:val="nil"/>
              <w:right w:val="nil"/>
            </w:tcBorders>
            <w:shd w:val="clear" w:color="auto" w:fill="auto"/>
            <w:noWrap/>
            <w:hideMark/>
          </w:tcPr>
          <w:p w14:paraId="0E4C842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4.85</w:t>
            </w:r>
          </w:p>
        </w:tc>
        <w:tc>
          <w:tcPr>
            <w:tcW w:w="575" w:type="dxa"/>
            <w:tcBorders>
              <w:top w:val="nil"/>
              <w:left w:val="nil"/>
              <w:bottom w:val="nil"/>
              <w:right w:val="nil"/>
            </w:tcBorders>
            <w:shd w:val="clear" w:color="auto" w:fill="auto"/>
            <w:noWrap/>
            <w:hideMark/>
          </w:tcPr>
          <w:p w14:paraId="2875A90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44E3210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5875EF9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40.52</w:t>
            </w:r>
          </w:p>
        </w:tc>
        <w:tc>
          <w:tcPr>
            <w:tcW w:w="693" w:type="dxa"/>
            <w:tcBorders>
              <w:top w:val="nil"/>
              <w:left w:val="nil"/>
              <w:bottom w:val="nil"/>
              <w:right w:val="nil"/>
            </w:tcBorders>
            <w:shd w:val="clear" w:color="auto" w:fill="auto"/>
            <w:noWrap/>
            <w:hideMark/>
          </w:tcPr>
          <w:p w14:paraId="3F745D1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 </w:t>
            </w:r>
          </w:p>
        </w:tc>
        <w:tc>
          <w:tcPr>
            <w:tcW w:w="861" w:type="dxa"/>
            <w:tcBorders>
              <w:top w:val="nil"/>
              <w:left w:val="nil"/>
              <w:bottom w:val="nil"/>
              <w:right w:val="nil"/>
            </w:tcBorders>
            <w:shd w:val="clear" w:color="auto" w:fill="auto"/>
            <w:noWrap/>
            <w:hideMark/>
          </w:tcPr>
          <w:p w14:paraId="6E24769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141 </w:t>
            </w:r>
          </w:p>
        </w:tc>
      </w:tr>
      <w:tr w:rsidR="001C198D" w:rsidRPr="00EA63C0" w14:paraId="291CFD79" w14:textId="77777777" w:rsidTr="00751830">
        <w:trPr>
          <w:trHeight w:hRule="exact" w:val="312"/>
        </w:trPr>
        <w:tc>
          <w:tcPr>
            <w:tcW w:w="675" w:type="dxa"/>
            <w:tcBorders>
              <w:top w:val="nil"/>
              <w:left w:val="nil"/>
              <w:bottom w:val="nil"/>
              <w:right w:val="nil"/>
            </w:tcBorders>
            <w:shd w:val="clear" w:color="auto" w:fill="auto"/>
            <w:noWrap/>
            <w:hideMark/>
          </w:tcPr>
          <w:p w14:paraId="3BAED525"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3D33BCEA"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w:t>
            </w:r>
          </w:p>
        </w:tc>
        <w:tc>
          <w:tcPr>
            <w:tcW w:w="709" w:type="dxa"/>
            <w:tcBorders>
              <w:top w:val="nil"/>
              <w:left w:val="nil"/>
              <w:bottom w:val="nil"/>
              <w:right w:val="nil"/>
            </w:tcBorders>
            <w:shd w:val="clear" w:color="auto" w:fill="auto"/>
            <w:noWrap/>
            <w:hideMark/>
          </w:tcPr>
          <w:p w14:paraId="04E339FF"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A14A</w:t>
            </w:r>
          </w:p>
        </w:tc>
        <w:tc>
          <w:tcPr>
            <w:tcW w:w="4961" w:type="dxa"/>
            <w:tcBorders>
              <w:top w:val="nil"/>
              <w:left w:val="nil"/>
              <w:bottom w:val="nil"/>
              <w:right w:val="nil"/>
            </w:tcBorders>
            <w:shd w:val="clear" w:color="auto" w:fill="auto"/>
            <w:noWrap/>
            <w:hideMark/>
          </w:tcPr>
          <w:p w14:paraId="1C34AF13"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Ventilation &gt;=96hours &amp; &lt;336hours, Major Complexity</w:t>
            </w:r>
          </w:p>
        </w:tc>
        <w:tc>
          <w:tcPr>
            <w:tcW w:w="567" w:type="dxa"/>
            <w:tcBorders>
              <w:top w:val="nil"/>
              <w:left w:val="nil"/>
              <w:bottom w:val="nil"/>
              <w:right w:val="nil"/>
            </w:tcBorders>
            <w:shd w:val="clear" w:color="auto" w:fill="auto"/>
            <w:noWrap/>
            <w:hideMark/>
          </w:tcPr>
          <w:p w14:paraId="2C2D31AA"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38.79</w:t>
            </w:r>
          </w:p>
        </w:tc>
        <w:tc>
          <w:tcPr>
            <w:tcW w:w="851" w:type="dxa"/>
            <w:tcBorders>
              <w:top w:val="nil"/>
              <w:left w:val="nil"/>
              <w:bottom w:val="nil"/>
              <w:right w:val="nil"/>
            </w:tcBorders>
            <w:shd w:val="clear" w:color="auto" w:fill="auto"/>
            <w:noWrap/>
            <w:hideMark/>
          </w:tcPr>
          <w:p w14:paraId="5CD6FE5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165</w:t>
            </w:r>
          </w:p>
        </w:tc>
        <w:tc>
          <w:tcPr>
            <w:tcW w:w="954" w:type="dxa"/>
            <w:tcBorders>
              <w:top w:val="nil"/>
              <w:left w:val="nil"/>
              <w:bottom w:val="nil"/>
              <w:right w:val="nil"/>
            </w:tcBorders>
            <w:shd w:val="clear" w:color="auto" w:fill="auto"/>
            <w:noWrap/>
            <w:hideMark/>
          </w:tcPr>
          <w:p w14:paraId="3EE8BA5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6,400</w:t>
            </w:r>
          </w:p>
        </w:tc>
        <w:tc>
          <w:tcPr>
            <w:tcW w:w="839" w:type="dxa"/>
            <w:tcBorders>
              <w:top w:val="nil"/>
              <w:left w:val="nil"/>
              <w:bottom w:val="nil"/>
              <w:right w:val="nil"/>
            </w:tcBorders>
            <w:shd w:val="clear" w:color="auto" w:fill="auto"/>
            <w:noWrap/>
            <w:hideMark/>
          </w:tcPr>
          <w:p w14:paraId="014211F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8,460</w:t>
            </w:r>
          </w:p>
        </w:tc>
        <w:tc>
          <w:tcPr>
            <w:tcW w:w="918" w:type="dxa"/>
            <w:tcBorders>
              <w:top w:val="nil"/>
              <w:left w:val="nil"/>
              <w:bottom w:val="nil"/>
              <w:right w:val="nil"/>
            </w:tcBorders>
            <w:shd w:val="clear" w:color="auto" w:fill="auto"/>
            <w:noWrap/>
            <w:hideMark/>
          </w:tcPr>
          <w:p w14:paraId="5EB839E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51.2</w:t>
            </w:r>
          </w:p>
        </w:tc>
        <w:tc>
          <w:tcPr>
            <w:tcW w:w="597" w:type="dxa"/>
            <w:tcBorders>
              <w:top w:val="nil"/>
              <w:left w:val="nil"/>
              <w:bottom w:val="nil"/>
              <w:right w:val="nil"/>
            </w:tcBorders>
            <w:shd w:val="clear" w:color="auto" w:fill="auto"/>
            <w:noWrap/>
            <w:hideMark/>
          </w:tcPr>
          <w:p w14:paraId="5C9302F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2.96</w:t>
            </w:r>
          </w:p>
        </w:tc>
        <w:tc>
          <w:tcPr>
            <w:tcW w:w="575" w:type="dxa"/>
            <w:tcBorders>
              <w:top w:val="nil"/>
              <w:left w:val="nil"/>
              <w:bottom w:val="nil"/>
              <w:right w:val="nil"/>
            </w:tcBorders>
            <w:shd w:val="clear" w:color="auto" w:fill="auto"/>
            <w:noWrap/>
            <w:hideMark/>
          </w:tcPr>
          <w:p w14:paraId="0EE619E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2C7B4CD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0.2%</w:t>
            </w:r>
          </w:p>
        </w:tc>
        <w:tc>
          <w:tcPr>
            <w:tcW w:w="693" w:type="dxa"/>
            <w:tcBorders>
              <w:top w:val="nil"/>
              <w:left w:val="nil"/>
              <w:bottom w:val="nil"/>
              <w:right w:val="nil"/>
            </w:tcBorders>
            <w:shd w:val="clear" w:color="auto" w:fill="auto"/>
            <w:noWrap/>
            <w:hideMark/>
          </w:tcPr>
          <w:p w14:paraId="113EA85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29.17</w:t>
            </w:r>
          </w:p>
        </w:tc>
        <w:tc>
          <w:tcPr>
            <w:tcW w:w="693" w:type="dxa"/>
            <w:tcBorders>
              <w:top w:val="nil"/>
              <w:left w:val="nil"/>
              <w:bottom w:val="nil"/>
              <w:right w:val="nil"/>
            </w:tcBorders>
            <w:shd w:val="clear" w:color="auto" w:fill="auto"/>
            <w:noWrap/>
            <w:hideMark/>
          </w:tcPr>
          <w:p w14:paraId="2BCE121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3 </w:t>
            </w:r>
          </w:p>
        </w:tc>
        <w:tc>
          <w:tcPr>
            <w:tcW w:w="861" w:type="dxa"/>
            <w:tcBorders>
              <w:top w:val="nil"/>
              <w:left w:val="nil"/>
              <w:bottom w:val="nil"/>
              <w:right w:val="nil"/>
            </w:tcBorders>
            <w:shd w:val="clear" w:color="auto" w:fill="auto"/>
            <w:noWrap/>
            <w:hideMark/>
          </w:tcPr>
          <w:p w14:paraId="1B97C99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241 </w:t>
            </w:r>
          </w:p>
        </w:tc>
      </w:tr>
      <w:tr w:rsidR="001C198D" w:rsidRPr="00EA63C0" w14:paraId="6620F156" w14:textId="77777777" w:rsidTr="00751830">
        <w:trPr>
          <w:trHeight w:hRule="exact" w:val="312"/>
        </w:trPr>
        <w:tc>
          <w:tcPr>
            <w:tcW w:w="675" w:type="dxa"/>
            <w:tcBorders>
              <w:top w:val="nil"/>
              <w:left w:val="nil"/>
              <w:bottom w:val="nil"/>
              <w:right w:val="nil"/>
            </w:tcBorders>
            <w:shd w:val="clear" w:color="auto" w:fill="auto"/>
            <w:noWrap/>
            <w:hideMark/>
          </w:tcPr>
          <w:p w14:paraId="5834C21A"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7B0753A8"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w:t>
            </w:r>
          </w:p>
        </w:tc>
        <w:tc>
          <w:tcPr>
            <w:tcW w:w="709" w:type="dxa"/>
            <w:tcBorders>
              <w:top w:val="nil"/>
              <w:left w:val="nil"/>
              <w:bottom w:val="nil"/>
              <w:right w:val="nil"/>
            </w:tcBorders>
            <w:shd w:val="clear" w:color="auto" w:fill="auto"/>
            <w:noWrap/>
            <w:hideMark/>
          </w:tcPr>
          <w:p w14:paraId="632149AB"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A14B</w:t>
            </w:r>
          </w:p>
        </w:tc>
        <w:tc>
          <w:tcPr>
            <w:tcW w:w="4961" w:type="dxa"/>
            <w:tcBorders>
              <w:top w:val="nil"/>
              <w:left w:val="nil"/>
              <w:bottom w:val="nil"/>
              <w:right w:val="nil"/>
            </w:tcBorders>
            <w:shd w:val="clear" w:color="auto" w:fill="auto"/>
            <w:noWrap/>
            <w:hideMark/>
          </w:tcPr>
          <w:p w14:paraId="0F1405DB"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Ventilation &gt;=96hours &amp; &lt;336hours, Intermediate Complexity</w:t>
            </w:r>
          </w:p>
        </w:tc>
        <w:tc>
          <w:tcPr>
            <w:tcW w:w="567" w:type="dxa"/>
            <w:tcBorders>
              <w:top w:val="nil"/>
              <w:left w:val="nil"/>
              <w:bottom w:val="nil"/>
              <w:right w:val="nil"/>
            </w:tcBorders>
            <w:shd w:val="clear" w:color="auto" w:fill="auto"/>
            <w:noWrap/>
            <w:hideMark/>
          </w:tcPr>
          <w:p w14:paraId="0E316925"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23.16</w:t>
            </w:r>
          </w:p>
        </w:tc>
        <w:tc>
          <w:tcPr>
            <w:tcW w:w="851" w:type="dxa"/>
            <w:tcBorders>
              <w:top w:val="nil"/>
              <w:left w:val="nil"/>
              <w:bottom w:val="nil"/>
              <w:right w:val="nil"/>
            </w:tcBorders>
            <w:shd w:val="clear" w:color="auto" w:fill="auto"/>
            <w:noWrap/>
            <w:hideMark/>
          </w:tcPr>
          <w:p w14:paraId="189B67F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288</w:t>
            </w:r>
          </w:p>
        </w:tc>
        <w:tc>
          <w:tcPr>
            <w:tcW w:w="954" w:type="dxa"/>
            <w:tcBorders>
              <w:top w:val="nil"/>
              <w:left w:val="nil"/>
              <w:bottom w:val="nil"/>
              <w:right w:val="nil"/>
            </w:tcBorders>
            <w:shd w:val="clear" w:color="auto" w:fill="auto"/>
            <w:noWrap/>
            <w:hideMark/>
          </w:tcPr>
          <w:p w14:paraId="1CF0391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6,670</w:t>
            </w:r>
          </w:p>
        </w:tc>
        <w:tc>
          <w:tcPr>
            <w:tcW w:w="839" w:type="dxa"/>
            <w:tcBorders>
              <w:top w:val="nil"/>
              <w:left w:val="nil"/>
              <w:bottom w:val="nil"/>
              <w:right w:val="nil"/>
            </w:tcBorders>
            <w:shd w:val="clear" w:color="auto" w:fill="auto"/>
            <w:noWrap/>
            <w:hideMark/>
          </w:tcPr>
          <w:p w14:paraId="46C9D57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8,022</w:t>
            </w:r>
          </w:p>
        </w:tc>
        <w:tc>
          <w:tcPr>
            <w:tcW w:w="918" w:type="dxa"/>
            <w:tcBorders>
              <w:top w:val="nil"/>
              <w:left w:val="nil"/>
              <w:bottom w:val="nil"/>
              <w:right w:val="nil"/>
            </w:tcBorders>
            <w:shd w:val="clear" w:color="auto" w:fill="auto"/>
            <w:noWrap/>
            <w:hideMark/>
          </w:tcPr>
          <w:p w14:paraId="480FB22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27.8</w:t>
            </w:r>
          </w:p>
        </w:tc>
        <w:tc>
          <w:tcPr>
            <w:tcW w:w="597" w:type="dxa"/>
            <w:tcBorders>
              <w:top w:val="nil"/>
              <w:left w:val="nil"/>
              <w:bottom w:val="nil"/>
              <w:right w:val="nil"/>
            </w:tcBorders>
            <w:shd w:val="clear" w:color="auto" w:fill="auto"/>
            <w:noWrap/>
            <w:hideMark/>
          </w:tcPr>
          <w:p w14:paraId="1D31DC7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1.12</w:t>
            </w:r>
          </w:p>
        </w:tc>
        <w:tc>
          <w:tcPr>
            <w:tcW w:w="575" w:type="dxa"/>
            <w:tcBorders>
              <w:top w:val="nil"/>
              <w:left w:val="nil"/>
              <w:bottom w:val="nil"/>
              <w:right w:val="nil"/>
            </w:tcBorders>
            <w:shd w:val="clear" w:color="auto" w:fill="auto"/>
            <w:noWrap/>
            <w:hideMark/>
          </w:tcPr>
          <w:p w14:paraId="1CE4268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77A6428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0.2%</w:t>
            </w:r>
          </w:p>
        </w:tc>
        <w:tc>
          <w:tcPr>
            <w:tcW w:w="693" w:type="dxa"/>
            <w:tcBorders>
              <w:top w:val="nil"/>
              <w:left w:val="nil"/>
              <w:bottom w:val="nil"/>
              <w:right w:val="nil"/>
            </w:tcBorders>
            <w:shd w:val="clear" w:color="auto" w:fill="auto"/>
            <w:noWrap/>
            <w:hideMark/>
          </w:tcPr>
          <w:p w14:paraId="40535E8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19.60</w:t>
            </w:r>
          </w:p>
        </w:tc>
        <w:tc>
          <w:tcPr>
            <w:tcW w:w="693" w:type="dxa"/>
            <w:tcBorders>
              <w:top w:val="nil"/>
              <w:left w:val="nil"/>
              <w:bottom w:val="nil"/>
              <w:right w:val="nil"/>
            </w:tcBorders>
            <w:shd w:val="clear" w:color="auto" w:fill="auto"/>
            <w:noWrap/>
            <w:hideMark/>
          </w:tcPr>
          <w:p w14:paraId="595E5C7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6 </w:t>
            </w:r>
          </w:p>
        </w:tc>
        <w:tc>
          <w:tcPr>
            <w:tcW w:w="861" w:type="dxa"/>
            <w:tcBorders>
              <w:top w:val="nil"/>
              <w:left w:val="nil"/>
              <w:bottom w:val="nil"/>
              <w:right w:val="nil"/>
            </w:tcBorders>
            <w:shd w:val="clear" w:color="auto" w:fill="auto"/>
            <w:noWrap/>
            <w:hideMark/>
          </w:tcPr>
          <w:p w14:paraId="140D87D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468 </w:t>
            </w:r>
          </w:p>
        </w:tc>
      </w:tr>
      <w:tr w:rsidR="001C198D" w:rsidRPr="00EA63C0" w14:paraId="2BB300A4" w14:textId="77777777" w:rsidTr="00751830">
        <w:trPr>
          <w:trHeight w:hRule="exact" w:val="312"/>
        </w:trPr>
        <w:tc>
          <w:tcPr>
            <w:tcW w:w="675" w:type="dxa"/>
            <w:tcBorders>
              <w:top w:val="nil"/>
              <w:left w:val="nil"/>
              <w:bottom w:val="nil"/>
              <w:right w:val="nil"/>
            </w:tcBorders>
            <w:shd w:val="clear" w:color="auto" w:fill="auto"/>
            <w:noWrap/>
            <w:hideMark/>
          </w:tcPr>
          <w:p w14:paraId="18D74CDB"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16AC3485"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w:t>
            </w:r>
          </w:p>
        </w:tc>
        <w:tc>
          <w:tcPr>
            <w:tcW w:w="709" w:type="dxa"/>
            <w:tcBorders>
              <w:top w:val="nil"/>
              <w:left w:val="nil"/>
              <w:bottom w:val="nil"/>
              <w:right w:val="nil"/>
            </w:tcBorders>
            <w:shd w:val="clear" w:color="auto" w:fill="auto"/>
            <w:noWrap/>
            <w:hideMark/>
          </w:tcPr>
          <w:p w14:paraId="67678651"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A15A</w:t>
            </w:r>
          </w:p>
        </w:tc>
        <w:tc>
          <w:tcPr>
            <w:tcW w:w="4961" w:type="dxa"/>
            <w:tcBorders>
              <w:top w:val="nil"/>
              <w:left w:val="nil"/>
              <w:bottom w:val="nil"/>
              <w:right w:val="nil"/>
            </w:tcBorders>
            <w:shd w:val="clear" w:color="auto" w:fill="auto"/>
            <w:noWrap/>
            <w:hideMark/>
          </w:tcPr>
          <w:p w14:paraId="0998AD84"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Tracheostomy, Major Complexity</w:t>
            </w:r>
          </w:p>
        </w:tc>
        <w:tc>
          <w:tcPr>
            <w:tcW w:w="567" w:type="dxa"/>
            <w:tcBorders>
              <w:top w:val="nil"/>
              <w:left w:val="nil"/>
              <w:bottom w:val="nil"/>
              <w:right w:val="nil"/>
            </w:tcBorders>
            <w:shd w:val="clear" w:color="auto" w:fill="auto"/>
            <w:noWrap/>
            <w:hideMark/>
          </w:tcPr>
          <w:p w14:paraId="41455D7F"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21.86</w:t>
            </w:r>
          </w:p>
        </w:tc>
        <w:tc>
          <w:tcPr>
            <w:tcW w:w="851" w:type="dxa"/>
            <w:tcBorders>
              <w:top w:val="nil"/>
              <w:left w:val="nil"/>
              <w:bottom w:val="nil"/>
              <w:right w:val="nil"/>
            </w:tcBorders>
            <w:shd w:val="clear" w:color="auto" w:fill="auto"/>
            <w:noWrap/>
            <w:hideMark/>
          </w:tcPr>
          <w:p w14:paraId="1D20A1F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w:t>
            </w:r>
          </w:p>
        </w:tc>
        <w:tc>
          <w:tcPr>
            <w:tcW w:w="954" w:type="dxa"/>
            <w:tcBorders>
              <w:top w:val="nil"/>
              <w:left w:val="nil"/>
              <w:bottom w:val="nil"/>
              <w:right w:val="nil"/>
            </w:tcBorders>
            <w:shd w:val="clear" w:color="auto" w:fill="auto"/>
            <w:noWrap/>
            <w:hideMark/>
          </w:tcPr>
          <w:p w14:paraId="07F31A0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240</w:t>
            </w:r>
          </w:p>
        </w:tc>
        <w:tc>
          <w:tcPr>
            <w:tcW w:w="839" w:type="dxa"/>
            <w:tcBorders>
              <w:top w:val="nil"/>
              <w:left w:val="nil"/>
              <w:bottom w:val="nil"/>
              <w:right w:val="nil"/>
            </w:tcBorders>
            <w:shd w:val="clear" w:color="auto" w:fill="auto"/>
            <w:noWrap/>
            <w:hideMark/>
          </w:tcPr>
          <w:p w14:paraId="1439BA4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255</w:t>
            </w:r>
          </w:p>
        </w:tc>
        <w:tc>
          <w:tcPr>
            <w:tcW w:w="918" w:type="dxa"/>
            <w:tcBorders>
              <w:top w:val="nil"/>
              <w:left w:val="nil"/>
              <w:bottom w:val="nil"/>
              <w:right w:val="nil"/>
            </w:tcBorders>
            <w:shd w:val="clear" w:color="auto" w:fill="auto"/>
            <w:noWrap/>
            <w:hideMark/>
          </w:tcPr>
          <w:p w14:paraId="05AC4A2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24.2</w:t>
            </w:r>
          </w:p>
        </w:tc>
        <w:tc>
          <w:tcPr>
            <w:tcW w:w="597" w:type="dxa"/>
            <w:tcBorders>
              <w:top w:val="nil"/>
              <w:left w:val="nil"/>
              <w:bottom w:val="nil"/>
              <w:right w:val="nil"/>
            </w:tcBorders>
            <w:shd w:val="clear" w:color="auto" w:fill="auto"/>
            <w:noWrap/>
            <w:hideMark/>
          </w:tcPr>
          <w:p w14:paraId="3DA5868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2.39</w:t>
            </w:r>
          </w:p>
        </w:tc>
        <w:tc>
          <w:tcPr>
            <w:tcW w:w="575" w:type="dxa"/>
            <w:tcBorders>
              <w:top w:val="nil"/>
              <w:left w:val="nil"/>
              <w:bottom w:val="nil"/>
              <w:right w:val="nil"/>
            </w:tcBorders>
            <w:shd w:val="clear" w:color="auto" w:fill="auto"/>
            <w:noWrap/>
            <w:hideMark/>
          </w:tcPr>
          <w:p w14:paraId="122679A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6916C81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2A084B2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21.64</w:t>
            </w:r>
          </w:p>
        </w:tc>
        <w:tc>
          <w:tcPr>
            <w:tcW w:w="693" w:type="dxa"/>
            <w:tcBorders>
              <w:top w:val="nil"/>
              <w:left w:val="nil"/>
              <w:bottom w:val="nil"/>
              <w:right w:val="nil"/>
            </w:tcBorders>
            <w:shd w:val="clear" w:color="auto" w:fill="auto"/>
            <w:noWrap/>
            <w:hideMark/>
          </w:tcPr>
          <w:p w14:paraId="1B3783E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4 </w:t>
            </w:r>
          </w:p>
        </w:tc>
        <w:tc>
          <w:tcPr>
            <w:tcW w:w="861" w:type="dxa"/>
            <w:tcBorders>
              <w:top w:val="nil"/>
              <w:left w:val="nil"/>
              <w:bottom w:val="nil"/>
              <w:right w:val="nil"/>
            </w:tcBorders>
            <w:shd w:val="clear" w:color="auto" w:fill="auto"/>
            <w:noWrap/>
            <w:hideMark/>
          </w:tcPr>
          <w:p w14:paraId="3BCC67B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32 </w:t>
            </w:r>
          </w:p>
        </w:tc>
      </w:tr>
      <w:tr w:rsidR="001C198D" w:rsidRPr="00EA63C0" w14:paraId="0B339265" w14:textId="77777777" w:rsidTr="00751830">
        <w:trPr>
          <w:trHeight w:hRule="exact" w:val="312"/>
        </w:trPr>
        <w:tc>
          <w:tcPr>
            <w:tcW w:w="675" w:type="dxa"/>
            <w:tcBorders>
              <w:top w:val="nil"/>
              <w:left w:val="nil"/>
              <w:bottom w:val="nil"/>
              <w:right w:val="nil"/>
            </w:tcBorders>
            <w:shd w:val="clear" w:color="auto" w:fill="auto"/>
            <w:noWrap/>
            <w:hideMark/>
          </w:tcPr>
          <w:p w14:paraId="0D2C596A"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796EF612"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w:t>
            </w:r>
          </w:p>
        </w:tc>
        <w:tc>
          <w:tcPr>
            <w:tcW w:w="709" w:type="dxa"/>
            <w:tcBorders>
              <w:top w:val="nil"/>
              <w:left w:val="nil"/>
              <w:bottom w:val="nil"/>
              <w:right w:val="nil"/>
            </w:tcBorders>
            <w:shd w:val="clear" w:color="auto" w:fill="auto"/>
            <w:noWrap/>
            <w:hideMark/>
          </w:tcPr>
          <w:p w14:paraId="30E30414"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A13B</w:t>
            </w:r>
          </w:p>
        </w:tc>
        <w:tc>
          <w:tcPr>
            <w:tcW w:w="4961" w:type="dxa"/>
            <w:tcBorders>
              <w:top w:val="nil"/>
              <w:left w:val="nil"/>
              <w:bottom w:val="nil"/>
              <w:right w:val="nil"/>
            </w:tcBorders>
            <w:shd w:val="clear" w:color="auto" w:fill="auto"/>
            <w:noWrap/>
            <w:hideMark/>
          </w:tcPr>
          <w:p w14:paraId="102050B4"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Ventilation &gt;=336hours, Minor Complexity</w:t>
            </w:r>
          </w:p>
        </w:tc>
        <w:tc>
          <w:tcPr>
            <w:tcW w:w="567" w:type="dxa"/>
            <w:tcBorders>
              <w:top w:val="nil"/>
              <w:left w:val="nil"/>
              <w:bottom w:val="nil"/>
              <w:right w:val="nil"/>
            </w:tcBorders>
            <w:shd w:val="clear" w:color="auto" w:fill="auto"/>
            <w:noWrap/>
            <w:hideMark/>
          </w:tcPr>
          <w:p w14:paraId="42C4D046"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21.63</w:t>
            </w:r>
          </w:p>
        </w:tc>
        <w:tc>
          <w:tcPr>
            <w:tcW w:w="851" w:type="dxa"/>
            <w:tcBorders>
              <w:top w:val="nil"/>
              <w:left w:val="nil"/>
              <w:bottom w:val="nil"/>
              <w:right w:val="nil"/>
            </w:tcBorders>
            <w:shd w:val="clear" w:color="auto" w:fill="auto"/>
            <w:noWrap/>
            <w:hideMark/>
          </w:tcPr>
          <w:p w14:paraId="1376E0D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w:t>
            </w:r>
          </w:p>
        </w:tc>
        <w:tc>
          <w:tcPr>
            <w:tcW w:w="954" w:type="dxa"/>
            <w:tcBorders>
              <w:top w:val="nil"/>
              <w:left w:val="nil"/>
              <w:bottom w:val="nil"/>
              <w:right w:val="nil"/>
            </w:tcBorders>
            <w:shd w:val="clear" w:color="auto" w:fill="auto"/>
            <w:noWrap/>
            <w:hideMark/>
          </w:tcPr>
          <w:p w14:paraId="529BDED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173</w:t>
            </w:r>
          </w:p>
        </w:tc>
        <w:tc>
          <w:tcPr>
            <w:tcW w:w="839" w:type="dxa"/>
            <w:tcBorders>
              <w:top w:val="nil"/>
              <w:left w:val="nil"/>
              <w:bottom w:val="nil"/>
              <w:right w:val="nil"/>
            </w:tcBorders>
            <w:shd w:val="clear" w:color="auto" w:fill="auto"/>
            <w:noWrap/>
            <w:hideMark/>
          </w:tcPr>
          <w:p w14:paraId="40C1807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256</w:t>
            </w:r>
          </w:p>
        </w:tc>
        <w:tc>
          <w:tcPr>
            <w:tcW w:w="918" w:type="dxa"/>
            <w:tcBorders>
              <w:top w:val="nil"/>
              <w:left w:val="nil"/>
              <w:bottom w:val="nil"/>
              <w:right w:val="nil"/>
            </w:tcBorders>
            <w:shd w:val="clear" w:color="auto" w:fill="auto"/>
            <w:noWrap/>
            <w:hideMark/>
          </w:tcPr>
          <w:p w14:paraId="5A69B68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30.6</w:t>
            </w:r>
          </w:p>
        </w:tc>
        <w:tc>
          <w:tcPr>
            <w:tcW w:w="597" w:type="dxa"/>
            <w:tcBorders>
              <w:top w:val="nil"/>
              <w:left w:val="nil"/>
              <w:bottom w:val="nil"/>
              <w:right w:val="nil"/>
            </w:tcBorders>
            <w:shd w:val="clear" w:color="auto" w:fill="auto"/>
            <w:noWrap/>
            <w:hideMark/>
          </w:tcPr>
          <w:p w14:paraId="248B874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1.94</w:t>
            </w:r>
          </w:p>
        </w:tc>
        <w:tc>
          <w:tcPr>
            <w:tcW w:w="575" w:type="dxa"/>
            <w:tcBorders>
              <w:top w:val="nil"/>
              <w:left w:val="nil"/>
              <w:bottom w:val="nil"/>
              <w:right w:val="nil"/>
            </w:tcBorders>
            <w:shd w:val="clear" w:color="auto" w:fill="auto"/>
            <w:noWrap/>
            <w:hideMark/>
          </w:tcPr>
          <w:p w14:paraId="17D241E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783820B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1C4B59A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33.70</w:t>
            </w:r>
          </w:p>
        </w:tc>
        <w:tc>
          <w:tcPr>
            <w:tcW w:w="693" w:type="dxa"/>
            <w:tcBorders>
              <w:top w:val="nil"/>
              <w:left w:val="nil"/>
              <w:bottom w:val="nil"/>
              <w:right w:val="nil"/>
            </w:tcBorders>
            <w:shd w:val="clear" w:color="auto" w:fill="auto"/>
            <w:noWrap/>
            <w:hideMark/>
          </w:tcPr>
          <w:p w14:paraId="11BC3C5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2 </w:t>
            </w:r>
          </w:p>
        </w:tc>
        <w:tc>
          <w:tcPr>
            <w:tcW w:w="861" w:type="dxa"/>
            <w:tcBorders>
              <w:top w:val="nil"/>
              <w:left w:val="nil"/>
              <w:bottom w:val="nil"/>
              <w:right w:val="nil"/>
            </w:tcBorders>
            <w:shd w:val="clear" w:color="auto" w:fill="auto"/>
            <w:noWrap/>
            <w:hideMark/>
          </w:tcPr>
          <w:p w14:paraId="7D64483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37 </w:t>
            </w:r>
          </w:p>
        </w:tc>
      </w:tr>
      <w:tr w:rsidR="001C198D" w:rsidRPr="00EA63C0" w14:paraId="17C7B262" w14:textId="77777777" w:rsidTr="00751830">
        <w:trPr>
          <w:trHeight w:hRule="exact" w:val="312"/>
        </w:trPr>
        <w:tc>
          <w:tcPr>
            <w:tcW w:w="675" w:type="dxa"/>
            <w:tcBorders>
              <w:top w:val="nil"/>
              <w:left w:val="nil"/>
              <w:bottom w:val="nil"/>
              <w:right w:val="nil"/>
            </w:tcBorders>
            <w:shd w:val="clear" w:color="auto" w:fill="auto"/>
            <w:noWrap/>
            <w:hideMark/>
          </w:tcPr>
          <w:p w14:paraId="5483DE85"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61FC6623"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6</w:t>
            </w:r>
          </w:p>
        </w:tc>
        <w:tc>
          <w:tcPr>
            <w:tcW w:w="709" w:type="dxa"/>
            <w:tcBorders>
              <w:top w:val="nil"/>
              <w:left w:val="nil"/>
              <w:bottom w:val="nil"/>
              <w:right w:val="nil"/>
            </w:tcBorders>
            <w:shd w:val="clear" w:color="auto" w:fill="auto"/>
            <w:noWrap/>
            <w:hideMark/>
          </w:tcPr>
          <w:p w14:paraId="2AE7340B"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F01A</w:t>
            </w:r>
          </w:p>
        </w:tc>
        <w:tc>
          <w:tcPr>
            <w:tcW w:w="4961" w:type="dxa"/>
            <w:tcBorders>
              <w:top w:val="nil"/>
              <w:left w:val="nil"/>
              <w:bottom w:val="nil"/>
              <w:right w:val="nil"/>
            </w:tcBorders>
            <w:shd w:val="clear" w:color="auto" w:fill="auto"/>
            <w:noWrap/>
            <w:hideMark/>
          </w:tcPr>
          <w:p w14:paraId="02C44FF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Implantation and Replacement of AICD, Total System, Major Complexity</w:t>
            </w:r>
          </w:p>
        </w:tc>
        <w:tc>
          <w:tcPr>
            <w:tcW w:w="567" w:type="dxa"/>
            <w:tcBorders>
              <w:top w:val="nil"/>
              <w:left w:val="nil"/>
              <w:bottom w:val="nil"/>
              <w:right w:val="nil"/>
            </w:tcBorders>
            <w:shd w:val="clear" w:color="auto" w:fill="auto"/>
            <w:noWrap/>
            <w:hideMark/>
          </w:tcPr>
          <w:p w14:paraId="403D1CB0"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21.58</w:t>
            </w:r>
          </w:p>
        </w:tc>
        <w:tc>
          <w:tcPr>
            <w:tcW w:w="851" w:type="dxa"/>
            <w:tcBorders>
              <w:top w:val="nil"/>
              <w:left w:val="nil"/>
              <w:bottom w:val="nil"/>
              <w:right w:val="nil"/>
            </w:tcBorders>
            <w:shd w:val="clear" w:color="auto" w:fill="auto"/>
            <w:noWrap/>
            <w:hideMark/>
          </w:tcPr>
          <w:p w14:paraId="038250E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278</w:t>
            </w:r>
          </w:p>
        </w:tc>
        <w:tc>
          <w:tcPr>
            <w:tcW w:w="954" w:type="dxa"/>
            <w:tcBorders>
              <w:top w:val="nil"/>
              <w:left w:val="nil"/>
              <w:bottom w:val="nil"/>
              <w:right w:val="nil"/>
            </w:tcBorders>
            <w:shd w:val="clear" w:color="auto" w:fill="auto"/>
            <w:noWrap/>
            <w:hideMark/>
          </w:tcPr>
          <w:p w14:paraId="3965700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5,999</w:t>
            </w:r>
          </w:p>
        </w:tc>
        <w:tc>
          <w:tcPr>
            <w:tcW w:w="839" w:type="dxa"/>
            <w:tcBorders>
              <w:top w:val="nil"/>
              <w:left w:val="nil"/>
              <w:bottom w:val="nil"/>
              <w:right w:val="nil"/>
            </w:tcBorders>
            <w:shd w:val="clear" w:color="auto" w:fill="auto"/>
            <w:noWrap/>
            <w:hideMark/>
          </w:tcPr>
          <w:p w14:paraId="038871E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3,410</w:t>
            </w:r>
          </w:p>
        </w:tc>
        <w:tc>
          <w:tcPr>
            <w:tcW w:w="918" w:type="dxa"/>
            <w:tcBorders>
              <w:top w:val="nil"/>
              <w:left w:val="nil"/>
              <w:bottom w:val="nil"/>
              <w:right w:val="nil"/>
            </w:tcBorders>
            <w:shd w:val="clear" w:color="auto" w:fill="auto"/>
            <w:noWrap/>
            <w:hideMark/>
          </w:tcPr>
          <w:p w14:paraId="2487445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12.3</w:t>
            </w:r>
          </w:p>
        </w:tc>
        <w:tc>
          <w:tcPr>
            <w:tcW w:w="597" w:type="dxa"/>
            <w:tcBorders>
              <w:top w:val="nil"/>
              <w:left w:val="nil"/>
              <w:bottom w:val="nil"/>
              <w:right w:val="nil"/>
            </w:tcBorders>
            <w:shd w:val="clear" w:color="auto" w:fill="auto"/>
            <w:noWrap/>
            <w:hideMark/>
          </w:tcPr>
          <w:p w14:paraId="7455ED7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0.66</w:t>
            </w:r>
          </w:p>
        </w:tc>
        <w:tc>
          <w:tcPr>
            <w:tcW w:w="575" w:type="dxa"/>
            <w:tcBorders>
              <w:top w:val="nil"/>
              <w:left w:val="nil"/>
              <w:bottom w:val="nil"/>
              <w:right w:val="nil"/>
            </w:tcBorders>
            <w:shd w:val="clear" w:color="auto" w:fill="auto"/>
            <w:noWrap/>
            <w:hideMark/>
          </w:tcPr>
          <w:p w14:paraId="1F83AD9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19A87A0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0.2%</w:t>
            </w:r>
          </w:p>
        </w:tc>
        <w:tc>
          <w:tcPr>
            <w:tcW w:w="693" w:type="dxa"/>
            <w:tcBorders>
              <w:top w:val="nil"/>
              <w:left w:val="nil"/>
              <w:bottom w:val="nil"/>
              <w:right w:val="nil"/>
            </w:tcBorders>
            <w:shd w:val="clear" w:color="auto" w:fill="auto"/>
            <w:noWrap/>
            <w:hideMark/>
          </w:tcPr>
          <w:p w14:paraId="6F5DA95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19.98</w:t>
            </w:r>
          </w:p>
        </w:tc>
        <w:tc>
          <w:tcPr>
            <w:tcW w:w="693" w:type="dxa"/>
            <w:tcBorders>
              <w:top w:val="nil"/>
              <w:left w:val="nil"/>
              <w:bottom w:val="nil"/>
              <w:right w:val="nil"/>
            </w:tcBorders>
            <w:shd w:val="clear" w:color="auto" w:fill="auto"/>
            <w:noWrap/>
            <w:hideMark/>
          </w:tcPr>
          <w:p w14:paraId="7736702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5 </w:t>
            </w:r>
          </w:p>
        </w:tc>
        <w:tc>
          <w:tcPr>
            <w:tcW w:w="861" w:type="dxa"/>
            <w:tcBorders>
              <w:top w:val="nil"/>
              <w:left w:val="nil"/>
              <w:bottom w:val="nil"/>
              <w:right w:val="nil"/>
            </w:tcBorders>
            <w:shd w:val="clear" w:color="auto" w:fill="auto"/>
            <w:noWrap/>
            <w:hideMark/>
          </w:tcPr>
          <w:p w14:paraId="7E798A9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369 </w:t>
            </w:r>
          </w:p>
        </w:tc>
      </w:tr>
      <w:tr w:rsidR="001C198D" w:rsidRPr="00EA63C0" w14:paraId="1A0BB928" w14:textId="77777777" w:rsidTr="00751830">
        <w:trPr>
          <w:trHeight w:hRule="exact" w:val="312"/>
        </w:trPr>
        <w:tc>
          <w:tcPr>
            <w:tcW w:w="675" w:type="dxa"/>
            <w:tcBorders>
              <w:top w:val="nil"/>
              <w:left w:val="nil"/>
              <w:bottom w:val="nil"/>
              <w:right w:val="nil"/>
            </w:tcBorders>
            <w:shd w:val="clear" w:color="auto" w:fill="auto"/>
            <w:noWrap/>
            <w:hideMark/>
          </w:tcPr>
          <w:p w14:paraId="63130B21"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6C9ECD4C"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7</w:t>
            </w:r>
          </w:p>
        </w:tc>
        <w:tc>
          <w:tcPr>
            <w:tcW w:w="709" w:type="dxa"/>
            <w:tcBorders>
              <w:top w:val="nil"/>
              <w:left w:val="nil"/>
              <w:bottom w:val="nil"/>
              <w:right w:val="nil"/>
            </w:tcBorders>
            <w:shd w:val="clear" w:color="auto" w:fill="auto"/>
            <w:noWrap/>
            <w:hideMark/>
          </w:tcPr>
          <w:p w14:paraId="2336D46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P03B</w:t>
            </w:r>
          </w:p>
        </w:tc>
        <w:tc>
          <w:tcPr>
            <w:tcW w:w="4961" w:type="dxa"/>
            <w:tcBorders>
              <w:top w:val="nil"/>
              <w:left w:val="nil"/>
              <w:bottom w:val="nil"/>
              <w:right w:val="nil"/>
            </w:tcBorders>
            <w:shd w:val="clear" w:color="auto" w:fill="auto"/>
            <w:noWrap/>
            <w:hideMark/>
          </w:tcPr>
          <w:p w14:paraId="097FF7C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Neonate, AdmWt 1000-1499g W Significant GI/Vent&gt;=96hrs, Minor Complexity</w:t>
            </w:r>
          </w:p>
        </w:tc>
        <w:tc>
          <w:tcPr>
            <w:tcW w:w="567" w:type="dxa"/>
            <w:tcBorders>
              <w:top w:val="nil"/>
              <w:left w:val="nil"/>
              <w:bottom w:val="nil"/>
              <w:right w:val="nil"/>
            </w:tcBorders>
            <w:shd w:val="clear" w:color="auto" w:fill="auto"/>
            <w:noWrap/>
            <w:hideMark/>
          </w:tcPr>
          <w:p w14:paraId="0D52084E"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19.34</w:t>
            </w:r>
          </w:p>
        </w:tc>
        <w:tc>
          <w:tcPr>
            <w:tcW w:w="851" w:type="dxa"/>
            <w:tcBorders>
              <w:top w:val="nil"/>
              <w:left w:val="nil"/>
              <w:bottom w:val="nil"/>
              <w:right w:val="nil"/>
            </w:tcBorders>
            <w:shd w:val="clear" w:color="auto" w:fill="auto"/>
            <w:noWrap/>
            <w:hideMark/>
          </w:tcPr>
          <w:p w14:paraId="1F155ED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46</w:t>
            </w:r>
          </w:p>
        </w:tc>
        <w:tc>
          <w:tcPr>
            <w:tcW w:w="954" w:type="dxa"/>
            <w:tcBorders>
              <w:top w:val="nil"/>
              <w:left w:val="nil"/>
              <w:bottom w:val="nil"/>
              <w:right w:val="nil"/>
            </w:tcBorders>
            <w:shd w:val="clear" w:color="auto" w:fill="auto"/>
            <w:noWrap/>
            <w:hideMark/>
          </w:tcPr>
          <w:p w14:paraId="11E45B6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890</w:t>
            </w:r>
          </w:p>
        </w:tc>
        <w:tc>
          <w:tcPr>
            <w:tcW w:w="839" w:type="dxa"/>
            <w:tcBorders>
              <w:top w:val="nil"/>
              <w:left w:val="nil"/>
              <w:bottom w:val="nil"/>
              <w:right w:val="nil"/>
            </w:tcBorders>
            <w:shd w:val="clear" w:color="auto" w:fill="auto"/>
            <w:noWrap/>
            <w:hideMark/>
          </w:tcPr>
          <w:p w14:paraId="0092B36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1,654</w:t>
            </w:r>
          </w:p>
        </w:tc>
        <w:tc>
          <w:tcPr>
            <w:tcW w:w="918" w:type="dxa"/>
            <w:tcBorders>
              <w:top w:val="nil"/>
              <w:left w:val="nil"/>
              <w:bottom w:val="nil"/>
              <w:right w:val="nil"/>
            </w:tcBorders>
            <w:shd w:val="clear" w:color="auto" w:fill="auto"/>
            <w:noWrap/>
            <w:hideMark/>
          </w:tcPr>
          <w:p w14:paraId="16F9CA2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35.6</w:t>
            </w:r>
          </w:p>
        </w:tc>
        <w:tc>
          <w:tcPr>
            <w:tcW w:w="597" w:type="dxa"/>
            <w:tcBorders>
              <w:top w:val="nil"/>
              <w:left w:val="nil"/>
              <w:bottom w:val="nil"/>
              <w:right w:val="nil"/>
            </w:tcBorders>
            <w:shd w:val="clear" w:color="auto" w:fill="auto"/>
            <w:noWrap/>
            <w:hideMark/>
          </w:tcPr>
          <w:p w14:paraId="07CD933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2.34</w:t>
            </w:r>
          </w:p>
        </w:tc>
        <w:tc>
          <w:tcPr>
            <w:tcW w:w="575" w:type="dxa"/>
            <w:tcBorders>
              <w:top w:val="nil"/>
              <w:left w:val="nil"/>
              <w:bottom w:val="nil"/>
              <w:right w:val="nil"/>
            </w:tcBorders>
            <w:shd w:val="clear" w:color="auto" w:fill="auto"/>
            <w:noWrap/>
            <w:hideMark/>
          </w:tcPr>
          <w:p w14:paraId="7496524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45E052F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49DAA64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15.74</w:t>
            </w:r>
          </w:p>
        </w:tc>
        <w:tc>
          <w:tcPr>
            <w:tcW w:w="693" w:type="dxa"/>
            <w:tcBorders>
              <w:top w:val="nil"/>
              <w:left w:val="nil"/>
              <w:bottom w:val="nil"/>
              <w:right w:val="nil"/>
            </w:tcBorders>
            <w:shd w:val="clear" w:color="auto" w:fill="auto"/>
            <w:noWrap/>
            <w:hideMark/>
          </w:tcPr>
          <w:p w14:paraId="642959D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12 </w:t>
            </w:r>
          </w:p>
        </w:tc>
        <w:tc>
          <w:tcPr>
            <w:tcW w:w="861" w:type="dxa"/>
            <w:tcBorders>
              <w:top w:val="nil"/>
              <w:left w:val="nil"/>
              <w:bottom w:val="nil"/>
              <w:right w:val="nil"/>
            </w:tcBorders>
            <w:shd w:val="clear" w:color="auto" w:fill="auto"/>
            <w:noWrap/>
            <w:hideMark/>
          </w:tcPr>
          <w:p w14:paraId="21677BF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54 </w:t>
            </w:r>
          </w:p>
        </w:tc>
      </w:tr>
      <w:tr w:rsidR="001C198D" w:rsidRPr="00EA63C0" w14:paraId="61C9FB49" w14:textId="77777777" w:rsidTr="00751830">
        <w:trPr>
          <w:trHeight w:hRule="exact" w:val="312"/>
        </w:trPr>
        <w:tc>
          <w:tcPr>
            <w:tcW w:w="675" w:type="dxa"/>
            <w:tcBorders>
              <w:top w:val="nil"/>
              <w:left w:val="nil"/>
              <w:bottom w:val="nil"/>
              <w:right w:val="nil"/>
            </w:tcBorders>
            <w:shd w:val="clear" w:color="auto" w:fill="auto"/>
            <w:noWrap/>
            <w:hideMark/>
          </w:tcPr>
          <w:p w14:paraId="4ECAE1C3"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5843D273"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w:t>
            </w:r>
          </w:p>
        </w:tc>
        <w:tc>
          <w:tcPr>
            <w:tcW w:w="709" w:type="dxa"/>
            <w:tcBorders>
              <w:top w:val="nil"/>
              <w:left w:val="nil"/>
              <w:bottom w:val="nil"/>
              <w:right w:val="nil"/>
            </w:tcBorders>
            <w:shd w:val="clear" w:color="auto" w:fill="auto"/>
            <w:noWrap/>
            <w:hideMark/>
          </w:tcPr>
          <w:p w14:paraId="3CED7319"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P64A</w:t>
            </w:r>
          </w:p>
        </w:tc>
        <w:tc>
          <w:tcPr>
            <w:tcW w:w="4961" w:type="dxa"/>
            <w:tcBorders>
              <w:top w:val="nil"/>
              <w:left w:val="nil"/>
              <w:bottom w:val="nil"/>
              <w:right w:val="nil"/>
            </w:tcBorders>
            <w:shd w:val="clear" w:color="auto" w:fill="auto"/>
            <w:noWrap/>
            <w:hideMark/>
          </w:tcPr>
          <w:p w14:paraId="7C656071"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Neonate, AdmWt 1250-1499g W/O Significant GI/Vent&gt;=96hrs, Major Complexity</w:t>
            </w:r>
          </w:p>
        </w:tc>
        <w:tc>
          <w:tcPr>
            <w:tcW w:w="567" w:type="dxa"/>
            <w:tcBorders>
              <w:top w:val="nil"/>
              <w:left w:val="nil"/>
              <w:bottom w:val="nil"/>
              <w:right w:val="nil"/>
            </w:tcBorders>
            <w:shd w:val="clear" w:color="auto" w:fill="auto"/>
            <w:noWrap/>
            <w:hideMark/>
          </w:tcPr>
          <w:p w14:paraId="5831D180"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16.93</w:t>
            </w:r>
          </w:p>
        </w:tc>
        <w:tc>
          <w:tcPr>
            <w:tcW w:w="851" w:type="dxa"/>
            <w:tcBorders>
              <w:top w:val="nil"/>
              <w:left w:val="nil"/>
              <w:bottom w:val="nil"/>
              <w:right w:val="nil"/>
            </w:tcBorders>
            <w:shd w:val="clear" w:color="auto" w:fill="auto"/>
            <w:noWrap/>
            <w:hideMark/>
          </w:tcPr>
          <w:p w14:paraId="0A3EFE7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w:t>
            </w:r>
          </w:p>
        </w:tc>
        <w:tc>
          <w:tcPr>
            <w:tcW w:w="954" w:type="dxa"/>
            <w:tcBorders>
              <w:top w:val="nil"/>
              <w:left w:val="nil"/>
              <w:bottom w:val="nil"/>
              <w:right w:val="nil"/>
            </w:tcBorders>
            <w:shd w:val="clear" w:color="auto" w:fill="auto"/>
            <w:noWrap/>
            <w:hideMark/>
          </w:tcPr>
          <w:p w14:paraId="2DB58C8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271</w:t>
            </w:r>
          </w:p>
        </w:tc>
        <w:tc>
          <w:tcPr>
            <w:tcW w:w="839" w:type="dxa"/>
            <w:tcBorders>
              <w:top w:val="nil"/>
              <w:left w:val="nil"/>
              <w:bottom w:val="nil"/>
              <w:right w:val="nil"/>
            </w:tcBorders>
            <w:shd w:val="clear" w:color="auto" w:fill="auto"/>
            <w:noWrap/>
            <w:hideMark/>
          </w:tcPr>
          <w:p w14:paraId="28DBDFD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553</w:t>
            </w:r>
          </w:p>
        </w:tc>
        <w:tc>
          <w:tcPr>
            <w:tcW w:w="918" w:type="dxa"/>
            <w:tcBorders>
              <w:top w:val="nil"/>
              <w:left w:val="nil"/>
              <w:bottom w:val="nil"/>
              <w:right w:val="nil"/>
            </w:tcBorders>
            <w:shd w:val="clear" w:color="auto" w:fill="auto"/>
            <w:noWrap/>
            <w:hideMark/>
          </w:tcPr>
          <w:p w14:paraId="1627370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35.3</w:t>
            </w:r>
          </w:p>
        </w:tc>
        <w:tc>
          <w:tcPr>
            <w:tcW w:w="597" w:type="dxa"/>
            <w:tcBorders>
              <w:top w:val="nil"/>
              <w:left w:val="nil"/>
              <w:bottom w:val="nil"/>
              <w:right w:val="nil"/>
            </w:tcBorders>
            <w:shd w:val="clear" w:color="auto" w:fill="auto"/>
            <w:noWrap/>
            <w:hideMark/>
          </w:tcPr>
          <w:p w14:paraId="79773EB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3.32</w:t>
            </w:r>
          </w:p>
        </w:tc>
        <w:tc>
          <w:tcPr>
            <w:tcW w:w="575" w:type="dxa"/>
            <w:tcBorders>
              <w:top w:val="nil"/>
              <w:left w:val="nil"/>
              <w:bottom w:val="nil"/>
              <w:right w:val="nil"/>
            </w:tcBorders>
            <w:shd w:val="clear" w:color="auto" w:fill="auto"/>
            <w:noWrap/>
            <w:hideMark/>
          </w:tcPr>
          <w:p w14:paraId="6EAEDD2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4566409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7EC88F3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15.90</w:t>
            </w:r>
          </w:p>
        </w:tc>
        <w:tc>
          <w:tcPr>
            <w:tcW w:w="693" w:type="dxa"/>
            <w:tcBorders>
              <w:top w:val="nil"/>
              <w:left w:val="nil"/>
              <w:bottom w:val="nil"/>
              <w:right w:val="nil"/>
            </w:tcBorders>
            <w:shd w:val="clear" w:color="auto" w:fill="auto"/>
            <w:noWrap/>
            <w:hideMark/>
          </w:tcPr>
          <w:p w14:paraId="6F2BDB5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10 </w:t>
            </w:r>
          </w:p>
        </w:tc>
        <w:tc>
          <w:tcPr>
            <w:tcW w:w="861" w:type="dxa"/>
            <w:tcBorders>
              <w:top w:val="nil"/>
              <w:left w:val="nil"/>
              <w:bottom w:val="nil"/>
              <w:right w:val="nil"/>
            </w:tcBorders>
            <w:shd w:val="clear" w:color="auto" w:fill="auto"/>
            <w:noWrap/>
            <w:hideMark/>
          </w:tcPr>
          <w:p w14:paraId="008AA43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26 </w:t>
            </w:r>
          </w:p>
        </w:tc>
      </w:tr>
      <w:tr w:rsidR="001C198D" w:rsidRPr="00EA63C0" w14:paraId="39379C1A" w14:textId="77777777" w:rsidTr="00751830">
        <w:trPr>
          <w:trHeight w:hRule="exact" w:val="312"/>
        </w:trPr>
        <w:tc>
          <w:tcPr>
            <w:tcW w:w="675" w:type="dxa"/>
            <w:tcBorders>
              <w:top w:val="nil"/>
              <w:left w:val="nil"/>
              <w:bottom w:val="nil"/>
              <w:right w:val="nil"/>
            </w:tcBorders>
            <w:shd w:val="clear" w:color="auto" w:fill="auto"/>
            <w:noWrap/>
            <w:hideMark/>
          </w:tcPr>
          <w:p w14:paraId="1CBA19A8"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2A7703D2"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w:t>
            </w:r>
          </w:p>
        </w:tc>
        <w:tc>
          <w:tcPr>
            <w:tcW w:w="709" w:type="dxa"/>
            <w:tcBorders>
              <w:top w:val="nil"/>
              <w:left w:val="nil"/>
              <w:bottom w:val="nil"/>
              <w:right w:val="nil"/>
            </w:tcBorders>
            <w:shd w:val="clear" w:color="auto" w:fill="auto"/>
            <w:noWrap/>
            <w:hideMark/>
          </w:tcPr>
          <w:p w14:paraId="32DA5533"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F04A</w:t>
            </w:r>
          </w:p>
        </w:tc>
        <w:tc>
          <w:tcPr>
            <w:tcW w:w="4961" w:type="dxa"/>
            <w:tcBorders>
              <w:top w:val="nil"/>
              <w:left w:val="nil"/>
              <w:bottom w:val="nil"/>
              <w:right w:val="nil"/>
            </w:tcBorders>
            <w:shd w:val="clear" w:color="auto" w:fill="auto"/>
            <w:noWrap/>
            <w:hideMark/>
          </w:tcPr>
          <w:p w14:paraId="7D034B0F"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Cardiac Valve Procedures W CPB Pump W/O Invasive Cardiac Invest, Major Comp</w:t>
            </w:r>
          </w:p>
        </w:tc>
        <w:tc>
          <w:tcPr>
            <w:tcW w:w="567" w:type="dxa"/>
            <w:tcBorders>
              <w:top w:val="nil"/>
              <w:left w:val="nil"/>
              <w:bottom w:val="nil"/>
              <w:right w:val="nil"/>
            </w:tcBorders>
            <w:shd w:val="clear" w:color="auto" w:fill="auto"/>
            <w:noWrap/>
            <w:hideMark/>
          </w:tcPr>
          <w:p w14:paraId="02636DDF"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16.69</w:t>
            </w:r>
          </w:p>
        </w:tc>
        <w:tc>
          <w:tcPr>
            <w:tcW w:w="851" w:type="dxa"/>
            <w:tcBorders>
              <w:top w:val="nil"/>
              <w:left w:val="nil"/>
              <w:bottom w:val="nil"/>
              <w:right w:val="nil"/>
            </w:tcBorders>
            <w:shd w:val="clear" w:color="auto" w:fill="auto"/>
            <w:noWrap/>
            <w:hideMark/>
          </w:tcPr>
          <w:p w14:paraId="3B7ABB6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177</w:t>
            </w:r>
          </w:p>
        </w:tc>
        <w:tc>
          <w:tcPr>
            <w:tcW w:w="954" w:type="dxa"/>
            <w:tcBorders>
              <w:top w:val="nil"/>
              <w:left w:val="nil"/>
              <w:bottom w:val="nil"/>
              <w:right w:val="nil"/>
            </w:tcBorders>
            <w:shd w:val="clear" w:color="auto" w:fill="auto"/>
            <w:noWrap/>
            <w:hideMark/>
          </w:tcPr>
          <w:p w14:paraId="6E73815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2,954</w:t>
            </w:r>
          </w:p>
        </w:tc>
        <w:tc>
          <w:tcPr>
            <w:tcW w:w="839" w:type="dxa"/>
            <w:tcBorders>
              <w:top w:val="nil"/>
              <w:left w:val="nil"/>
              <w:bottom w:val="nil"/>
              <w:right w:val="nil"/>
            </w:tcBorders>
            <w:shd w:val="clear" w:color="auto" w:fill="auto"/>
            <w:noWrap/>
            <w:hideMark/>
          </w:tcPr>
          <w:p w14:paraId="6036805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3,901</w:t>
            </w:r>
          </w:p>
        </w:tc>
        <w:tc>
          <w:tcPr>
            <w:tcW w:w="918" w:type="dxa"/>
            <w:tcBorders>
              <w:top w:val="nil"/>
              <w:left w:val="nil"/>
              <w:bottom w:val="nil"/>
              <w:right w:val="nil"/>
            </w:tcBorders>
            <w:shd w:val="clear" w:color="auto" w:fill="auto"/>
            <w:noWrap/>
            <w:hideMark/>
          </w:tcPr>
          <w:p w14:paraId="25E63BE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22.0</w:t>
            </w:r>
          </w:p>
        </w:tc>
        <w:tc>
          <w:tcPr>
            <w:tcW w:w="597" w:type="dxa"/>
            <w:tcBorders>
              <w:top w:val="nil"/>
              <w:left w:val="nil"/>
              <w:bottom w:val="nil"/>
              <w:right w:val="nil"/>
            </w:tcBorders>
            <w:shd w:val="clear" w:color="auto" w:fill="auto"/>
            <w:noWrap/>
            <w:hideMark/>
          </w:tcPr>
          <w:p w14:paraId="0C94226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0.85</w:t>
            </w:r>
          </w:p>
        </w:tc>
        <w:tc>
          <w:tcPr>
            <w:tcW w:w="575" w:type="dxa"/>
            <w:tcBorders>
              <w:top w:val="nil"/>
              <w:left w:val="nil"/>
              <w:bottom w:val="nil"/>
              <w:right w:val="nil"/>
            </w:tcBorders>
            <w:shd w:val="clear" w:color="auto" w:fill="auto"/>
            <w:noWrap/>
            <w:hideMark/>
          </w:tcPr>
          <w:p w14:paraId="29F7651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12EED1C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6EF229F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16.42</w:t>
            </w:r>
          </w:p>
        </w:tc>
        <w:tc>
          <w:tcPr>
            <w:tcW w:w="693" w:type="dxa"/>
            <w:tcBorders>
              <w:top w:val="nil"/>
              <w:left w:val="nil"/>
              <w:bottom w:val="nil"/>
              <w:right w:val="nil"/>
            </w:tcBorders>
            <w:shd w:val="clear" w:color="auto" w:fill="auto"/>
            <w:noWrap/>
            <w:hideMark/>
          </w:tcPr>
          <w:p w14:paraId="5B3FBEF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8 </w:t>
            </w:r>
          </w:p>
        </w:tc>
        <w:tc>
          <w:tcPr>
            <w:tcW w:w="861" w:type="dxa"/>
            <w:tcBorders>
              <w:top w:val="nil"/>
              <w:left w:val="nil"/>
              <w:bottom w:val="nil"/>
              <w:right w:val="nil"/>
            </w:tcBorders>
            <w:shd w:val="clear" w:color="auto" w:fill="auto"/>
            <w:noWrap/>
            <w:hideMark/>
          </w:tcPr>
          <w:p w14:paraId="378D0CF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318 </w:t>
            </w:r>
          </w:p>
        </w:tc>
      </w:tr>
      <w:tr w:rsidR="001C198D" w:rsidRPr="00EA63C0" w14:paraId="7206AC4F" w14:textId="77777777" w:rsidTr="00751830">
        <w:trPr>
          <w:trHeight w:hRule="exact" w:val="312"/>
        </w:trPr>
        <w:tc>
          <w:tcPr>
            <w:tcW w:w="675" w:type="dxa"/>
            <w:tcBorders>
              <w:top w:val="nil"/>
              <w:left w:val="nil"/>
              <w:bottom w:val="nil"/>
              <w:right w:val="nil"/>
            </w:tcBorders>
            <w:shd w:val="clear" w:color="auto" w:fill="auto"/>
            <w:noWrap/>
            <w:hideMark/>
          </w:tcPr>
          <w:p w14:paraId="256C5DA6"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No</w:t>
            </w:r>
          </w:p>
        </w:tc>
        <w:tc>
          <w:tcPr>
            <w:tcW w:w="709" w:type="dxa"/>
            <w:tcBorders>
              <w:top w:val="nil"/>
              <w:left w:val="nil"/>
              <w:bottom w:val="nil"/>
              <w:right w:val="nil"/>
            </w:tcBorders>
            <w:shd w:val="clear" w:color="auto" w:fill="auto"/>
            <w:noWrap/>
            <w:hideMark/>
          </w:tcPr>
          <w:p w14:paraId="495178BA"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10</w:t>
            </w:r>
          </w:p>
        </w:tc>
        <w:tc>
          <w:tcPr>
            <w:tcW w:w="709" w:type="dxa"/>
            <w:tcBorders>
              <w:top w:val="nil"/>
              <w:left w:val="nil"/>
              <w:bottom w:val="nil"/>
              <w:right w:val="nil"/>
            </w:tcBorders>
            <w:shd w:val="clear" w:color="auto" w:fill="auto"/>
            <w:noWrap/>
            <w:hideMark/>
          </w:tcPr>
          <w:p w14:paraId="55916617"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A40Z</w:t>
            </w:r>
          </w:p>
        </w:tc>
        <w:tc>
          <w:tcPr>
            <w:tcW w:w="4961" w:type="dxa"/>
            <w:tcBorders>
              <w:top w:val="nil"/>
              <w:left w:val="nil"/>
              <w:bottom w:val="nil"/>
              <w:right w:val="nil"/>
            </w:tcBorders>
            <w:shd w:val="clear" w:color="auto" w:fill="auto"/>
            <w:noWrap/>
            <w:hideMark/>
          </w:tcPr>
          <w:p w14:paraId="4606571F"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ECMO</w:t>
            </w:r>
          </w:p>
        </w:tc>
        <w:tc>
          <w:tcPr>
            <w:tcW w:w="567" w:type="dxa"/>
            <w:tcBorders>
              <w:top w:val="nil"/>
              <w:left w:val="nil"/>
              <w:bottom w:val="nil"/>
              <w:right w:val="nil"/>
            </w:tcBorders>
            <w:shd w:val="clear" w:color="auto" w:fill="auto"/>
            <w:noWrap/>
            <w:hideMark/>
          </w:tcPr>
          <w:p w14:paraId="7C492723"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16.45</w:t>
            </w:r>
          </w:p>
        </w:tc>
        <w:tc>
          <w:tcPr>
            <w:tcW w:w="851" w:type="dxa"/>
            <w:tcBorders>
              <w:top w:val="nil"/>
              <w:left w:val="nil"/>
              <w:bottom w:val="nil"/>
              <w:right w:val="nil"/>
            </w:tcBorders>
            <w:shd w:val="clear" w:color="auto" w:fill="auto"/>
            <w:noWrap/>
            <w:hideMark/>
          </w:tcPr>
          <w:p w14:paraId="1D6F529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w:t>
            </w:r>
          </w:p>
        </w:tc>
        <w:tc>
          <w:tcPr>
            <w:tcW w:w="954" w:type="dxa"/>
            <w:tcBorders>
              <w:top w:val="nil"/>
              <w:left w:val="nil"/>
              <w:bottom w:val="nil"/>
              <w:right w:val="nil"/>
            </w:tcBorders>
            <w:shd w:val="clear" w:color="auto" w:fill="auto"/>
            <w:noWrap/>
            <w:hideMark/>
          </w:tcPr>
          <w:p w14:paraId="52C1364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214</w:t>
            </w:r>
          </w:p>
        </w:tc>
        <w:tc>
          <w:tcPr>
            <w:tcW w:w="839" w:type="dxa"/>
            <w:tcBorders>
              <w:top w:val="nil"/>
              <w:left w:val="nil"/>
              <w:bottom w:val="nil"/>
              <w:right w:val="nil"/>
            </w:tcBorders>
            <w:shd w:val="clear" w:color="auto" w:fill="auto"/>
            <w:noWrap/>
            <w:hideMark/>
          </w:tcPr>
          <w:p w14:paraId="594B916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224</w:t>
            </w:r>
          </w:p>
        </w:tc>
        <w:tc>
          <w:tcPr>
            <w:tcW w:w="918" w:type="dxa"/>
            <w:tcBorders>
              <w:top w:val="nil"/>
              <w:left w:val="nil"/>
              <w:bottom w:val="nil"/>
              <w:right w:val="nil"/>
            </w:tcBorders>
            <w:shd w:val="clear" w:color="auto" w:fill="auto"/>
            <w:noWrap/>
            <w:hideMark/>
          </w:tcPr>
          <w:p w14:paraId="4315762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17.9</w:t>
            </w:r>
          </w:p>
        </w:tc>
        <w:tc>
          <w:tcPr>
            <w:tcW w:w="597" w:type="dxa"/>
            <w:tcBorders>
              <w:top w:val="nil"/>
              <w:left w:val="nil"/>
              <w:bottom w:val="nil"/>
              <w:right w:val="nil"/>
            </w:tcBorders>
            <w:shd w:val="clear" w:color="auto" w:fill="auto"/>
            <w:noWrap/>
            <w:hideMark/>
          </w:tcPr>
          <w:p w14:paraId="2961B0C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9.69</w:t>
            </w:r>
          </w:p>
        </w:tc>
        <w:tc>
          <w:tcPr>
            <w:tcW w:w="575" w:type="dxa"/>
            <w:tcBorders>
              <w:top w:val="nil"/>
              <w:left w:val="nil"/>
              <w:bottom w:val="nil"/>
              <w:right w:val="nil"/>
            </w:tcBorders>
            <w:shd w:val="clear" w:color="auto" w:fill="auto"/>
            <w:noWrap/>
            <w:hideMark/>
          </w:tcPr>
          <w:p w14:paraId="23C84FA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56A4E02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0E384F9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11.27</w:t>
            </w:r>
          </w:p>
        </w:tc>
        <w:tc>
          <w:tcPr>
            <w:tcW w:w="693" w:type="dxa"/>
            <w:tcBorders>
              <w:top w:val="nil"/>
              <w:left w:val="nil"/>
              <w:bottom w:val="nil"/>
              <w:right w:val="nil"/>
            </w:tcBorders>
            <w:shd w:val="clear" w:color="auto" w:fill="auto"/>
            <w:noWrap/>
            <w:hideMark/>
          </w:tcPr>
          <w:p w14:paraId="21527E1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26 </w:t>
            </w:r>
          </w:p>
        </w:tc>
        <w:tc>
          <w:tcPr>
            <w:tcW w:w="861" w:type="dxa"/>
            <w:tcBorders>
              <w:top w:val="nil"/>
              <w:left w:val="nil"/>
              <w:bottom w:val="nil"/>
              <w:right w:val="nil"/>
            </w:tcBorders>
            <w:shd w:val="clear" w:color="auto" w:fill="auto"/>
            <w:noWrap/>
            <w:hideMark/>
          </w:tcPr>
          <w:p w14:paraId="74BC2C9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32 </w:t>
            </w:r>
          </w:p>
        </w:tc>
      </w:tr>
      <w:tr w:rsidR="001C198D" w:rsidRPr="00EA63C0" w14:paraId="3428EFE3" w14:textId="77777777" w:rsidTr="00751830">
        <w:trPr>
          <w:trHeight w:hRule="exact" w:val="312"/>
        </w:trPr>
        <w:tc>
          <w:tcPr>
            <w:tcW w:w="675" w:type="dxa"/>
            <w:tcBorders>
              <w:top w:val="nil"/>
              <w:left w:val="nil"/>
              <w:bottom w:val="nil"/>
              <w:right w:val="nil"/>
            </w:tcBorders>
            <w:shd w:val="clear" w:color="auto" w:fill="auto"/>
            <w:noWrap/>
            <w:hideMark/>
          </w:tcPr>
          <w:p w14:paraId="050D59CD"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6C3AADC4"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w:t>
            </w:r>
          </w:p>
        </w:tc>
        <w:tc>
          <w:tcPr>
            <w:tcW w:w="709" w:type="dxa"/>
            <w:tcBorders>
              <w:top w:val="nil"/>
              <w:left w:val="nil"/>
              <w:bottom w:val="nil"/>
              <w:right w:val="nil"/>
            </w:tcBorders>
            <w:shd w:val="clear" w:color="auto" w:fill="auto"/>
            <w:noWrap/>
            <w:hideMark/>
          </w:tcPr>
          <w:p w14:paraId="22291D0F"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A14C</w:t>
            </w:r>
          </w:p>
        </w:tc>
        <w:tc>
          <w:tcPr>
            <w:tcW w:w="4961" w:type="dxa"/>
            <w:tcBorders>
              <w:top w:val="nil"/>
              <w:left w:val="nil"/>
              <w:bottom w:val="nil"/>
              <w:right w:val="nil"/>
            </w:tcBorders>
            <w:shd w:val="clear" w:color="auto" w:fill="auto"/>
            <w:noWrap/>
            <w:hideMark/>
          </w:tcPr>
          <w:p w14:paraId="1E4C8ECF"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Ventilation &gt;=96hours &amp; &lt;336hours, Minor Complexity</w:t>
            </w:r>
          </w:p>
        </w:tc>
        <w:tc>
          <w:tcPr>
            <w:tcW w:w="567" w:type="dxa"/>
            <w:tcBorders>
              <w:top w:val="nil"/>
              <w:left w:val="nil"/>
              <w:bottom w:val="nil"/>
              <w:right w:val="nil"/>
            </w:tcBorders>
            <w:shd w:val="clear" w:color="auto" w:fill="auto"/>
            <w:noWrap/>
            <w:hideMark/>
          </w:tcPr>
          <w:p w14:paraId="7A0F642D"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15.87</w:t>
            </w:r>
          </w:p>
        </w:tc>
        <w:tc>
          <w:tcPr>
            <w:tcW w:w="851" w:type="dxa"/>
            <w:tcBorders>
              <w:top w:val="nil"/>
              <w:left w:val="nil"/>
              <w:bottom w:val="nil"/>
              <w:right w:val="nil"/>
            </w:tcBorders>
            <w:shd w:val="clear" w:color="auto" w:fill="auto"/>
            <w:noWrap/>
            <w:hideMark/>
          </w:tcPr>
          <w:p w14:paraId="3B830F6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172</w:t>
            </w:r>
          </w:p>
        </w:tc>
        <w:tc>
          <w:tcPr>
            <w:tcW w:w="954" w:type="dxa"/>
            <w:tcBorders>
              <w:top w:val="nil"/>
              <w:left w:val="nil"/>
              <w:bottom w:val="nil"/>
              <w:right w:val="nil"/>
            </w:tcBorders>
            <w:shd w:val="clear" w:color="auto" w:fill="auto"/>
            <w:noWrap/>
            <w:hideMark/>
          </w:tcPr>
          <w:p w14:paraId="2DF2C26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2,730</w:t>
            </w:r>
          </w:p>
        </w:tc>
        <w:tc>
          <w:tcPr>
            <w:tcW w:w="839" w:type="dxa"/>
            <w:tcBorders>
              <w:top w:val="nil"/>
              <w:left w:val="nil"/>
              <w:bottom w:val="nil"/>
              <w:right w:val="nil"/>
            </w:tcBorders>
            <w:shd w:val="clear" w:color="auto" w:fill="auto"/>
            <w:noWrap/>
            <w:hideMark/>
          </w:tcPr>
          <w:p w14:paraId="5518B70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3,163</w:t>
            </w:r>
          </w:p>
        </w:tc>
        <w:tc>
          <w:tcPr>
            <w:tcW w:w="918" w:type="dxa"/>
            <w:tcBorders>
              <w:top w:val="nil"/>
              <w:left w:val="nil"/>
              <w:bottom w:val="nil"/>
              <w:right w:val="nil"/>
            </w:tcBorders>
            <w:shd w:val="clear" w:color="auto" w:fill="auto"/>
            <w:noWrap/>
            <w:hideMark/>
          </w:tcPr>
          <w:p w14:paraId="303301B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18.4</w:t>
            </w:r>
          </w:p>
        </w:tc>
        <w:tc>
          <w:tcPr>
            <w:tcW w:w="597" w:type="dxa"/>
            <w:tcBorders>
              <w:top w:val="nil"/>
              <w:left w:val="nil"/>
              <w:bottom w:val="nil"/>
              <w:right w:val="nil"/>
            </w:tcBorders>
            <w:shd w:val="clear" w:color="auto" w:fill="auto"/>
            <w:noWrap/>
            <w:hideMark/>
          </w:tcPr>
          <w:p w14:paraId="2FD6298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0.99</w:t>
            </w:r>
          </w:p>
        </w:tc>
        <w:tc>
          <w:tcPr>
            <w:tcW w:w="575" w:type="dxa"/>
            <w:tcBorders>
              <w:top w:val="nil"/>
              <w:left w:val="nil"/>
              <w:bottom w:val="nil"/>
              <w:right w:val="nil"/>
            </w:tcBorders>
            <w:shd w:val="clear" w:color="auto" w:fill="auto"/>
            <w:noWrap/>
            <w:hideMark/>
          </w:tcPr>
          <w:p w14:paraId="46038AD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10F2247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346C975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15.78</w:t>
            </w:r>
          </w:p>
        </w:tc>
        <w:tc>
          <w:tcPr>
            <w:tcW w:w="693" w:type="dxa"/>
            <w:tcBorders>
              <w:top w:val="nil"/>
              <w:left w:val="nil"/>
              <w:bottom w:val="nil"/>
              <w:right w:val="nil"/>
            </w:tcBorders>
            <w:shd w:val="clear" w:color="auto" w:fill="auto"/>
            <w:noWrap/>
            <w:hideMark/>
          </w:tcPr>
          <w:p w14:paraId="44F7608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11 </w:t>
            </w:r>
          </w:p>
        </w:tc>
        <w:tc>
          <w:tcPr>
            <w:tcW w:w="861" w:type="dxa"/>
            <w:tcBorders>
              <w:top w:val="nil"/>
              <w:left w:val="nil"/>
              <w:bottom w:val="nil"/>
              <w:right w:val="nil"/>
            </w:tcBorders>
            <w:shd w:val="clear" w:color="auto" w:fill="auto"/>
            <w:noWrap/>
            <w:hideMark/>
          </w:tcPr>
          <w:p w14:paraId="613E755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174 </w:t>
            </w:r>
          </w:p>
        </w:tc>
      </w:tr>
      <w:tr w:rsidR="001C198D" w:rsidRPr="00EA63C0" w14:paraId="0A0DC5DA" w14:textId="77777777" w:rsidTr="00751830">
        <w:trPr>
          <w:trHeight w:hRule="exact" w:val="312"/>
        </w:trPr>
        <w:tc>
          <w:tcPr>
            <w:tcW w:w="675" w:type="dxa"/>
            <w:tcBorders>
              <w:top w:val="nil"/>
              <w:left w:val="nil"/>
              <w:bottom w:val="nil"/>
              <w:right w:val="nil"/>
            </w:tcBorders>
            <w:shd w:val="clear" w:color="auto" w:fill="auto"/>
            <w:noWrap/>
            <w:hideMark/>
          </w:tcPr>
          <w:p w14:paraId="2187AA6A"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No</w:t>
            </w:r>
          </w:p>
        </w:tc>
        <w:tc>
          <w:tcPr>
            <w:tcW w:w="709" w:type="dxa"/>
            <w:tcBorders>
              <w:top w:val="nil"/>
              <w:left w:val="nil"/>
              <w:bottom w:val="nil"/>
              <w:right w:val="nil"/>
            </w:tcBorders>
            <w:shd w:val="clear" w:color="auto" w:fill="auto"/>
            <w:noWrap/>
            <w:hideMark/>
          </w:tcPr>
          <w:p w14:paraId="6CA15AE7"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12</w:t>
            </w:r>
          </w:p>
        </w:tc>
        <w:tc>
          <w:tcPr>
            <w:tcW w:w="709" w:type="dxa"/>
            <w:tcBorders>
              <w:top w:val="nil"/>
              <w:left w:val="nil"/>
              <w:bottom w:val="nil"/>
              <w:right w:val="nil"/>
            </w:tcBorders>
            <w:shd w:val="clear" w:color="auto" w:fill="auto"/>
            <w:noWrap/>
            <w:hideMark/>
          </w:tcPr>
          <w:p w14:paraId="05294B2E"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F11A</w:t>
            </w:r>
          </w:p>
        </w:tc>
        <w:tc>
          <w:tcPr>
            <w:tcW w:w="4961" w:type="dxa"/>
            <w:tcBorders>
              <w:top w:val="nil"/>
              <w:left w:val="nil"/>
              <w:bottom w:val="nil"/>
              <w:right w:val="nil"/>
            </w:tcBorders>
            <w:shd w:val="clear" w:color="auto" w:fill="auto"/>
            <w:noWrap/>
            <w:hideMark/>
          </w:tcPr>
          <w:p w14:paraId="1C35CF8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Amputation, Except Upper Limb and Toe, for Circulatory Disorders, Major Comp</w:t>
            </w:r>
          </w:p>
        </w:tc>
        <w:tc>
          <w:tcPr>
            <w:tcW w:w="567" w:type="dxa"/>
            <w:tcBorders>
              <w:top w:val="nil"/>
              <w:left w:val="nil"/>
              <w:bottom w:val="nil"/>
              <w:right w:val="nil"/>
            </w:tcBorders>
            <w:shd w:val="clear" w:color="auto" w:fill="auto"/>
            <w:noWrap/>
            <w:hideMark/>
          </w:tcPr>
          <w:p w14:paraId="5767EB4D"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15.16</w:t>
            </w:r>
          </w:p>
        </w:tc>
        <w:tc>
          <w:tcPr>
            <w:tcW w:w="851" w:type="dxa"/>
            <w:tcBorders>
              <w:top w:val="nil"/>
              <w:left w:val="nil"/>
              <w:bottom w:val="nil"/>
              <w:right w:val="nil"/>
            </w:tcBorders>
            <w:shd w:val="clear" w:color="auto" w:fill="auto"/>
            <w:noWrap/>
            <w:hideMark/>
          </w:tcPr>
          <w:p w14:paraId="48BAC0B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62</w:t>
            </w:r>
          </w:p>
        </w:tc>
        <w:tc>
          <w:tcPr>
            <w:tcW w:w="954" w:type="dxa"/>
            <w:tcBorders>
              <w:top w:val="nil"/>
              <w:left w:val="nil"/>
              <w:bottom w:val="nil"/>
              <w:right w:val="nil"/>
            </w:tcBorders>
            <w:shd w:val="clear" w:color="auto" w:fill="auto"/>
            <w:noWrap/>
            <w:hideMark/>
          </w:tcPr>
          <w:p w14:paraId="3F7FFAD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940</w:t>
            </w:r>
          </w:p>
        </w:tc>
        <w:tc>
          <w:tcPr>
            <w:tcW w:w="839" w:type="dxa"/>
            <w:tcBorders>
              <w:top w:val="nil"/>
              <w:left w:val="nil"/>
              <w:bottom w:val="nil"/>
              <w:right w:val="nil"/>
            </w:tcBorders>
            <w:shd w:val="clear" w:color="auto" w:fill="auto"/>
            <w:noWrap/>
            <w:hideMark/>
          </w:tcPr>
          <w:p w14:paraId="2BC77D4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2,884</w:t>
            </w:r>
          </w:p>
        </w:tc>
        <w:tc>
          <w:tcPr>
            <w:tcW w:w="918" w:type="dxa"/>
            <w:tcBorders>
              <w:top w:val="nil"/>
              <w:left w:val="nil"/>
              <w:bottom w:val="nil"/>
              <w:right w:val="nil"/>
            </w:tcBorders>
            <w:shd w:val="clear" w:color="auto" w:fill="auto"/>
            <w:noWrap/>
            <w:hideMark/>
          </w:tcPr>
          <w:p w14:paraId="1F1CC3F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46.5</w:t>
            </w:r>
          </w:p>
        </w:tc>
        <w:tc>
          <w:tcPr>
            <w:tcW w:w="597" w:type="dxa"/>
            <w:tcBorders>
              <w:top w:val="nil"/>
              <w:left w:val="nil"/>
              <w:bottom w:val="nil"/>
              <w:right w:val="nil"/>
            </w:tcBorders>
            <w:shd w:val="clear" w:color="auto" w:fill="auto"/>
            <w:noWrap/>
            <w:hideMark/>
          </w:tcPr>
          <w:p w14:paraId="2D977C2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1.64</w:t>
            </w:r>
          </w:p>
        </w:tc>
        <w:tc>
          <w:tcPr>
            <w:tcW w:w="575" w:type="dxa"/>
            <w:tcBorders>
              <w:top w:val="nil"/>
              <w:left w:val="nil"/>
              <w:bottom w:val="nil"/>
              <w:right w:val="nil"/>
            </w:tcBorders>
            <w:shd w:val="clear" w:color="auto" w:fill="auto"/>
            <w:noWrap/>
            <w:hideMark/>
          </w:tcPr>
          <w:p w14:paraId="2783BE3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04240A3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75A96E9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11.48</w:t>
            </w:r>
          </w:p>
        </w:tc>
        <w:tc>
          <w:tcPr>
            <w:tcW w:w="693" w:type="dxa"/>
            <w:tcBorders>
              <w:top w:val="nil"/>
              <w:left w:val="nil"/>
              <w:bottom w:val="nil"/>
              <w:right w:val="nil"/>
            </w:tcBorders>
            <w:shd w:val="clear" w:color="auto" w:fill="auto"/>
            <w:noWrap/>
            <w:hideMark/>
          </w:tcPr>
          <w:p w14:paraId="0005A6E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24 </w:t>
            </w:r>
          </w:p>
        </w:tc>
        <w:tc>
          <w:tcPr>
            <w:tcW w:w="861" w:type="dxa"/>
            <w:tcBorders>
              <w:top w:val="nil"/>
              <w:left w:val="nil"/>
              <w:bottom w:val="nil"/>
              <w:right w:val="nil"/>
            </w:tcBorders>
            <w:shd w:val="clear" w:color="auto" w:fill="auto"/>
            <w:noWrap/>
            <w:hideMark/>
          </w:tcPr>
          <w:p w14:paraId="73E0970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60 </w:t>
            </w:r>
          </w:p>
        </w:tc>
      </w:tr>
      <w:tr w:rsidR="001C198D" w:rsidRPr="00EA63C0" w14:paraId="46D05751" w14:textId="77777777" w:rsidTr="00751830">
        <w:trPr>
          <w:trHeight w:hRule="exact" w:val="312"/>
        </w:trPr>
        <w:tc>
          <w:tcPr>
            <w:tcW w:w="675" w:type="dxa"/>
            <w:tcBorders>
              <w:top w:val="nil"/>
              <w:left w:val="nil"/>
              <w:bottom w:val="nil"/>
              <w:right w:val="nil"/>
            </w:tcBorders>
            <w:shd w:val="clear" w:color="auto" w:fill="auto"/>
            <w:noWrap/>
            <w:hideMark/>
          </w:tcPr>
          <w:p w14:paraId="4D6BFE5B"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4309D1CF"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w:t>
            </w:r>
          </w:p>
        </w:tc>
        <w:tc>
          <w:tcPr>
            <w:tcW w:w="709" w:type="dxa"/>
            <w:tcBorders>
              <w:top w:val="nil"/>
              <w:left w:val="nil"/>
              <w:bottom w:val="nil"/>
              <w:right w:val="nil"/>
            </w:tcBorders>
            <w:shd w:val="clear" w:color="auto" w:fill="auto"/>
            <w:noWrap/>
            <w:hideMark/>
          </w:tcPr>
          <w:p w14:paraId="6AC2C97D"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F01B</w:t>
            </w:r>
          </w:p>
        </w:tc>
        <w:tc>
          <w:tcPr>
            <w:tcW w:w="4961" w:type="dxa"/>
            <w:tcBorders>
              <w:top w:val="nil"/>
              <w:left w:val="nil"/>
              <w:bottom w:val="nil"/>
              <w:right w:val="nil"/>
            </w:tcBorders>
            <w:shd w:val="clear" w:color="auto" w:fill="auto"/>
            <w:noWrap/>
            <w:hideMark/>
          </w:tcPr>
          <w:p w14:paraId="4DB8B1B4"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Implantation and Replacement of AICD, Total System, Minor Complexity</w:t>
            </w:r>
          </w:p>
        </w:tc>
        <w:tc>
          <w:tcPr>
            <w:tcW w:w="567" w:type="dxa"/>
            <w:tcBorders>
              <w:top w:val="nil"/>
              <w:left w:val="nil"/>
              <w:bottom w:val="nil"/>
              <w:right w:val="nil"/>
            </w:tcBorders>
            <w:shd w:val="clear" w:color="auto" w:fill="auto"/>
            <w:noWrap/>
            <w:hideMark/>
          </w:tcPr>
          <w:p w14:paraId="41861271"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15.11</w:t>
            </w:r>
          </w:p>
        </w:tc>
        <w:tc>
          <w:tcPr>
            <w:tcW w:w="851" w:type="dxa"/>
            <w:tcBorders>
              <w:top w:val="nil"/>
              <w:left w:val="nil"/>
              <w:bottom w:val="nil"/>
              <w:right w:val="nil"/>
            </w:tcBorders>
            <w:shd w:val="clear" w:color="auto" w:fill="auto"/>
            <w:noWrap/>
            <w:hideMark/>
          </w:tcPr>
          <w:p w14:paraId="4F7E60E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2,179</w:t>
            </w:r>
          </w:p>
        </w:tc>
        <w:tc>
          <w:tcPr>
            <w:tcW w:w="954" w:type="dxa"/>
            <w:tcBorders>
              <w:top w:val="nil"/>
              <w:left w:val="nil"/>
              <w:bottom w:val="nil"/>
              <w:right w:val="nil"/>
            </w:tcBorders>
            <w:shd w:val="clear" w:color="auto" w:fill="auto"/>
            <w:noWrap/>
            <w:hideMark/>
          </w:tcPr>
          <w:p w14:paraId="3E584E5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32,925</w:t>
            </w:r>
          </w:p>
        </w:tc>
        <w:tc>
          <w:tcPr>
            <w:tcW w:w="839" w:type="dxa"/>
            <w:tcBorders>
              <w:top w:val="nil"/>
              <w:left w:val="nil"/>
              <w:bottom w:val="nil"/>
              <w:right w:val="nil"/>
            </w:tcBorders>
            <w:shd w:val="clear" w:color="auto" w:fill="auto"/>
            <w:noWrap/>
            <w:hideMark/>
          </w:tcPr>
          <w:p w14:paraId="5CC14F7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4,454</w:t>
            </w:r>
          </w:p>
        </w:tc>
        <w:tc>
          <w:tcPr>
            <w:tcW w:w="918" w:type="dxa"/>
            <w:tcBorders>
              <w:top w:val="nil"/>
              <w:left w:val="nil"/>
              <w:bottom w:val="nil"/>
              <w:right w:val="nil"/>
            </w:tcBorders>
            <w:shd w:val="clear" w:color="auto" w:fill="auto"/>
            <w:noWrap/>
            <w:hideMark/>
          </w:tcPr>
          <w:p w14:paraId="7F118FF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2.0</w:t>
            </w:r>
          </w:p>
        </w:tc>
        <w:tc>
          <w:tcPr>
            <w:tcW w:w="597" w:type="dxa"/>
            <w:tcBorders>
              <w:top w:val="nil"/>
              <w:left w:val="nil"/>
              <w:bottom w:val="nil"/>
              <w:right w:val="nil"/>
            </w:tcBorders>
            <w:shd w:val="clear" w:color="auto" w:fill="auto"/>
            <w:noWrap/>
            <w:hideMark/>
          </w:tcPr>
          <w:p w14:paraId="5FCD08D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0.18</w:t>
            </w:r>
          </w:p>
        </w:tc>
        <w:tc>
          <w:tcPr>
            <w:tcW w:w="575" w:type="dxa"/>
            <w:tcBorders>
              <w:top w:val="nil"/>
              <w:left w:val="nil"/>
              <w:bottom w:val="nil"/>
              <w:right w:val="nil"/>
            </w:tcBorders>
            <w:shd w:val="clear" w:color="auto" w:fill="auto"/>
            <w:noWrap/>
            <w:hideMark/>
          </w:tcPr>
          <w:p w14:paraId="57D901B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575" w:type="dxa"/>
            <w:tcBorders>
              <w:top w:val="nil"/>
              <w:left w:val="nil"/>
              <w:bottom w:val="nil"/>
              <w:right w:val="nil"/>
            </w:tcBorders>
            <w:shd w:val="clear" w:color="auto" w:fill="auto"/>
            <w:noWrap/>
            <w:hideMark/>
          </w:tcPr>
          <w:p w14:paraId="3B247D2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1.0%</w:t>
            </w:r>
          </w:p>
        </w:tc>
        <w:tc>
          <w:tcPr>
            <w:tcW w:w="693" w:type="dxa"/>
            <w:tcBorders>
              <w:top w:val="nil"/>
              <w:left w:val="nil"/>
              <w:bottom w:val="nil"/>
              <w:right w:val="nil"/>
            </w:tcBorders>
            <w:shd w:val="clear" w:color="auto" w:fill="auto"/>
            <w:noWrap/>
            <w:hideMark/>
          </w:tcPr>
          <w:p w14:paraId="01E17A8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16.26</w:t>
            </w:r>
          </w:p>
        </w:tc>
        <w:tc>
          <w:tcPr>
            <w:tcW w:w="693" w:type="dxa"/>
            <w:tcBorders>
              <w:top w:val="nil"/>
              <w:left w:val="nil"/>
              <w:bottom w:val="nil"/>
              <w:right w:val="nil"/>
            </w:tcBorders>
            <w:shd w:val="clear" w:color="auto" w:fill="auto"/>
            <w:noWrap/>
            <w:hideMark/>
          </w:tcPr>
          <w:p w14:paraId="4225C26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9 </w:t>
            </w:r>
          </w:p>
        </w:tc>
        <w:tc>
          <w:tcPr>
            <w:tcW w:w="861" w:type="dxa"/>
            <w:tcBorders>
              <w:top w:val="nil"/>
              <w:left w:val="nil"/>
              <w:bottom w:val="nil"/>
              <w:right w:val="nil"/>
            </w:tcBorders>
            <w:shd w:val="clear" w:color="auto" w:fill="auto"/>
            <w:noWrap/>
            <w:hideMark/>
          </w:tcPr>
          <w:p w14:paraId="3DA039A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2,291 </w:t>
            </w:r>
          </w:p>
        </w:tc>
      </w:tr>
      <w:tr w:rsidR="001C198D" w:rsidRPr="00EA63C0" w14:paraId="3577CA29" w14:textId="77777777" w:rsidTr="00751830">
        <w:trPr>
          <w:trHeight w:hRule="exact" w:val="312"/>
        </w:trPr>
        <w:tc>
          <w:tcPr>
            <w:tcW w:w="675" w:type="dxa"/>
            <w:tcBorders>
              <w:top w:val="nil"/>
              <w:left w:val="nil"/>
              <w:bottom w:val="nil"/>
              <w:right w:val="nil"/>
            </w:tcBorders>
            <w:shd w:val="clear" w:color="auto" w:fill="auto"/>
            <w:noWrap/>
            <w:hideMark/>
          </w:tcPr>
          <w:p w14:paraId="41B2993D"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7BAD98B1"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14</w:t>
            </w:r>
          </w:p>
        </w:tc>
        <w:tc>
          <w:tcPr>
            <w:tcW w:w="709" w:type="dxa"/>
            <w:tcBorders>
              <w:top w:val="nil"/>
              <w:left w:val="nil"/>
              <w:bottom w:val="nil"/>
              <w:right w:val="nil"/>
            </w:tcBorders>
            <w:shd w:val="clear" w:color="auto" w:fill="auto"/>
            <w:noWrap/>
            <w:hideMark/>
          </w:tcPr>
          <w:p w14:paraId="4DC7AED8"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I02A</w:t>
            </w:r>
          </w:p>
        </w:tc>
        <w:tc>
          <w:tcPr>
            <w:tcW w:w="4961" w:type="dxa"/>
            <w:tcBorders>
              <w:top w:val="nil"/>
              <w:left w:val="nil"/>
              <w:bottom w:val="nil"/>
              <w:right w:val="nil"/>
            </w:tcBorders>
            <w:shd w:val="clear" w:color="auto" w:fill="auto"/>
            <w:noWrap/>
            <w:hideMark/>
          </w:tcPr>
          <w:p w14:paraId="008B67B8"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Microvascular Tissue Transfers or Skin Grafts, Excluding Hand, Major Complexity</w:t>
            </w:r>
          </w:p>
        </w:tc>
        <w:tc>
          <w:tcPr>
            <w:tcW w:w="567" w:type="dxa"/>
            <w:tcBorders>
              <w:top w:val="nil"/>
              <w:left w:val="nil"/>
              <w:bottom w:val="nil"/>
              <w:right w:val="nil"/>
            </w:tcBorders>
            <w:shd w:val="clear" w:color="auto" w:fill="auto"/>
            <w:noWrap/>
            <w:hideMark/>
          </w:tcPr>
          <w:p w14:paraId="7F16A9C0"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15.04</w:t>
            </w:r>
          </w:p>
        </w:tc>
        <w:tc>
          <w:tcPr>
            <w:tcW w:w="851" w:type="dxa"/>
            <w:tcBorders>
              <w:top w:val="nil"/>
              <w:left w:val="nil"/>
              <w:bottom w:val="nil"/>
              <w:right w:val="nil"/>
            </w:tcBorders>
            <w:shd w:val="clear" w:color="auto" w:fill="auto"/>
            <w:noWrap/>
            <w:hideMark/>
          </w:tcPr>
          <w:p w14:paraId="237B158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59</w:t>
            </w:r>
          </w:p>
        </w:tc>
        <w:tc>
          <w:tcPr>
            <w:tcW w:w="954" w:type="dxa"/>
            <w:tcBorders>
              <w:top w:val="nil"/>
              <w:left w:val="nil"/>
              <w:bottom w:val="nil"/>
              <w:right w:val="nil"/>
            </w:tcBorders>
            <w:shd w:val="clear" w:color="auto" w:fill="auto"/>
            <w:noWrap/>
            <w:hideMark/>
          </w:tcPr>
          <w:p w14:paraId="43F594E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887</w:t>
            </w:r>
          </w:p>
        </w:tc>
        <w:tc>
          <w:tcPr>
            <w:tcW w:w="839" w:type="dxa"/>
            <w:tcBorders>
              <w:top w:val="nil"/>
              <w:left w:val="nil"/>
              <w:bottom w:val="nil"/>
              <w:right w:val="nil"/>
            </w:tcBorders>
            <w:shd w:val="clear" w:color="auto" w:fill="auto"/>
            <w:noWrap/>
            <w:hideMark/>
          </w:tcPr>
          <w:p w14:paraId="3F5EA9A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2,016</w:t>
            </w:r>
          </w:p>
        </w:tc>
        <w:tc>
          <w:tcPr>
            <w:tcW w:w="918" w:type="dxa"/>
            <w:tcBorders>
              <w:top w:val="nil"/>
              <w:left w:val="nil"/>
              <w:bottom w:val="nil"/>
              <w:right w:val="nil"/>
            </w:tcBorders>
            <w:shd w:val="clear" w:color="auto" w:fill="auto"/>
            <w:noWrap/>
            <w:hideMark/>
          </w:tcPr>
          <w:p w14:paraId="2DA0356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34.3</w:t>
            </w:r>
          </w:p>
        </w:tc>
        <w:tc>
          <w:tcPr>
            <w:tcW w:w="597" w:type="dxa"/>
            <w:tcBorders>
              <w:top w:val="nil"/>
              <w:left w:val="nil"/>
              <w:bottom w:val="nil"/>
              <w:right w:val="nil"/>
            </w:tcBorders>
            <w:shd w:val="clear" w:color="auto" w:fill="auto"/>
            <w:noWrap/>
            <w:hideMark/>
          </w:tcPr>
          <w:p w14:paraId="762E7FC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1.31</w:t>
            </w:r>
          </w:p>
        </w:tc>
        <w:tc>
          <w:tcPr>
            <w:tcW w:w="575" w:type="dxa"/>
            <w:tcBorders>
              <w:top w:val="nil"/>
              <w:left w:val="nil"/>
              <w:bottom w:val="nil"/>
              <w:right w:val="nil"/>
            </w:tcBorders>
            <w:shd w:val="clear" w:color="auto" w:fill="auto"/>
            <w:noWrap/>
            <w:hideMark/>
          </w:tcPr>
          <w:p w14:paraId="70E98FD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4B40507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693" w:type="dxa"/>
            <w:tcBorders>
              <w:top w:val="nil"/>
              <w:left w:val="nil"/>
              <w:bottom w:val="nil"/>
              <w:right w:val="nil"/>
            </w:tcBorders>
            <w:shd w:val="clear" w:color="auto" w:fill="auto"/>
            <w:noWrap/>
            <w:hideMark/>
          </w:tcPr>
          <w:p w14:paraId="7D5C074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16.82</w:t>
            </w:r>
          </w:p>
        </w:tc>
        <w:tc>
          <w:tcPr>
            <w:tcW w:w="693" w:type="dxa"/>
            <w:tcBorders>
              <w:top w:val="nil"/>
              <w:left w:val="nil"/>
              <w:bottom w:val="nil"/>
              <w:right w:val="nil"/>
            </w:tcBorders>
            <w:shd w:val="clear" w:color="auto" w:fill="auto"/>
            <w:noWrap/>
            <w:hideMark/>
          </w:tcPr>
          <w:p w14:paraId="4E90EA8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7 </w:t>
            </w:r>
          </w:p>
        </w:tc>
        <w:tc>
          <w:tcPr>
            <w:tcW w:w="861" w:type="dxa"/>
            <w:tcBorders>
              <w:top w:val="nil"/>
              <w:left w:val="nil"/>
              <w:bottom w:val="nil"/>
              <w:right w:val="nil"/>
            </w:tcBorders>
            <w:shd w:val="clear" w:color="auto" w:fill="auto"/>
            <w:noWrap/>
            <w:hideMark/>
          </w:tcPr>
          <w:p w14:paraId="28829AC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70 </w:t>
            </w:r>
          </w:p>
        </w:tc>
      </w:tr>
      <w:tr w:rsidR="001C198D" w:rsidRPr="00EA63C0" w14:paraId="7465F4FF" w14:textId="77777777" w:rsidTr="00751830">
        <w:trPr>
          <w:trHeight w:hRule="exact" w:val="312"/>
        </w:trPr>
        <w:tc>
          <w:tcPr>
            <w:tcW w:w="675" w:type="dxa"/>
            <w:tcBorders>
              <w:top w:val="nil"/>
              <w:left w:val="nil"/>
              <w:bottom w:val="nil"/>
              <w:right w:val="nil"/>
            </w:tcBorders>
            <w:shd w:val="clear" w:color="auto" w:fill="auto"/>
            <w:noWrap/>
            <w:hideMark/>
          </w:tcPr>
          <w:p w14:paraId="4F935DE3"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6385A2E2"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15</w:t>
            </w:r>
          </w:p>
        </w:tc>
        <w:tc>
          <w:tcPr>
            <w:tcW w:w="709" w:type="dxa"/>
            <w:tcBorders>
              <w:top w:val="nil"/>
              <w:left w:val="nil"/>
              <w:bottom w:val="nil"/>
              <w:right w:val="nil"/>
            </w:tcBorders>
            <w:shd w:val="clear" w:color="auto" w:fill="auto"/>
            <w:noWrap/>
            <w:hideMark/>
          </w:tcPr>
          <w:p w14:paraId="18C694A4"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F03A</w:t>
            </w:r>
          </w:p>
        </w:tc>
        <w:tc>
          <w:tcPr>
            <w:tcW w:w="4961" w:type="dxa"/>
            <w:tcBorders>
              <w:top w:val="nil"/>
              <w:left w:val="nil"/>
              <w:bottom w:val="nil"/>
              <w:right w:val="nil"/>
            </w:tcBorders>
            <w:shd w:val="clear" w:color="auto" w:fill="auto"/>
            <w:noWrap/>
            <w:hideMark/>
          </w:tcPr>
          <w:p w14:paraId="15411792"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Cardiac Valve Procedures W CPB Pump W Invasive Cardiac Investigation, Major Comp</w:t>
            </w:r>
          </w:p>
        </w:tc>
        <w:tc>
          <w:tcPr>
            <w:tcW w:w="567" w:type="dxa"/>
            <w:tcBorders>
              <w:top w:val="nil"/>
              <w:left w:val="nil"/>
              <w:bottom w:val="nil"/>
              <w:right w:val="nil"/>
            </w:tcBorders>
            <w:shd w:val="clear" w:color="auto" w:fill="auto"/>
            <w:noWrap/>
            <w:hideMark/>
          </w:tcPr>
          <w:p w14:paraId="7D31F428"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14.82</w:t>
            </w:r>
          </w:p>
        </w:tc>
        <w:tc>
          <w:tcPr>
            <w:tcW w:w="851" w:type="dxa"/>
            <w:tcBorders>
              <w:top w:val="nil"/>
              <w:left w:val="nil"/>
              <w:bottom w:val="nil"/>
              <w:right w:val="nil"/>
            </w:tcBorders>
            <w:shd w:val="clear" w:color="auto" w:fill="auto"/>
            <w:noWrap/>
            <w:hideMark/>
          </w:tcPr>
          <w:p w14:paraId="0070A49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257</w:t>
            </w:r>
          </w:p>
        </w:tc>
        <w:tc>
          <w:tcPr>
            <w:tcW w:w="954" w:type="dxa"/>
            <w:tcBorders>
              <w:top w:val="nil"/>
              <w:left w:val="nil"/>
              <w:bottom w:val="nil"/>
              <w:right w:val="nil"/>
            </w:tcBorders>
            <w:shd w:val="clear" w:color="auto" w:fill="auto"/>
            <w:noWrap/>
            <w:hideMark/>
          </w:tcPr>
          <w:p w14:paraId="7C67B4B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3,809</w:t>
            </w:r>
          </w:p>
        </w:tc>
        <w:tc>
          <w:tcPr>
            <w:tcW w:w="839" w:type="dxa"/>
            <w:tcBorders>
              <w:top w:val="nil"/>
              <w:left w:val="nil"/>
              <w:bottom w:val="nil"/>
              <w:right w:val="nil"/>
            </w:tcBorders>
            <w:shd w:val="clear" w:color="auto" w:fill="auto"/>
            <w:noWrap/>
            <w:hideMark/>
          </w:tcPr>
          <w:p w14:paraId="318D75C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5,452</w:t>
            </w:r>
          </w:p>
        </w:tc>
        <w:tc>
          <w:tcPr>
            <w:tcW w:w="918" w:type="dxa"/>
            <w:tcBorders>
              <w:top w:val="nil"/>
              <w:left w:val="nil"/>
              <w:bottom w:val="nil"/>
              <w:right w:val="nil"/>
            </w:tcBorders>
            <w:shd w:val="clear" w:color="auto" w:fill="auto"/>
            <w:noWrap/>
            <w:hideMark/>
          </w:tcPr>
          <w:p w14:paraId="1AEB29E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21.2</w:t>
            </w:r>
          </w:p>
        </w:tc>
        <w:tc>
          <w:tcPr>
            <w:tcW w:w="597" w:type="dxa"/>
            <w:tcBorders>
              <w:top w:val="nil"/>
              <w:left w:val="nil"/>
              <w:bottom w:val="nil"/>
              <w:right w:val="nil"/>
            </w:tcBorders>
            <w:shd w:val="clear" w:color="auto" w:fill="auto"/>
            <w:noWrap/>
            <w:hideMark/>
          </w:tcPr>
          <w:p w14:paraId="4AB2827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0.65</w:t>
            </w:r>
          </w:p>
        </w:tc>
        <w:tc>
          <w:tcPr>
            <w:tcW w:w="575" w:type="dxa"/>
            <w:tcBorders>
              <w:top w:val="nil"/>
              <w:left w:val="nil"/>
              <w:bottom w:val="nil"/>
              <w:right w:val="nil"/>
            </w:tcBorders>
            <w:shd w:val="clear" w:color="auto" w:fill="auto"/>
            <w:noWrap/>
            <w:hideMark/>
          </w:tcPr>
          <w:p w14:paraId="3D44E8E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17A6AFB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70AEFCB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14.16</w:t>
            </w:r>
          </w:p>
        </w:tc>
        <w:tc>
          <w:tcPr>
            <w:tcW w:w="693" w:type="dxa"/>
            <w:tcBorders>
              <w:top w:val="nil"/>
              <w:left w:val="nil"/>
              <w:bottom w:val="nil"/>
              <w:right w:val="nil"/>
            </w:tcBorders>
            <w:shd w:val="clear" w:color="auto" w:fill="auto"/>
            <w:noWrap/>
            <w:hideMark/>
          </w:tcPr>
          <w:p w14:paraId="04226D3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13 </w:t>
            </w:r>
          </w:p>
        </w:tc>
        <w:tc>
          <w:tcPr>
            <w:tcW w:w="861" w:type="dxa"/>
            <w:tcBorders>
              <w:top w:val="nil"/>
              <w:left w:val="nil"/>
              <w:bottom w:val="nil"/>
              <w:right w:val="nil"/>
            </w:tcBorders>
            <w:shd w:val="clear" w:color="auto" w:fill="auto"/>
            <w:noWrap/>
            <w:hideMark/>
          </w:tcPr>
          <w:p w14:paraId="37C3FA4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292 </w:t>
            </w:r>
          </w:p>
        </w:tc>
      </w:tr>
      <w:tr w:rsidR="001C198D" w:rsidRPr="00EA63C0" w14:paraId="7FAA723C" w14:textId="77777777" w:rsidTr="00751830">
        <w:trPr>
          <w:trHeight w:hRule="exact" w:val="312"/>
        </w:trPr>
        <w:tc>
          <w:tcPr>
            <w:tcW w:w="675" w:type="dxa"/>
            <w:tcBorders>
              <w:top w:val="nil"/>
              <w:left w:val="nil"/>
              <w:bottom w:val="nil"/>
              <w:right w:val="nil"/>
            </w:tcBorders>
            <w:shd w:val="clear" w:color="auto" w:fill="auto"/>
            <w:noWrap/>
            <w:hideMark/>
          </w:tcPr>
          <w:p w14:paraId="0674CE1B"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4A1391D6"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16</w:t>
            </w:r>
          </w:p>
        </w:tc>
        <w:tc>
          <w:tcPr>
            <w:tcW w:w="709" w:type="dxa"/>
            <w:tcBorders>
              <w:top w:val="nil"/>
              <w:left w:val="nil"/>
              <w:bottom w:val="nil"/>
              <w:right w:val="nil"/>
            </w:tcBorders>
            <w:shd w:val="clear" w:color="auto" w:fill="auto"/>
            <w:noWrap/>
            <w:hideMark/>
          </w:tcPr>
          <w:p w14:paraId="6BCEA923"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F08A</w:t>
            </w:r>
          </w:p>
        </w:tc>
        <w:tc>
          <w:tcPr>
            <w:tcW w:w="4961" w:type="dxa"/>
            <w:tcBorders>
              <w:top w:val="nil"/>
              <w:left w:val="nil"/>
              <w:bottom w:val="nil"/>
              <w:right w:val="nil"/>
            </w:tcBorders>
            <w:shd w:val="clear" w:color="auto" w:fill="auto"/>
            <w:noWrap/>
            <w:hideMark/>
          </w:tcPr>
          <w:p w14:paraId="723BA138"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Major Reconstructive Vascular Procedures W/O CPB Pump, Major Complexity</w:t>
            </w:r>
          </w:p>
        </w:tc>
        <w:tc>
          <w:tcPr>
            <w:tcW w:w="567" w:type="dxa"/>
            <w:tcBorders>
              <w:top w:val="nil"/>
              <w:left w:val="nil"/>
              <w:bottom w:val="nil"/>
              <w:right w:val="nil"/>
            </w:tcBorders>
            <w:shd w:val="clear" w:color="auto" w:fill="auto"/>
            <w:noWrap/>
            <w:hideMark/>
          </w:tcPr>
          <w:p w14:paraId="74A4C4C5"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14.00</w:t>
            </w:r>
          </w:p>
        </w:tc>
        <w:tc>
          <w:tcPr>
            <w:tcW w:w="851" w:type="dxa"/>
            <w:tcBorders>
              <w:top w:val="nil"/>
              <w:left w:val="nil"/>
              <w:bottom w:val="nil"/>
              <w:right w:val="nil"/>
            </w:tcBorders>
            <w:shd w:val="clear" w:color="auto" w:fill="auto"/>
            <w:noWrap/>
            <w:hideMark/>
          </w:tcPr>
          <w:p w14:paraId="701DBB4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150</w:t>
            </w:r>
          </w:p>
        </w:tc>
        <w:tc>
          <w:tcPr>
            <w:tcW w:w="954" w:type="dxa"/>
            <w:tcBorders>
              <w:top w:val="nil"/>
              <w:left w:val="nil"/>
              <w:bottom w:val="nil"/>
              <w:right w:val="nil"/>
            </w:tcBorders>
            <w:shd w:val="clear" w:color="auto" w:fill="auto"/>
            <w:noWrap/>
            <w:hideMark/>
          </w:tcPr>
          <w:p w14:paraId="3FA609B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2,100</w:t>
            </w:r>
          </w:p>
        </w:tc>
        <w:tc>
          <w:tcPr>
            <w:tcW w:w="839" w:type="dxa"/>
            <w:tcBorders>
              <w:top w:val="nil"/>
              <w:left w:val="nil"/>
              <w:bottom w:val="nil"/>
              <w:right w:val="nil"/>
            </w:tcBorders>
            <w:shd w:val="clear" w:color="auto" w:fill="auto"/>
            <w:noWrap/>
            <w:hideMark/>
          </w:tcPr>
          <w:p w14:paraId="5FCFFF4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3,658</w:t>
            </w:r>
          </w:p>
        </w:tc>
        <w:tc>
          <w:tcPr>
            <w:tcW w:w="918" w:type="dxa"/>
            <w:tcBorders>
              <w:top w:val="nil"/>
              <w:left w:val="nil"/>
              <w:bottom w:val="nil"/>
              <w:right w:val="nil"/>
            </w:tcBorders>
            <w:shd w:val="clear" w:color="auto" w:fill="auto"/>
            <w:noWrap/>
            <w:hideMark/>
          </w:tcPr>
          <w:p w14:paraId="4982524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24.5</w:t>
            </w:r>
          </w:p>
        </w:tc>
        <w:tc>
          <w:tcPr>
            <w:tcW w:w="597" w:type="dxa"/>
            <w:tcBorders>
              <w:top w:val="nil"/>
              <w:left w:val="nil"/>
              <w:bottom w:val="nil"/>
              <w:right w:val="nil"/>
            </w:tcBorders>
            <w:shd w:val="clear" w:color="auto" w:fill="auto"/>
            <w:noWrap/>
            <w:hideMark/>
          </w:tcPr>
          <w:p w14:paraId="279AC90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0.74</w:t>
            </w:r>
          </w:p>
        </w:tc>
        <w:tc>
          <w:tcPr>
            <w:tcW w:w="575" w:type="dxa"/>
            <w:tcBorders>
              <w:top w:val="nil"/>
              <w:left w:val="nil"/>
              <w:bottom w:val="nil"/>
              <w:right w:val="nil"/>
            </w:tcBorders>
            <w:shd w:val="clear" w:color="auto" w:fill="auto"/>
            <w:noWrap/>
            <w:hideMark/>
          </w:tcPr>
          <w:p w14:paraId="781DFE1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31A959D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48E8BB2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13.45</w:t>
            </w:r>
          </w:p>
        </w:tc>
        <w:tc>
          <w:tcPr>
            <w:tcW w:w="693" w:type="dxa"/>
            <w:tcBorders>
              <w:top w:val="nil"/>
              <w:left w:val="nil"/>
              <w:bottom w:val="nil"/>
              <w:right w:val="nil"/>
            </w:tcBorders>
            <w:shd w:val="clear" w:color="auto" w:fill="auto"/>
            <w:noWrap/>
            <w:hideMark/>
          </w:tcPr>
          <w:p w14:paraId="2361123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16 </w:t>
            </w:r>
          </w:p>
        </w:tc>
        <w:tc>
          <w:tcPr>
            <w:tcW w:w="861" w:type="dxa"/>
            <w:tcBorders>
              <w:top w:val="nil"/>
              <w:left w:val="nil"/>
              <w:bottom w:val="nil"/>
              <w:right w:val="nil"/>
            </w:tcBorders>
            <w:shd w:val="clear" w:color="auto" w:fill="auto"/>
            <w:noWrap/>
            <w:hideMark/>
          </w:tcPr>
          <w:p w14:paraId="5E04F7F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219 </w:t>
            </w:r>
          </w:p>
        </w:tc>
      </w:tr>
      <w:tr w:rsidR="001C198D" w:rsidRPr="00EA63C0" w14:paraId="6DA480C4" w14:textId="77777777" w:rsidTr="00751830">
        <w:trPr>
          <w:trHeight w:hRule="exact" w:val="312"/>
        </w:trPr>
        <w:tc>
          <w:tcPr>
            <w:tcW w:w="675" w:type="dxa"/>
            <w:tcBorders>
              <w:top w:val="nil"/>
              <w:left w:val="nil"/>
              <w:bottom w:val="nil"/>
              <w:right w:val="nil"/>
            </w:tcBorders>
            <w:shd w:val="clear" w:color="auto" w:fill="auto"/>
            <w:noWrap/>
            <w:hideMark/>
          </w:tcPr>
          <w:p w14:paraId="48ED5305"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No</w:t>
            </w:r>
          </w:p>
        </w:tc>
        <w:tc>
          <w:tcPr>
            <w:tcW w:w="709" w:type="dxa"/>
            <w:tcBorders>
              <w:top w:val="nil"/>
              <w:left w:val="nil"/>
              <w:bottom w:val="nil"/>
              <w:right w:val="nil"/>
            </w:tcBorders>
            <w:shd w:val="clear" w:color="auto" w:fill="auto"/>
            <w:noWrap/>
            <w:hideMark/>
          </w:tcPr>
          <w:p w14:paraId="5396BDF5"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w:t>
            </w:r>
          </w:p>
        </w:tc>
        <w:tc>
          <w:tcPr>
            <w:tcW w:w="709" w:type="dxa"/>
            <w:tcBorders>
              <w:top w:val="nil"/>
              <w:left w:val="nil"/>
              <w:bottom w:val="nil"/>
              <w:right w:val="nil"/>
            </w:tcBorders>
            <w:shd w:val="clear" w:color="auto" w:fill="auto"/>
            <w:noWrap/>
            <w:hideMark/>
          </w:tcPr>
          <w:p w14:paraId="5902435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G01A</w:t>
            </w:r>
          </w:p>
        </w:tc>
        <w:tc>
          <w:tcPr>
            <w:tcW w:w="4961" w:type="dxa"/>
            <w:tcBorders>
              <w:top w:val="nil"/>
              <w:left w:val="nil"/>
              <w:bottom w:val="nil"/>
              <w:right w:val="nil"/>
            </w:tcBorders>
            <w:shd w:val="clear" w:color="auto" w:fill="auto"/>
            <w:noWrap/>
            <w:hideMark/>
          </w:tcPr>
          <w:p w14:paraId="46DEF4B7"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Rectal Resection, Major Complexity</w:t>
            </w:r>
          </w:p>
        </w:tc>
        <w:tc>
          <w:tcPr>
            <w:tcW w:w="567" w:type="dxa"/>
            <w:tcBorders>
              <w:top w:val="nil"/>
              <w:left w:val="nil"/>
              <w:bottom w:val="nil"/>
              <w:right w:val="nil"/>
            </w:tcBorders>
            <w:shd w:val="clear" w:color="auto" w:fill="auto"/>
            <w:noWrap/>
            <w:hideMark/>
          </w:tcPr>
          <w:p w14:paraId="725EF794"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14.00</w:t>
            </w:r>
          </w:p>
        </w:tc>
        <w:tc>
          <w:tcPr>
            <w:tcW w:w="851" w:type="dxa"/>
            <w:tcBorders>
              <w:top w:val="nil"/>
              <w:left w:val="nil"/>
              <w:bottom w:val="nil"/>
              <w:right w:val="nil"/>
            </w:tcBorders>
            <w:shd w:val="clear" w:color="auto" w:fill="auto"/>
            <w:noWrap/>
            <w:hideMark/>
          </w:tcPr>
          <w:p w14:paraId="404CE69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285</w:t>
            </w:r>
          </w:p>
        </w:tc>
        <w:tc>
          <w:tcPr>
            <w:tcW w:w="954" w:type="dxa"/>
            <w:tcBorders>
              <w:top w:val="nil"/>
              <w:left w:val="nil"/>
              <w:bottom w:val="nil"/>
              <w:right w:val="nil"/>
            </w:tcBorders>
            <w:shd w:val="clear" w:color="auto" w:fill="auto"/>
            <w:noWrap/>
            <w:hideMark/>
          </w:tcPr>
          <w:p w14:paraId="613647F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3,990</w:t>
            </w:r>
          </w:p>
        </w:tc>
        <w:tc>
          <w:tcPr>
            <w:tcW w:w="839" w:type="dxa"/>
            <w:tcBorders>
              <w:top w:val="nil"/>
              <w:left w:val="nil"/>
              <w:bottom w:val="nil"/>
              <w:right w:val="nil"/>
            </w:tcBorders>
            <w:shd w:val="clear" w:color="auto" w:fill="auto"/>
            <w:noWrap/>
            <w:hideMark/>
          </w:tcPr>
          <w:p w14:paraId="7A7432F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9,161</w:t>
            </w:r>
          </w:p>
        </w:tc>
        <w:tc>
          <w:tcPr>
            <w:tcW w:w="918" w:type="dxa"/>
            <w:tcBorders>
              <w:top w:val="nil"/>
              <w:left w:val="nil"/>
              <w:bottom w:val="nil"/>
              <w:right w:val="nil"/>
            </w:tcBorders>
            <w:shd w:val="clear" w:color="auto" w:fill="auto"/>
            <w:noWrap/>
            <w:hideMark/>
          </w:tcPr>
          <w:p w14:paraId="56D3EBD8"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32.1</w:t>
            </w:r>
          </w:p>
        </w:tc>
        <w:tc>
          <w:tcPr>
            <w:tcW w:w="597" w:type="dxa"/>
            <w:tcBorders>
              <w:top w:val="nil"/>
              <w:left w:val="nil"/>
              <w:bottom w:val="nil"/>
              <w:right w:val="nil"/>
            </w:tcBorders>
            <w:shd w:val="clear" w:color="auto" w:fill="auto"/>
            <w:noWrap/>
            <w:hideMark/>
          </w:tcPr>
          <w:p w14:paraId="1B0BADA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0.66</w:t>
            </w:r>
          </w:p>
        </w:tc>
        <w:tc>
          <w:tcPr>
            <w:tcW w:w="575" w:type="dxa"/>
            <w:tcBorders>
              <w:top w:val="nil"/>
              <w:left w:val="nil"/>
              <w:bottom w:val="nil"/>
              <w:right w:val="nil"/>
            </w:tcBorders>
            <w:shd w:val="clear" w:color="auto" w:fill="auto"/>
            <w:noWrap/>
            <w:hideMark/>
          </w:tcPr>
          <w:p w14:paraId="2A111CD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6D8BF05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2C8F449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10.75</w:t>
            </w:r>
          </w:p>
        </w:tc>
        <w:tc>
          <w:tcPr>
            <w:tcW w:w="693" w:type="dxa"/>
            <w:tcBorders>
              <w:top w:val="nil"/>
              <w:left w:val="nil"/>
              <w:bottom w:val="nil"/>
              <w:right w:val="nil"/>
            </w:tcBorders>
            <w:shd w:val="clear" w:color="auto" w:fill="auto"/>
            <w:noWrap/>
            <w:hideMark/>
          </w:tcPr>
          <w:p w14:paraId="0F46534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31 </w:t>
            </w:r>
          </w:p>
        </w:tc>
        <w:tc>
          <w:tcPr>
            <w:tcW w:w="861" w:type="dxa"/>
            <w:tcBorders>
              <w:top w:val="nil"/>
              <w:left w:val="nil"/>
              <w:bottom w:val="nil"/>
              <w:right w:val="nil"/>
            </w:tcBorders>
            <w:shd w:val="clear" w:color="auto" w:fill="auto"/>
            <w:noWrap/>
            <w:hideMark/>
          </w:tcPr>
          <w:p w14:paraId="17F6AF0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346 </w:t>
            </w:r>
          </w:p>
        </w:tc>
      </w:tr>
      <w:tr w:rsidR="001C198D" w:rsidRPr="00EA63C0" w14:paraId="3D66CF6E" w14:textId="77777777" w:rsidTr="00751830">
        <w:trPr>
          <w:trHeight w:hRule="exact" w:val="312"/>
        </w:trPr>
        <w:tc>
          <w:tcPr>
            <w:tcW w:w="675" w:type="dxa"/>
            <w:tcBorders>
              <w:top w:val="nil"/>
              <w:left w:val="nil"/>
              <w:bottom w:val="nil"/>
              <w:right w:val="nil"/>
            </w:tcBorders>
            <w:shd w:val="clear" w:color="auto" w:fill="auto"/>
            <w:noWrap/>
            <w:hideMark/>
          </w:tcPr>
          <w:p w14:paraId="5AECE360"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4CDBC399"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18</w:t>
            </w:r>
          </w:p>
        </w:tc>
        <w:tc>
          <w:tcPr>
            <w:tcW w:w="709" w:type="dxa"/>
            <w:tcBorders>
              <w:top w:val="nil"/>
              <w:left w:val="nil"/>
              <w:bottom w:val="nil"/>
              <w:right w:val="nil"/>
            </w:tcBorders>
            <w:shd w:val="clear" w:color="auto" w:fill="auto"/>
            <w:noWrap/>
            <w:hideMark/>
          </w:tcPr>
          <w:p w14:paraId="25EBA9BD"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I09A</w:t>
            </w:r>
          </w:p>
        </w:tc>
        <w:tc>
          <w:tcPr>
            <w:tcW w:w="4961" w:type="dxa"/>
            <w:tcBorders>
              <w:top w:val="nil"/>
              <w:left w:val="nil"/>
              <w:bottom w:val="nil"/>
              <w:right w:val="nil"/>
            </w:tcBorders>
            <w:shd w:val="clear" w:color="auto" w:fill="auto"/>
            <w:noWrap/>
            <w:hideMark/>
          </w:tcPr>
          <w:p w14:paraId="5CDB7360"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Spinal Fusion, Major Complexity</w:t>
            </w:r>
          </w:p>
        </w:tc>
        <w:tc>
          <w:tcPr>
            <w:tcW w:w="567" w:type="dxa"/>
            <w:tcBorders>
              <w:top w:val="nil"/>
              <w:left w:val="nil"/>
              <w:bottom w:val="nil"/>
              <w:right w:val="nil"/>
            </w:tcBorders>
            <w:shd w:val="clear" w:color="auto" w:fill="auto"/>
            <w:noWrap/>
            <w:hideMark/>
          </w:tcPr>
          <w:p w14:paraId="69E62129"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14.00</w:t>
            </w:r>
          </w:p>
        </w:tc>
        <w:tc>
          <w:tcPr>
            <w:tcW w:w="851" w:type="dxa"/>
            <w:tcBorders>
              <w:top w:val="nil"/>
              <w:left w:val="nil"/>
              <w:bottom w:val="nil"/>
              <w:right w:val="nil"/>
            </w:tcBorders>
            <w:shd w:val="clear" w:color="auto" w:fill="auto"/>
            <w:noWrap/>
            <w:hideMark/>
          </w:tcPr>
          <w:p w14:paraId="3C93025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547</w:t>
            </w:r>
          </w:p>
        </w:tc>
        <w:tc>
          <w:tcPr>
            <w:tcW w:w="954" w:type="dxa"/>
            <w:tcBorders>
              <w:top w:val="nil"/>
              <w:left w:val="nil"/>
              <w:bottom w:val="nil"/>
              <w:right w:val="nil"/>
            </w:tcBorders>
            <w:shd w:val="clear" w:color="auto" w:fill="auto"/>
            <w:noWrap/>
            <w:hideMark/>
          </w:tcPr>
          <w:p w14:paraId="6ECD219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7,658</w:t>
            </w:r>
          </w:p>
        </w:tc>
        <w:tc>
          <w:tcPr>
            <w:tcW w:w="839" w:type="dxa"/>
            <w:tcBorders>
              <w:top w:val="nil"/>
              <w:left w:val="nil"/>
              <w:bottom w:val="nil"/>
              <w:right w:val="nil"/>
            </w:tcBorders>
            <w:shd w:val="clear" w:color="auto" w:fill="auto"/>
            <w:noWrap/>
            <w:hideMark/>
          </w:tcPr>
          <w:p w14:paraId="4E8E65D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9,501</w:t>
            </w:r>
          </w:p>
        </w:tc>
        <w:tc>
          <w:tcPr>
            <w:tcW w:w="918" w:type="dxa"/>
            <w:tcBorders>
              <w:top w:val="nil"/>
              <w:left w:val="nil"/>
              <w:bottom w:val="nil"/>
              <w:right w:val="nil"/>
            </w:tcBorders>
            <w:shd w:val="clear" w:color="auto" w:fill="auto"/>
            <w:noWrap/>
            <w:hideMark/>
          </w:tcPr>
          <w:p w14:paraId="47E69831"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17.4</w:t>
            </w:r>
          </w:p>
        </w:tc>
        <w:tc>
          <w:tcPr>
            <w:tcW w:w="597" w:type="dxa"/>
            <w:tcBorders>
              <w:top w:val="nil"/>
              <w:left w:val="nil"/>
              <w:bottom w:val="nil"/>
              <w:right w:val="nil"/>
            </w:tcBorders>
            <w:shd w:val="clear" w:color="auto" w:fill="auto"/>
            <w:noWrap/>
            <w:hideMark/>
          </w:tcPr>
          <w:p w14:paraId="74695F8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0.44</w:t>
            </w:r>
          </w:p>
        </w:tc>
        <w:tc>
          <w:tcPr>
            <w:tcW w:w="575" w:type="dxa"/>
            <w:tcBorders>
              <w:top w:val="nil"/>
              <w:left w:val="nil"/>
              <w:bottom w:val="nil"/>
              <w:right w:val="nil"/>
            </w:tcBorders>
            <w:shd w:val="clear" w:color="auto" w:fill="auto"/>
            <w:noWrap/>
            <w:hideMark/>
          </w:tcPr>
          <w:p w14:paraId="09827BB6"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6DD0BB7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0.2%</w:t>
            </w:r>
          </w:p>
        </w:tc>
        <w:tc>
          <w:tcPr>
            <w:tcW w:w="693" w:type="dxa"/>
            <w:tcBorders>
              <w:top w:val="nil"/>
              <w:left w:val="nil"/>
              <w:bottom w:val="nil"/>
              <w:right w:val="nil"/>
            </w:tcBorders>
            <w:shd w:val="clear" w:color="auto" w:fill="auto"/>
            <w:noWrap/>
            <w:hideMark/>
          </w:tcPr>
          <w:p w14:paraId="7BB5004C"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13.80</w:t>
            </w:r>
          </w:p>
        </w:tc>
        <w:tc>
          <w:tcPr>
            <w:tcW w:w="693" w:type="dxa"/>
            <w:tcBorders>
              <w:top w:val="nil"/>
              <w:left w:val="nil"/>
              <w:bottom w:val="nil"/>
              <w:right w:val="nil"/>
            </w:tcBorders>
            <w:shd w:val="clear" w:color="auto" w:fill="auto"/>
            <w:noWrap/>
            <w:hideMark/>
          </w:tcPr>
          <w:p w14:paraId="69D960D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15 </w:t>
            </w:r>
          </w:p>
        </w:tc>
        <w:tc>
          <w:tcPr>
            <w:tcW w:w="861" w:type="dxa"/>
            <w:tcBorders>
              <w:top w:val="nil"/>
              <w:left w:val="nil"/>
              <w:bottom w:val="nil"/>
              <w:right w:val="nil"/>
            </w:tcBorders>
            <w:shd w:val="clear" w:color="auto" w:fill="auto"/>
            <w:noWrap/>
            <w:hideMark/>
          </w:tcPr>
          <w:p w14:paraId="5363F97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666 </w:t>
            </w:r>
          </w:p>
        </w:tc>
      </w:tr>
      <w:tr w:rsidR="001C198D" w:rsidRPr="00EA63C0" w14:paraId="14186801" w14:textId="77777777" w:rsidTr="00751830">
        <w:trPr>
          <w:trHeight w:hRule="exact" w:val="312"/>
        </w:trPr>
        <w:tc>
          <w:tcPr>
            <w:tcW w:w="675" w:type="dxa"/>
            <w:tcBorders>
              <w:top w:val="nil"/>
              <w:left w:val="nil"/>
              <w:bottom w:val="nil"/>
              <w:right w:val="nil"/>
            </w:tcBorders>
            <w:shd w:val="clear" w:color="auto" w:fill="auto"/>
            <w:noWrap/>
            <w:hideMark/>
          </w:tcPr>
          <w:p w14:paraId="2C309072"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5E2224F4"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19</w:t>
            </w:r>
          </w:p>
        </w:tc>
        <w:tc>
          <w:tcPr>
            <w:tcW w:w="709" w:type="dxa"/>
            <w:tcBorders>
              <w:top w:val="nil"/>
              <w:left w:val="nil"/>
              <w:bottom w:val="nil"/>
              <w:right w:val="nil"/>
            </w:tcBorders>
            <w:shd w:val="clear" w:color="auto" w:fill="auto"/>
            <w:noWrap/>
            <w:hideMark/>
          </w:tcPr>
          <w:p w14:paraId="5EF07FAD"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I06Z</w:t>
            </w:r>
          </w:p>
        </w:tc>
        <w:tc>
          <w:tcPr>
            <w:tcW w:w="4961" w:type="dxa"/>
            <w:tcBorders>
              <w:top w:val="nil"/>
              <w:left w:val="nil"/>
              <w:bottom w:val="nil"/>
              <w:right w:val="nil"/>
            </w:tcBorders>
            <w:shd w:val="clear" w:color="auto" w:fill="auto"/>
            <w:noWrap/>
            <w:hideMark/>
          </w:tcPr>
          <w:p w14:paraId="4B5F0449"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Spinal Fusion for Deformity</w:t>
            </w:r>
          </w:p>
        </w:tc>
        <w:tc>
          <w:tcPr>
            <w:tcW w:w="567" w:type="dxa"/>
            <w:tcBorders>
              <w:top w:val="nil"/>
              <w:left w:val="nil"/>
              <w:bottom w:val="nil"/>
              <w:right w:val="nil"/>
            </w:tcBorders>
            <w:shd w:val="clear" w:color="auto" w:fill="auto"/>
            <w:noWrap/>
            <w:hideMark/>
          </w:tcPr>
          <w:p w14:paraId="173448B4"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13.78</w:t>
            </w:r>
          </w:p>
        </w:tc>
        <w:tc>
          <w:tcPr>
            <w:tcW w:w="851" w:type="dxa"/>
            <w:tcBorders>
              <w:top w:val="nil"/>
              <w:left w:val="nil"/>
              <w:bottom w:val="nil"/>
              <w:right w:val="nil"/>
            </w:tcBorders>
            <w:shd w:val="clear" w:color="auto" w:fill="auto"/>
            <w:noWrap/>
            <w:hideMark/>
          </w:tcPr>
          <w:p w14:paraId="4BD5CF3F"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988</w:t>
            </w:r>
          </w:p>
        </w:tc>
        <w:tc>
          <w:tcPr>
            <w:tcW w:w="954" w:type="dxa"/>
            <w:tcBorders>
              <w:top w:val="nil"/>
              <w:left w:val="nil"/>
              <w:bottom w:val="nil"/>
              <w:right w:val="nil"/>
            </w:tcBorders>
            <w:shd w:val="clear" w:color="auto" w:fill="auto"/>
            <w:noWrap/>
            <w:hideMark/>
          </w:tcPr>
          <w:p w14:paraId="647C840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13,615</w:t>
            </w:r>
          </w:p>
        </w:tc>
        <w:tc>
          <w:tcPr>
            <w:tcW w:w="839" w:type="dxa"/>
            <w:tcBorders>
              <w:top w:val="nil"/>
              <w:left w:val="nil"/>
              <w:bottom w:val="nil"/>
              <w:right w:val="nil"/>
            </w:tcBorders>
            <w:shd w:val="clear" w:color="auto" w:fill="auto"/>
            <w:noWrap/>
            <w:hideMark/>
          </w:tcPr>
          <w:p w14:paraId="17E18F6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9,141</w:t>
            </w:r>
          </w:p>
        </w:tc>
        <w:tc>
          <w:tcPr>
            <w:tcW w:w="918" w:type="dxa"/>
            <w:tcBorders>
              <w:top w:val="nil"/>
              <w:left w:val="nil"/>
              <w:bottom w:val="nil"/>
              <w:right w:val="nil"/>
            </w:tcBorders>
            <w:shd w:val="clear" w:color="auto" w:fill="auto"/>
            <w:noWrap/>
            <w:hideMark/>
          </w:tcPr>
          <w:p w14:paraId="434654B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9.3</w:t>
            </w:r>
          </w:p>
        </w:tc>
        <w:tc>
          <w:tcPr>
            <w:tcW w:w="597" w:type="dxa"/>
            <w:tcBorders>
              <w:top w:val="nil"/>
              <w:left w:val="nil"/>
              <w:bottom w:val="nil"/>
              <w:right w:val="nil"/>
            </w:tcBorders>
            <w:shd w:val="clear" w:color="auto" w:fill="auto"/>
            <w:noWrap/>
            <w:hideMark/>
          </w:tcPr>
          <w:p w14:paraId="7C2D514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0.36</w:t>
            </w:r>
          </w:p>
        </w:tc>
        <w:tc>
          <w:tcPr>
            <w:tcW w:w="575" w:type="dxa"/>
            <w:tcBorders>
              <w:top w:val="nil"/>
              <w:left w:val="nil"/>
              <w:bottom w:val="nil"/>
              <w:right w:val="nil"/>
            </w:tcBorders>
            <w:shd w:val="clear" w:color="auto" w:fill="auto"/>
            <w:noWrap/>
            <w:hideMark/>
          </w:tcPr>
          <w:p w14:paraId="7193748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40EAE66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0.4%</w:t>
            </w:r>
          </w:p>
        </w:tc>
        <w:tc>
          <w:tcPr>
            <w:tcW w:w="693" w:type="dxa"/>
            <w:tcBorders>
              <w:top w:val="nil"/>
              <w:left w:val="nil"/>
              <w:bottom w:val="nil"/>
              <w:right w:val="nil"/>
            </w:tcBorders>
            <w:shd w:val="clear" w:color="auto" w:fill="auto"/>
            <w:noWrap/>
            <w:hideMark/>
          </w:tcPr>
          <w:p w14:paraId="0E965C55"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14.12</w:t>
            </w:r>
          </w:p>
        </w:tc>
        <w:tc>
          <w:tcPr>
            <w:tcW w:w="693" w:type="dxa"/>
            <w:tcBorders>
              <w:top w:val="nil"/>
              <w:left w:val="nil"/>
              <w:bottom w:val="nil"/>
              <w:right w:val="nil"/>
            </w:tcBorders>
            <w:shd w:val="clear" w:color="auto" w:fill="auto"/>
            <w:noWrap/>
            <w:hideMark/>
          </w:tcPr>
          <w:p w14:paraId="3960EAF7"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14 </w:t>
            </w:r>
          </w:p>
        </w:tc>
        <w:tc>
          <w:tcPr>
            <w:tcW w:w="861" w:type="dxa"/>
            <w:tcBorders>
              <w:top w:val="nil"/>
              <w:left w:val="nil"/>
              <w:bottom w:val="nil"/>
              <w:right w:val="nil"/>
            </w:tcBorders>
            <w:shd w:val="clear" w:color="auto" w:fill="auto"/>
            <w:noWrap/>
            <w:hideMark/>
          </w:tcPr>
          <w:p w14:paraId="5622E78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1,212 </w:t>
            </w:r>
          </w:p>
        </w:tc>
      </w:tr>
      <w:tr w:rsidR="001C198D" w:rsidRPr="00EA63C0" w14:paraId="761573FF" w14:textId="77777777" w:rsidTr="00751830">
        <w:trPr>
          <w:trHeight w:hRule="exact" w:val="312"/>
        </w:trPr>
        <w:tc>
          <w:tcPr>
            <w:tcW w:w="675" w:type="dxa"/>
            <w:tcBorders>
              <w:top w:val="nil"/>
              <w:left w:val="nil"/>
              <w:bottom w:val="nil"/>
              <w:right w:val="nil"/>
            </w:tcBorders>
            <w:shd w:val="clear" w:color="auto" w:fill="auto"/>
            <w:noWrap/>
            <w:hideMark/>
          </w:tcPr>
          <w:p w14:paraId="075AB8EC"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Yes</w:t>
            </w:r>
          </w:p>
        </w:tc>
        <w:tc>
          <w:tcPr>
            <w:tcW w:w="709" w:type="dxa"/>
            <w:tcBorders>
              <w:top w:val="nil"/>
              <w:left w:val="nil"/>
              <w:bottom w:val="nil"/>
              <w:right w:val="nil"/>
            </w:tcBorders>
            <w:shd w:val="clear" w:color="auto" w:fill="auto"/>
            <w:noWrap/>
            <w:hideMark/>
          </w:tcPr>
          <w:p w14:paraId="3E74DEF2"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20</w:t>
            </w:r>
          </w:p>
        </w:tc>
        <w:tc>
          <w:tcPr>
            <w:tcW w:w="709" w:type="dxa"/>
            <w:tcBorders>
              <w:top w:val="nil"/>
              <w:left w:val="nil"/>
              <w:bottom w:val="nil"/>
              <w:right w:val="nil"/>
            </w:tcBorders>
            <w:shd w:val="clear" w:color="auto" w:fill="auto"/>
            <w:noWrap/>
            <w:hideMark/>
          </w:tcPr>
          <w:p w14:paraId="2499C002"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F05A</w:t>
            </w:r>
          </w:p>
        </w:tc>
        <w:tc>
          <w:tcPr>
            <w:tcW w:w="4961" w:type="dxa"/>
            <w:tcBorders>
              <w:top w:val="nil"/>
              <w:left w:val="nil"/>
              <w:bottom w:val="nil"/>
              <w:right w:val="nil"/>
            </w:tcBorders>
            <w:shd w:val="clear" w:color="auto" w:fill="auto"/>
            <w:noWrap/>
            <w:hideMark/>
          </w:tcPr>
          <w:p w14:paraId="3967DB41"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Coronary Bypass W Invasive Cardiac Investigation, Major Complexity</w:t>
            </w:r>
          </w:p>
        </w:tc>
        <w:tc>
          <w:tcPr>
            <w:tcW w:w="567" w:type="dxa"/>
            <w:tcBorders>
              <w:top w:val="nil"/>
              <w:left w:val="nil"/>
              <w:bottom w:val="nil"/>
              <w:right w:val="nil"/>
            </w:tcBorders>
            <w:shd w:val="clear" w:color="auto" w:fill="auto"/>
            <w:noWrap/>
            <w:hideMark/>
          </w:tcPr>
          <w:p w14:paraId="60530DE0" w14:textId="77777777" w:rsidR="001C198D" w:rsidRPr="00EA63C0" w:rsidRDefault="001C198D" w:rsidP="00191507">
            <w:pPr>
              <w:spacing w:before="20" w:after="20" w:line="240" w:lineRule="auto"/>
              <w:jc w:val="right"/>
              <w:rPr>
                <w:rFonts w:asciiTheme="minorHAnsi" w:hAnsiTheme="minorHAnsi" w:cstheme="minorHAnsi"/>
                <w:b/>
                <w:color w:val="000000"/>
                <w:sz w:val="14"/>
                <w:szCs w:val="14"/>
                <w:lang w:val="en-US" w:eastAsia="en-US"/>
              </w:rPr>
            </w:pPr>
            <w:r w:rsidRPr="00EA63C0">
              <w:rPr>
                <w:rFonts w:asciiTheme="minorHAnsi" w:hAnsiTheme="minorHAnsi" w:cstheme="minorHAnsi"/>
                <w:b/>
                <w:sz w:val="14"/>
                <w:szCs w:val="14"/>
              </w:rPr>
              <w:t>13.74</w:t>
            </w:r>
          </w:p>
        </w:tc>
        <w:tc>
          <w:tcPr>
            <w:tcW w:w="851" w:type="dxa"/>
            <w:tcBorders>
              <w:top w:val="nil"/>
              <w:left w:val="nil"/>
              <w:bottom w:val="nil"/>
              <w:right w:val="nil"/>
            </w:tcBorders>
            <w:shd w:val="clear" w:color="auto" w:fill="auto"/>
            <w:noWrap/>
            <w:hideMark/>
          </w:tcPr>
          <w:p w14:paraId="6D482C3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269</w:t>
            </w:r>
          </w:p>
        </w:tc>
        <w:tc>
          <w:tcPr>
            <w:tcW w:w="954" w:type="dxa"/>
            <w:tcBorders>
              <w:top w:val="nil"/>
              <w:left w:val="nil"/>
              <w:bottom w:val="nil"/>
              <w:right w:val="nil"/>
            </w:tcBorders>
            <w:shd w:val="clear" w:color="auto" w:fill="auto"/>
            <w:noWrap/>
            <w:hideMark/>
          </w:tcPr>
          <w:p w14:paraId="04D5B5D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3,696</w:t>
            </w:r>
          </w:p>
        </w:tc>
        <w:tc>
          <w:tcPr>
            <w:tcW w:w="839" w:type="dxa"/>
            <w:tcBorders>
              <w:top w:val="nil"/>
              <w:left w:val="nil"/>
              <w:bottom w:val="nil"/>
              <w:right w:val="nil"/>
            </w:tcBorders>
            <w:shd w:val="clear" w:color="auto" w:fill="auto"/>
            <w:noWrap/>
            <w:hideMark/>
          </w:tcPr>
          <w:p w14:paraId="15ACD97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5,290</w:t>
            </w:r>
          </w:p>
        </w:tc>
        <w:tc>
          <w:tcPr>
            <w:tcW w:w="918" w:type="dxa"/>
            <w:tcBorders>
              <w:top w:val="nil"/>
              <w:left w:val="nil"/>
              <w:bottom w:val="nil"/>
              <w:right w:val="nil"/>
            </w:tcBorders>
            <w:shd w:val="clear" w:color="auto" w:fill="auto"/>
            <w:noWrap/>
            <w:hideMark/>
          </w:tcPr>
          <w:p w14:paraId="231E4E3E"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19.7</w:t>
            </w:r>
          </w:p>
        </w:tc>
        <w:tc>
          <w:tcPr>
            <w:tcW w:w="597" w:type="dxa"/>
            <w:tcBorders>
              <w:top w:val="nil"/>
              <w:left w:val="nil"/>
              <w:bottom w:val="nil"/>
              <w:right w:val="nil"/>
            </w:tcBorders>
            <w:shd w:val="clear" w:color="auto" w:fill="auto"/>
            <w:noWrap/>
            <w:hideMark/>
          </w:tcPr>
          <w:p w14:paraId="5CAC6EF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0.63</w:t>
            </w:r>
          </w:p>
        </w:tc>
        <w:tc>
          <w:tcPr>
            <w:tcW w:w="575" w:type="dxa"/>
            <w:tcBorders>
              <w:top w:val="nil"/>
              <w:left w:val="nil"/>
              <w:bottom w:val="nil"/>
              <w:right w:val="nil"/>
            </w:tcBorders>
            <w:shd w:val="clear" w:color="auto" w:fill="auto"/>
            <w:noWrap/>
            <w:hideMark/>
          </w:tcPr>
          <w:p w14:paraId="5E2A271D"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0.0%</w:t>
            </w:r>
          </w:p>
        </w:tc>
        <w:tc>
          <w:tcPr>
            <w:tcW w:w="575" w:type="dxa"/>
            <w:tcBorders>
              <w:top w:val="nil"/>
              <w:left w:val="nil"/>
              <w:bottom w:val="nil"/>
              <w:right w:val="nil"/>
            </w:tcBorders>
            <w:shd w:val="clear" w:color="auto" w:fill="auto"/>
            <w:noWrap/>
            <w:hideMark/>
          </w:tcPr>
          <w:p w14:paraId="122B6984"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0.1%</w:t>
            </w:r>
          </w:p>
        </w:tc>
        <w:tc>
          <w:tcPr>
            <w:tcW w:w="693" w:type="dxa"/>
            <w:tcBorders>
              <w:top w:val="nil"/>
              <w:left w:val="nil"/>
              <w:bottom w:val="nil"/>
              <w:right w:val="nil"/>
            </w:tcBorders>
            <w:shd w:val="clear" w:color="auto" w:fill="auto"/>
            <w:noWrap/>
            <w:hideMark/>
          </w:tcPr>
          <w:p w14:paraId="267BA89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11.87</w:t>
            </w:r>
          </w:p>
        </w:tc>
        <w:tc>
          <w:tcPr>
            <w:tcW w:w="693" w:type="dxa"/>
            <w:tcBorders>
              <w:top w:val="nil"/>
              <w:left w:val="nil"/>
              <w:bottom w:val="nil"/>
              <w:right w:val="nil"/>
            </w:tcBorders>
            <w:shd w:val="clear" w:color="auto" w:fill="auto"/>
            <w:noWrap/>
            <w:hideMark/>
          </w:tcPr>
          <w:p w14:paraId="70FFBF89"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rFonts w:asciiTheme="minorHAnsi" w:hAnsiTheme="minorHAnsi" w:cstheme="minorHAnsi"/>
                <w:sz w:val="14"/>
                <w:szCs w:val="14"/>
              </w:rPr>
              <w:t xml:space="preserve">20 </w:t>
            </w:r>
          </w:p>
        </w:tc>
        <w:tc>
          <w:tcPr>
            <w:tcW w:w="861" w:type="dxa"/>
            <w:tcBorders>
              <w:top w:val="nil"/>
              <w:left w:val="nil"/>
              <w:bottom w:val="nil"/>
              <w:right w:val="nil"/>
            </w:tcBorders>
            <w:shd w:val="clear" w:color="auto" w:fill="auto"/>
            <w:noWrap/>
            <w:hideMark/>
          </w:tcPr>
          <w:p w14:paraId="1E63CF53"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sz w:val="14"/>
              </w:rPr>
              <w:t xml:space="preserve">454 </w:t>
            </w:r>
          </w:p>
        </w:tc>
      </w:tr>
      <w:tr w:rsidR="001C198D" w:rsidRPr="00EA63C0" w14:paraId="7578730B" w14:textId="77777777" w:rsidTr="00751830">
        <w:trPr>
          <w:trHeight w:val="221"/>
        </w:trPr>
        <w:tc>
          <w:tcPr>
            <w:tcW w:w="675" w:type="dxa"/>
            <w:tcBorders>
              <w:top w:val="single" w:sz="4" w:space="0" w:color="auto"/>
              <w:left w:val="nil"/>
              <w:bottom w:val="nil"/>
              <w:right w:val="nil"/>
            </w:tcBorders>
            <w:shd w:val="clear" w:color="auto" w:fill="auto"/>
            <w:noWrap/>
            <w:vAlign w:val="center"/>
            <w:hideMark/>
          </w:tcPr>
          <w:p w14:paraId="300FFD77"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color w:val="000000"/>
                <w:sz w:val="14"/>
                <w:szCs w:val="14"/>
              </w:rPr>
              <w:t>17</w:t>
            </w:r>
          </w:p>
        </w:tc>
        <w:tc>
          <w:tcPr>
            <w:tcW w:w="6379" w:type="dxa"/>
            <w:gridSpan w:val="3"/>
            <w:tcBorders>
              <w:top w:val="single" w:sz="4" w:space="0" w:color="auto"/>
              <w:left w:val="nil"/>
              <w:bottom w:val="nil"/>
              <w:right w:val="nil"/>
            </w:tcBorders>
            <w:shd w:val="clear" w:color="auto" w:fill="auto"/>
            <w:noWrap/>
            <w:hideMark/>
          </w:tcPr>
          <w:p w14:paraId="707B9392"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b/>
                <w:bCs/>
                <w:color w:val="000000"/>
                <w:sz w:val="14"/>
                <w:szCs w:val="14"/>
              </w:rPr>
              <w:t>Sub-total, top 20 highest cost weight</w:t>
            </w:r>
          </w:p>
        </w:tc>
        <w:tc>
          <w:tcPr>
            <w:tcW w:w="567" w:type="dxa"/>
            <w:tcBorders>
              <w:top w:val="single" w:sz="4" w:space="0" w:color="auto"/>
              <w:left w:val="nil"/>
              <w:bottom w:val="nil"/>
              <w:right w:val="nil"/>
            </w:tcBorders>
            <w:shd w:val="clear" w:color="auto" w:fill="auto"/>
            <w:noWrap/>
            <w:hideMark/>
          </w:tcPr>
          <w:p w14:paraId="4FD943F8"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16.60</w:t>
            </w:r>
          </w:p>
        </w:tc>
        <w:tc>
          <w:tcPr>
            <w:tcW w:w="851" w:type="dxa"/>
            <w:tcBorders>
              <w:top w:val="single" w:sz="4" w:space="0" w:color="auto"/>
              <w:left w:val="nil"/>
              <w:bottom w:val="nil"/>
              <w:right w:val="nil"/>
            </w:tcBorders>
            <w:shd w:val="clear" w:color="auto" w:fill="auto"/>
            <w:noWrap/>
            <w:hideMark/>
          </w:tcPr>
          <w:p w14:paraId="5D116BB7"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6,067</w:t>
            </w:r>
          </w:p>
        </w:tc>
        <w:tc>
          <w:tcPr>
            <w:tcW w:w="954" w:type="dxa"/>
            <w:tcBorders>
              <w:top w:val="single" w:sz="4" w:space="0" w:color="auto"/>
              <w:left w:val="nil"/>
              <w:bottom w:val="nil"/>
              <w:right w:val="nil"/>
            </w:tcBorders>
            <w:shd w:val="clear" w:color="auto" w:fill="auto"/>
            <w:noWrap/>
            <w:hideMark/>
          </w:tcPr>
          <w:p w14:paraId="005E3788"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100,728</w:t>
            </w:r>
          </w:p>
        </w:tc>
        <w:tc>
          <w:tcPr>
            <w:tcW w:w="839" w:type="dxa"/>
            <w:tcBorders>
              <w:top w:val="single" w:sz="4" w:space="0" w:color="auto"/>
              <w:left w:val="nil"/>
              <w:bottom w:val="nil"/>
              <w:right w:val="nil"/>
            </w:tcBorders>
            <w:shd w:val="clear" w:color="auto" w:fill="auto"/>
            <w:noWrap/>
            <w:hideMark/>
          </w:tcPr>
          <w:p w14:paraId="39850D09"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87,030</w:t>
            </w:r>
          </w:p>
        </w:tc>
        <w:tc>
          <w:tcPr>
            <w:tcW w:w="918" w:type="dxa"/>
            <w:tcBorders>
              <w:top w:val="single" w:sz="4" w:space="0" w:color="auto"/>
              <w:left w:val="nil"/>
              <w:bottom w:val="nil"/>
              <w:right w:val="nil"/>
            </w:tcBorders>
            <w:shd w:val="clear" w:color="auto" w:fill="auto"/>
            <w:noWrap/>
            <w:hideMark/>
          </w:tcPr>
          <w:p w14:paraId="4051E7B1"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14.3</w:t>
            </w:r>
          </w:p>
        </w:tc>
        <w:tc>
          <w:tcPr>
            <w:tcW w:w="597" w:type="dxa"/>
            <w:tcBorders>
              <w:top w:val="single" w:sz="4" w:space="0" w:color="auto"/>
              <w:left w:val="nil"/>
              <w:bottom w:val="nil"/>
              <w:right w:val="nil"/>
            </w:tcBorders>
            <w:shd w:val="clear" w:color="auto" w:fill="auto"/>
            <w:noWrap/>
            <w:hideMark/>
          </w:tcPr>
          <w:p w14:paraId="213235DD"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color w:val="000000"/>
                <w:sz w:val="14"/>
                <w:szCs w:val="14"/>
              </w:rPr>
              <w:t> </w:t>
            </w:r>
          </w:p>
        </w:tc>
        <w:tc>
          <w:tcPr>
            <w:tcW w:w="575" w:type="dxa"/>
            <w:tcBorders>
              <w:top w:val="single" w:sz="4" w:space="0" w:color="auto"/>
              <w:left w:val="nil"/>
              <w:bottom w:val="nil"/>
              <w:right w:val="nil"/>
            </w:tcBorders>
            <w:shd w:val="clear" w:color="auto" w:fill="auto"/>
            <w:noWrap/>
            <w:hideMark/>
          </w:tcPr>
          <w:p w14:paraId="1E491A7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color w:val="000000"/>
                <w:sz w:val="14"/>
                <w:szCs w:val="14"/>
              </w:rPr>
              <w:t>0.2%</w:t>
            </w:r>
          </w:p>
        </w:tc>
        <w:tc>
          <w:tcPr>
            <w:tcW w:w="575" w:type="dxa"/>
            <w:tcBorders>
              <w:top w:val="single" w:sz="4" w:space="0" w:color="auto"/>
              <w:left w:val="nil"/>
              <w:bottom w:val="nil"/>
              <w:right w:val="nil"/>
            </w:tcBorders>
            <w:shd w:val="clear" w:color="auto" w:fill="auto"/>
            <w:noWrap/>
            <w:hideMark/>
          </w:tcPr>
          <w:p w14:paraId="7589A730"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color w:val="000000"/>
                <w:sz w:val="14"/>
                <w:szCs w:val="14"/>
              </w:rPr>
              <w:t>3.1%</w:t>
            </w:r>
          </w:p>
        </w:tc>
        <w:tc>
          <w:tcPr>
            <w:tcW w:w="693" w:type="dxa"/>
            <w:tcBorders>
              <w:top w:val="single" w:sz="4" w:space="0" w:color="auto"/>
              <w:left w:val="nil"/>
              <w:bottom w:val="nil"/>
              <w:right w:val="nil"/>
            </w:tcBorders>
            <w:shd w:val="clear" w:color="auto" w:fill="auto"/>
            <w:noWrap/>
            <w:hideMark/>
          </w:tcPr>
          <w:p w14:paraId="3CDFD9B8"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w:t>
            </w:r>
          </w:p>
        </w:tc>
        <w:tc>
          <w:tcPr>
            <w:tcW w:w="693" w:type="dxa"/>
            <w:tcBorders>
              <w:top w:val="single" w:sz="4" w:space="0" w:color="auto"/>
              <w:left w:val="nil"/>
              <w:bottom w:val="nil"/>
              <w:right w:val="nil"/>
            </w:tcBorders>
            <w:shd w:val="clear" w:color="auto" w:fill="auto"/>
            <w:noWrap/>
            <w:hideMark/>
          </w:tcPr>
          <w:p w14:paraId="72B0364A"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w:t>
            </w:r>
          </w:p>
        </w:tc>
        <w:tc>
          <w:tcPr>
            <w:tcW w:w="861" w:type="dxa"/>
            <w:tcBorders>
              <w:top w:val="single" w:sz="4" w:space="0" w:color="auto"/>
              <w:left w:val="nil"/>
              <w:bottom w:val="nil"/>
              <w:right w:val="nil"/>
            </w:tcBorders>
            <w:shd w:val="clear" w:color="auto" w:fill="auto"/>
            <w:noWrap/>
            <w:hideMark/>
          </w:tcPr>
          <w:p w14:paraId="6D1FBBE7"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w:t>
            </w:r>
          </w:p>
        </w:tc>
      </w:tr>
      <w:tr w:rsidR="001C198D" w:rsidRPr="00EA63C0" w14:paraId="0F53F6B2" w14:textId="77777777" w:rsidTr="00751830">
        <w:trPr>
          <w:trHeight w:val="221"/>
        </w:trPr>
        <w:tc>
          <w:tcPr>
            <w:tcW w:w="675" w:type="dxa"/>
            <w:tcBorders>
              <w:top w:val="nil"/>
              <w:left w:val="nil"/>
              <w:bottom w:val="nil"/>
              <w:right w:val="nil"/>
            </w:tcBorders>
            <w:shd w:val="clear" w:color="auto" w:fill="auto"/>
            <w:noWrap/>
            <w:vAlign w:val="center"/>
            <w:hideMark/>
          </w:tcPr>
          <w:p w14:paraId="28E25D04"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color w:val="000000"/>
                <w:sz w:val="14"/>
                <w:szCs w:val="14"/>
              </w:rPr>
              <w:t>in</w:t>
            </w:r>
          </w:p>
        </w:tc>
        <w:tc>
          <w:tcPr>
            <w:tcW w:w="6379" w:type="dxa"/>
            <w:gridSpan w:val="3"/>
            <w:tcBorders>
              <w:top w:val="nil"/>
              <w:left w:val="nil"/>
              <w:bottom w:val="nil"/>
              <w:right w:val="nil"/>
            </w:tcBorders>
            <w:shd w:val="clear" w:color="auto" w:fill="auto"/>
            <w:noWrap/>
            <w:hideMark/>
          </w:tcPr>
          <w:p w14:paraId="0F172B36"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b/>
                <w:bCs/>
                <w:color w:val="000000"/>
                <w:sz w:val="14"/>
                <w:szCs w:val="14"/>
              </w:rPr>
              <w:t>All DRGs</w:t>
            </w:r>
          </w:p>
        </w:tc>
        <w:tc>
          <w:tcPr>
            <w:tcW w:w="567" w:type="dxa"/>
            <w:tcBorders>
              <w:top w:val="nil"/>
              <w:left w:val="nil"/>
              <w:bottom w:val="nil"/>
              <w:right w:val="nil"/>
            </w:tcBorders>
            <w:shd w:val="clear" w:color="auto" w:fill="auto"/>
            <w:noWrap/>
            <w:hideMark/>
          </w:tcPr>
          <w:p w14:paraId="06E17868"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1.00</w:t>
            </w:r>
          </w:p>
        </w:tc>
        <w:tc>
          <w:tcPr>
            <w:tcW w:w="851" w:type="dxa"/>
            <w:tcBorders>
              <w:top w:val="nil"/>
              <w:left w:val="nil"/>
              <w:bottom w:val="nil"/>
              <w:right w:val="nil"/>
            </w:tcBorders>
            <w:shd w:val="clear" w:color="auto" w:fill="auto"/>
            <w:noWrap/>
            <w:hideMark/>
          </w:tcPr>
          <w:p w14:paraId="12D4F3B1"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3,242,411</w:t>
            </w:r>
          </w:p>
        </w:tc>
        <w:tc>
          <w:tcPr>
            <w:tcW w:w="954" w:type="dxa"/>
            <w:tcBorders>
              <w:top w:val="nil"/>
              <w:left w:val="nil"/>
              <w:bottom w:val="nil"/>
              <w:right w:val="nil"/>
            </w:tcBorders>
            <w:shd w:val="clear" w:color="auto" w:fill="auto"/>
            <w:noWrap/>
            <w:hideMark/>
          </w:tcPr>
          <w:p w14:paraId="0E9592D6"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3,242,411</w:t>
            </w:r>
          </w:p>
        </w:tc>
        <w:tc>
          <w:tcPr>
            <w:tcW w:w="839" w:type="dxa"/>
            <w:tcBorders>
              <w:top w:val="nil"/>
              <w:left w:val="nil"/>
              <w:bottom w:val="nil"/>
              <w:right w:val="nil"/>
            </w:tcBorders>
            <w:shd w:val="clear" w:color="auto" w:fill="auto"/>
            <w:noWrap/>
            <w:hideMark/>
          </w:tcPr>
          <w:p w14:paraId="1B2EE4CD"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7,331,450</w:t>
            </w:r>
          </w:p>
        </w:tc>
        <w:tc>
          <w:tcPr>
            <w:tcW w:w="918" w:type="dxa"/>
            <w:tcBorders>
              <w:top w:val="nil"/>
              <w:left w:val="nil"/>
              <w:bottom w:val="nil"/>
              <w:right w:val="nil"/>
            </w:tcBorders>
            <w:shd w:val="clear" w:color="auto" w:fill="auto"/>
            <w:noWrap/>
            <w:hideMark/>
          </w:tcPr>
          <w:p w14:paraId="710C43C4"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2.3</w:t>
            </w:r>
          </w:p>
        </w:tc>
        <w:tc>
          <w:tcPr>
            <w:tcW w:w="597" w:type="dxa"/>
            <w:tcBorders>
              <w:top w:val="nil"/>
              <w:left w:val="nil"/>
              <w:bottom w:val="nil"/>
              <w:right w:val="nil"/>
            </w:tcBorders>
            <w:shd w:val="clear" w:color="auto" w:fill="auto"/>
            <w:noWrap/>
            <w:hideMark/>
          </w:tcPr>
          <w:p w14:paraId="7E90B85A"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p>
        </w:tc>
        <w:tc>
          <w:tcPr>
            <w:tcW w:w="575" w:type="dxa"/>
            <w:tcBorders>
              <w:top w:val="nil"/>
              <w:left w:val="nil"/>
              <w:bottom w:val="nil"/>
              <w:right w:val="nil"/>
            </w:tcBorders>
            <w:shd w:val="clear" w:color="auto" w:fill="auto"/>
            <w:noWrap/>
            <w:hideMark/>
          </w:tcPr>
          <w:p w14:paraId="10FD422B"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color w:val="000000"/>
                <w:sz w:val="14"/>
                <w:szCs w:val="14"/>
              </w:rPr>
              <w:t>100%</w:t>
            </w:r>
          </w:p>
        </w:tc>
        <w:tc>
          <w:tcPr>
            <w:tcW w:w="575" w:type="dxa"/>
            <w:tcBorders>
              <w:top w:val="nil"/>
              <w:left w:val="nil"/>
              <w:bottom w:val="nil"/>
              <w:right w:val="nil"/>
            </w:tcBorders>
            <w:shd w:val="clear" w:color="auto" w:fill="auto"/>
            <w:noWrap/>
            <w:hideMark/>
          </w:tcPr>
          <w:p w14:paraId="5EE02DA2"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r w:rsidRPr="00EA63C0">
              <w:rPr>
                <w:color w:val="000000"/>
                <w:sz w:val="14"/>
                <w:szCs w:val="14"/>
              </w:rPr>
              <w:t>100%</w:t>
            </w:r>
          </w:p>
        </w:tc>
        <w:tc>
          <w:tcPr>
            <w:tcW w:w="693" w:type="dxa"/>
            <w:tcBorders>
              <w:top w:val="nil"/>
              <w:left w:val="nil"/>
              <w:bottom w:val="nil"/>
              <w:right w:val="nil"/>
            </w:tcBorders>
            <w:shd w:val="clear" w:color="auto" w:fill="auto"/>
            <w:noWrap/>
            <w:hideMark/>
          </w:tcPr>
          <w:p w14:paraId="59437AAA" w14:textId="77777777" w:rsidR="001C198D" w:rsidRPr="00EA63C0" w:rsidRDefault="001C198D" w:rsidP="00191507">
            <w:pPr>
              <w:spacing w:before="20" w:after="20" w:line="240" w:lineRule="auto"/>
              <w:jc w:val="right"/>
              <w:rPr>
                <w:rFonts w:asciiTheme="minorHAnsi" w:hAnsiTheme="minorHAnsi" w:cstheme="minorHAnsi"/>
                <w:color w:val="000000"/>
                <w:sz w:val="14"/>
                <w:szCs w:val="14"/>
                <w:lang w:val="en-US" w:eastAsia="en-US"/>
              </w:rPr>
            </w:pPr>
          </w:p>
        </w:tc>
        <w:tc>
          <w:tcPr>
            <w:tcW w:w="693" w:type="dxa"/>
            <w:tcBorders>
              <w:top w:val="nil"/>
              <w:left w:val="nil"/>
              <w:bottom w:val="nil"/>
              <w:right w:val="nil"/>
            </w:tcBorders>
            <w:shd w:val="clear" w:color="auto" w:fill="auto"/>
            <w:noWrap/>
            <w:hideMark/>
          </w:tcPr>
          <w:p w14:paraId="0CC5AB4B" w14:textId="77777777" w:rsidR="001C198D" w:rsidRPr="00EA63C0" w:rsidRDefault="001C198D" w:rsidP="00191507">
            <w:pPr>
              <w:spacing w:before="20" w:after="20" w:line="240" w:lineRule="auto"/>
              <w:rPr>
                <w:rFonts w:asciiTheme="minorHAnsi" w:hAnsiTheme="minorHAnsi" w:cstheme="minorHAnsi"/>
                <w:sz w:val="14"/>
                <w:lang w:val="en-US" w:eastAsia="en-US"/>
              </w:rPr>
            </w:pPr>
          </w:p>
        </w:tc>
        <w:tc>
          <w:tcPr>
            <w:tcW w:w="861" w:type="dxa"/>
            <w:tcBorders>
              <w:top w:val="nil"/>
              <w:left w:val="nil"/>
              <w:bottom w:val="nil"/>
              <w:right w:val="nil"/>
            </w:tcBorders>
            <w:shd w:val="clear" w:color="auto" w:fill="auto"/>
            <w:noWrap/>
            <w:hideMark/>
          </w:tcPr>
          <w:p w14:paraId="1649266E"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rFonts w:asciiTheme="minorHAnsi" w:hAnsiTheme="minorHAnsi" w:cstheme="minorHAnsi"/>
                <w:b/>
                <w:bCs/>
                <w:color w:val="000000"/>
                <w:sz w:val="14"/>
                <w:szCs w:val="14"/>
                <w:lang w:val="en-US" w:eastAsia="en-US"/>
              </w:rPr>
              <w:t> </w:t>
            </w:r>
          </w:p>
        </w:tc>
      </w:tr>
      <w:tr w:rsidR="001C198D" w:rsidRPr="00E4527E" w14:paraId="0DCBEECC" w14:textId="77777777" w:rsidTr="00751830">
        <w:trPr>
          <w:trHeight w:val="221"/>
        </w:trPr>
        <w:tc>
          <w:tcPr>
            <w:tcW w:w="675" w:type="dxa"/>
            <w:tcBorders>
              <w:top w:val="nil"/>
              <w:left w:val="nil"/>
              <w:bottom w:val="single" w:sz="4" w:space="0" w:color="auto"/>
              <w:right w:val="nil"/>
            </w:tcBorders>
            <w:shd w:val="clear" w:color="auto" w:fill="auto"/>
            <w:noWrap/>
            <w:vAlign w:val="center"/>
            <w:hideMark/>
          </w:tcPr>
          <w:p w14:paraId="232BCF00" w14:textId="77777777" w:rsidR="001C198D" w:rsidRPr="00EA63C0" w:rsidRDefault="001C198D" w:rsidP="00191507">
            <w:pPr>
              <w:spacing w:before="20" w:after="20" w:line="240" w:lineRule="auto"/>
              <w:jc w:val="center"/>
              <w:rPr>
                <w:rFonts w:asciiTheme="minorHAnsi" w:hAnsiTheme="minorHAnsi" w:cstheme="minorHAnsi"/>
                <w:color w:val="000000"/>
                <w:sz w:val="14"/>
                <w:szCs w:val="14"/>
                <w:lang w:val="en-US" w:eastAsia="en-US"/>
              </w:rPr>
            </w:pPr>
            <w:r w:rsidRPr="00EA63C0">
              <w:rPr>
                <w:color w:val="000000"/>
                <w:sz w:val="14"/>
                <w:szCs w:val="14"/>
              </w:rPr>
              <w:t>Top 20</w:t>
            </w:r>
          </w:p>
        </w:tc>
        <w:tc>
          <w:tcPr>
            <w:tcW w:w="6379" w:type="dxa"/>
            <w:gridSpan w:val="3"/>
            <w:tcBorders>
              <w:top w:val="nil"/>
              <w:left w:val="nil"/>
              <w:bottom w:val="single" w:sz="4" w:space="0" w:color="auto"/>
              <w:right w:val="nil"/>
            </w:tcBorders>
            <w:shd w:val="clear" w:color="auto" w:fill="auto"/>
            <w:noWrap/>
            <w:hideMark/>
          </w:tcPr>
          <w:p w14:paraId="62B0FFA6" w14:textId="77777777" w:rsidR="001C198D" w:rsidRPr="00EA63C0" w:rsidRDefault="001C198D" w:rsidP="00191507">
            <w:pPr>
              <w:spacing w:before="20" w:after="20" w:line="240" w:lineRule="auto"/>
              <w:rPr>
                <w:rFonts w:asciiTheme="minorHAnsi" w:hAnsiTheme="minorHAnsi" w:cstheme="minorHAnsi"/>
                <w:b/>
                <w:bCs/>
                <w:color w:val="000000"/>
                <w:sz w:val="14"/>
                <w:szCs w:val="14"/>
                <w:lang w:val="en-US" w:eastAsia="en-US"/>
              </w:rPr>
            </w:pPr>
            <w:r w:rsidRPr="00EA63C0">
              <w:rPr>
                <w:b/>
                <w:bCs/>
                <w:color w:val="000000"/>
                <w:sz w:val="14"/>
                <w:szCs w:val="14"/>
              </w:rPr>
              <w:t>Top 20, % of all DRGs</w:t>
            </w:r>
          </w:p>
        </w:tc>
        <w:tc>
          <w:tcPr>
            <w:tcW w:w="567" w:type="dxa"/>
            <w:tcBorders>
              <w:top w:val="nil"/>
              <w:left w:val="nil"/>
              <w:bottom w:val="single" w:sz="4" w:space="0" w:color="auto"/>
              <w:right w:val="nil"/>
            </w:tcBorders>
            <w:shd w:val="clear" w:color="auto" w:fill="auto"/>
            <w:noWrap/>
            <w:hideMark/>
          </w:tcPr>
          <w:p w14:paraId="3B4C7C8A" w14:textId="77777777" w:rsidR="001C198D" w:rsidRPr="00EA63C0" w:rsidRDefault="001C198D" w:rsidP="00191507">
            <w:pPr>
              <w:spacing w:before="20" w:after="20" w:line="240" w:lineRule="auto"/>
              <w:rPr>
                <w:rFonts w:asciiTheme="minorHAnsi" w:hAnsiTheme="minorHAnsi" w:cstheme="minorHAnsi"/>
                <w:b/>
                <w:color w:val="000000"/>
                <w:sz w:val="14"/>
                <w:szCs w:val="14"/>
                <w:lang w:val="en-US" w:eastAsia="en-US"/>
              </w:rPr>
            </w:pPr>
            <w:r w:rsidRPr="00EA63C0">
              <w:rPr>
                <w:color w:val="000000"/>
                <w:sz w:val="14"/>
                <w:szCs w:val="14"/>
              </w:rPr>
              <w:t> </w:t>
            </w:r>
          </w:p>
        </w:tc>
        <w:tc>
          <w:tcPr>
            <w:tcW w:w="851" w:type="dxa"/>
            <w:tcBorders>
              <w:top w:val="nil"/>
              <w:left w:val="nil"/>
              <w:bottom w:val="single" w:sz="4" w:space="0" w:color="auto"/>
              <w:right w:val="nil"/>
            </w:tcBorders>
            <w:shd w:val="clear" w:color="auto" w:fill="auto"/>
            <w:noWrap/>
            <w:hideMark/>
          </w:tcPr>
          <w:p w14:paraId="00528FEE"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0.2%</w:t>
            </w:r>
          </w:p>
        </w:tc>
        <w:tc>
          <w:tcPr>
            <w:tcW w:w="954" w:type="dxa"/>
            <w:tcBorders>
              <w:top w:val="nil"/>
              <w:left w:val="nil"/>
              <w:bottom w:val="single" w:sz="4" w:space="0" w:color="auto"/>
              <w:right w:val="nil"/>
            </w:tcBorders>
            <w:shd w:val="clear" w:color="auto" w:fill="auto"/>
            <w:noWrap/>
            <w:hideMark/>
          </w:tcPr>
          <w:p w14:paraId="7A68501C"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3.1%</w:t>
            </w:r>
          </w:p>
        </w:tc>
        <w:tc>
          <w:tcPr>
            <w:tcW w:w="839" w:type="dxa"/>
            <w:tcBorders>
              <w:top w:val="nil"/>
              <w:left w:val="nil"/>
              <w:bottom w:val="single" w:sz="4" w:space="0" w:color="auto"/>
              <w:right w:val="nil"/>
            </w:tcBorders>
            <w:shd w:val="clear" w:color="auto" w:fill="auto"/>
            <w:noWrap/>
            <w:hideMark/>
          </w:tcPr>
          <w:p w14:paraId="0ED63A49" w14:textId="77777777" w:rsidR="001C198D" w:rsidRPr="00EA63C0" w:rsidRDefault="001C198D" w:rsidP="00191507">
            <w:pPr>
              <w:spacing w:before="20" w:after="20" w:line="240" w:lineRule="auto"/>
              <w:jc w:val="right"/>
              <w:rPr>
                <w:rFonts w:asciiTheme="minorHAnsi" w:hAnsiTheme="minorHAnsi" w:cstheme="minorHAnsi"/>
                <w:b/>
                <w:bCs/>
                <w:color w:val="000000"/>
                <w:sz w:val="14"/>
                <w:szCs w:val="14"/>
                <w:lang w:val="en-US" w:eastAsia="en-US"/>
              </w:rPr>
            </w:pPr>
            <w:r w:rsidRPr="00EA63C0">
              <w:rPr>
                <w:b/>
                <w:bCs/>
                <w:color w:val="000000"/>
                <w:sz w:val="14"/>
                <w:szCs w:val="14"/>
              </w:rPr>
              <w:t>1.2%</w:t>
            </w:r>
          </w:p>
        </w:tc>
        <w:tc>
          <w:tcPr>
            <w:tcW w:w="918" w:type="dxa"/>
            <w:tcBorders>
              <w:top w:val="nil"/>
              <w:left w:val="nil"/>
              <w:bottom w:val="single" w:sz="4" w:space="0" w:color="auto"/>
              <w:right w:val="nil"/>
            </w:tcBorders>
            <w:shd w:val="clear" w:color="auto" w:fill="auto"/>
            <w:noWrap/>
            <w:hideMark/>
          </w:tcPr>
          <w:p w14:paraId="4B86CAFA"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color w:val="000000"/>
                <w:sz w:val="14"/>
                <w:szCs w:val="14"/>
              </w:rPr>
              <w:t> </w:t>
            </w:r>
          </w:p>
        </w:tc>
        <w:tc>
          <w:tcPr>
            <w:tcW w:w="597" w:type="dxa"/>
            <w:tcBorders>
              <w:top w:val="nil"/>
              <w:left w:val="nil"/>
              <w:bottom w:val="single" w:sz="4" w:space="0" w:color="auto"/>
              <w:right w:val="nil"/>
            </w:tcBorders>
            <w:shd w:val="clear" w:color="auto" w:fill="auto"/>
            <w:noWrap/>
            <w:hideMark/>
          </w:tcPr>
          <w:p w14:paraId="0D25A51A"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color w:val="000000"/>
                <w:sz w:val="14"/>
                <w:szCs w:val="14"/>
              </w:rPr>
              <w:t> </w:t>
            </w:r>
          </w:p>
        </w:tc>
        <w:tc>
          <w:tcPr>
            <w:tcW w:w="575" w:type="dxa"/>
            <w:tcBorders>
              <w:top w:val="nil"/>
              <w:left w:val="nil"/>
              <w:bottom w:val="single" w:sz="4" w:space="0" w:color="auto"/>
              <w:right w:val="nil"/>
            </w:tcBorders>
            <w:shd w:val="clear" w:color="auto" w:fill="auto"/>
            <w:noWrap/>
            <w:hideMark/>
          </w:tcPr>
          <w:p w14:paraId="783B8679"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color w:val="000000"/>
                <w:sz w:val="14"/>
                <w:szCs w:val="14"/>
              </w:rPr>
              <w:t> </w:t>
            </w:r>
          </w:p>
        </w:tc>
        <w:tc>
          <w:tcPr>
            <w:tcW w:w="575" w:type="dxa"/>
            <w:tcBorders>
              <w:top w:val="nil"/>
              <w:left w:val="nil"/>
              <w:bottom w:val="single" w:sz="4" w:space="0" w:color="auto"/>
              <w:right w:val="nil"/>
            </w:tcBorders>
            <w:shd w:val="clear" w:color="auto" w:fill="auto"/>
            <w:noWrap/>
            <w:hideMark/>
          </w:tcPr>
          <w:p w14:paraId="1EA2BA5C"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color w:val="000000"/>
                <w:sz w:val="14"/>
                <w:szCs w:val="14"/>
              </w:rPr>
              <w:t> </w:t>
            </w:r>
          </w:p>
        </w:tc>
        <w:tc>
          <w:tcPr>
            <w:tcW w:w="693" w:type="dxa"/>
            <w:tcBorders>
              <w:top w:val="nil"/>
              <w:left w:val="nil"/>
              <w:bottom w:val="single" w:sz="4" w:space="0" w:color="auto"/>
              <w:right w:val="nil"/>
            </w:tcBorders>
            <w:shd w:val="clear" w:color="auto" w:fill="auto"/>
            <w:noWrap/>
            <w:hideMark/>
          </w:tcPr>
          <w:p w14:paraId="63D40C33"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color w:val="000000"/>
                <w:sz w:val="14"/>
                <w:szCs w:val="14"/>
                <w:lang w:val="en-US" w:eastAsia="en-US"/>
              </w:rPr>
              <w:t> </w:t>
            </w:r>
          </w:p>
        </w:tc>
        <w:tc>
          <w:tcPr>
            <w:tcW w:w="693" w:type="dxa"/>
            <w:tcBorders>
              <w:top w:val="nil"/>
              <w:left w:val="nil"/>
              <w:bottom w:val="single" w:sz="4" w:space="0" w:color="auto"/>
              <w:right w:val="nil"/>
            </w:tcBorders>
            <w:shd w:val="clear" w:color="auto" w:fill="auto"/>
            <w:noWrap/>
            <w:hideMark/>
          </w:tcPr>
          <w:p w14:paraId="58E4E3E2"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color w:val="000000"/>
                <w:sz w:val="14"/>
                <w:szCs w:val="14"/>
                <w:lang w:val="en-US" w:eastAsia="en-US"/>
              </w:rPr>
              <w:t> </w:t>
            </w:r>
          </w:p>
        </w:tc>
        <w:tc>
          <w:tcPr>
            <w:tcW w:w="861" w:type="dxa"/>
            <w:tcBorders>
              <w:top w:val="nil"/>
              <w:left w:val="nil"/>
              <w:bottom w:val="single" w:sz="4" w:space="0" w:color="auto"/>
              <w:right w:val="nil"/>
            </w:tcBorders>
            <w:shd w:val="clear" w:color="auto" w:fill="auto"/>
            <w:noWrap/>
            <w:hideMark/>
          </w:tcPr>
          <w:p w14:paraId="60072965" w14:textId="77777777" w:rsidR="001C198D" w:rsidRPr="00EA63C0" w:rsidRDefault="001C198D" w:rsidP="00191507">
            <w:pPr>
              <w:spacing w:before="20" w:after="20" w:line="240" w:lineRule="auto"/>
              <w:rPr>
                <w:rFonts w:asciiTheme="minorHAnsi" w:hAnsiTheme="minorHAnsi" w:cstheme="minorHAnsi"/>
                <w:color w:val="000000"/>
                <w:sz w:val="14"/>
                <w:szCs w:val="14"/>
                <w:lang w:val="en-US" w:eastAsia="en-US"/>
              </w:rPr>
            </w:pPr>
            <w:r w:rsidRPr="00EA63C0">
              <w:rPr>
                <w:rFonts w:asciiTheme="minorHAnsi" w:hAnsiTheme="minorHAnsi" w:cstheme="minorHAnsi"/>
                <w:color w:val="000000"/>
                <w:sz w:val="14"/>
                <w:szCs w:val="14"/>
                <w:lang w:val="en-US" w:eastAsia="en-US"/>
              </w:rPr>
              <w:t> </w:t>
            </w:r>
          </w:p>
        </w:tc>
      </w:tr>
    </w:tbl>
    <w:p w14:paraId="6394B930" w14:textId="77777777" w:rsidR="001C198D" w:rsidRPr="00EA63C0" w:rsidRDefault="001C198D" w:rsidP="001C198D">
      <w:pPr>
        <w:spacing w:before="60" w:after="0" w:line="240" w:lineRule="auto"/>
        <w:rPr>
          <w:rFonts w:asciiTheme="minorHAnsi" w:hAnsiTheme="minorHAnsi" w:cstheme="minorHAnsi"/>
          <w:sz w:val="16"/>
        </w:rPr>
      </w:pPr>
      <w:r w:rsidRPr="00F039A3">
        <w:rPr>
          <w:rFonts w:asciiTheme="minorHAnsi" w:hAnsiTheme="minorHAnsi" w:cstheme="minorHAnsi"/>
          <w:color w:val="008A00" w:themeColor="accent2"/>
          <w:sz w:val="14"/>
        </w:rPr>
        <w:t>Notes</w:t>
      </w:r>
      <w:r w:rsidRPr="00F039A3">
        <w:rPr>
          <w:rFonts w:asciiTheme="minorHAnsi" w:hAnsiTheme="minorHAnsi" w:cstheme="minorHAnsi"/>
          <w:color w:val="008A00" w:themeColor="accent2"/>
          <w:sz w:val="14"/>
        </w:rPr>
        <w:tab/>
      </w:r>
      <w:r w:rsidRPr="00EA63C0">
        <w:rPr>
          <w:rFonts w:asciiTheme="minorHAnsi" w:hAnsiTheme="minorHAnsi" w:cstheme="minorHAnsi"/>
          <w:sz w:val="16"/>
        </w:rPr>
        <w:tab/>
      </w:r>
    </w:p>
    <w:p w14:paraId="5B913F4D" w14:textId="6A0495AE" w:rsidR="001C198D" w:rsidRPr="00F467C8" w:rsidRDefault="001C198D" w:rsidP="001C198D">
      <w:pPr>
        <w:spacing w:after="0" w:line="240" w:lineRule="auto"/>
        <w:rPr>
          <w:rFonts w:asciiTheme="minorHAnsi" w:hAnsiTheme="minorHAnsi" w:cstheme="minorHAnsi"/>
          <w:sz w:val="14"/>
        </w:rPr>
      </w:pPr>
      <w:r w:rsidRPr="00F467C8">
        <w:rPr>
          <w:rFonts w:asciiTheme="minorHAnsi" w:hAnsiTheme="minorHAnsi" w:cstheme="minorHAnsi"/>
          <w:sz w:val="14"/>
        </w:rPr>
        <w:t xml:space="preserve">(a) For cost weight (cost bucket specific) calculations please refer to </w:t>
      </w:r>
      <w:r w:rsidRPr="00F467C8">
        <w:rPr>
          <w:rFonts w:asciiTheme="minorHAnsi" w:hAnsiTheme="minorHAnsi" w:cstheme="minorHAnsi"/>
          <w:sz w:val="14"/>
        </w:rPr>
        <w:fldChar w:fldCharType="begin"/>
      </w:r>
      <w:r w:rsidRPr="00F467C8">
        <w:rPr>
          <w:rFonts w:asciiTheme="minorHAnsi" w:hAnsiTheme="minorHAnsi" w:cstheme="minorHAnsi"/>
          <w:sz w:val="14"/>
        </w:rPr>
        <w:instrText xml:space="preserve"> REF _Ref497335615 \h  \* MERGEFORMAT </w:instrText>
      </w:r>
      <w:r w:rsidRPr="00F467C8">
        <w:rPr>
          <w:rFonts w:asciiTheme="minorHAnsi" w:hAnsiTheme="minorHAnsi" w:cstheme="minorHAnsi"/>
          <w:sz w:val="14"/>
        </w:rPr>
      </w:r>
      <w:r w:rsidRPr="00F467C8">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Pr="00F467C8">
        <w:rPr>
          <w:rFonts w:asciiTheme="minorHAnsi" w:hAnsiTheme="minorHAnsi" w:cstheme="minorHAnsi"/>
          <w:sz w:val="14"/>
        </w:rPr>
        <w:fldChar w:fldCharType="end"/>
      </w:r>
      <w:r w:rsidRPr="00F467C8">
        <w:rPr>
          <w:rFonts w:asciiTheme="minorHAnsi" w:hAnsiTheme="minorHAnsi" w:cstheme="minorHAnsi"/>
          <w:sz w:val="14"/>
        </w:rPr>
        <w:tab/>
      </w:r>
    </w:p>
    <w:p w14:paraId="6E365725" w14:textId="77777777" w:rsidR="001C198D" w:rsidRPr="0024785F" w:rsidRDefault="001C198D" w:rsidP="001C198D">
      <w:pPr>
        <w:spacing w:after="0" w:line="240" w:lineRule="auto"/>
        <w:rPr>
          <w:rFonts w:asciiTheme="minorHAnsi" w:hAnsiTheme="minorHAnsi" w:cstheme="minorHAnsi"/>
          <w:sz w:val="14"/>
        </w:rPr>
      </w:pPr>
      <w:r w:rsidRPr="0024785F">
        <w:rPr>
          <w:rFonts w:asciiTheme="minorHAnsi" w:hAnsiTheme="minorHAnsi" w:cstheme="minorHAnsi"/>
          <w:sz w:val="14"/>
        </w:rPr>
        <w:t>(b) Separations shown are strata weighted</w:t>
      </w:r>
      <w:r w:rsidRPr="0024785F">
        <w:rPr>
          <w:rFonts w:asciiTheme="minorHAnsi" w:hAnsiTheme="minorHAnsi" w:cstheme="minorHAnsi"/>
          <w:sz w:val="14"/>
        </w:rPr>
        <w:tab/>
      </w:r>
    </w:p>
    <w:p w14:paraId="270B1039" w14:textId="2C082385" w:rsidR="00AC5EF9" w:rsidRDefault="001C198D" w:rsidP="001C198D">
      <w:pPr>
        <w:spacing w:after="0" w:line="240" w:lineRule="auto"/>
        <w:rPr>
          <w:rFonts w:asciiTheme="majorHAnsi" w:hAnsiTheme="majorHAnsi"/>
          <w:b/>
          <w:bCs/>
          <w:color w:val="004200" w:themeColor="accent1"/>
          <w:sz w:val="18"/>
          <w:lang w:val="en-GB" w:eastAsia="en-US"/>
        </w:rPr>
      </w:pPr>
      <w:r w:rsidRPr="0024785F">
        <w:rPr>
          <w:rFonts w:asciiTheme="minorHAnsi" w:hAnsiTheme="minorHAnsi" w:cstheme="minorHAnsi"/>
          <w:sz w:val="14"/>
        </w:rPr>
        <w:t xml:space="preserve">(e) ALoS means </w:t>
      </w:r>
      <w:r>
        <w:rPr>
          <w:rFonts w:asciiTheme="minorHAnsi" w:hAnsiTheme="minorHAnsi" w:cstheme="minorHAnsi"/>
          <w:sz w:val="14"/>
        </w:rPr>
        <w:t>A</w:t>
      </w:r>
      <w:r w:rsidRPr="0024785F">
        <w:rPr>
          <w:rFonts w:asciiTheme="minorHAnsi" w:hAnsiTheme="minorHAnsi" w:cstheme="minorHAnsi"/>
          <w:sz w:val="14"/>
        </w:rPr>
        <w:t xml:space="preserve">verage </w:t>
      </w:r>
      <w:r>
        <w:rPr>
          <w:rFonts w:asciiTheme="minorHAnsi" w:hAnsiTheme="minorHAnsi" w:cstheme="minorHAnsi"/>
          <w:sz w:val="14"/>
        </w:rPr>
        <w:t>L</w:t>
      </w:r>
      <w:r w:rsidRPr="0024785F">
        <w:rPr>
          <w:rFonts w:asciiTheme="minorHAnsi" w:hAnsiTheme="minorHAnsi" w:cstheme="minorHAnsi"/>
          <w:sz w:val="14"/>
        </w:rPr>
        <w:t xml:space="preserve">ength of </w:t>
      </w:r>
      <w:r>
        <w:rPr>
          <w:rFonts w:asciiTheme="minorHAnsi" w:hAnsiTheme="minorHAnsi" w:cstheme="minorHAnsi"/>
          <w:sz w:val="14"/>
        </w:rPr>
        <w:t>S</w:t>
      </w:r>
      <w:r w:rsidRPr="0024785F">
        <w:rPr>
          <w:rFonts w:asciiTheme="minorHAnsi" w:hAnsiTheme="minorHAnsi" w:cstheme="minorHAnsi"/>
          <w:sz w:val="14"/>
        </w:rPr>
        <w:t>tay</w:t>
      </w:r>
      <w:r w:rsidR="00AC5EF9">
        <w:br w:type="page"/>
      </w:r>
    </w:p>
    <w:p w14:paraId="16095823" w14:textId="77777777" w:rsidR="00155707" w:rsidRPr="00E4527E" w:rsidRDefault="00155707" w:rsidP="005D7320">
      <w:pPr>
        <w:rPr>
          <w:rFonts w:ascii="Times New Roman" w:hAnsi="Times New Roman"/>
          <w:sz w:val="20"/>
          <w:highlight w:val="yellow"/>
        </w:rPr>
        <w:sectPr w:rsidR="00155707" w:rsidRPr="00E4527E" w:rsidSect="00384647">
          <w:pgSz w:w="16840" w:h="11907" w:orient="landscape" w:code="9"/>
          <w:pgMar w:top="1843" w:right="1440" w:bottom="1021" w:left="1021" w:header="680" w:footer="510" w:gutter="0"/>
          <w:cols w:space="708"/>
          <w:docGrid w:linePitch="360"/>
        </w:sectPr>
      </w:pPr>
    </w:p>
    <w:p w14:paraId="1D239F13" w14:textId="5476100F" w:rsidR="00E7439E" w:rsidRPr="00852569" w:rsidRDefault="005D7320" w:rsidP="00302DDA">
      <w:pPr>
        <w:pStyle w:val="Heading3"/>
      </w:pPr>
      <w:bookmarkStart w:id="153" w:name="_Ref433973631"/>
      <w:bookmarkStart w:id="154" w:name="_Toc496857579"/>
      <w:r w:rsidRPr="00852569">
        <w:lastRenderedPageBreak/>
        <w:t>Top 20 DRGs ranked by highest volume of population-adjusted separations</w:t>
      </w:r>
      <w:bookmarkStart w:id="155" w:name="_Toc497200473"/>
      <w:bookmarkEnd w:id="153"/>
      <w:bookmarkEnd w:id="154"/>
      <w:bookmarkEnd w:id="155"/>
    </w:p>
    <w:p w14:paraId="2A675CE1" w14:textId="332F93BD" w:rsidR="005D7320" w:rsidRPr="00852569" w:rsidRDefault="005D7320" w:rsidP="005D7320">
      <w:pPr>
        <w:pStyle w:val="Intro"/>
      </w:pPr>
      <w:r w:rsidRPr="00852569">
        <w:t>Key findings</w:t>
      </w:r>
    </w:p>
    <w:p w14:paraId="7A9A67CD" w14:textId="50F4BA58" w:rsidR="00E7439E" w:rsidRPr="00E4527E" w:rsidRDefault="006654BA" w:rsidP="005D7320">
      <w:pPr>
        <w:rPr>
          <w:highlight w:val="yellow"/>
        </w:rPr>
      </w:pPr>
      <w:r w:rsidRPr="00F467C8">
        <w:t>Table 6</w:t>
      </w:r>
      <w:r w:rsidR="005D7320" w:rsidRPr="00F467C8">
        <w:t xml:space="preserve"> and </w:t>
      </w:r>
      <w:r w:rsidRPr="00F467C8">
        <w:t>Figure 2</w:t>
      </w:r>
      <w:r w:rsidR="005D7320" w:rsidRPr="00F467C8">
        <w:t xml:space="preserve"> </w:t>
      </w:r>
      <w:r w:rsidR="00852569" w:rsidRPr="00F467C8">
        <w:t>show</w:t>
      </w:r>
      <w:r w:rsidR="005D7320" w:rsidRPr="00852569">
        <w:t xml:space="preserve"> the </w:t>
      </w:r>
      <w:r w:rsidR="00852569" w:rsidRPr="00852569">
        <w:t xml:space="preserve">DRGs with the </w:t>
      </w:r>
      <w:r w:rsidR="005D7320" w:rsidRPr="00852569">
        <w:t xml:space="preserve">highest population-adjusted separations for Round </w:t>
      </w:r>
      <w:r w:rsidR="00231641" w:rsidRPr="00852569">
        <w:t>2</w:t>
      </w:r>
      <w:r w:rsidR="00852569" w:rsidRPr="00852569">
        <w:t>1</w:t>
      </w:r>
      <w:r w:rsidR="00852569">
        <w:t>.</w:t>
      </w:r>
      <w:r w:rsidR="005D7320" w:rsidRPr="00852569">
        <w:t xml:space="preserve"> </w:t>
      </w:r>
      <w:r w:rsidR="00852569">
        <w:t>This</w:t>
      </w:r>
      <w:r w:rsidR="008C597F" w:rsidRPr="00852569">
        <w:t xml:space="preserve"> </w:t>
      </w:r>
      <w:r w:rsidR="005D7320" w:rsidRPr="00852569">
        <w:t xml:space="preserve">is a measure of the volume of separations in the </w:t>
      </w:r>
      <w:r w:rsidR="00852569" w:rsidRPr="00852569">
        <w:t>entire Australian overnight private hospital</w:t>
      </w:r>
      <w:r w:rsidR="005D7320" w:rsidRPr="00852569">
        <w:t xml:space="preserve"> population (i.e. the separations in the Round </w:t>
      </w:r>
      <w:r w:rsidR="00231641" w:rsidRPr="00852569">
        <w:t>2</w:t>
      </w:r>
      <w:r w:rsidR="00852569" w:rsidRPr="00852569">
        <w:t>1</w:t>
      </w:r>
      <w:r w:rsidR="005D7320" w:rsidRPr="00852569">
        <w:t xml:space="preserve"> sample, adjusted using weights to reflect the whole population).</w:t>
      </w:r>
      <w:r w:rsidR="005D7320" w:rsidRPr="00E4527E">
        <w:rPr>
          <w:highlight w:val="yellow"/>
        </w:rPr>
        <w:t xml:space="preserve">  </w:t>
      </w:r>
    </w:p>
    <w:p w14:paraId="7555B298" w14:textId="6D34E250" w:rsidR="00E7439E" w:rsidRPr="00C4150F" w:rsidRDefault="006654BA" w:rsidP="005D7320">
      <w:r w:rsidRPr="00C4150F">
        <w:t>Table 6</w:t>
      </w:r>
      <w:r w:rsidR="005D7320" w:rsidRPr="00C4150F">
        <w:t xml:space="preserve"> shows </w:t>
      </w:r>
      <w:r w:rsidR="00852569" w:rsidRPr="00C4150F">
        <w:t xml:space="preserve">that </w:t>
      </w:r>
      <w:r w:rsidR="005D7320" w:rsidRPr="00C4150F">
        <w:t xml:space="preserve">for Round </w:t>
      </w:r>
      <w:r w:rsidR="00231641" w:rsidRPr="00C4150F">
        <w:t>2</w:t>
      </w:r>
      <w:r w:rsidR="00852569" w:rsidRPr="00C4150F">
        <w:t>1</w:t>
      </w:r>
      <w:r w:rsidR="00E763E2">
        <w:t>,</w:t>
      </w:r>
      <w:r w:rsidR="005D7320" w:rsidRPr="00C4150F">
        <w:t xml:space="preserve"> R63Z </w:t>
      </w:r>
      <w:r w:rsidR="00E763E2">
        <w:t>(</w:t>
      </w:r>
      <w:r w:rsidR="00A43798" w:rsidRPr="00C4150F">
        <w:t>C</w:t>
      </w:r>
      <w:r w:rsidR="00517529">
        <w:t>hemotherapy</w:t>
      </w:r>
      <w:r w:rsidR="00E763E2">
        <w:t>)</w:t>
      </w:r>
      <w:r w:rsidR="00517529">
        <w:t xml:space="preserve"> wa</w:t>
      </w:r>
      <w:r w:rsidR="005D7320" w:rsidRPr="00C4150F">
        <w:t>s ranke</w:t>
      </w:r>
      <w:r w:rsidR="00E763E2">
        <w:t xml:space="preserve">d number one which is consistent with its Round 20 ranking. </w:t>
      </w:r>
      <w:r w:rsidRPr="00C4150F">
        <w:t>Table 6</w:t>
      </w:r>
      <w:r w:rsidR="005D7320" w:rsidRPr="00C4150F">
        <w:t xml:space="preserve"> </w:t>
      </w:r>
      <w:r w:rsidR="00E763E2">
        <w:t>also shows that the top 20</w:t>
      </w:r>
      <w:r w:rsidR="005D7320" w:rsidRPr="00C4150F">
        <w:t xml:space="preserve"> DRGs represent</w:t>
      </w:r>
      <w:r w:rsidR="00A3433C">
        <w:t>ed</w:t>
      </w:r>
      <w:r w:rsidR="005D7320" w:rsidRPr="00C4150F">
        <w:t xml:space="preserve"> 4</w:t>
      </w:r>
      <w:r w:rsidR="00852569" w:rsidRPr="00C4150F">
        <w:t>5</w:t>
      </w:r>
      <w:r w:rsidR="00D61C39" w:rsidRPr="00C4150F">
        <w:t xml:space="preserve"> </w:t>
      </w:r>
      <w:r w:rsidR="00F74337" w:rsidRPr="00C4150F">
        <w:t>percent</w:t>
      </w:r>
      <w:r w:rsidR="005D7320" w:rsidRPr="00C4150F">
        <w:t xml:space="preserve"> (</w:t>
      </w:r>
      <w:r w:rsidR="004557D5" w:rsidRPr="00C4150F">
        <w:t>1,</w:t>
      </w:r>
      <w:r w:rsidR="00852569" w:rsidRPr="00C4150F">
        <w:t>461</w:t>
      </w:r>
      <w:r w:rsidR="004557D5" w:rsidRPr="00C4150F">
        <w:t>,</w:t>
      </w:r>
      <w:r w:rsidR="00852569" w:rsidRPr="00C4150F">
        <w:t>226</w:t>
      </w:r>
      <w:r w:rsidR="005D7320" w:rsidRPr="00C4150F">
        <w:rPr>
          <w:b/>
          <w:bCs/>
          <w:color w:val="000000"/>
          <w:sz w:val="18"/>
          <w:szCs w:val="18"/>
        </w:rPr>
        <w:t xml:space="preserve"> </w:t>
      </w:r>
      <w:r w:rsidR="005D7320" w:rsidRPr="00C4150F">
        <w:t>population-adjusted separations) of the total population-adjusted separations (</w:t>
      </w:r>
      <w:r w:rsidR="006923CA" w:rsidRPr="006923CA">
        <w:t>3,242,411</w:t>
      </w:r>
      <w:r w:rsidR="005D7320" w:rsidRPr="00C4150F">
        <w:t xml:space="preserve"> pop</w:t>
      </w:r>
      <w:r w:rsidR="00D61C39" w:rsidRPr="00C4150F">
        <w:t xml:space="preserve">ulation-adjusted separations). </w:t>
      </w:r>
      <w:r w:rsidR="00542F05" w:rsidRPr="00C4150F">
        <w:t>However,</w:t>
      </w:r>
      <w:r w:rsidR="00D61C39" w:rsidRPr="00C4150F">
        <w:t xml:space="preserve"> these D</w:t>
      </w:r>
      <w:r w:rsidR="005D7320" w:rsidRPr="00C4150F">
        <w:t>RGs represent</w:t>
      </w:r>
      <w:r w:rsidR="00A3433C">
        <w:t>ed</w:t>
      </w:r>
      <w:r w:rsidR="005D7320" w:rsidRPr="00C4150F">
        <w:t xml:space="preserve"> </w:t>
      </w:r>
      <w:r w:rsidR="00542F05" w:rsidRPr="00C4150F">
        <w:t xml:space="preserve">only </w:t>
      </w:r>
      <w:r w:rsidR="005D7320" w:rsidRPr="00C4150F">
        <w:t>1</w:t>
      </w:r>
      <w:r w:rsidR="00542F05" w:rsidRPr="00C4150F">
        <w:t>9</w:t>
      </w:r>
      <w:r w:rsidR="00D61C39" w:rsidRPr="00C4150F">
        <w:t xml:space="preserve"> </w:t>
      </w:r>
      <w:r w:rsidR="00F74337" w:rsidRPr="00C4150F">
        <w:t>percent</w:t>
      </w:r>
      <w:r w:rsidR="005D7320" w:rsidRPr="00C4150F">
        <w:t xml:space="preserve"> </w:t>
      </w:r>
      <w:r w:rsidR="00244C9E" w:rsidRPr="00C4150F">
        <w:t>(</w:t>
      </w:r>
      <w:r w:rsidR="00542F05" w:rsidRPr="00C4150F">
        <w:t>631</w:t>
      </w:r>
      <w:r w:rsidR="00244C9E" w:rsidRPr="00C4150F">
        <w:t>,</w:t>
      </w:r>
      <w:r w:rsidR="00542F05" w:rsidRPr="00C4150F">
        <w:t>757</w:t>
      </w:r>
      <w:r w:rsidR="005D7320" w:rsidRPr="00C4150F">
        <w:t>) of the total population</w:t>
      </w:r>
      <w:r w:rsidR="007E6F3B">
        <w:t xml:space="preserve"> cost-</w:t>
      </w:r>
      <w:r w:rsidR="003D1557">
        <w:t>weighted</w:t>
      </w:r>
      <w:r w:rsidR="00D61C39" w:rsidRPr="00C4150F">
        <w:t xml:space="preserve"> separations. </w:t>
      </w:r>
      <w:r w:rsidR="00E763E2">
        <w:t>This indicates</w:t>
      </w:r>
      <w:r w:rsidR="005D7320" w:rsidRPr="00C4150F">
        <w:t xml:space="preserve"> that these </w:t>
      </w:r>
      <w:r w:rsidR="00E763E2">
        <w:t xml:space="preserve">DRGs </w:t>
      </w:r>
      <w:r w:rsidR="00517529">
        <w:t>were</w:t>
      </w:r>
      <w:r w:rsidR="005D7320" w:rsidRPr="00C4150F">
        <w:t xml:space="preserve"> high volume </w:t>
      </w:r>
      <w:r w:rsidR="00E763E2">
        <w:t xml:space="preserve">and </w:t>
      </w:r>
      <w:r w:rsidR="005D7320" w:rsidRPr="00C4150F">
        <w:t>low cost.</w:t>
      </w:r>
    </w:p>
    <w:p w14:paraId="73B1662E" w14:textId="60C0F767" w:rsidR="00E7439E" w:rsidRPr="00542F05" w:rsidRDefault="00AB71C4" w:rsidP="005D7320">
      <w:r w:rsidRPr="00542F05">
        <w:t xml:space="preserve">The </w:t>
      </w:r>
      <w:r w:rsidR="008C3232">
        <w:t>A</w:t>
      </w:r>
      <w:r w:rsidR="00C4150F">
        <w:t xml:space="preserve">verage </w:t>
      </w:r>
      <w:r w:rsidR="008C3232">
        <w:t>L</w:t>
      </w:r>
      <w:r w:rsidR="00C4150F">
        <w:t xml:space="preserve">ength of </w:t>
      </w:r>
      <w:r w:rsidR="008C3232">
        <w:t>S</w:t>
      </w:r>
      <w:r w:rsidR="00C4150F">
        <w:t>tay</w:t>
      </w:r>
      <w:r w:rsidRPr="00542F05">
        <w:t xml:space="preserve"> for these top 20 DRGs is 1.2 days compared to the population </w:t>
      </w:r>
      <w:r w:rsidR="00C4150F">
        <w:t xml:space="preserve">average </w:t>
      </w:r>
      <w:r w:rsidRPr="00542F05">
        <w:t xml:space="preserve">of 2.3 days. The reason for this is that the majority of these DRGs </w:t>
      </w:r>
      <w:r w:rsidR="00517529">
        <w:t>were</w:t>
      </w:r>
      <w:r w:rsidR="000D1232" w:rsidRPr="00542F05">
        <w:t xml:space="preserve"> same</w:t>
      </w:r>
      <w:r w:rsidR="00A64042">
        <w:t>-</w:t>
      </w:r>
      <w:r w:rsidR="000D1232" w:rsidRPr="00542F05">
        <w:t>day procedures</w:t>
      </w:r>
      <w:r w:rsidRPr="00542F05">
        <w:t>.</w:t>
      </w:r>
    </w:p>
    <w:p w14:paraId="393BFF1B" w14:textId="740C4D7D" w:rsidR="005D7320" w:rsidRPr="005E0719" w:rsidRDefault="00162614" w:rsidP="005D7320">
      <w:pPr>
        <w:pStyle w:val="Intro"/>
      </w:pPr>
      <w:r>
        <w:t>Consistencies between Round 21 and Round 20</w:t>
      </w:r>
    </w:p>
    <w:p w14:paraId="77A9E161" w14:textId="5F6ACF0D" w:rsidR="00E7439E" w:rsidRPr="00C4150F" w:rsidRDefault="005D7320" w:rsidP="005D7320">
      <w:r w:rsidRPr="00C4150F">
        <w:t>9</w:t>
      </w:r>
      <w:r w:rsidR="005E0719" w:rsidRPr="00C4150F">
        <w:t>5</w:t>
      </w:r>
      <w:r w:rsidR="00D61C39" w:rsidRPr="00C4150F">
        <w:t xml:space="preserve"> </w:t>
      </w:r>
      <w:r w:rsidR="00F74337" w:rsidRPr="00C4150F">
        <w:t>percent</w:t>
      </w:r>
      <w:r w:rsidRPr="00C4150F">
        <w:t xml:space="preserve"> (1</w:t>
      </w:r>
      <w:r w:rsidR="005E0719" w:rsidRPr="00C4150F">
        <w:t>9</w:t>
      </w:r>
      <w:r w:rsidRPr="00C4150F">
        <w:t xml:space="preserve"> out of 20) of the current round</w:t>
      </w:r>
      <w:r w:rsidR="005E0719" w:rsidRPr="00C4150F">
        <w:t>’</w:t>
      </w:r>
      <w:r w:rsidRPr="00C4150F">
        <w:t xml:space="preserve">s top 20 DRGs were included in Round </w:t>
      </w:r>
      <w:r w:rsidR="005E0719" w:rsidRPr="00C4150F">
        <w:t>20</w:t>
      </w:r>
      <w:r w:rsidRPr="00C4150F">
        <w:t xml:space="preserve">’s </w:t>
      </w:r>
      <w:r w:rsidR="005E0719" w:rsidRPr="00C4150F">
        <w:t xml:space="preserve">top 20 </w:t>
      </w:r>
      <w:r w:rsidRPr="00C4150F">
        <w:t xml:space="preserve">(see </w:t>
      </w:r>
      <w:r w:rsidR="006654BA" w:rsidRPr="00C4150F">
        <w:t>Table 6</w:t>
      </w:r>
      <w:r w:rsidRPr="00C4150F">
        <w:t xml:space="preserve">) with the top </w:t>
      </w:r>
      <w:r w:rsidR="005E0719" w:rsidRPr="00C4150F">
        <w:t>five</w:t>
      </w:r>
      <w:r w:rsidRPr="00C4150F">
        <w:t xml:space="preserve"> being ranked in the same order as </w:t>
      </w:r>
      <w:r w:rsidR="005E0719" w:rsidRPr="00C4150F">
        <w:t xml:space="preserve">the top five from </w:t>
      </w:r>
      <w:r w:rsidR="009B37DF" w:rsidRPr="00C4150F">
        <w:t>R</w:t>
      </w:r>
      <w:r w:rsidR="00C813A5" w:rsidRPr="00C4150F">
        <w:t>ound</w:t>
      </w:r>
      <w:r w:rsidRPr="00C4150F">
        <w:t xml:space="preserve"> </w:t>
      </w:r>
      <w:r w:rsidR="005E0719" w:rsidRPr="00C4150F">
        <w:t>20.</w:t>
      </w:r>
      <w:r w:rsidR="00517529">
        <w:t xml:space="preserve">  This wa</w:t>
      </w:r>
      <w:r w:rsidRPr="00C4150F">
        <w:t>s expected given the high frequency of treatments required for</w:t>
      </w:r>
      <w:r w:rsidR="006923CA">
        <w:t xml:space="preserve"> R63Z (C</w:t>
      </w:r>
      <w:r w:rsidRPr="00C4150F">
        <w:t>hemotherapy</w:t>
      </w:r>
      <w:r w:rsidR="006923CA">
        <w:t>)</w:t>
      </w:r>
      <w:r w:rsidRPr="00C4150F">
        <w:t xml:space="preserve"> </w:t>
      </w:r>
      <w:r w:rsidR="00C813A5" w:rsidRPr="00C4150F">
        <w:t xml:space="preserve">and </w:t>
      </w:r>
      <w:r w:rsidR="006923CA">
        <w:t>the</w:t>
      </w:r>
      <w:r w:rsidR="00C813A5" w:rsidRPr="00C4150F">
        <w:t xml:space="preserve"> demand </w:t>
      </w:r>
      <w:r w:rsidR="006923CA">
        <w:t xml:space="preserve">for colonoscopies endoscopies as </w:t>
      </w:r>
      <w:r w:rsidR="00C813A5" w:rsidRPr="00C4150F">
        <w:t>day procedure</w:t>
      </w:r>
      <w:r w:rsidR="006923CA">
        <w:t>s</w:t>
      </w:r>
      <w:r w:rsidRPr="00C4150F">
        <w:t xml:space="preserve">.  </w:t>
      </w:r>
    </w:p>
    <w:p w14:paraId="206B169D" w14:textId="0D4E5EF8" w:rsidR="00BF794D" w:rsidRPr="005E0719" w:rsidRDefault="00162614" w:rsidP="00BF794D">
      <w:pPr>
        <w:pStyle w:val="Intro"/>
      </w:pPr>
      <w:r>
        <w:t>Differences between Round 21 and Round 20</w:t>
      </w:r>
    </w:p>
    <w:p w14:paraId="77A4710C" w14:textId="3C50397C" w:rsidR="005E0719" w:rsidRDefault="005E0719" w:rsidP="00C813A5">
      <w:pPr>
        <w:rPr>
          <w:highlight w:val="yellow"/>
        </w:rPr>
      </w:pPr>
      <w:r w:rsidRPr="005E0719">
        <w:t xml:space="preserve">The only difference in the top 20 </w:t>
      </w:r>
      <w:r w:rsidR="00517529">
        <w:t>between Round 20 and Round 21 was</w:t>
      </w:r>
      <w:r w:rsidRPr="005E0719">
        <w:t xml:space="preserve"> D11Z </w:t>
      </w:r>
      <w:r w:rsidRPr="005E0719">
        <w:rPr>
          <w:color w:val="000000"/>
          <w:szCs w:val="22"/>
        </w:rPr>
        <w:t>Tonsillectomy and Adenoidectomy</w:t>
      </w:r>
      <w:r>
        <w:rPr>
          <w:color w:val="000000"/>
          <w:szCs w:val="22"/>
        </w:rPr>
        <w:t xml:space="preserve"> which was rank</w:t>
      </w:r>
      <w:r w:rsidR="006923CA">
        <w:rPr>
          <w:color w:val="000000"/>
          <w:szCs w:val="22"/>
        </w:rPr>
        <w:t>ed</w:t>
      </w:r>
      <w:r>
        <w:rPr>
          <w:color w:val="000000"/>
          <w:szCs w:val="22"/>
        </w:rPr>
        <w:t xml:space="preserve"> 21 in Round 20 and has moved up to rank 20 in Round 21. This very small movem</w:t>
      </w:r>
      <w:r w:rsidR="00517529">
        <w:rPr>
          <w:color w:val="000000"/>
          <w:szCs w:val="22"/>
        </w:rPr>
        <w:t>ent between the rounds indicated</w:t>
      </w:r>
      <w:r>
        <w:rPr>
          <w:color w:val="000000"/>
          <w:szCs w:val="22"/>
        </w:rPr>
        <w:t xml:space="preserve"> that there is a high level of consistency in the </w:t>
      </w:r>
      <w:r w:rsidR="006F26B4">
        <w:rPr>
          <w:color w:val="000000"/>
          <w:szCs w:val="22"/>
        </w:rPr>
        <w:t xml:space="preserve">number of </w:t>
      </w:r>
      <w:r>
        <w:rPr>
          <w:color w:val="000000"/>
          <w:szCs w:val="22"/>
        </w:rPr>
        <w:t xml:space="preserve">high-volume </w:t>
      </w:r>
      <w:r w:rsidR="006F26B4">
        <w:rPr>
          <w:color w:val="000000"/>
          <w:szCs w:val="22"/>
        </w:rPr>
        <w:t>DRGs.</w:t>
      </w:r>
    </w:p>
    <w:p w14:paraId="5AD232EC" w14:textId="714C1436" w:rsidR="004F7ECE" w:rsidRPr="005319AA" w:rsidRDefault="006654BA" w:rsidP="005319AA">
      <w:pPr>
        <w:pStyle w:val="Tableoffigures3"/>
        <w:spacing w:after="120"/>
        <w:rPr>
          <w:color w:val="004200" w:themeColor="accent1"/>
          <w:sz w:val="18"/>
        </w:rPr>
      </w:pPr>
      <w:bookmarkStart w:id="156" w:name="_Toc162093"/>
      <w:r w:rsidRPr="005319AA">
        <w:rPr>
          <w:color w:val="004200" w:themeColor="accent1"/>
          <w:sz w:val="18"/>
        </w:rPr>
        <w:t>Figure 2</w:t>
      </w:r>
      <w:r w:rsidR="004F7ECE" w:rsidRPr="005319AA">
        <w:rPr>
          <w:color w:val="004200" w:themeColor="accent1"/>
          <w:sz w:val="18"/>
        </w:rPr>
        <w:t>. Comparison of top 20 DRGs by highest volume of population adjusted separations</w:t>
      </w:r>
      <w:bookmarkEnd w:id="156"/>
    </w:p>
    <w:p w14:paraId="23BE2B1D" w14:textId="7842F0C3" w:rsidR="005D7320" w:rsidRPr="00E4527E" w:rsidRDefault="00607884" w:rsidP="00E763E2">
      <w:pPr>
        <w:tabs>
          <w:tab w:val="left" w:pos="2694"/>
        </w:tabs>
        <w:rPr>
          <w:highlight w:val="yellow"/>
        </w:rPr>
      </w:pPr>
      <w:r w:rsidRPr="00607884">
        <w:rPr>
          <w:noProof/>
        </w:rPr>
        <w:drawing>
          <wp:inline distT="0" distB="0" distL="0" distR="0" wp14:anchorId="2F86E078" wp14:editId="461D9752">
            <wp:extent cx="5996940" cy="238696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6940" cy="2386965"/>
                    </a:xfrm>
                    <a:prstGeom prst="rect">
                      <a:avLst/>
                    </a:prstGeom>
                    <a:noFill/>
                    <a:ln>
                      <a:noFill/>
                    </a:ln>
                  </pic:spPr>
                </pic:pic>
              </a:graphicData>
            </a:graphic>
          </wp:inline>
        </w:drawing>
      </w:r>
    </w:p>
    <w:p w14:paraId="66AD6E1E" w14:textId="77777777" w:rsidR="00581D11" w:rsidRPr="00E4527E" w:rsidRDefault="00581D11" w:rsidP="006200A2">
      <w:pPr>
        <w:pStyle w:val="Tablesheadings"/>
        <w:rPr>
          <w:highlight w:val="yellow"/>
        </w:rPr>
        <w:sectPr w:rsidR="00581D11" w:rsidRPr="00E4527E" w:rsidSect="00384647">
          <w:pgSz w:w="11907" w:h="16840" w:code="9"/>
          <w:pgMar w:top="1843" w:right="1440" w:bottom="1021" w:left="1021" w:header="680" w:footer="510" w:gutter="0"/>
          <w:cols w:space="708"/>
          <w:docGrid w:linePitch="360"/>
        </w:sectPr>
      </w:pPr>
    </w:p>
    <w:p w14:paraId="4E3FEBE8" w14:textId="75F31DE2" w:rsidR="00231641" w:rsidRPr="007D3711" w:rsidRDefault="006654BA" w:rsidP="00E763E2">
      <w:pPr>
        <w:pStyle w:val="TableHeadings3"/>
      </w:pPr>
      <w:bookmarkStart w:id="157" w:name="_Toc497488032"/>
      <w:bookmarkStart w:id="158" w:name="_Toc161996"/>
      <w:r w:rsidRPr="007D3711">
        <w:lastRenderedPageBreak/>
        <w:t>Table 6</w:t>
      </w:r>
      <w:r w:rsidR="004F7ECE" w:rsidRPr="007D3711">
        <w:t>.</w:t>
      </w:r>
      <w:r w:rsidR="005D7320" w:rsidRPr="007D3711">
        <w:t xml:space="preserve"> Top </w:t>
      </w:r>
      <w:r w:rsidR="00112027" w:rsidRPr="007D3711">
        <w:t>20</w:t>
      </w:r>
      <w:r w:rsidR="005D7320" w:rsidRPr="007D3711">
        <w:t xml:space="preserve"> DRGs ranked by highest volume of population adjusted separations</w:t>
      </w:r>
      <w:bookmarkEnd w:id="157"/>
      <w:bookmarkEnd w:id="158"/>
    </w:p>
    <w:tbl>
      <w:tblPr>
        <w:tblW w:w="15025" w:type="dxa"/>
        <w:tblLook w:val="04A0" w:firstRow="1" w:lastRow="0" w:firstColumn="1" w:lastColumn="0" w:noHBand="0" w:noVBand="1"/>
      </w:tblPr>
      <w:tblGrid>
        <w:gridCol w:w="701"/>
        <w:gridCol w:w="701"/>
        <w:gridCol w:w="582"/>
        <w:gridCol w:w="3977"/>
        <w:gridCol w:w="791"/>
        <w:gridCol w:w="839"/>
        <w:gridCol w:w="1021"/>
        <w:gridCol w:w="882"/>
        <w:gridCol w:w="873"/>
        <w:gridCol w:w="672"/>
        <w:gridCol w:w="575"/>
        <w:gridCol w:w="575"/>
        <w:gridCol w:w="994"/>
        <w:gridCol w:w="660"/>
        <w:gridCol w:w="1182"/>
      </w:tblGrid>
      <w:tr w:rsidR="00581D11" w:rsidRPr="00E4527E" w14:paraId="1F60B660" w14:textId="77777777" w:rsidTr="006923CA">
        <w:trPr>
          <w:trHeight w:val="161"/>
        </w:trPr>
        <w:tc>
          <w:tcPr>
            <w:tcW w:w="701" w:type="dxa"/>
            <w:tcBorders>
              <w:top w:val="single" w:sz="4" w:space="0" w:color="auto"/>
              <w:left w:val="nil"/>
              <w:bottom w:val="single" w:sz="4" w:space="0" w:color="000000"/>
              <w:right w:val="nil"/>
            </w:tcBorders>
            <w:shd w:val="clear" w:color="auto" w:fill="auto"/>
            <w:hideMark/>
          </w:tcPr>
          <w:p w14:paraId="3D5EF29F" w14:textId="111E4A36"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 xml:space="preserve">Top 20 Round </w:t>
            </w:r>
            <w:r w:rsidR="007D3711" w:rsidRPr="007D3711">
              <w:rPr>
                <w:rFonts w:asciiTheme="minorHAnsi" w:hAnsiTheme="minorHAnsi" w:cstheme="minorHAnsi"/>
                <w:b/>
                <w:bCs/>
                <w:sz w:val="14"/>
                <w:szCs w:val="14"/>
                <w:lang w:val="en-US" w:eastAsia="en-US"/>
              </w:rPr>
              <w:t>20</w:t>
            </w:r>
          </w:p>
        </w:tc>
        <w:tc>
          <w:tcPr>
            <w:tcW w:w="701" w:type="dxa"/>
            <w:tcBorders>
              <w:top w:val="single" w:sz="4" w:space="0" w:color="auto"/>
              <w:left w:val="nil"/>
              <w:bottom w:val="single" w:sz="4" w:space="0" w:color="000000"/>
              <w:right w:val="nil"/>
            </w:tcBorders>
            <w:shd w:val="clear" w:color="auto" w:fill="auto"/>
            <w:hideMark/>
          </w:tcPr>
          <w:p w14:paraId="7E8E7FC5" w14:textId="1E87CAF4"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R</w:t>
            </w:r>
            <w:r w:rsidR="007D3711" w:rsidRPr="007D3711">
              <w:rPr>
                <w:rFonts w:asciiTheme="minorHAnsi" w:hAnsiTheme="minorHAnsi" w:cstheme="minorHAnsi"/>
                <w:b/>
                <w:bCs/>
                <w:sz w:val="14"/>
                <w:szCs w:val="14"/>
                <w:lang w:val="en-US" w:eastAsia="en-US"/>
              </w:rPr>
              <w:t>ank Round 21</w:t>
            </w:r>
          </w:p>
        </w:tc>
        <w:tc>
          <w:tcPr>
            <w:tcW w:w="582" w:type="dxa"/>
            <w:tcBorders>
              <w:top w:val="single" w:sz="4" w:space="0" w:color="auto"/>
              <w:left w:val="nil"/>
              <w:bottom w:val="single" w:sz="4" w:space="0" w:color="000000"/>
              <w:right w:val="nil"/>
            </w:tcBorders>
            <w:shd w:val="clear" w:color="auto" w:fill="auto"/>
            <w:hideMark/>
          </w:tcPr>
          <w:p w14:paraId="3BC8A9BE" w14:textId="75E74E81"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DRG</w:t>
            </w:r>
          </w:p>
        </w:tc>
        <w:tc>
          <w:tcPr>
            <w:tcW w:w="3977" w:type="dxa"/>
            <w:tcBorders>
              <w:top w:val="single" w:sz="4" w:space="0" w:color="auto"/>
              <w:left w:val="nil"/>
              <w:bottom w:val="single" w:sz="4" w:space="0" w:color="000000"/>
              <w:right w:val="nil"/>
            </w:tcBorders>
            <w:shd w:val="clear" w:color="auto" w:fill="auto"/>
            <w:noWrap/>
            <w:hideMark/>
          </w:tcPr>
          <w:p w14:paraId="1C24BD8F" w14:textId="45BBB2C8"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DRG Description</w:t>
            </w:r>
          </w:p>
        </w:tc>
        <w:tc>
          <w:tcPr>
            <w:tcW w:w="791" w:type="dxa"/>
            <w:tcBorders>
              <w:top w:val="single" w:sz="4" w:space="0" w:color="auto"/>
              <w:left w:val="nil"/>
              <w:bottom w:val="single" w:sz="4" w:space="0" w:color="000000"/>
              <w:right w:val="nil"/>
            </w:tcBorders>
            <w:shd w:val="clear" w:color="auto" w:fill="auto"/>
            <w:hideMark/>
          </w:tcPr>
          <w:p w14:paraId="4888E121" w14:textId="677E1AE2"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Cost weight</w:t>
            </w:r>
            <w:r w:rsidRPr="007D3711">
              <w:rPr>
                <w:rFonts w:asciiTheme="minorHAnsi" w:hAnsiTheme="minorHAnsi" w:cstheme="minorHAnsi"/>
                <w:b/>
                <w:bCs/>
                <w:sz w:val="14"/>
                <w:szCs w:val="14"/>
                <w:lang w:val="en-US" w:eastAsia="en-US"/>
              </w:rPr>
              <w:br/>
              <w:t>(a</w:t>
            </w:r>
            <w:r w:rsidR="00231641" w:rsidRPr="007D3711">
              <w:rPr>
                <w:rFonts w:asciiTheme="minorHAnsi" w:hAnsiTheme="minorHAnsi" w:cstheme="minorHAnsi"/>
                <w:b/>
                <w:bCs/>
                <w:sz w:val="14"/>
                <w:szCs w:val="14"/>
                <w:lang w:val="en-US" w:eastAsia="en-US"/>
              </w:rPr>
              <w:t>)</w:t>
            </w:r>
          </w:p>
        </w:tc>
        <w:tc>
          <w:tcPr>
            <w:tcW w:w="839" w:type="dxa"/>
            <w:tcBorders>
              <w:top w:val="single" w:sz="4" w:space="0" w:color="auto"/>
              <w:left w:val="nil"/>
              <w:bottom w:val="single" w:sz="4" w:space="0" w:color="000000"/>
              <w:right w:val="nil"/>
            </w:tcBorders>
            <w:shd w:val="clear" w:color="auto" w:fill="auto"/>
            <w:hideMark/>
          </w:tcPr>
          <w:p w14:paraId="46318215"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No. of weighted seps</w:t>
            </w:r>
            <w:r w:rsidRPr="007D3711">
              <w:rPr>
                <w:rFonts w:asciiTheme="minorHAnsi" w:hAnsiTheme="minorHAnsi" w:cstheme="minorHAnsi"/>
                <w:b/>
                <w:bCs/>
                <w:sz w:val="14"/>
                <w:szCs w:val="14"/>
                <w:lang w:val="en-US" w:eastAsia="en-US"/>
              </w:rPr>
              <w:br/>
              <w:t>(b)</w:t>
            </w:r>
          </w:p>
        </w:tc>
        <w:tc>
          <w:tcPr>
            <w:tcW w:w="1021" w:type="dxa"/>
            <w:tcBorders>
              <w:top w:val="single" w:sz="4" w:space="0" w:color="auto"/>
              <w:left w:val="nil"/>
              <w:bottom w:val="single" w:sz="4" w:space="0" w:color="000000"/>
              <w:right w:val="nil"/>
            </w:tcBorders>
            <w:shd w:val="clear" w:color="auto" w:fill="auto"/>
            <w:hideMark/>
          </w:tcPr>
          <w:p w14:paraId="74584A53" w14:textId="4D30E44D"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Cost</w:t>
            </w:r>
            <w:r w:rsidR="007E6F3B">
              <w:rPr>
                <w:rFonts w:asciiTheme="minorHAnsi" w:hAnsiTheme="minorHAnsi" w:cstheme="minorHAnsi"/>
                <w:b/>
                <w:bCs/>
                <w:sz w:val="14"/>
                <w:szCs w:val="14"/>
                <w:lang w:val="en-US" w:eastAsia="en-US"/>
              </w:rPr>
              <w:t>-</w:t>
            </w:r>
            <w:r w:rsidRPr="007D3711">
              <w:rPr>
                <w:rFonts w:asciiTheme="minorHAnsi" w:hAnsiTheme="minorHAnsi" w:cstheme="minorHAnsi"/>
                <w:b/>
                <w:bCs/>
                <w:sz w:val="14"/>
                <w:szCs w:val="14"/>
                <w:lang w:val="en-US" w:eastAsia="en-US"/>
              </w:rPr>
              <w:t>weighted seps</w:t>
            </w:r>
            <w:r w:rsidRPr="007D3711">
              <w:rPr>
                <w:rFonts w:asciiTheme="minorHAnsi" w:hAnsiTheme="minorHAnsi" w:cstheme="minorHAnsi"/>
                <w:b/>
                <w:bCs/>
                <w:sz w:val="14"/>
                <w:szCs w:val="14"/>
                <w:lang w:val="en-US" w:eastAsia="en-US"/>
              </w:rPr>
              <w:br/>
              <w:t>(c)=(a)x(b)</w:t>
            </w:r>
          </w:p>
        </w:tc>
        <w:tc>
          <w:tcPr>
            <w:tcW w:w="882" w:type="dxa"/>
            <w:tcBorders>
              <w:top w:val="single" w:sz="4" w:space="0" w:color="auto"/>
              <w:left w:val="nil"/>
              <w:bottom w:val="single" w:sz="4" w:space="0" w:color="000000"/>
              <w:right w:val="nil"/>
            </w:tcBorders>
            <w:shd w:val="clear" w:color="auto" w:fill="auto"/>
            <w:hideMark/>
          </w:tcPr>
          <w:p w14:paraId="7A28452A"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Number of days</w:t>
            </w:r>
            <w:r w:rsidRPr="007D3711">
              <w:rPr>
                <w:rFonts w:asciiTheme="minorHAnsi" w:hAnsiTheme="minorHAnsi" w:cstheme="minorHAnsi"/>
                <w:b/>
                <w:bCs/>
                <w:sz w:val="14"/>
                <w:szCs w:val="14"/>
                <w:lang w:val="en-US" w:eastAsia="en-US"/>
              </w:rPr>
              <w:br/>
              <w:t>(d)</w:t>
            </w:r>
          </w:p>
        </w:tc>
        <w:tc>
          <w:tcPr>
            <w:tcW w:w="873" w:type="dxa"/>
            <w:tcBorders>
              <w:top w:val="single" w:sz="4" w:space="0" w:color="auto"/>
              <w:left w:val="nil"/>
              <w:bottom w:val="single" w:sz="4" w:space="0" w:color="000000"/>
              <w:right w:val="nil"/>
            </w:tcBorders>
            <w:shd w:val="clear" w:color="auto" w:fill="auto"/>
            <w:hideMark/>
          </w:tcPr>
          <w:p w14:paraId="75F25590"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ALoS (days)</w:t>
            </w:r>
            <w:r w:rsidRPr="007D3711">
              <w:rPr>
                <w:rFonts w:asciiTheme="minorHAnsi" w:hAnsiTheme="minorHAnsi" w:cstheme="minorHAnsi"/>
                <w:b/>
                <w:bCs/>
                <w:sz w:val="14"/>
                <w:szCs w:val="14"/>
                <w:lang w:val="en-US" w:eastAsia="en-US"/>
              </w:rPr>
              <w:br/>
              <w:t>(e)=(d)/(b)</w:t>
            </w:r>
          </w:p>
        </w:tc>
        <w:tc>
          <w:tcPr>
            <w:tcW w:w="672" w:type="dxa"/>
            <w:tcBorders>
              <w:top w:val="single" w:sz="4" w:space="0" w:color="auto"/>
              <w:left w:val="nil"/>
              <w:bottom w:val="single" w:sz="4" w:space="0" w:color="000000"/>
              <w:right w:val="nil"/>
            </w:tcBorders>
            <w:shd w:val="clear" w:color="auto" w:fill="auto"/>
            <w:hideMark/>
          </w:tcPr>
          <w:p w14:paraId="6CC97882"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Std error</w:t>
            </w:r>
          </w:p>
        </w:tc>
        <w:tc>
          <w:tcPr>
            <w:tcW w:w="575" w:type="dxa"/>
            <w:tcBorders>
              <w:top w:val="single" w:sz="4" w:space="0" w:color="auto"/>
              <w:left w:val="nil"/>
              <w:bottom w:val="single" w:sz="4" w:space="0" w:color="000000"/>
              <w:right w:val="nil"/>
            </w:tcBorders>
            <w:shd w:val="clear" w:color="auto" w:fill="auto"/>
            <w:hideMark/>
          </w:tcPr>
          <w:p w14:paraId="08211588"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 of total seps</w:t>
            </w:r>
          </w:p>
        </w:tc>
        <w:tc>
          <w:tcPr>
            <w:tcW w:w="575" w:type="dxa"/>
            <w:tcBorders>
              <w:top w:val="single" w:sz="4" w:space="0" w:color="auto"/>
              <w:left w:val="nil"/>
              <w:bottom w:val="single" w:sz="4" w:space="0" w:color="000000"/>
              <w:right w:val="nil"/>
            </w:tcBorders>
            <w:shd w:val="clear" w:color="auto" w:fill="auto"/>
            <w:hideMark/>
          </w:tcPr>
          <w:p w14:paraId="7843B115" w14:textId="77777777"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 of CW seps</w:t>
            </w:r>
          </w:p>
        </w:tc>
        <w:tc>
          <w:tcPr>
            <w:tcW w:w="994" w:type="dxa"/>
            <w:tcBorders>
              <w:top w:val="single" w:sz="4" w:space="0" w:color="auto"/>
              <w:left w:val="nil"/>
              <w:bottom w:val="single" w:sz="4" w:space="0" w:color="000000"/>
              <w:right w:val="nil"/>
            </w:tcBorders>
            <w:shd w:val="clear" w:color="auto" w:fill="auto"/>
            <w:hideMark/>
          </w:tcPr>
          <w:p w14:paraId="57ED790D" w14:textId="44D5F625" w:rsidR="00581D11" w:rsidRPr="007D3711" w:rsidRDefault="00E549B8" w:rsidP="00191507">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 xml:space="preserve">No. of </w:t>
            </w:r>
            <w:r w:rsidR="00581D11" w:rsidRPr="007D3711">
              <w:rPr>
                <w:rFonts w:asciiTheme="minorHAnsi" w:hAnsiTheme="minorHAnsi" w:cstheme="minorHAnsi"/>
                <w:b/>
                <w:bCs/>
                <w:sz w:val="14"/>
                <w:szCs w:val="14"/>
                <w:lang w:val="en-US" w:eastAsia="en-US"/>
              </w:rPr>
              <w:t>weighted seps</w:t>
            </w:r>
            <w:r>
              <w:rPr>
                <w:rFonts w:asciiTheme="minorHAnsi" w:hAnsiTheme="minorHAnsi" w:cstheme="minorHAnsi"/>
                <w:b/>
                <w:bCs/>
                <w:sz w:val="14"/>
                <w:szCs w:val="14"/>
                <w:lang w:val="en-US" w:eastAsia="en-US"/>
              </w:rPr>
              <w:t xml:space="preserve"> Round 20</w:t>
            </w:r>
          </w:p>
        </w:tc>
        <w:tc>
          <w:tcPr>
            <w:tcW w:w="660" w:type="dxa"/>
            <w:tcBorders>
              <w:top w:val="single" w:sz="4" w:space="0" w:color="auto"/>
              <w:left w:val="nil"/>
              <w:bottom w:val="single" w:sz="4" w:space="0" w:color="000000"/>
              <w:right w:val="nil"/>
            </w:tcBorders>
            <w:shd w:val="clear" w:color="auto" w:fill="auto"/>
            <w:hideMark/>
          </w:tcPr>
          <w:p w14:paraId="4C49BC77" w14:textId="29B441EB" w:rsidR="00581D11" w:rsidRPr="007D3711" w:rsidRDefault="00581D11" w:rsidP="00191507">
            <w:pPr>
              <w:spacing w:before="20" w:after="20" w:line="240" w:lineRule="auto"/>
              <w:jc w:val="center"/>
              <w:rPr>
                <w:rFonts w:asciiTheme="minorHAnsi" w:hAnsiTheme="minorHAnsi" w:cstheme="minorHAnsi"/>
                <w:b/>
                <w:bCs/>
                <w:sz w:val="14"/>
                <w:szCs w:val="14"/>
                <w:lang w:val="en-US" w:eastAsia="en-US"/>
              </w:rPr>
            </w:pPr>
            <w:r w:rsidRPr="007D3711">
              <w:rPr>
                <w:rFonts w:asciiTheme="minorHAnsi" w:hAnsiTheme="minorHAnsi" w:cstheme="minorHAnsi"/>
                <w:b/>
                <w:bCs/>
                <w:sz w:val="14"/>
                <w:szCs w:val="14"/>
                <w:lang w:val="en-US" w:eastAsia="en-US"/>
              </w:rPr>
              <w:t xml:space="preserve">Rank Round </w:t>
            </w:r>
            <w:r w:rsidR="007D3711" w:rsidRPr="007D3711">
              <w:rPr>
                <w:rFonts w:asciiTheme="minorHAnsi" w:hAnsiTheme="minorHAnsi" w:cstheme="minorHAnsi"/>
                <w:b/>
                <w:bCs/>
                <w:sz w:val="14"/>
                <w:szCs w:val="14"/>
                <w:lang w:val="en-US" w:eastAsia="en-US"/>
              </w:rPr>
              <w:t>20</w:t>
            </w:r>
          </w:p>
        </w:tc>
        <w:tc>
          <w:tcPr>
            <w:tcW w:w="1182" w:type="dxa"/>
            <w:tcBorders>
              <w:top w:val="single" w:sz="4" w:space="0" w:color="auto"/>
              <w:left w:val="nil"/>
              <w:bottom w:val="single" w:sz="4" w:space="0" w:color="000000"/>
              <w:right w:val="nil"/>
            </w:tcBorders>
            <w:shd w:val="clear" w:color="auto" w:fill="auto"/>
            <w:hideMark/>
          </w:tcPr>
          <w:p w14:paraId="43D00BC7" w14:textId="30ABDAE8" w:rsidR="00581D11" w:rsidRPr="007D3711" w:rsidRDefault="007A05B3" w:rsidP="00191507">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color w:val="000000"/>
                <w:sz w:val="14"/>
                <w:szCs w:val="14"/>
                <w:lang w:val="en-US" w:eastAsia="en-US"/>
              </w:rPr>
              <w:t>Cost weight Round 20</w:t>
            </w:r>
          </w:p>
        </w:tc>
      </w:tr>
      <w:tr w:rsidR="007D3711" w:rsidRPr="00E4527E" w14:paraId="63E98043" w14:textId="77777777" w:rsidTr="00BB391D">
        <w:trPr>
          <w:trHeight w:hRule="exact" w:val="312"/>
        </w:trPr>
        <w:tc>
          <w:tcPr>
            <w:tcW w:w="701" w:type="dxa"/>
            <w:tcBorders>
              <w:top w:val="nil"/>
              <w:left w:val="nil"/>
              <w:bottom w:val="nil"/>
              <w:right w:val="nil"/>
            </w:tcBorders>
            <w:shd w:val="clear" w:color="auto" w:fill="auto"/>
            <w:noWrap/>
            <w:hideMark/>
          </w:tcPr>
          <w:p w14:paraId="44FBF999" w14:textId="5EEF0CF0"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11A346B0" w14:textId="37E2CE9B"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w:t>
            </w:r>
          </w:p>
        </w:tc>
        <w:tc>
          <w:tcPr>
            <w:tcW w:w="582" w:type="dxa"/>
            <w:tcBorders>
              <w:top w:val="nil"/>
              <w:left w:val="nil"/>
              <w:bottom w:val="nil"/>
              <w:right w:val="nil"/>
            </w:tcBorders>
            <w:shd w:val="clear" w:color="auto" w:fill="auto"/>
            <w:noWrap/>
            <w:hideMark/>
          </w:tcPr>
          <w:p w14:paraId="3FDB9B30" w14:textId="58CAF468"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R63Z</w:t>
            </w:r>
          </w:p>
        </w:tc>
        <w:tc>
          <w:tcPr>
            <w:tcW w:w="3977" w:type="dxa"/>
            <w:tcBorders>
              <w:top w:val="nil"/>
              <w:left w:val="nil"/>
              <w:bottom w:val="nil"/>
              <w:right w:val="nil"/>
            </w:tcBorders>
            <w:shd w:val="clear" w:color="auto" w:fill="auto"/>
            <w:noWrap/>
            <w:hideMark/>
          </w:tcPr>
          <w:p w14:paraId="66DD64B1" w14:textId="4556D91C"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Chemotherapy</w:t>
            </w:r>
          </w:p>
        </w:tc>
        <w:tc>
          <w:tcPr>
            <w:tcW w:w="791" w:type="dxa"/>
            <w:tcBorders>
              <w:top w:val="nil"/>
              <w:left w:val="nil"/>
              <w:bottom w:val="nil"/>
              <w:right w:val="nil"/>
            </w:tcBorders>
            <w:shd w:val="clear" w:color="auto" w:fill="auto"/>
            <w:noWrap/>
            <w:hideMark/>
          </w:tcPr>
          <w:p w14:paraId="566CB57D" w14:textId="6BA321D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0.15</w:t>
            </w:r>
          </w:p>
        </w:tc>
        <w:tc>
          <w:tcPr>
            <w:tcW w:w="839" w:type="dxa"/>
            <w:tcBorders>
              <w:top w:val="nil"/>
              <w:left w:val="nil"/>
              <w:bottom w:val="nil"/>
              <w:right w:val="nil"/>
            </w:tcBorders>
            <w:shd w:val="clear" w:color="auto" w:fill="auto"/>
            <w:noWrap/>
            <w:hideMark/>
          </w:tcPr>
          <w:p w14:paraId="237B586D" w14:textId="34A64673"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256,062</w:t>
            </w:r>
          </w:p>
        </w:tc>
        <w:tc>
          <w:tcPr>
            <w:tcW w:w="1021" w:type="dxa"/>
            <w:tcBorders>
              <w:top w:val="nil"/>
              <w:left w:val="nil"/>
              <w:bottom w:val="nil"/>
              <w:right w:val="nil"/>
            </w:tcBorders>
            <w:shd w:val="clear" w:color="auto" w:fill="auto"/>
            <w:noWrap/>
            <w:hideMark/>
          </w:tcPr>
          <w:p w14:paraId="4DFC032C" w14:textId="3C03F1B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38,409</w:t>
            </w:r>
          </w:p>
        </w:tc>
        <w:tc>
          <w:tcPr>
            <w:tcW w:w="882" w:type="dxa"/>
            <w:tcBorders>
              <w:top w:val="nil"/>
              <w:left w:val="nil"/>
              <w:bottom w:val="nil"/>
              <w:right w:val="nil"/>
            </w:tcBorders>
            <w:shd w:val="clear" w:color="auto" w:fill="auto"/>
            <w:noWrap/>
            <w:hideMark/>
          </w:tcPr>
          <w:p w14:paraId="581283F4" w14:textId="77FF324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256,216</w:t>
            </w:r>
          </w:p>
        </w:tc>
        <w:tc>
          <w:tcPr>
            <w:tcW w:w="873" w:type="dxa"/>
            <w:tcBorders>
              <w:top w:val="nil"/>
              <w:left w:val="nil"/>
              <w:bottom w:val="nil"/>
              <w:right w:val="nil"/>
            </w:tcBorders>
            <w:shd w:val="clear" w:color="auto" w:fill="auto"/>
            <w:noWrap/>
            <w:hideMark/>
          </w:tcPr>
          <w:p w14:paraId="595D00BB" w14:textId="7520A81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5FF1DEA6" w14:textId="6C7A384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0.000</w:t>
            </w:r>
          </w:p>
        </w:tc>
        <w:tc>
          <w:tcPr>
            <w:tcW w:w="575" w:type="dxa"/>
            <w:tcBorders>
              <w:top w:val="nil"/>
              <w:left w:val="nil"/>
              <w:bottom w:val="nil"/>
              <w:right w:val="nil"/>
            </w:tcBorders>
            <w:shd w:val="clear" w:color="auto" w:fill="auto"/>
            <w:noWrap/>
            <w:hideMark/>
          </w:tcPr>
          <w:p w14:paraId="5CF7628A" w14:textId="11D0B79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7.9%</w:t>
            </w:r>
          </w:p>
        </w:tc>
        <w:tc>
          <w:tcPr>
            <w:tcW w:w="575" w:type="dxa"/>
            <w:tcBorders>
              <w:top w:val="nil"/>
              <w:left w:val="nil"/>
              <w:bottom w:val="nil"/>
              <w:right w:val="nil"/>
            </w:tcBorders>
            <w:shd w:val="clear" w:color="auto" w:fill="auto"/>
            <w:noWrap/>
            <w:hideMark/>
          </w:tcPr>
          <w:p w14:paraId="198C38FA" w14:textId="563BB53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994" w:type="dxa"/>
            <w:tcBorders>
              <w:top w:val="nil"/>
              <w:left w:val="nil"/>
              <w:bottom w:val="nil"/>
              <w:right w:val="nil"/>
            </w:tcBorders>
            <w:shd w:val="clear" w:color="auto" w:fill="auto"/>
            <w:noWrap/>
            <w:hideMark/>
          </w:tcPr>
          <w:p w14:paraId="3372976D" w14:textId="461525C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268,018 </w:t>
            </w:r>
          </w:p>
        </w:tc>
        <w:tc>
          <w:tcPr>
            <w:tcW w:w="660" w:type="dxa"/>
            <w:tcBorders>
              <w:top w:val="nil"/>
              <w:left w:val="nil"/>
              <w:bottom w:val="nil"/>
              <w:right w:val="nil"/>
            </w:tcBorders>
            <w:shd w:val="clear" w:color="auto" w:fill="auto"/>
            <w:noWrap/>
            <w:hideMark/>
          </w:tcPr>
          <w:p w14:paraId="4E280AD0" w14:textId="3BDAF79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 </w:t>
            </w:r>
          </w:p>
        </w:tc>
        <w:tc>
          <w:tcPr>
            <w:tcW w:w="1182" w:type="dxa"/>
            <w:tcBorders>
              <w:top w:val="nil"/>
              <w:left w:val="nil"/>
              <w:bottom w:val="nil"/>
              <w:right w:val="nil"/>
            </w:tcBorders>
            <w:shd w:val="clear" w:color="auto" w:fill="auto"/>
            <w:noWrap/>
            <w:hideMark/>
          </w:tcPr>
          <w:p w14:paraId="71339BB6" w14:textId="42081B0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0.15 </w:t>
            </w:r>
          </w:p>
        </w:tc>
      </w:tr>
      <w:tr w:rsidR="007D3711" w:rsidRPr="00E4527E" w14:paraId="2512CB4E" w14:textId="77777777" w:rsidTr="00BB391D">
        <w:trPr>
          <w:trHeight w:hRule="exact" w:val="312"/>
        </w:trPr>
        <w:tc>
          <w:tcPr>
            <w:tcW w:w="701" w:type="dxa"/>
            <w:tcBorders>
              <w:top w:val="nil"/>
              <w:left w:val="nil"/>
              <w:bottom w:val="nil"/>
              <w:right w:val="nil"/>
            </w:tcBorders>
            <w:shd w:val="clear" w:color="auto" w:fill="auto"/>
            <w:noWrap/>
            <w:hideMark/>
          </w:tcPr>
          <w:p w14:paraId="0FEA80F4" w14:textId="54A7003F"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3261D8B9" w14:textId="02797D77"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2</w:t>
            </w:r>
          </w:p>
        </w:tc>
        <w:tc>
          <w:tcPr>
            <w:tcW w:w="582" w:type="dxa"/>
            <w:tcBorders>
              <w:top w:val="nil"/>
              <w:left w:val="nil"/>
              <w:bottom w:val="nil"/>
              <w:right w:val="nil"/>
            </w:tcBorders>
            <w:shd w:val="clear" w:color="auto" w:fill="auto"/>
            <w:noWrap/>
            <w:hideMark/>
          </w:tcPr>
          <w:p w14:paraId="6EC40101" w14:textId="60164137"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G48B</w:t>
            </w:r>
          </w:p>
        </w:tc>
        <w:tc>
          <w:tcPr>
            <w:tcW w:w="3977" w:type="dxa"/>
            <w:tcBorders>
              <w:top w:val="nil"/>
              <w:left w:val="nil"/>
              <w:bottom w:val="nil"/>
              <w:right w:val="nil"/>
            </w:tcBorders>
            <w:shd w:val="clear" w:color="auto" w:fill="auto"/>
            <w:noWrap/>
            <w:hideMark/>
          </w:tcPr>
          <w:p w14:paraId="70676E5C" w14:textId="747E31E0"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Colonoscopy, Minor Complexity</w:t>
            </w:r>
          </w:p>
        </w:tc>
        <w:tc>
          <w:tcPr>
            <w:tcW w:w="791" w:type="dxa"/>
            <w:tcBorders>
              <w:top w:val="nil"/>
              <w:left w:val="nil"/>
              <w:bottom w:val="nil"/>
              <w:right w:val="nil"/>
            </w:tcBorders>
            <w:shd w:val="clear" w:color="auto" w:fill="auto"/>
            <w:noWrap/>
            <w:hideMark/>
          </w:tcPr>
          <w:p w14:paraId="4B01A7F2" w14:textId="10C4945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0.29</w:t>
            </w:r>
          </w:p>
        </w:tc>
        <w:tc>
          <w:tcPr>
            <w:tcW w:w="839" w:type="dxa"/>
            <w:tcBorders>
              <w:top w:val="nil"/>
              <w:left w:val="nil"/>
              <w:bottom w:val="nil"/>
              <w:right w:val="nil"/>
            </w:tcBorders>
            <w:shd w:val="clear" w:color="auto" w:fill="auto"/>
            <w:noWrap/>
            <w:hideMark/>
          </w:tcPr>
          <w:p w14:paraId="1994D7BE" w14:textId="71E7B4FA"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166,005</w:t>
            </w:r>
          </w:p>
        </w:tc>
        <w:tc>
          <w:tcPr>
            <w:tcW w:w="1021" w:type="dxa"/>
            <w:tcBorders>
              <w:top w:val="nil"/>
              <w:left w:val="nil"/>
              <w:bottom w:val="nil"/>
              <w:right w:val="nil"/>
            </w:tcBorders>
            <w:shd w:val="clear" w:color="auto" w:fill="auto"/>
            <w:noWrap/>
            <w:hideMark/>
          </w:tcPr>
          <w:p w14:paraId="7E254BEB" w14:textId="44226F6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48,141</w:t>
            </w:r>
          </w:p>
        </w:tc>
        <w:tc>
          <w:tcPr>
            <w:tcW w:w="882" w:type="dxa"/>
            <w:tcBorders>
              <w:top w:val="nil"/>
              <w:left w:val="nil"/>
              <w:bottom w:val="nil"/>
              <w:right w:val="nil"/>
            </w:tcBorders>
            <w:shd w:val="clear" w:color="auto" w:fill="auto"/>
            <w:noWrap/>
            <w:hideMark/>
          </w:tcPr>
          <w:p w14:paraId="77DE638A" w14:textId="6ADAA95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172,047</w:t>
            </w:r>
          </w:p>
        </w:tc>
        <w:tc>
          <w:tcPr>
            <w:tcW w:w="873" w:type="dxa"/>
            <w:tcBorders>
              <w:top w:val="nil"/>
              <w:left w:val="nil"/>
              <w:bottom w:val="nil"/>
              <w:right w:val="nil"/>
            </w:tcBorders>
            <w:shd w:val="clear" w:color="auto" w:fill="auto"/>
            <w:noWrap/>
            <w:hideMark/>
          </w:tcPr>
          <w:p w14:paraId="299D9800" w14:textId="17BEB35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1DDCFD03" w14:textId="3028514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41E31ABB" w14:textId="1106D19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5.1%</w:t>
            </w:r>
          </w:p>
        </w:tc>
        <w:tc>
          <w:tcPr>
            <w:tcW w:w="575" w:type="dxa"/>
            <w:tcBorders>
              <w:top w:val="nil"/>
              <w:left w:val="nil"/>
              <w:bottom w:val="nil"/>
              <w:right w:val="nil"/>
            </w:tcBorders>
            <w:shd w:val="clear" w:color="auto" w:fill="auto"/>
            <w:noWrap/>
            <w:hideMark/>
          </w:tcPr>
          <w:p w14:paraId="40854C14" w14:textId="7ACEC6A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1.5%</w:t>
            </w:r>
          </w:p>
        </w:tc>
        <w:tc>
          <w:tcPr>
            <w:tcW w:w="994" w:type="dxa"/>
            <w:tcBorders>
              <w:top w:val="nil"/>
              <w:left w:val="nil"/>
              <w:bottom w:val="nil"/>
              <w:right w:val="nil"/>
            </w:tcBorders>
            <w:shd w:val="clear" w:color="auto" w:fill="auto"/>
            <w:noWrap/>
            <w:hideMark/>
          </w:tcPr>
          <w:p w14:paraId="54C4746E" w14:textId="161D950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148,776 </w:t>
            </w:r>
          </w:p>
        </w:tc>
        <w:tc>
          <w:tcPr>
            <w:tcW w:w="660" w:type="dxa"/>
            <w:tcBorders>
              <w:top w:val="nil"/>
              <w:left w:val="nil"/>
              <w:bottom w:val="nil"/>
              <w:right w:val="nil"/>
            </w:tcBorders>
            <w:shd w:val="clear" w:color="auto" w:fill="auto"/>
            <w:noWrap/>
            <w:hideMark/>
          </w:tcPr>
          <w:p w14:paraId="0FB37FA6" w14:textId="40C882D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2 </w:t>
            </w:r>
          </w:p>
        </w:tc>
        <w:tc>
          <w:tcPr>
            <w:tcW w:w="1182" w:type="dxa"/>
            <w:tcBorders>
              <w:top w:val="nil"/>
              <w:left w:val="nil"/>
              <w:bottom w:val="nil"/>
              <w:right w:val="nil"/>
            </w:tcBorders>
            <w:shd w:val="clear" w:color="auto" w:fill="auto"/>
            <w:noWrap/>
            <w:hideMark/>
          </w:tcPr>
          <w:p w14:paraId="7434B50E" w14:textId="28A5076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0.26 </w:t>
            </w:r>
          </w:p>
        </w:tc>
      </w:tr>
      <w:tr w:rsidR="007D3711" w:rsidRPr="00E4527E" w14:paraId="543AF22F" w14:textId="77777777" w:rsidTr="00BB391D">
        <w:trPr>
          <w:trHeight w:hRule="exact" w:val="312"/>
        </w:trPr>
        <w:tc>
          <w:tcPr>
            <w:tcW w:w="701" w:type="dxa"/>
            <w:tcBorders>
              <w:top w:val="nil"/>
              <w:left w:val="nil"/>
              <w:bottom w:val="nil"/>
              <w:right w:val="nil"/>
            </w:tcBorders>
            <w:shd w:val="clear" w:color="auto" w:fill="auto"/>
            <w:noWrap/>
            <w:hideMark/>
          </w:tcPr>
          <w:p w14:paraId="5D0E347E" w14:textId="07CF6F9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0500B8B8" w14:textId="354AAD25"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3</w:t>
            </w:r>
          </w:p>
        </w:tc>
        <w:tc>
          <w:tcPr>
            <w:tcW w:w="582" w:type="dxa"/>
            <w:tcBorders>
              <w:top w:val="nil"/>
              <w:left w:val="nil"/>
              <w:bottom w:val="nil"/>
              <w:right w:val="nil"/>
            </w:tcBorders>
            <w:shd w:val="clear" w:color="auto" w:fill="auto"/>
            <w:noWrap/>
            <w:hideMark/>
          </w:tcPr>
          <w:p w14:paraId="07BB1063" w14:textId="3792482A"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Z40Z</w:t>
            </w:r>
          </w:p>
        </w:tc>
        <w:tc>
          <w:tcPr>
            <w:tcW w:w="3977" w:type="dxa"/>
            <w:tcBorders>
              <w:top w:val="nil"/>
              <w:left w:val="nil"/>
              <w:bottom w:val="nil"/>
              <w:right w:val="nil"/>
            </w:tcBorders>
            <w:shd w:val="clear" w:color="auto" w:fill="auto"/>
            <w:noWrap/>
            <w:hideMark/>
          </w:tcPr>
          <w:p w14:paraId="2E705984" w14:textId="22F85913"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Other Contacts W Health Services W Endoscopy</w:t>
            </w:r>
          </w:p>
        </w:tc>
        <w:tc>
          <w:tcPr>
            <w:tcW w:w="791" w:type="dxa"/>
            <w:tcBorders>
              <w:top w:val="nil"/>
              <w:left w:val="nil"/>
              <w:bottom w:val="nil"/>
              <w:right w:val="nil"/>
            </w:tcBorders>
            <w:shd w:val="clear" w:color="auto" w:fill="auto"/>
            <w:noWrap/>
            <w:hideMark/>
          </w:tcPr>
          <w:p w14:paraId="2726F598" w14:textId="74FCC63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0.24</w:t>
            </w:r>
          </w:p>
        </w:tc>
        <w:tc>
          <w:tcPr>
            <w:tcW w:w="839" w:type="dxa"/>
            <w:tcBorders>
              <w:top w:val="nil"/>
              <w:left w:val="nil"/>
              <w:bottom w:val="nil"/>
              <w:right w:val="nil"/>
            </w:tcBorders>
            <w:shd w:val="clear" w:color="auto" w:fill="auto"/>
            <w:noWrap/>
            <w:hideMark/>
          </w:tcPr>
          <w:p w14:paraId="1CA89D7D" w14:textId="77136496"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110,439</w:t>
            </w:r>
          </w:p>
        </w:tc>
        <w:tc>
          <w:tcPr>
            <w:tcW w:w="1021" w:type="dxa"/>
            <w:tcBorders>
              <w:top w:val="nil"/>
              <w:left w:val="nil"/>
              <w:bottom w:val="nil"/>
              <w:right w:val="nil"/>
            </w:tcBorders>
            <w:shd w:val="clear" w:color="auto" w:fill="auto"/>
            <w:noWrap/>
            <w:hideMark/>
          </w:tcPr>
          <w:p w14:paraId="0BAE9303" w14:textId="24430AD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26,505</w:t>
            </w:r>
          </w:p>
        </w:tc>
        <w:tc>
          <w:tcPr>
            <w:tcW w:w="882" w:type="dxa"/>
            <w:tcBorders>
              <w:top w:val="nil"/>
              <w:left w:val="nil"/>
              <w:bottom w:val="nil"/>
              <w:right w:val="nil"/>
            </w:tcBorders>
            <w:shd w:val="clear" w:color="auto" w:fill="auto"/>
            <w:noWrap/>
            <w:hideMark/>
          </w:tcPr>
          <w:p w14:paraId="434AA252" w14:textId="347AF5C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111,990</w:t>
            </w:r>
          </w:p>
        </w:tc>
        <w:tc>
          <w:tcPr>
            <w:tcW w:w="873" w:type="dxa"/>
            <w:tcBorders>
              <w:top w:val="nil"/>
              <w:left w:val="nil"/>
              <w:bottom w:val="nil"/>
              <w:right w:val="nil"/>
            </w:tcBorders>
            <w:shd w:val="clear" w:color="auto" w:fill="auto"/>
            <w:noWrap/>
            <w:hideMark/>
          </w:tcPr>
          <w:p w14:paraId="21420187" w14:textId="18967FB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7C41546F" w14:textId="21DC947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71510F99" w14:textId="03CDDF2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3.4%</w:t>
            </w:r>
          </w:p>
        </w:tc>
        <w:tc>
          <w:tcPr>
            <w:tcW w:w="575" w:type="dxa"/>
            <w:tcBorders>
              <w:top w:val="nil"/>
              <w:left w:val="nil"/>
              <w:bottom w:val="nil"/>
              <w:right w:val="nil"/>
            </w:tcBorders>
            <w:shd w:val="clear" w:color="auto" w:fill="auto"/>
            <w:noWrap/>
            <w:hideMark/>
          </w:tcPr>
          <w:p w14:paraId="4DD0425D" w14:textId="03B88A1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0.8%</w:t>
            </w:r>
          </w:p>
        </w:tc>
        <w:tc>
          <w:tcPr>
            <w:tcW w:w="994" w:type="dxa"/>
            <w:tcBorders>
              <w:top w:val="nil"/>
              <w:left w:val="nil"/>
              <w:bottom w:val="nil"/>
              <w:right w:val="nil"/>
            </w:tcBorders>
            <w:shd w:val="clear" w:color="auto" w:fill="auto"/>
            <w:noWrap/>
            <w:hideMark/>
          </w:tcPr>
          <w:p w14:paraId="498EC546" w14:textId="1690C8F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104,543 </w:t>
            </w:r>
          </w:p>
        </w:tc>
        <w:tc>
          <w:tcPr>
            <w:tcW w:w="660" w:type="dxa"/>
            <w:tcBorders>
              <w:top w:val="nil"/>
              <w:left w:val="nil"/>
              <w:bottom w:val="nil"/>
              <w:right w:val="nil"/>
            </w:tcBorders>
            <w:shd w:val="clear" w:color="auto" w:fill="auto"/>
            <w:noWrap/>
            <w:hideMark/>
          </w:tcPr>
          <w:p w14:paraId="0532DFF5" w14:textId="57C2035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 </w:t>
            </w:r>
          </w:p>
        </w:tc>
        <w:tc>
          <w:tcPr>
            <w:tcW w:w="1182" w:type="dxa"/>
            <w:tcBorders>
              <w:top w:val="nil"/>
              <w:left w:val="nil"/>
              <w:bottom w:val="nil"/>
              <w:right w:val="nil"/>
            </w:tcBorders>
            <w:shd w:val="clear" w:color="auto" w:fill="auto"/>
            <w:noWrap/>
            <w:hideMark/>
          </w:tcPr>
          <w:p w14:paraId="0BC65F19" w14:textId="4135021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0.21 </w:t>
            </w:r>
          </w:p>
        </w:tc>
      </w:tr>
      <w:tr w:rsidR="007D3711" w:rsidRPr="00E4527E" w14:paraId="4394CD55" w14:textId="77777777" w:rsidTr="00BB391D">
        <w:trPr>
          <w:trHeight w:hRule="exact" w:val="312"/>
        </w:trPr>
        <w:tc>
          <w:tcPr>
            <w:tcW w:w="701" w:type="dxa"/>
            <w:tcBorders>
              <w:top w:val="nil"/>
              <w:left w:val="nil"/>
              <w:bottom w:val="nil"/>
              <w:right w:val="nil"/>
            </w:tcBorders>
            <w:shd w:val="clear" w:color="auto" w:fill="auto"/>
            <w:noWrap/>
            <w:hideMark/>
          </w:tcPr>
          <w:p w14:paraId="7469E670" w14:textId="164D931D"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1DBA5013" w14:textId="6F30B7D8"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4</w:t>
            </w:r>
          </w:p>
        </w:tc>
        <w:tc>
          <w:tcPr>
            <w:tcW w:w="582" w:type="dxa"/>
            <w:tcBorders>
              <w:top w:val="nil"/>
              <w:left w:val="nil"/>
              <w:bottom w:val="nil"/>
              <w:right w:val="nil"/>
            </w:tcBorders>
            <w:shd w:val="clear" w:color="auto" w:fill="auto"/>
            <w:noWrap/>
            <w:hideMark/>
          </w:tcPr>
          <w:p w14:paraId="0F9EA646" w14:textId="00C011F7"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G46B</w:t>
            </w:r>
          </w:p>
        </w:tc>
        <w:tc>
          <w:tcPr>
            <w:tcW w:w="3977" w:type="dxa"/>
            <w:tcBorders>
              <w:top w:val="nil"/>
              <w:left w:val="nil"/>
              <w:bottom w:val="nil"/>
              <w:right w:val="nil"/>
            </w:tcBorders>
            <w:shd w:val="clear" w:color="auto" w:fill="auto"/>
            <w:noWrap/>
            <w:hideMark/>
          </w:tcPr>
          <w:p w14:paraId="545D75D7" w14:textId="6DCE4C43"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Complex Endoscopy, Minor Complexity</w:t>
            </w:r>
          </w:p>
        </w:tc>
        <w:tc>
          <w:tcPr>
            <w:tcW w:w="791" w:type="dxa"/>
            <w:tcBorders>
              <w:top w:val="nil"/>
              <w:left w:val="nil"/>
              <w:bottom w:val="nil"/>
              <w:right w:val="nil"/>
            </w:tcBorders>
            <w:shd w:val="clear" w:color="auto" w:fill="auto"/>
            <w:noWrap/>
            <w:hideMark/>
          </w:tcPr>
          <w:p w14:paraId="207E8B9B" w14:textId="1723337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0.35</w:t>
            </w:r>
          </w:p>
        </w:tc>
        <w:tc>
          <w:tcPr>
            <w:tcW w:w="839" w:type="dxa"/>
            <w:tcBorders>
              <w:top w:val="nil"/>
              <w:left w:val="nil"/>
              <w:bottom w:val="nil"/>
              <w:right w:val="nil"/>
            </w:tcBorders>
            <w:shd w:val="clear" w:color="auto" w:fill="auto"/>
            <w:noWrap/>
            <w:hideMark/>
          </w:tcPr>
          <w:p w14:paraId="31BE6C43" w14:textId="3A7E5F6C"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109,420</w:t>
            </w:r>
          </w:p>
        </w:tc>
        <w:tc>
          <w:tcPr>
            <w:tcW w:w="1021" w:type="dxa"/>
            <w:tcBorders>
              <w:top w:val="nil"/>
              <w:left w:val="nil"/>
              <w:bottom w:val="nil"/>
              <w:right w:val="nil"/>
            </w:tcBorders>
            <w:shd w:val="clear" w:color="auto" w:fill="auto"/>
            <w:noWrap/>
            <w:hideMark/>
          </w:tcPr>
          <w:p w14:paraId="714C0D98" w14:textId="5ED4A07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38,297</w:t>
            </w:r>
          </w:p>
        </w:tc>
        <w:tc>
          <w:tcPr>
            <w:tcW w:w="882" w:type="dxa"/>
            <w:tcBorders>
              <w:top w:val="nil"/>
              <w:left w:val="nil"/>
              <w:bottom w:val="nil"/>
              <w:right w:val="nil"/>
            </w:tcBorders>
            <w:shd w:val="clear" w:color="auto" w:fill="auto"/>
            <w:noWrap/>
            <w:hideMark/>
          </w:tcPr>
          <w:p w14:paraId="0DB27676" w14:textId="7FE5897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115,684</w:t>
            </w:r>
          </w:p>
        </w:tc>
        <w:tc>
          <w:tcPr>
            <w:tcW w:w="873" w:type="dxa"/>
            <w:tcBorders>
              <w:top w:val="nil"/>
              <w:left w:val="nil"/>
              <w:bottom w:val="nil"/>
              <w:right w:val="nil"/>
            </w:tcBorders>
            <w:shd w:val="clear" w:color="auto" w:fill="auto"/>
            <w:noWrap/>
            <w:hideMark/>
          </w:tcPr>
          <w:p w14:paraId="12773242" w14:textId="511EDF5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672" w:type="dxa"/>
            <w:tcBorders>
              <w:top w:val="nil"/>
              <w:left w:val="nil"/>
              <w:bottom w:val="nil"/>
              <w:right w:val="nil"/>
            </w:tcBorders>
            <w:shd w:val="clear" w:color="auto" w:fill="auto"/>
            <w:noWrap/>
            <w:hideMark/>
          </w:tcPr>
          <w:p w14:paraId="01CFD9F5" w14:textId="32AE1B2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1DE94686" w14:textId="125E3B0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3.4%</w:t>
            </w:r>
          </w:p>
        </w:tc>
        <w:tc>
          <w:tcPr>
            <w:tcW w:w="575" w:type="dxa"/>
            <w:tcBorders>
              <w:top w:val="nil"/>
              <w:left w:val="nil"/>
              <w:bottom w:val="nil"/>
              <w:right w:val="nil"/>
            </w:tcBorders>
            <w:shd w:val="clear" w:color="auto" w:fill="auto"/>
            <w:noWrap/>
            <w:hideMark/>
          </w:tcPr>
          <w:p w14:paraId="19435734" w14:textId="0DBB795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994" w:type="dxa"/>
            <w:tcBorders>
              <w:top w:val="nil"/>
              <w:left w:val="nil"/>
              <w:bottom w:val="nil"/>
              <w:right w:val="nil"/>
            </w:tcBorders>
            <w:shd w:val="clear" w:color="auto" w:fill="auto"/>
            <w:noWrap/>
            <w:hideMark/>
          </w:tcPr>
          <w:p w14:paraId="47752C2C" w14:textId="21903D3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95,336 </w:t>
            </w:r>
          </w:p>
        </w:tc>
        <w:tc>
          <w:tcPr>
            <w:tcW w:w="660" w:type="dxa"/>
            <w:tcBorders>
              <w:top w:val="nil"/>
              <w:left w:val="nil"/>
              <w:bottom w:val="nil"/>
              <w:right w:val="nil"/>
            </w:tcBorders>
            <w:shd w:val="clear" w:color="auto" w:fill="auto"/>
            <w:noWrap/>
            <w:hideMark/>
          </w:tcPr>
          <w:p w14:paraId="752C7C5B" w14:textId="18339E8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4 </w:t>
            </w:r>
          </w:p>
        </w:tc>
        <w:tc>
          <w:tcPr>
            <w:tcW w:w="1182" w:type="dxa"/>
            <w:tcBorders>
              <w:top w:val="nil"/>
              <w:left w:val="nil"/>
              <w:bottom w:val="nil"/>
              <w:right w:val="nil"/>
            </w:tcBorders>
            <w:shd w:val="clear" w:color="auto" w:fill="auto"/>
            <w:noWrap/>
            <w:hideMark/>
          </w:tcPr>
          <w:p w14:paraId="46ABB03C" w14:textId="565C123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0.31 </w:t>
            </w:r>
          </w:p>
        </w:tc>
      </w:tr>
      <w:tr w:rsidR="007D3711" w:rsidRPr="00E4527E" w14:paraId="77F1072B" w14:textId="77777777" w:rsidTr="00BB391D">
        <w:trPr>
          <w:trHeight w:hRule="exact" w:val="312"/>
        </w:trPr>
        <w:tc>
          <w:tcPr>
            <w:tcW w:w="701" w:type="dxa"/>
            <w:tcBorders>
              <w:top w:val="nil"/>
              <w:left w:val="nil"/>
              <w:bottom w:val="nil"/>
              <w:right w:val="nil"/>
            </w:tcBorders>
            <w:shd w:val="clear" w:color="auto" w:fill="auto"/>
            <w:noWrap/>
            <w:hideMark/>
          </w:tcPr>
          <w:p w14:paraId="3E96000F" w14:textId="47B453E5"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1B8D128C" w14:textId="54E2206D"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5</w:t>
            </w:r>
          </w:p>
        </w:tc>
        <w:tc>
          <w:tcPr>
            <w:tcW w:w="582" w:type="dxa"/>
            <w:tcBorders>
              <w:top w:val="nil"/>
              <w:left w:val="nil"/>
              <w:bottom w:val="nil"/>
              <w:right w:val="nil"/>
            </w:tcBorders>
            <w:shd w:val="clear" w:color="auto" w:fill="auto"/>
            <w:noWrap/>
            <w:hideMark/>
          </w:tcPr>
          <w:p w14:paraId="0E0D4933" w14:textId="3FC8D9C6"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L61Z</w:t>
            </w:r>
          </w:p>
        </w:tc>
        <w:tc>
          <w:tcPr>
            <w:tcW w:w="3977" w:type="dxa"/>
            <w:tcBorders>
              <w:top w:val="nil"/>
              <w:left w:val="nil"/>
              <w:bottom w:val="nil"/>
              <w:right w:val="nil"/>
            </w:tcBorders>
            <w:shd w:val="clear" w:color="auto" w:fill="auto"/>
            <w:noWrap/>
            <w:hideMark/>
          </w:tcPr>
          <w:p w14:paraId="2EBDCFD1" w14:textId="0EFCCC54"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Haemodialysis</w:t>
            </w:r>
          </w:p>
        </w:tc>
        <w:tc>
          <w:tcPr>
            <w:tcW w:w="791" w:type="dxa"/>
            <w:tcBorders>
              <w:top w:val="nil"/>
              <w:left w:val="nil"/>
              <w:bottom w:val="nil"/>
              <w:right w:val="nil"/>
            </w:tcBorders>
            <w:shd w:val="clear" w:color="auto" w:fill="auto"/>
            <w:noWrap/>
            <w:hideMark/>
          </w:tcPr>
          <w:p w14:paraId="42DA57CC" w14:textId="5084251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0.10</w:t>
            </w:r>
          </w:p>
        </w:tc>
        <w:tc>
          <w:tcPr>
            <w:tcW w:w="839" w:type="dxa"/>
            <w:tcBorders>
              <w:top w:val="nil"/>
              <w:left w:val="nil"/>
              <w:bottom w:val="nil"/>
              <w:right w:val="nil"/>
            </w:tcBorders>
            <w:shd w:val="clear" w:color="auto" w:fill="auto"/>
            <w:noWrap/>
            <w:hideMark/>
          </w:tcPr>
          <w:p w14:paraId="4D6702E7" w14:textId="57302F42"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108,871</w:t>
            </w:r>
          </w:p>
        </w:tc>
        <w:tc>
          <w:tcPr>
            <w:tcW w:w="1021" w:type="dxa"/>
            <w:tcBorders>
              <w:top w:val="nil"/>
              <w:left w:val="nil"/>
              <w:bottom w:val="nil"/>
              <w:right w:val="nil"/>
            </w:tcBorders>
            <w:shd w:val="clear" w:color="auto" w:fill="auto"/>
            <w:noWrap/>
            <w:hideMark/>
          </w:tcPr>
          <w:p w14:paraId="03E730F0" w14:textId="69F0C00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10,887</w:t>
            </w:r>
          </w:p>
        </w:tc>
        <w:tc>
          <w:tcPr>
            <w:tcW w:w="882" w:type="dxa"/>
            <w:tcBorders>
              <w:top w:val="nil"/>
              <w:left w:val="nil"/>
              <w:bottom w:val="nil"/>
              <w:right w:val="nil"/>
            </w:tcBorders>
            <w:shd w:val="clear" w:color="auto" w:fill="auto"/>
            <w:noWrap/>
            <w:hideMark/>
          </w:tcPr>
          <w:p w14:paraId="574D1292" w14:textId="15D443F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108,905</w:t>
            </w:r>
          </w:p>
        </w:tc>
        <w:tc>
          <w:tcPr>
            <w:tcW w:w="873" w:type="dxa"/>
            <w:tcBorders>
              <w:top w:val="nil"/>
              <w:left w:val="nil"/>
              <w:bottom w:val="nil"/>
              <w:right w:val="nil"/>
            </w:tcBorders>
            <w:shd w:val="clear" w:color="auto" w:fill="auto"/>
            <w:noWrap/>
            <w:hideMark/>
          </w:tcPr>
          <w:p w14:paraId="42CE4B66" w14:textId="2F014BE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7F2F5228" w14:textId="37C27AB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0.000</w:t>
            </w:r>
          </w:p>
        </w:tc>
        <w:tc>
          <w:tcPr>
            <w:tcW w:w="575" w:type="dxa"/>
            <w:tcBorders>
              <w:top w:val="nil"/>
              <w:left w:val="nil"/>
              <w:bottom w:val="nil"/>
              <w:right w:val="nil"/>
            </w:tcBorders>
            <w:shd w:val="clear" w:color="auto" w:fill="auto"/>
            <w:noWrap/>
            <w:hideMark/>
          </w:tcPr>
          <w:p w14:paraId="556FBB05" w14:textId="01BB0EF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3.4%</w:t>
            </w:r>
          </w:p>
        </w:tc>
        <w:tc>
          <w:tcPr>
            <w:tcW w:w="575" w:type="dxa"/>
            <w:tcBorders>
              <w:top w:val="nil"/>
              <w:left w:val="nil"/>
              <w:bottom w:val="nil"/>
              <w:right w:val="nil"/>
            </w:tcBorders>
            <w:shd w:val="clear" w:color="auto" w:fill="auto"/>
            <w:noWrap/>
            <w:hideMark/>
          </w:tcPr>
          <w:p w14:paraId="3A669DA3" w14:textId="1BF38F0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0.3%</w:t>
            </w:r>
          </w:p>
        </w:tc>
        <w:tc>
          <w:tcPr>
            <w:tcW w:w="994" w:type="dxa"/>
            <w:tcBorders>
              <w:top w:val="nil"/>
              <w:left w:val="nil"/>
              <w:bottom w:val="nil"/>
              <w:right w:val="nil"/>
            </w:tcBorders>
            <w:shd w:val="clear" w:color="auto" w:fill="auto"/>
            <w:noWrap/>
            <w:hideMark/>
          </w:tcPr>
          <w:p w14:paraId="0DBA427F" w14:textId="19054AE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83,214 </w:t>
            </w:r>
          </w:p>
        </w:tc>
        <w:tc>
          <w:tcPr>
            <w:tcW w:w="660" w:type="dxa"/>
            <w:tcBorders>
              <w:top w:val="nil"/>
              <w:left w:val="nil"/>
              <w:bottom w:val="nil"/>
              <w:right w:val="nil"/>
            </w:tcBorders>
            <w:shd w:val="clear" w:color="auto" w:fill="auto"/>
            <w:noWrap/>
            <w:hideMark/>
          </w:tcPr>
          <w:p w14:paraId="3D95B22B" w14:textId="5FC07CF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5 </w:t>
            </w:r>
          </w:p>
        </w:tc>
        <w:tc>
          <w:tcPr>
            <w:tcW w:w="1182" w:type="dxa"/>
            <w:tcBorders>
              <w:top w:val="nil"/>
              <w:left w:val="nil"/>
              <w:bottom w:val="nil"/>
              <w:right w:val="nil"/>
            </w:tcBorders>
            <w:shd w:val="clear" w:color="auto" w:fill="auto"/>
            <w:noWrap/>
            <w:hideMark/>
          </w:tcPr>
          <w:p w14:paraId="32E0DFA8" w14:textId="2DF277C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0.11 </w:t>
            </w:r>
          </w:p>
        </w:tc>
      </w:tr>
      <w:tr w:rsidR="007D3711" w:rsidRPr="00E4527E" w14:paraId="5CE9E74D" w14:textId="77777777" w:rsidTr="00BB391D">
        <w:trPr>
          <w:trHeight w:hRule="exact" w:val="312"/>
        </w:trPr>
        <w:tc>
          <w:tcPr>
            <w:tcW w:w="701" w:type="dxa"/>
            <w:tcBorders>
              <w:top w:val="nil"/>
              <w:left w:val="nil"/>
              <w:bottom w:val="nil"/>
              <w:right w:val="nil"/>
            </w:tcBorders>
            <w:shd w:val="clear" w:color="auto" w:fill="auto"/>
            <w:noWrap/>
            <w:hideMark/>
          </w:tcPr>
          <w:p w14:paraId="74AD0656" w14:textId="36B7E8E8"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2CD90C0D" w14:textId="628D38C6"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6</w:t>
            </w:r>
          </w:p>
        </w:tc>
        <w:tc>
          <w:tcPr>
            <w:tcW w:w="582" w:type="dxa"/>
            <w:tcBorders>
              <w:top w:val="nil"/>
              <w:left w:val="nil"/>
              <w:bottom w:val="nil"/>
              <w:right w:val="nil"/>
            </w:tcBorders>
            <w:shd w:val="clear" w:color="auto" w:fill="auto"/>
            <w:noWrap/>
            <w:hideMark/>
          </w:tcPr>
          <w:p w14:paraId="1DB01D7A" w14:textId="39B26544"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D40Z</w:t>
            </w:r>
          </w:p>
        </w:tc>
        <w:tc>
          <w:tcPr>
            <w:tcW w:w="3977" w:type="dxa"/>
            <w:tcBorders>
              <w:top w:val="nil"/>
              <w:left w:val="nil"/>
              <w:bottom w:val="nil"/>
              <w:right w:val="nil"/>
            </w:tcBorders>
            <w:shd w:val="clear" w:color="auto" w:fill="auto"/>
            <w:noWrap/>
            <w:hideMark/>
          </w:tcPr>
          <w:p w14:paraId="08678121" w14:textId="3AA454E9"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Dental Extractions and Restorations</w:t>
            </w:r>
          </w:p>
        </w:tc>
        <w:tc>
          <w:tcPr>
            <w:tcW w:w="791" w:type="dxa"/>
            <w:tcBorders>
              <w:top w:val="nil"/>
              <w:left w:val="nil"/>
              <w:bottom w:val="nil"/>
              <w:right w:val="nil"/>
            </w:tcBorders>
            <w:shd w:val="clear" w:color="auto" w:fill="auto"/>
            <w:noWrap/>
            <w:hideMark/>
          </w:tcPr>
          <w:p w14:paraId="05D17E1F" w14:textId="1A4E1DB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0.45</w:t>
            </w:r>
          </w:p>
        </w:tc>
        <w:tc>
          <w:tcPr>
            <w:tcW w:w="839" w:type="dxa"/>
            <w:tcBorders>
              <w:top w:val="nil"/>
              <w:left w:val="nil"/>
              <w:bottom w:val="nil"/>
              <w:right w:val="nil"/>
            </w:tcBorders>
            <w:shd w:val="clear" w:color="auto" w:fill="auto"/>
            <w:noWrap/>
            <w:hideMark/>
          </w:tcPr>
          <w:p w14:paraId="50E02867" w14:textId="71312E80"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76,067</w:t>
            </w:r>
          </w:p>
        </w:tc>
        <w:tc>
          <w:tcPr>
            <w:tcW w:w="1021" w:type="dxa"/>
            <w:tcBorders>
              <w:top w:val="nil"/>
              <w:left w:val="nil"/>
              <w:bottom w:val="nil"/>
              <w:right w:val="nil"/>
            </w:tcBorders>
            <w:shd w:val="clear" w:color="auto" w:fill="auto"/>
            <w:noWrap/>
            <w:hideMark/>
          </w:tcPr>
          <w:p w14:paraId="427AD9A6" w14:textId="391DCEB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34,230</w:t>
            </w:r>
          </w:p>
        </w:tc>
        <w:tc>
          <w:tcPr>
            <w:tcW w:w="882" w:type="dxa"/>
            <w:tcBorders>
              <w:top w:val="nil"/>
              <w:left w:val="nil"/>
              <w:bottom w:val="nil"/>
              <w:right w:val="nil"/>
            </w:tcBorders>
            <w:shd w:val="clear" w:color="auto" w:fill="auto"/>
            <w:noWrap/>
            <w:hideMark/>
          </w:tcPr>
          <w:p w14:paraId="7DFC9429" w14:textId="13E2726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76,353</w:t>
            </w:r>
          </w:p>
        </w:tc>
        <w:tc>
          <w:tcPr>
            <w:tcW w:w="873" w:type="dxa"/>
            <w:tcBorders>
              <w:top w:val="nil"/>
              <w:left w:val="nil"/>
              <w:bottom w:val="nil"/>
              <w:right w:val="nil"/>
            </w:tcBorders>
            <w:shd w:val="clear" w:color="auto" w:fill="auto"/>
            <w:noWrap/>
            <w:hideMark/>
          </w:tcPr>
          <w:p w14:paraId="5DCCE772" w14:textId="6B99897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18D7F8AD" w14:textId="714A889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306BCCC8" w14:textId="0F1E717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2.3%</w:t>
            </w:r>
          </w:p>
        </w:tc>
        <w:tc>
          <w:tcPr>
            <w:tcW w:w="575" w:type="dxa"/>
            <w:tcBorders>
              <w:top w:val="nil"/>
              <w:left w:val="nil"/>
              <w:bottom w:val="nil"/>
              <w:right w:val="nil"/>
            </w:tcBorders>
            <w:shd w:val="clear" w:color="auto" w:fill="auto"/>
            <w:noWrap/>
            <w:hideMark/>
          </w:tcPr>
          <w:p w14:paraId="329BD685" w14:textId="17F345F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994" w:type="dxa"/>
            <w:tcBorders>
              <w:top w:val="nil"/>
              <w:left w:val="nil"/>
              <w:bottom w:val="nil"/>
              <w:right w:val="nil"/>
            </w:tcBorders>
            <w:shd w:val="clear" w:color="auto" w:fill="auto"/>
            <w:noWrap/>
            <w:hideMark/>
          </w:tcPr>
          <w:p w14:paraId="1F817932" w14:textId="65F218C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61,622 </w:t>
            </w:r>
          </w:p>
        </w:tc>
        <w:tc>
          <w:tcPr>
            <w:tcW w:w="660" w:type="dxa"/>
            <w:tcBorders>
              <w:top w:val="nil"/>
              <w:left w:val="nil"/>
              <w:bottom w:val="nil"/>
              <w:right w:val="nil"/>
            </w:tcBorders>
            <w:shd w:val="clear" w:color="auto" w:fill="auto"/>
            <w:noWrap/>
            <w:hideMark/>
          </w:tcPr>
          <w:p w14:paraId="45133494" w14:textId="000F253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7 </w:t>
            </w:r>
          </w:p>
        </w:tc>
        <w:tc>
          <w:tcPr>
            <w:tcW w:w="1182" w:type="dxa"/>
            <w:tcBorders>
              <w:top w:val="nil"/>
              <w:left w:val="nil"/>
              <w:bottom w:val="nil"/>
              <w:right w:val="nil"/>
            </w:tcBorders>
            <w:shd w:val="clear" w:color="auto" w:fill="auto"/>
            <w:noWrap/>
            <w:hideMark/>
          </w:tcPr>
          <w:p w14:paraId="0CD4DB33" w14:textId="480CE73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0.38 </w:t>
            </w:r>
          </w:p>
        </w:tc>
      </w:tr>
      <w:tr w:rsidR="007D3711" w:rsidRPr="00E4527E" w14:paraId="2FE76707" w14:textId="77777777" w:rsidTr="00BB391D">
        <w:trPr>
          <w:trHeight w:hRule="exact" w:val="312"/>
        </w:trPr>
        <w:tc>
          <w:tcPr>
            <w:tcW w:w="701" w:type="dxa"/>
            <w:tcBorders>
              <w:top w:val="nil"/>
              <w:left w:val="nil"/>
              <w:bottom w:val="nil"/>
              <w:right w:val="nil"/>
            </w:tcBorders>
            <w:shd w:val="clear" w:color="auto" w:fill="auto"/>
            <w:noWrap/>
            <w:hideMark/>
          </w:tcPr>
          <w:p w14:paraId="145B6285" w14:textId="6A43F6FA"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10DF513A" w14:textId="20129856"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7</w:t>
            </w:r>
          </w:p>
        </w:tc>
        <w:tc>
          <w:tcPr>
            <w:tcW w:w="582" w:type="dxa"/>
            <w:tcBorders>
              <w:top w:val="nil"/>
              <w:left w:val="nil"/>
              <w:bottom w:val="nil"/>
              <w:right w:val="nil"/>
            </w:tcBorders>
            <w:shd w:val="clear" w:color="auto" w:fill="auto"/>
            <w:noWrap/>
            <w:hideMark/>
          </w:tcPr>
          <w:p w14:paraId="623BC76E" w14:textId="13BF5588"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G47C</w:t>
            </w:r>
          </w:p>
        </w:tc>
        <w:tc>
          <w:tcPr>
            <w:tcW w:w="3977" w:type="dxa"/>
            <w:tcBorders>
              <w:top w:val="nil"/>
              <w:left w:val="nil"/>
              <w:bottom w:val="nil"/>
              <w:right w:val="nil"/>
            </w:tcBorders>
            <w:shd w:val="clear" w:color="auto" w:fill="auto"/>
            <w:noWrap/>
            <w:hideMark/>
          </w:tcPr>
          <w:p w14:paraId="2A5EAAFE" w14:textId="0EAC9F30"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Gastroscopy, Minor Complexity</w:t>
            </w:r>
          </w:p>
        </w:tc>
        <w:tc>
          <w:tcPr>
            <w:tcW w:w="791" w:type="dxa"/>
            <w:tcBorders>
              <w:top w:val="nil"/>
              <w:left w:val="nil"/>
              <w:bottom w:val="nil"/>
              <w:right w:val="nil"/>
            </w:tcBorders>
            <w:shd w:val="clear" w:color="auto" w:fill="auto"/>
            <w:noWrap/>
            <w:hideMark/>
          </w:tcPr>
          <w:p w14:paraId="0CD2988F" w14:textId="7F5B349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0.22</w:t>
            </w:r>
          </w:p>
        </w:tc>
        <w:tc>
          <w:tcPr>
            <w:tcW w:w="839" w:type="dxa"/>
            <w:tcBorders>
              <w:top w:val="nil"/>
              <w:left w:val="nil"/>
              <w:bottom w:val="nil"/>
              <w:right w:val="nil"/>
            </w:tcBorders>
            <w:shd w:val="clear" w:color="auto" w:fill="auto"/>
            <w:noWrap/>
            <w:hideMark/>
          </w:tcPr>
          <w:p w14:paraId="063367F7" w14:textId="5C011A95"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75,952</w:t>
            </w:r>
          </w:p>
        </w:tc>
        <w:tc>
          <w:tcPr>
            <w:tcW w:w="1021" w:type="dxa"/>
            <w:tcBorders>
              <w:top w:val="nil"/>
              <w:left w:val="nil"/>
              <w:bottom w:val="nil"/>
              <w:right w:val="nil"/>
            </w:tcBorders>
            <w:shd w:val="clear" w:color="auto" w:fill="auto"/>
            <w:noWrap/>
            <w:hideMark/>
          </w:tcPr>
          <w:p w14:paraId="7D28232D" w14:textId="22BF5E6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16,709</w:t>
            </w:r>
          </w:p>
        </w:tc>
        <w:tc>
          <w:tcPr>
            <w:tcW w:w="882" w:type="dxa"/>
            <w:tcBorders>
              <w:top w:val="nil"/>
              <w:left w:val="nil"/>
              <w:bottom w:val="nil"/>
              <w:right w:val="nil"/>
            </w:tcBorders>
            <w:shd w:val="clear" w:color="auto" w:fill="auto"/>
            <w:noWrap/>
            <w:hideMark/>
          </w:tcPr>
          <w:p w14:paraId="07DA7B40" w14:textId="35700C0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80,125</w:t>
            </w:r>
          </w:p>
        </w:tc>
        <w:tc>
          <w:tcPr>
            <w:tcW w:w="873" w:type="dxa"/>
            <w:tcBorders>
              <w:top w:val="nil"/>
              <w:left w:val="nil"/>
              <w:bottom w:val="nil"/>
              <w:right w:val="nil"/>
            </w:tcBorders>
            <w:shd w:val="clear" w:color="auto" w:fill="auto"/>
            <w:noWrap/>
            <w:hideMark/>
          </w:tcPr>
          <w:p w14:paraId="63B6EA24" w14:textId="45ADF65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672" w:type="dxa"/>
            <w:tcBorders>
              <w:top w:val="nil"/>
              <w:left w:val="nil"/>
              <w:bottom w:val="nil"/>
              <w:right w:val="nil"/>
            </w:tcBorders>
            <w:shd w:val="clear" w:color="auto" w:fill="auto"/>
            <w:noWrap/>
            <w:hideMark/>
          </w:tcPr>
          <w:p w14:paraId="7B414123" w14:textId="58D2DB8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116CE8A8" w14:textId="20F4163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2.3%</w:t>
            </w:r>
          </w:p>
        </w:tc>
        <w:tc>
          <w:tcPr>
            <w:tcW w:w="575" w:type="dxa"/>
            <w:tcBorders>
              <w:top w:val="nil"/>
              <w:left w:val="nil"/>
              <w:bottom w:val="nil"/>
              <w:right w:val="nil"/>
            </w:tcBorders>
            <w:shd w:val="clear" w:color="auto" w:fill="auto"/>
            <w:noWrap/>
            <w:hideMark/>
          </w:tcPr>
          <w:p w14:paraId="1A264223" w14:textId="75138E2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0.5%</w:t>
            </w:r>
          </w:p>
        </w:tc>
        <w:tc>
          <w:tcPr>
            <w:tcW w:w="994" w:type="dxa"/>
            <w:tcBorders>
              <w:top w:val="nil"/>
              <w:left w:val="nil"/>
              <w:bottom w:val="nil"/>
              <w:right w:val="nil"/>
            </w:tcBorders>
            <w:shd w:val="clear" w:color="auto" w:fill="auto"/>
            <w:noWrap/>
            <w:hideMark/>
          </w:tcPr>
          <w:p w14:paraId="48C3E8AB" w14:textId="7C75CE2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67,493 </w:t>
            </w:r>
          </w:p>
        </w:tc>
        <w:tc>
          <w:tcPr>
            <w:tcW w:w="660" w:type="dxa"/>
            <w:tcBorders>
              <w:top w:val="nil"/>
              <w:left w:val="nil"/>
              <w:bottom w:val="nil"/>
              <w:right w:val="nil"/>
            </w:tcBorders>
            <w:shd w:val="clear" w:color="auto" w:fill="auto"/>
            <w:noWrap/>
            <w:hideMark/>
          </w:tcPr>
          <w:p w14:paraId="1EC1CB8E" w14:textId="0621152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6 </w:t>
            </w:r>
          </w:p>
        </w:tc>
        <w:tc>
          <w:tcPr>
            <w:tcW w:w="1182" w:type="dxa"/>
            <w:tcBorders>
              <w:top w:val="nil"/>
              <w:left w:val="nil"/>
              <w:bottom w:val="nil"/>
              <w:right w:val="nil"/>
            </w:tcBorders>
            <w:shd w:val="clear" w:color="auto" w:fill="auto"/>
            <w:noWrap/>
            <w:hideMark/>
          </w:tcPr>
          <w:p w14:paraId="0BAABB7D" w14:textId="21E0415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0.21 </w:t>
            </w:r>
          </w:p>
        </w:tc>
      </w:tr>
      <w:tr w:rsidR="007D3711" w:rsidRPr="00E4527E" w14:paraId="67D14812" w14:textId="77777777" w:rsidTr="00BB391D">
        <w:trPr>
          <w:trHeight w:hRule="exact" w:val="312"/>
        </w:trPr>
        <w:tc>
          <w:tcPr>
            <w:tcW w:w="701" w:type="dxa"/>
            <w:tcBorders>
              <w:top w:val="nil"/>
              <w:left w:val="nil"/>
              <w:bottom w:val="nil"/>
              <w:right w:val="nil"/>
            </w:tcBorders>
            <w:shd w:val="clear" w:color="auto" w:fill="auto"/>
            <w:noWrap/>
            <w:hideMark/>
          </w:tcPr>
          <w:p w14:paraId="5B684F5C" w14:textId="50E2D336"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4BB951C4" w14:textId="727E30C0"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8</w:t>
            </w:r>
          </w:p>
        </w:tc>
        <w:tc>
          <w:tcPr>
            <w:tcW w:w="582" w:type="dxa"/>
            <w:tcBorders>
              <w:top w:val="nil"/>
              <w:left w:val="nil"/>
              <w:bottom w:val="nil"/>
              <w:right w:val="nil"/>
            </w:tcBorders>
            <w:shd w:val="clear" w:color="auto" w:fill="auto"/>
            <w:noWrap/>
            <w:hideMark/>
          </w:tcPr>
          <w:p w14:paraId="1F82A1C6" w14:textId="0A03101F"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Z64B</w:t>
            </w:r>
          </w:p>
        </w:tc>
        <w:tc>
          <w:tcPr>
            <w:tcW w:w="3977" w:type="dxa"/>
            <w:tcBorders>
              <w:top w:val="nil"/>
              <w:left w:val="nil"/>
              <w:bottom w:val="nil"/>
              <w:right w:val="nil"/>
            </w:tcBorders>
            <w:shd w:val="clear" w:color="auto" w:fill="auto"/>
            <w:noWrap/>
            <w:hideMark/>
          </w:tcPr>
          <w:p w14:paraId="7184ED09" w14:textId="1095C52A"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Other Factors Influencing Health Status, Minor Complexity</w:t>
            </w:r>
          </w:p>
        </w:tc>
        <w:tc>
          <w:tcPr>
            <w:tcW w:w="791" w:type="dxa"/>
            <w:tcBorders>
              <w:top w:val="nil"/>
              <w:left w:val="nil"/>
              <w:bottom w:val="nil"/>
              <w:right w:val="nil"/>
            </w:tcBorders>
            <w:shd w:val="clear" w:color="auto" w:fill="auto"/>
            <w:noWrap/>
            <w:hideMark/>
          </w:tcPr>
          <w:p w14:paraId="138676BF" w14:textId="5952885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0.18</w:t>
            </w:r>
          </w:p>
        </w:tc>
        <w:tc>
          <w:tcPr>
            <w:tcW w:w="839" w:type="dxa"/>
            <w:tcBorders>
              <w:top w:val="nil"/>
              <w:left w:val="nil"/>
              <w:bottom w:val="nil"/>
              <w:right w:val="nil"/>
            </w:tcBorders>
            <w:shd w:val="clear" w:color="auto" w:fill="auto"/>
            <w:noWrap/>
            <w:hideMark/>
          </w:tcPr>
          <w:p w14:paraId="28863642" w14:textId="71A649F0"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66,815</w:t>
            </w:r>
          </w:p>
        </w:tc>
        <w:tc>
          <w:tcPr>
            <w:tcW w:w="1021" w:type="dxa"/>
            <w:tcBorders>
              <w:top w:val="nil"/>
              <w:left w:val="nil"/>
              <w:bottom w:val="nil"/>
              <w:right w:val="nil"/>
            </w:tcBorders>
            <w:shd w:val="clear" w:color="auto" w:fill="auto"/>
            <w:noWrap/>
            <w:hideMark/>
          </w:tcPr>
          <w:p w14:paraId="3FDC56A5" w14:textId="35EA26C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12,027</w:t>
            </w:r>
          </w:p>
        </w:tc>
        <w:tc>
          <w:tcPr>
            <w:tcW w:w="882" w:type="dxa"/>
            <w:tcBorders>
              <w:top w:val="nil"/>
              <w:left w:val="nil"/>
              <w:bottom w:val="nil"/>
              <w:right w:val="nil"/>
            </w:tcBorders>
            <w:shd w:val="clear" w:color="auto" w:fill="auto"/>
            <w:noWrap/>
            <w:hideMark/>
          </w:tcPr>
          <w:p w14:paraId="02F4DB86" w14:textId="32047F9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69,369</w:t>
            </w:r>
          </w:p>
        </w:tc>
        <w:tc>
          <w:tcPr>
            <w:tcW w:w="873" w:type="dxa"/>
            <w:tcBorders>
              <w:top w:val="nil"/>
              <w:left w:val="nil"/>
              <w:bottom w:val="nil"/>
              <w:right w:val="nil"/>
            </w:tcBorders>
            <w:shd w:val="clear" w:color="auto" w:fill="auto"/>
            <w:noWrap/>
            <w:hideMark/>
          </w:tcPr>
          <w:p w14:paraId="06966685" w14:textId="7A61A7F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52E7B0B1" w14:textId="51DEDB5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0.002</w:t>
            </w:r>
          </w:p>
        </w:tc>
        <w:tc>
          <w:tcPr>
            <w:tcW w:w="575" w:type="dxa"/>
            <w:tcBorders>
              <w:top w:val="nil"/>
              <w:left w:val="nil"/>
              <w:bottom w:val="nil"/>
              <w:right w:val="nil"/>
            </w:tcBorders>
            <w:shd w:val="clear" w:color="auto" w:fill="auto"/>
            <w:noWrap/>
            <w:hideMark/>
          </w:tcPr>
          <w:p w14:paraId="1D7265DD" w14:textId="60335DE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2.1%</w:t>
            </w:r>
          </w:p>
        </w:tc>
        <w:tc>
          <w:tcPr>
            <w:tcW w:w="575" w:type="dxa"/>
            <w:tcBorders>
              <w:top w:val="nil"/>
              <w:left w:val="nil"/>
              <w:bottom w:val="nil"/>
              <w:right w:val="nil"/>
            </w:tcBorders>
            <w:shd w:val="clear" w:color="auto" w:fill="auto"/>
            <w:noWrap/>
            <w:hideMark/>
          </w:tcPr>
          <w:p w14:paraId="48BA853C" w14:textId="6F769BB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0.4%</w:t>
            </w:r>
          </w:p>
        </w:tc>
        <w:tc>
          <w:tcPr>
            <w:tcW w:w="994" w:type="dxa"/>
            <w:tcBorders>
              <w:top w:val="nil"/>
              <w:left w:val="nil"/>
              <w:bottom w:val="nil"/>
              <w:right w:val="nil"/>
            </w:tcBorders>
            <w:shd w:val="clear" w:color="auto" w:fill="auto"/>
            <w:noWrap/>
            <w:hideMark/>
          </w:tcPr>
          <w:p w14:paraId="3696203F" w14:textId="0CF7A9C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58,932 </w:t>
            </w:r>
          </w:p>
        </w:tc>
        <w:tc>
          <w:tcPr>
            <w:tcW w:w="660" w:type="dxa"/>
            <w:tcBorders>
              <w:top w:val="nil"/>
              <w:left w:val="nil"/>
              <w:bottom w:val="nil"/>
              <w:right w:val="nil"/>
            </w:tcBorders>
            <w:shd w:val="clear" w:color="auto" w:fill="auto"/>
            <w:noWrap/>
            <w:hideMark/>
          </w:tcPr>
          <w:p w14:paraId="385FD55F" w14:textId="471FE37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8 </w:t>
            </w:r>
          </w:p>
        </w:tc>
        <w:tc>
          <w:tcPr>
            <w:tcW w:w="1182" w:type="dxa"/>
            <w:tcBorders>
              <w:top w:val="nil"/>
              <w:left w:val="nil"/>
              <w:bottom w:val="nil"/>
              <w:right w:val="nil"/>
            </w:tcBorders>
            <w:shd w:val="clear" w:color="auto" w:fill="auto"/>
            <w:noWrap/>
            <w:hideMark/>
          </w:tcPr>
          <w:p w14:paraId="4F897819" w14:textId="5919317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0.17 </w:t>
            </w:r>
          </w:p>
        </w:tc>
      </w:tr>
      <w:tr w:rsidR="007D3711" w:rsidRPr="00E4527E" w14:paraId="06401DBF" w14:textId="77777777" w:rsidTr="00BB391D">
        <w:trPr>
          <w:trHeight w:hRule="exact" w:val="312"/>
        </w:trPr>
        <w:tc>
          <w:tcPr>
            <w:tcW w:w="701" w:type="dxa"/>
            <w:tcBorders>
              <w:top w:val="nil"/>
              <w:left w:val="nil"/>
              <w:bottom w:val="nil"/>
              <w:right w:val="nil"/>
            </w:tcBorders>
            <w:shd w:val="clear" w:color="auto" w:fill="auto"/>
            <w:noWrap/>
            <w:hideMark/>
          </w:tcPr>
          <w:p w14:paraId="62C6D771" w14:textId="5279EC71"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01440264" w14:textId="3C0B34F4"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9</w:t>
            </w:r>
          </w:p>
        </w:tc>
        <w:tc>
          <w:tcPr>
            <w:tcW w:w="582" w:type="dxa"/>
            <w:tcBorders>
              <w:top w:val="nil"/>
              <w:left w:val="nil"/>
              <w:bottom w:val="nil"/>
              <w:right w:val="nil"/>
            </w:tcBorders>
            <w:shd w:val="clear" w:color="auto" w:fill="auto"/>
            <w:noWrap/>
            <w:hideMark/>
          </w:tcPr>
          <w:p w14:paraId="291C5EDE" w14:textId="089CAF3F"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C16Z</w:t>
            </w:r>
          </w:p>
        </w:tc>
        <w:tc>
          <w:tcPr>
            <w:tcW w:w="3977" w:type="dxa"/>
            <w:tcBorders>
              <w:top w:val="nil"/>
              <w:left w:val="nil"/>
              <w:bottom w:val="nil"/>
              <w:right w:val="nil"/>
            </w:tcBorders>
            <w:shd w:val="clear" w:color="auto" w:fill="auto"/>
            <w:noWrap/>
            <w:hideMark/>
          </w:tcPr>
          <w:p w14:paraId="40702864" w14:textId="3D2C1728"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Lens Procedures</w:t>
            </w:r>
          </w:p>
        </w:tc>
        <w:tc>
          <w:tcPr>
            <w:tcW w:w="791" w:type="dxa"/>
            <w:tcBorders>
              <w:top w:val="nil"/>
              <w:left w:val="nil"/>
              <w:bottom w:val="nil"/>
              <w:right w:val="nil"/>
            </w:tcBorders>
            <w:shd w:val="clear" w:color="auto" w:fill="auto"/>
            <w:noWrap/>
            <w:hideMark/>
          </w:tcPr>
          <w:p w14:paraId="29CA5D15" w14:textId="783B309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0.59</w:t>
            </w:r>
          </w:p>
        </w:tc>
        <w:tc>
          <w:tcPr>
            <w:tcW w:w="839" w:type="dxa"/>
            <w:tcBorders>
              <w:top w:val="nil"/>
              <w:left w:val="nil"/>
              <w:bottom w:val="nil"/>
              <w:right w:val="nil"/>
            </w:tcBorders>
            <w:shd w:val="clear" w:color="auto" w:fill="auto"/>
            <w:noWrap/>
            <w:hideMark/>
          </w:tcPr>
          <w:p w14:paraId="5361BB34" w14:textId="33F0098C"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64,268</w:t>
            </w:r>
          </w:p>
        </w:tc>
        <w:tc>
          <w:tcPr>
            <w:tcW w:w="1021" w:type="dxa"/>
            <w:tcBorders>
              <w:top w:val="nil"/>
              <w:left w:val="nil"/>
              <w:bottom w:val="nil"/>
              <w:right w:val="nil"/>
            </w:tcBorders>
            <w:shd w:val="clear" w:color="auto" w:fill="auto"/>
            <w:noWrap/>
            <w:hideMark/>
          </w:tcPr>
          <w:p w14:paraId="6757AC27" w14:textId="2CDB49A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37,918</w:t>
            </w:r>
          </w:p>
        </w:tc>
        <w:tc>
          <w:tcPr>
            <w:tcW w:w="882" w:type="dxa"/>
            <w:tcBorders>
              <w:top w:val="nil"/>
              <w:left w:val="nil"/>
              <w:bottom w:val="nil"/>
              <w:right w:val="nil"/>
            </w:tcBorders>
            <w:shd w:val="clear" w:color="auto" w:fill="auto"/>
            <w:noWrap/>
            <w:hideMark/>
          </w:tcPr>
          <w:p w14:paraId="29745472" w14:textId="528958D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64,465</w:t>
            </w:r>
          </w:p>
        </w:tc>
        <w:tc>
          <w:tcPr>
            <w:tcW w:w="873" w:type="dxa"/>
            <w:tcBorders>
              <w:top w:val="nil"/>
              <w:left w:val="nil"/>
              <w:bottom w:val="nil"/>
              <w:right w:val="nil"/>
            </w:tcBorders>
            <w:shd w:val="clear" w:color="auto" w:fill="auto"/>
            <w:noWrap/>
            <w:hideMark/>
          </w:tcPr>
          <w:p w14:paraId="6ED8720D" w14:textId="331C1D4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009C585C" w14:textId="16FC3BD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0.002</w:t>
            </w:r>
          </w:p>
        </w:tc>
        <w:tc>
          <w:tcPr>
            <w:tcW w:w="575" w:type="dxa"/>
            <w:tcBorders>
              <w:top w:val="nil"/>
              <w:left w:val="nil"/>
              <w:bottom w:val="nil"/>
              <w:right w:val="nil"/>
            </w:tcBorders>
            <w:shd w:val="clear" w:color="auto" w:fill="auto"/>
            <w:noWrap/>
            <w:hideMark/>
          </w:tcPr>
          <w:p w14:paraId="08F669D0" w14:textId="57BA179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2.0%</w:t>
            </w:r>
          </w:p>
        </w:tc>
        <w:tc>
          <w:tcPr>
            <w:tcW w:w="575" w:type="dxa"/>
            <w:tcBorders>
              <w:top w:val="nil"/>
              <w:left w:val="nil"/>
              <w:bottom w:val="nil"/>
              <w:right w:val="nil"/>
            </w:tcBorders>
            <w:shd w:val="clear" w:color="auto" w:fill="auto"/>
            <w:noWrap/>
            <w:hideMark/>
          </w:tcPr>
          <w:p w14:paraId="7046005E" w14:textId="41EEB77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994" w:type="dxa"/>
            <w:tcBorders>
              <w:top w:val="nil"/>
              <w:left w:val="nil"/>
              <w:bottom w:val="nil"/>
              <w:right w:val="nil"/>
            </w:tcBorders>
            <w:shd w:val="clear" w:color="auto" w:fill="auto"/>
            <w:noWrap/>
            <w:hideMark/>
          </w:tcPr>
          <w:p w14:paraId="4888F725" w14:textId="66AA480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52,810 </w:t>
            </w:r>
          </w:p>
        </w:tc>
        <w:tc>
          <w:tcPr>
            <w:tcW w:w="660" w:type="dxa"/>
            <w:tcBorders>
              <w:top w:val="nil"/>
              <w:left w:val="nil"/>
              <w:bottom w:val="nil"/>
              <w:right w:val="nil"/>
            </w:tcBorders>
            <w:shd w:val="clear" w:color="auto" w:fill="auto"/>
            <w:noWrap/>
            <w:hideMark/>
          </w:tcPr>
          <w:p w14:paraId="497E1258" w14:textId="6B1D7CB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9 </w:t>
            </w:r>
          </w:p>
        </w:tc>
        <w:tc>
          <w:tcPr>
            <w:tcW w:w="1182" w:type="dxa"/>
            <w:tcBorders>
              <w:top w:val="nil"/>
              <w:left w:val="nil"/>
              <w:bottom w:val="nil"/>
              <w:right w:val="nil"/>
            </w:tcBorders>
            <w:shd w:val="clear" w:color="auto" w:fill="auto"/>
            <w:noWrap/>
            <w:hideMark/>
          </w:tcPr>
          <w:p w14:paraId="049293E3" w14:textId="6C40232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0.47 </w:t>
            </w:r>
          </w:p>
        </w:tc>
      </w:tr>
      <w:tr w:rsidR="007D3711" w:rsidRPr="00E4527E" w14:paraId="2E37E4A0" w14:textId="77777777" w:rsidTr="00BB391D">
        <w:trPr>
          <w:trHeight w:hRule="exact" w:val="312"/>
        </w:trPr>
        <w:tc>
          <w:tcPr>
            <w:tcW w:w="701" w:type="dxa"/>
            <w:tcBorders>
              <w:top w:val="nil"/>
              <w:left w:val="nil"/>
              <w:bottom w:val="nil"/>
              <w:right w:val="nil"/>
            </w:tcBorders>
            <w:shd w:val="clear" w:color="auto" w:fill="auto"/>
            <w:noWrap/>
            <w:hideMark/>
          </w:tcPr>
          <w:p w14:paraId="64C1D74A" w14:textId="1E534639"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7B6D26D8" w14:textId="1E68493B"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10</w:t>
            </w:r>
          </w:p>
        </w:tc>
        <w:tc>
          <w:tcPr>
            <w:tcW w:w="582" w:type="dxa"/>
            <w:tcBorders>
              <w:top w:val="nil"/>
              <w:left w:val="nil"/>
              <w:bottom w:val="nil"/>
              <w:right w:val="nil"/>
            </w:tcBorders>
            <w:shd w:val="clear" w:color="auto" w:fill="auto"/>
            <w:noWrap/>
            <w:hideMark/>
          </w:tcPr>
          <w:p w14:paraId="25781B11" w14:textId="79DAA897"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I18B</w:t>
            </w:r>
          </w:p>
        </w:tc>
        <w:tc>
          <w:tcPr>
            <w:tcW w:w="3977" w:type="dxa"/>
            <w:tcBorders>
              <w:top w:val="nil"/>
              <w:left w:val="nil"/>
              <w:bottom w:val="nil"/>
              <w:right w:val="nil"/>
            </w:tcBorders>
            <w:shd w:val="clear" w:color="auto" w:fill="auto"/>
            <w:noWrap/>
            <w:hideMark/>
          </w:tcPr>
          <w:p w14:paraId="0BB3128D" w14:textId="302CDDC5"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Other Knee Procedures, Minor Complexity</w:t>
            </w:r>
          </w:p>
        </w:tc>
        <w:tc>
          <w:tcPr>
            <w:tcW w:w="791" w:type="dxa"/>
            <w:tcBorders>
              <w:top w:val="nil"/>
              <w:left w:val="nil"/>
              <w:bottom w:val="nil"/>
              <w:right w:val="nil"/>
            </w:tcBorders>
            <w:shd w:val="clear" w:color="auto" w:fill="auto"/>
            <w:noWrap/>
            <w:hideMark/>
          </w:tcPr>
          <w:p w14:paraId="6FDB679D" w14:textId="1939CCB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0.54</w:t>
            </w:r>
          </w:p>
        </w:tc>
        <w:tc>
          <w:tcPr>
            <w:tcW w:w="839" w:type="dxa"/>
            <w:tcBorders>
              <w:top w:val="nil"/>
              <w:left w:val="nil"/>
              <w:bottom w:val="nil"/>
              <w:right w:val="nil"/>
            </w:tcBorders>
            <w:shd w:val="clear" w:color="auto" w:fill="auto"/>
            <w:noWrap/>
            <w:hideMark/>
          </w:tcPr>
          <w:p w14:paraId="4F22DB4F" w14:textId="421059E4"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45,662</w:t>
            </w:r>
          </w:p>
        </w:tc>
        <w:tc>
          <w:tcPr>
            <w:tcW w:w="1021" w:type="dxa"/>
            <w:tcBorders>
              <w:top w:val="nil"/>
              <w:left w:val="nil"/>
              <w:bottom w:val="nil"/>
              <w:right w:val="nil"/>
            </w:tcBorders>
            <w:shd w:val="clear" w:color="auto" w:fill="auto"/>
            <w:noWrap/>
            <w:hideMark/>
          </w:tcPr>
          <w:p w14:paraId="0744477C" w14:textId="4BABBA5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24,657</w:t>
            </w:r>
          </w:p>
        </w:tc>
        <w:tc>
          <w:tcPr>
            <w:tcW w:w="882" w:type="dxa"/>
            <w:tcBorders>
              <w:top w:val="nil"/>
              <w:left w:val="nil"/>
              <w:bottom w:val="nil"/>
              <w:right w:val="nil"/>
            </w:tcBorders>
            <w:shd w:val="clear" w:color="auto" w:fill="auto"/>
            <w:noWrap/>
            <w:hideMark/>
          </w:tcPr>
          <w:p w14:paraId="61771518" w14:textId="27D3455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47,354</w:t>
            </w:r>
          </w:p>
        </w:tc>
        <w:tc>
          <w:tcPr>
            <w:tcW w:w="873" w:type="dxa"/>
            <w:tcBorders>
              <w:top w:val="nil"/>
              <w:left w:val="nil"/>
              <w:bottom w:val="nil"/>
              <w:right w:val="nil"/>
            </w:tcBorders>
            <w:shd w:val="clear" w:color="auto" w:fill="auto"/>
            <w:noWrap/>
            <w:hideMark/>
          </w:tcPr>
          <w:p w14:paraId="30712AA3" w14:textId="6B22157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007D7ECB" w14:textId="51E02DF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0.002</w:t>
            </w:r>
          </w:p>
        </w:tc>
        <w:tc>
          <w:tcPr>
            <w:tcW w:w="575" w:type="dxa"/>
            <w:tcBorders>
              <w:top w:val="nil"/>
              <w:left w:val="nil"/>
              <w:bottom w:val="nil"/>
              <w:right w:val="nil"/>
            </w:tcBorders>
            <w:shd w:val="clear" w:color="auto" w:fill="auto"/>
            <w:noWrap/>
            <w:hideMark/>
          </w:tcPr>
          <w:p w14:paraId="6975E179" w14:textId="658EC37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1.4%</w:t>
            </w:r>
          </w:p>
        </w:tc>
        <w:tc>
          <w:tcPr>
            <w:tcW w:w="575" w:type="dxa"/>
            <w:tcBorders>
              <w:top w:val="nil"/>
              <w:left w:val="nil"/>
              <w:bottom w:val="nil"/>
              <w:right w:val="nil"/>
            </w:tcBorders>
            <w:shd w:val="clear" w:color="auto" w:fill="auto"/>
            <w:noWrap/>
            <w:hideMark/>
          </w:tcPr>
          <w:p w14:paraId="6A57D3D8" w14:textId="371A2D6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0.8%</w:t>
            </w:r>
          </w:p>
        </w:tc>
        <w:tc>
          <w:tcPr>
            <w:tcW w:w="994" w:type="dxa"/>
            <w:tcBorders>
              <w:top w:val="nil"/>
              <w:left w:val="nil"/>
              <w:bottom w:val="nil"/>
              <w:right w:val="nil"/>
            </w:tcBorders>
            <w:shd w:val="clear" w:color="auto" w:fill="auto"/>
            <w:noWrap/>
            <w:hideMark/>
          </w:tcPr>
          <w:p w14:paraId="4666F88F" w14:textId="7EBB20A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50,703 </w:t>
            </w:r>
          </w:p>
        </w:tc>
        <w:tc>
          <w:tcPr>
            <w:tcW w:w="660" w:type="dxa"/>
            <w:tcBorders>
              <w:top w:val="nil"/>
              <w:left w:val="nil"/>
              <w:bottom w:val="nil"/>
              <w:right w:val="nil"/>
            </w:tcBorders>
            <w:shd w:val="clear" w:color="auto" w:fill="auto"/>
            <w:noWrap/>
            <w:hideMark/>
          </w:tcPr>
          <w:p w14:paraId="775A5FC9" w14:textId="1496B83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10 </w:t>
            </w:r>
          </w:p>
        </w:tc>
        <w:tc>
          <w:tcPr>
            <w:tcW w:w="1182" w:type="dxa"/>
            <w:tcBorders>
              <w:top w:val="nil"/>
              <w:left w:val="nil"/>
              <w:bottom w:val="nil"/>
              <w:right w:val="nil"/>
            </w:tcBorders>
            <w:shd w:val="clear" w:color="auto" w:fill="auto"/>
            <w:noWrap/>
            <w:hideMark/>
          </w:tcPr>
          <w:p w14:paraId="61199A0E" w14:textId="70D7EE0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0.48 </w:t>
            </w:r>
          </w:p>
        </w:tc>
      </w:tr>
      <w:tr w:rsidR="007D3711" w:rsidRPr="00E4527E" w14:paraId="1622CC46" w14:textId="77777777" w:rsidTr="00BB391D">
        <w:trPr>
          <w:trHeight w:hRule="exact" w:val="312"/>
        </w:trPr>
        <w:tc>
          <w:tcPr>
            <w:tcW w:w="701" w:type="dxa"/>
            <w:tcBorders>
              <w:top w:val="nil"/>
              <w:left w:val="nil"/>
              <w:bottom w:val="nil"/>
              <w:right w:val="nil"/>
            </w:tcBorders>
            <w:shd w:val="clear" w:color="auto" w:fill="auto"/>
            <w:noWrap/>
            <w:hideMark/>
          </w:tcPr>
          <w:p w14:paraId="314AAA4A" w14:textId="32A69E2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18739C65" w14:textId="483310FA"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11</w:t>
            </w:r>
          </w:p>
        </w:tc>
        <w:tc>
          <w:tcPr>
            <w:tcW w:w="582" w:type="dxa"/>
            <w:tcBorders>
              <w:top w:val="nil"/>
              <w:left w:val="nil"/>
              <w:bottom w:val="nil"/>
              <w:right w:val="nil"/>
            </w:tcBorders>
            <w:shd w:val="clear" w:color="auto" w:fill="auto"/>
            <w:noWrap/>
            <w:hideMark/>
          </w:tcPr>
          <w:p w14:paraId="26439B6B" w14:textId="4582B898"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E63B</w:t>
            </w:r>
          </w:p>
        </w:tc>
        <w:tc>
          <w:tcPr>
            <w:tcW w:w="3977" w:type="dxa"/>
            <w:tcBorders>
              <w:top w:val="nil"/>
              <w:left w:val="nil"/>
              <w:bottom w:val="nil"/>
              <w:right w:val="nil"/>
            </w:tcBorders>
            <w:shd w:val="clear" w:color="auto" w:fill="auto"/>
            <w:noWrap/>
            <w:hideMark/>
          </w:tcPr>
          <w:p w14:paraId="0AAE31B7" w14:textId="1F949849"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Sleep Apnoea, Minor Complexity</w:t>
            </w:r>
          </w:p>
        </w:tc>
        <w:tc>
          <w:tcPr>
            <w:tcW w:w="791" w:type="dxa"/>
            <w:tcBorders>
              <w:top w:val="nil"/>
              <w:left w:val="nil"/>
              <w:bottom w:val="nil"/>
              <w:right w:val="nil"/>
            </w:tcBorders>
            <w:shd w:val="clear" w:color="auto" w:fill="auto"/>
            <w:noWrap/>
            <w:hideMark/>
          </w:tcPr>
          <w:p w14:paraId="57B5E4CA" w14:textId="5FB5D69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0.20</w:t>
            </w:r>
          </w:p>
        </w:tc>
        <w:tc>
          <w:tcPr>
            <w:tcW w:w="839" w:type="dxa"/>
            <w:tcBorders>
              <w:top w:val="nil"/>
              <w:left w:val="nil"/>
              <w:bottom w:val="nil"/>
              <w:right w:val="nil"/>
            </w:tcBorders>
            <w:shd w:val="clear" w:color="auto" w:fill="auto"/>
            <w:noWrap/>
            <w:hideMark/>
          </w:tcPr>
          <w:p w14:paraId="7816F2C5" w14:textId="48D302E1"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45,117</w:t>
            </w:r>
          </w:p>
        </w:tc>
        <w:tc>
          <w:tcPr>
            <w:tcW w:w="1021" w:type="dxa"/>
            <w:tcBorders>
              <w:top w:val="nil"/>
              <w:left w:val="nil"/>
              <w:bottom w:val="nil"/>
              <w:right w:val="nil"/>
            </w:tcBorders>
            <w:shd w:val="clear" w:color="auto" w:fill="auto"/>
            <w:noWrap/>
            <w:hideMark/>
          </w:tcPr>
          <w:p w14:paraId="236C6428" w14:textId="5B13036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9,023</w:t>
            </w:r>
          </w:p>
        </w:tc>
        <w:tc>
          <w:tcPr>
            <w:tcW w:w="882" w:type="dxa"/>
            <w:tcBorders>
              <w:top w:val="nil"/>
              <w:left w:val="nil"/>
              <w:bottom w:val="nil"/>
              <w:right w:val="nil"/>
            </w:tcBorders>
            <w:shd w:val="clear" w:color="auto" w:fill="auto"/>
            <w:noWrap/>
            <w:hideMark/>
          </w:tcPr>
          <w:p w14:paraId="104B1E49" w14:textId="782DCFD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45,259</w:t>
            </w:r>
          </w:p>
        </w:tc>
        <w:tc>
          <w:tcPr>
            <w:tcW w:w="873" w:type="dxa"/>
            <w:tcBorders>
              <w:top w:val="nil"/>
              <w:left w:val="nil"/>
              <w:bottom w:val="nil"/>
              <w:right w:val="nil"/>
            </w:tcBorders>
            <w:shd w:val="clear" w:color="auto" w:fill="auto"/>
            <w:noWrap/>
            <w:hideMark/>
          </w:tcPr>
          <w:p w14:paraId="2CD5A280" w14:textId="74B13C7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1AC7C306" w14:textId="41DF39A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0.003</w:t>
            </w:r>
          </w:p>
        </w:tc>
        <w:tc>
          <w:tcPr>
            <w:tcW w:w="575" w:type="dxa"/>
            <w:tcBorders>
              <w:top w:val="nil"/>
              <w:left w:val="nil"/>
              <w:bottom w:val="nil"/>
              <w:right w:val="nil"/>
            </w:tcBorders>
            <w:shd w:val="clear" w:color="auto" w:fill="auto"/>
            <w:noWrap/>
            <w:hideMark/>
          </w:tcPr>
          <w:p w14:paraId="7C916B55" w14:textId="7B17DF1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1.4%</w:t>
            </w:r>
          </w:p>
        </w:tc>
        <w:tc>
          <w:tcPr>
            <w:tcW w:w="575" w:type="dxa"/>
            <w:tcBorders>
              <w:top w:val="nil"/>
              <w:left w:val="nil"/>
              <w:bottom w:val="nil"/>
              <w:right w:val="nil"/>
            </w:tcBorders>
            <w:shd w:val="clear" w:color="auto" w:fill="auto"/>
            <w:noWrap/>
            <w:hideMark/>
          </w:tcPr>
          <w:p w14:paraId="71CF97E2" w14:textId="785FCDC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0.3%</w:t>
            </w:r>
          </w:p>
        </w:tc>
        <w:tc>
          <w:tcPr>
            <w:tcW w:w="994" w:type="dxa"/>
            <w:tcBorders>
              <w:top w:val="nil"/>
              <w:left w:val="nil"/>
              <w:bottom w:val="nil"/>
              <w:right w:val="nil"/>
            </w:tcBorders>
            <w:shd w:val="clear" w:color="auto" w:fill="auto"/>
            <w:noWrap/>
            <w:hideMark/>
          </w:tcPr>
          <w:p w14:paraId="4402AA9E" w14:textId="0FEAC00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42,886 </w:t>
            </w:r>
          </w:p>
        </w:tc>
        <w:tc>
          <w:tcPr>
            <w:tcW w:w="660" w:type="dxa"/>
            <w:tcBorders>
              <w:top w:val="nil"/>
              <w:left w:val="nil"/>
              <w:bottom w:val="nil"/>
              <w:right w:val="nil"/>
            </w:tcBorders>
            <w:shd w:val="clear" w:color="auto" w:fill="auto"/>
            <w:noWrap/>
            <w:hideMark/>
          </w:tcPr>
          <w:p w14:paraId="3558506E" w14:textId="1F1AAE7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11 </w:t>
            </w:r>
          </w:p>
        </w:tc>
        <w:tc>
          <w:tcPr>
            <w:tcW w:w="1182" w:type="dxa"/>
            <w:tcBorders>
              <w:top w:val="nil"/>
              <w:left w:val="nil"/>
              <w:bottom w:val="nil"/>
              <w:right w:val="nil"/>
            </w:tcBorders>
            <w:shd w:val="clear" w:color="auto" w:fill="auto"/>
            <w:noWrap/>
            <w:hideMark/>
          </w:tcPr>
          <w:p w14:paraId="18126E6B" w14:textId="5B9329D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0.18 </w:t>
            </w:r>
          </w:p>
        </w:tc>
      </w:tr>
      <w:tr w:rsidR="007D3711" w:rsidRPr="00E4527E" w14:paraId="70E936BC" w14:textId="77777777" w:rsidTr="00BB391D">
        <w:trPr>
          <w:trHeight w:hRule="exact" w:val="312"/>
        </w:trPr>
        <w:tc>
          <w:tcPr>
            <w:tcW w:w="701" w:type="dxa"/>
            <w:tcBorders>
              <w:top w:val="nil"/>
              <w:left w:val="nil"/>
              <w:bottom w:val="nil"/>
              <w:right w:val="nil"/>
            </w:tcBorders>
            <w:shd w:val="clear" w:color="auto" w:fill="auto"/>
            <w:noWrap/>
            <w:hideMark/>
          </w:tcPr>
          <w:p w14:paraId="50036542" w14:textId="4C8AA33C"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2D5067EC" w14:textId="401B35CB"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12</w:t>
            </w:r>
          </w:p>
        </w:tc>
        <w:tc>
          <w:tcPr>
            <w:tcW w:w="582" w:type="dxa"/>
            <w:tcBorders>
              <w:top w:val="nil"/>
              <w:left w:val="nil"/>
              <w:bottom w:val="nil"/>
              <w:right w:val="nil"/>
            </w:tcBorders>
            <w:shd w:val="clear" w:color="auto" w:fill="auto"/>
            <w:noWrap/>
            <w:hideMark/>
          </w:tcPr>
          <w:p w14:paraId="00AFA580" w14:textId="5B1B8B3C"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U60Z</w:t>
            </w:r>
          </w:p>
        </w:tc>
        <w:tc>
          <w:tcPr>
            <w:tcW w:w="3977" w:type="dxa"/>
            <w:tcBorders>
              <w:top w:val="nil"/>
              <w:left w:val="nil"/>
              <w:bottom w:val="nil"/>
              <w:right w:val="nil"/>
            </w:tcBorders>
            <w:shd w:val="clear" w:color="auto" w:fill="auto"/>
            <w:noWrap/>
            <w:hideMark/>
          </w:tcPr>
          <w:p w14:paraId="6D6CCE07" w14:textId="443A7182"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Mental Health Treatment W/O ECT, Sameday</w:t>
            </w:r>
          </w:p>
        </w:tc>
        <w:tc>
          <w:tcPr>
            <w:tcW w:w="791" w:type="dxa"/>
            <w:tcBorders>
              <w:top w:val="nil"/>
              <w:left w:val="nil"/>
              <w:bottom w:val="nil"/>
              <w:right w:val="nil"/>
            </w:tcBorders>
            <w:shd w:val="clear" w:color="auto" w:fill="auto"/>
            <w:noWrap/>
            <w:hideMark/>
          </w:tcPr>
          <w:p w14:paraId="0228DB08" w14:textId="460FD6A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0.07</w:t>
            </w:r>
          </w:p>
        </w:tc>
        <w:tc>
          <w:tcPr>
            <w:tcW w:w="839" w:type="dxa"/>
            <w:tcBorders>
              <w:top w:val="nil"/>
              <w:left w:val="nil"/>
              <w:bottom w:val="nil"/>
              <w:right w:val="nil"/>
            </w:tcBorders>
            <w:shd w:val="clear" w:color="auto" w:fill="auto"/>
            <w:noWrap/>
            <w:hideMark/>
          </w:tcPr>
          <w:p w14:paraId="746783EA" w14:textId="4F81DDAC"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44,630</w:t>
            </w:r>
          </w:p>
        </w:tc>
        <w:tc>
          <w:tcPr>
            <w:tcW w:w="1021" w:type="dxa"/>
            <w:tcBorders>
              <w:top w:val="nil"/>
              <w:left w:val="nil"/>
              <w:bottom w:val="nil"/>
              <w:right w:val="nil"/>
            </w:tcBorders>
            <w:shd w:val="clear" w:color="auto" w:fill="auto"/>
            <w:noWrap/>
            <w:hideMark/>
          </w:tcPr>
          <w:p w14:paraId="423CA930" w14:textId="66C4070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3,124</w:t>
            </w:r>
          </w:p>
        </w:tc>
        <w:tc>
          <w:tcPr>
            <w:tcW w:w="882" w:type="dxa"/>
            <w:tcBorders>
              <w:top w:val="nil"/>
              <w:left w:val="nil"/>
              <w:bottom w:val="nil"/>
              <w:right w:val="nil"/>
            </w:tcBorders>
            <w:shd w:val="clear" w:color="auto" w:fill="auto"/>
            <w:noWrap/>
            <w:hideMark/>
          </w:tcPr>
          <w:p w14:paraId="2C3366B0" w14:textId="07DDB41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44,630</w:t>
            </w:r>
          </w:p>
        </w:tc>
        <w:tc>
          <w:tcPr>
            <w:tcW w:w="873" w:type="dxa"/>
            <w:tcBorders>
              <w:top w:val="nil"/>
              <w:left w:val="nil"/>
              <w:bottom w:val="nil"/>
              <w:right w:val="nil"/>
            </w:tcBorders>
            <w:shd w:val="clear" w:color="auto" w:fill="auto"/>
            <w:noWrap/>
            <w:hideMark/>
          </w:tcPr>
          <w:p w14:paraId="4AF73605" w14:textId="13C835D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08E02D9E" w14:textId="7D49194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0.000</w:t>
            </w:r>
          </w:p>
        </w:tc>
        <w:tc>
          <w:tcPr>
            <w:tcW w:w="575" w:type="dxa"/>
            <w:tcBorders>
              <w:top w:val="nil"/>
              <w:left w:val="nil"/>
              <w:bottom w:val="nil"/>
              <w:right w:val="nil"/>
            </w:tcBorders>
            <w:shd w:val="clear" w:color="auto" w:fill="auto"/>
            <w:noWrap/>
            <w:hideMark/>
          </w:tcPr>
          <w:p w14:paraId="1B42CB09" w14:textId="0A3E1E2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1.4%</w:t>
            </w:r>
          </w:p>
        </w:tc>
        <w:tc>
          <w:tcPr>
            <w:tcW w:w="575" w:type="dxa"/>
            <w:tcBorders>
              <w:top w:val="nil"/>
              <w:left w:val="nil"/>
              <w:bottom w:val="nil"/>
              <w:right w:val="nil"/>
            </w:tcBorders>
            <w:shd w:val="clear" w:color="auto" w:fill="auto"/>
            <w:noWrap/>
            <w:hideMark/>
          </w:tcPr>
          <w:p w14:paraId="6C73DA6E" w14:textId="073105B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0.1%</w:t>
            </w:r>
          </w:p>
        </w:tc>
        <w:tc>
          <w:tcPr>
            <w:tcW w:w="994" w:type="dxa"/>
            <w:tcBorders>
              <w:top w:val="nil"/>
              <w:left w:val="nil"/>
              <w:bottom w:val="nil"/>
              <w:right w:val="nil"/>
            </w:tcBorders>
            <w:shd w:val="clear" w:color="auto" w:fill="auto"/>
            <w:noWrap/>
            <w:hideMark/>
          </w:tcPr>
          <w:p w14:paraId="338F96B6" w14:textId="6D0E422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33,266 </w:t>
            </w:r>
          </w:p>
        </w:tc>
        <w:tc>
          <w:tcPr>
            <w:tcW w:w="660" w:type="dxa"/>
            <w:tcBorders>
              <w:top w:val="nil"/>
              <w:left w:val="nil"/>
              <w:bottom w:val="nil"/>
              <w:right w:val="nil"/>
            </w:tcBorders>
            <w:shd w:val="clear" w:color="auto" w:fill="auto"/>
            <w:noWrap/>
            <w:hideMark/>
          </w:tcPr>
          <w:p w14:paraId="26959B8F" w14:textId="2F743C8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18 </w:t>
            </w:r>
          </w:p>
        </w:tc>
        <w:tc>
          <w:tcPr>
            <w:tcW w:w="1182" w:type="dxa"/>
            <w:tcBorders>
              <w:top w:val="nil"/>
              <w:left w:val="nil"/>
              <w:bottom w:val="nil"/>
              <w:right w:val="nil"/>
            </w:tcBorders>
            <w:shd w:val="clear" w:color="auto" w:fill="auto"/>
            <w:noWrap/>
            <w:hideMark/>
          </w:tcPr>
          <w:p w14:paraId="547D95D0" w14:textId="57442D7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0.11 </w:t>
            </w:r>
          </w:p>
        </w:tc>
      </w:tr>
      <w:tr w:rsidR="007D3711" w:rsidRPr="00E4527E" w14:paraId="7B33B36E" w14:textId="77777777" w:rsidTr="00BB391D">
        <w:trPr>
          <w:trHeight w:hRule="exact" w:val="312"/>
        </w:trPr>
        <w:tc>
          <w:tcPr>
            <w:tcW w:w="701" w:type="dxa"/>
            <w:tcBorders>
              <w:top w:val="nil"/>
              <w:left w:val="nil"/>
              <w:bottom w:val="nil"/>
              <w:right w:val="nil"/>
            </w:tcBorders>
            <w:shd w:val="clear" w:color="auto" w:fill="auto"/>
            <w:noWrap/>
            <w:hideMark/>
          </w:tcPr>
          <w:p w14:paraId="3DE5B2E6" w14:textId="01DDFDAE"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300CEAE9" w14:textId="5A39A7A4"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13</w:t>
            </w:r>
          </w:p>
        </w:tc>
        <w:tc>
          <w:tcPr>
            <w:tcW w:w="582" w:type="dxa"/>
            <w:tcBorders>
              <w:top w:val="nil"/>
              <w:left w:val="nil"/>
              <w:bottom w:val="nil"/>
              <w:right w:val="nil"/>
            </w:tcBorders>
            <w:shd w:val="clear" w:color="auto" w:fill="auto"/>
            <w:noWrap/>
            <w:hideMark/>
          </w:tcPr>
          <w:p w14:paraId="7A9CBFD0" w14:textId="0977CFC2"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L41Z</w:t>
            </w:r>
          </w:p>
        </w:tc>
        <w:tc>
          <w:tcPr>
            <w:tcW w:w="3977" w:type="dxa"/>
            <w:tcBorders>
              <w:top w:val="nil"/>
              <w:left w:val="nil"/>
              <w:bottom w:val="nil"/>
              <w:right w:val="nil"/>
            </w:tcBorders>
            <w:shd w:val="clear" w:color="auto" w:fill="auto"/>
            <w:noWrap/>
            <w:hideMark/>
          </w:tcPr>
          <w:p w14:paraId="6A77803A" w14:textId="010A741C"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Cystourethroscopy for Urinary Disorder, Sameday</w:t>
            </w:r>
          </w:p>
        </w:tc>
        <w:tc>
          <w:tcPr>
            <w:tcW w:w="791" w:type="dxa"/>
            <w:tcBorders>
              <w:top w:val="nil"/>
              <w:left w:val="nil"/>
              <w:bottom w:val="nil"/>
              <w:right w:val="nil"/>
            </w:tcBorders>
            <w:shd w:val="clear" w:color="auto" w:fill="auto"/>
            <w:noWrap/>
            <w:hideMark/>
          </w:tcPr>
          <w:p w14:paraId="057F200B" w14:textId="0628C21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0.23</w:t>
            </w:r>
          </w:p>
        </w:tc>
        <w:tc>
          <w:tcPr>
            <w:tcW w:w="839" w:type="dxa"/>
            <w:tcBorders>
              <w:top w:val="nil"/>
              <w:left w:val="nil"/>
              <w:bottom w:val="nil"/>
              <w:right w:val="nil"/>
            </w:tcBorders>
            <w:shd w:val="clear" w:color="auto" w:fill="auto"/>
            <w:noWrap/>
            <w:hideMark/>
          </w:tcPr>
          <w:p w14:paraId="78FCF9D8" w14:textId="1508668E"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41,369</w:t>
            </w:r>
          </w:p>
        </w:tc>
        <w:tc>
          <w:tcPr>
            <w:tcW w:w="1021" w:type="dxa"/>
            <w:tcBorders>
              <w:top w:val="nil"/>
              <w:left w:val="nil"/>
              <w:bottom w:val="nil"/>
              <w:right w:val="nil"/>
            </w:tcBorders>
            <w:shd w:val="clear" w:color="auto" w:fill="auto"/>
            <w:noWrap/>
            <w:hideMark/>
          </w:tcPr>
          <w:p w14:paraId="1C09C7FC" w14:textId="55A5F8E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9,515</w:t>
            </w:r>
          </w:p>
        </w:tc>
        <w:tc>
          <w:tcPr>
            <w:tcW w:w="882" w:type="dxa"/>
            <w:tcBorders>
              <w:top w:val="nil"/>
              <w:left w:val="nil"/>
              <w:bottom w:val="nil"/>
              <w:right w:val="nil"/>
            </w:tcBorders>
            <w:shd w:val="clear" w:color="auto" w:fill="auto"/>
            <w:noWrap/>
            <w:hideMark/>
          </w:tcPr>
          <w:p w14:paraId="3E49D368" w14:textId="700DF08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41,369</w:t>
            </w:r>
          </w:p>
        </w:tc>
        <w:tc>
          <w:tcPr>
            <w:tcW w:w="873" w:type="dxa"/>
            <w:tcBorders>
              <w:top w:val="nil"/>
              <w:left w:val="nil"/>
              <w:bottom w:val="nil"/>
              <w:right w:val="nil"/>
            </w:tcBorders>
            <w:shd w:val="clear" w:color="auto" w:fill="auto"/>
            <w:noWrap/>
            <w:hideMark/>
          </w:tcPr>
          <w:p w14:paraId="314013D9" w14:textId="4CE9485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02464839" w14:textId="470F4A5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0.001</w:t>
            </w:r>
          </w:p>
        </w:tc>
        <w:tc>
          <w:tcPr>
            <w:tcW w:w="575" w:type="dxa"/>
            <w:tcBorders>
              <w:top w:val="nil"/>
              <w:left w:val="nil"/>
              <w:bottom w:val="nil"/>
              <w:right w:val="nil"/>
            </w:tcBorders>
            <w:shd w:val="clear" w:color="auto" w:fill="auto"/>
            <w:noWrap/>
            <w:hideMark/>
          </w:tcPr>
          <w:p w14:paraId="5D4D64C2" w14:textId="40886C8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1.3%</w:t>
            </w:r>
          </w:p>
        </w:tc>
        <w:tc>
          <w:tcPr>
            <w:tcW w:w="575" w:type="dxa"/>
            <w:tcBorders>
              <w:top w:val="nil"/>
              <w:left w:val="nil"/>
              <w:bottom w:val="nil"/>
              <w:right w:val="nil"/>
            </w:tcBorders>
            <w:shd w:val="clear" w:color="auto" w:fill="auto"/>
            <w:noWrap/>
            <w:hideMark/>
          </w:tcPr>
          <w:p w14:paraId="7D1F4D34" w14:textId="48A9F98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0.3%</w:t>
            </w:r>
          </w:p>
        </w:tc>
        <w:tc>
          <w:tcPr>
            <w:tcW w:w="994" w:type="dxa"/>
            <w:tcBorders>
              <w:top w:val="nil"/>
              <w:left w:val="nil"/>
              <w:bottom w:val="nil"/>
              <w:right w:val="nil"/>
            </w:tcBorders>
            <w:shd w:val="clear" w:color="auto" w:fill="auto"/>
            <w:noWrap/>
            <w:hideMark/>
          </w:tcPr>
          <w:p w14:paraId="34E1B5DC" w14:textId="45CCDEE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40,511 </w:t>
            </w:r>
          </w:p>
        </w:tc>
        <w:tc>
          <w:tcPr>
            <w:tcW w:w="660" w:type="dxa"/>
            <w:tcBorders>
              <w:top w:val="nil"/>
              <w:left w:val="nil"/>
              <w:bottom w:val="nil"/>
              <w:right w:val="nil"/>
            </w:tcBorders>
            <w:shd w:val="clear" w:color="auto" w:fill="auto"/>
            <w:noWrap/>
            <w:hideMark/>
          </w:tcPr>
          <w:p w14:paraId="520A7709" w14:textId="580C0E7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12 </w:t>
            </w:r>
          </w:p>
        </w:tc>
        <w:tc>
          <w:tcPr>
            <w:tcW w:w="1182" w:type="dxa"/>
            <w:tcBorders>
              <w:top w:val="nil"/>
              <w:left w:val="nil"/>
              <w:bottom w:val="nil"/>
              <w:right w:val="nil"/>
            </w:tcBorders>
            <w:shd w:val="clear" w:color="auto" w:fill="auto"/>
            <w:noWrap/>
            <w:hideMark/>
          </w:tcPr>
          <w:p w14:paraId="7685845C" w14:textId="0936686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0.20 </w:t>
            </w:r>
          </w:p>
        </w:tc>
      </w:tr>
      <w:tr w:rsidR="007D3711" w:rsidRPr="00E4527E" w14:paraId="1E992D71" w14:textId="77777777" w:rsidTr="00BB391D">
        <w:trPr>
          <w:trHeight w:hRule="exact" w:val="312"/>
        </w:trPr>
        <w:tc>
          <w:tcPr>
            <w:tcW w:w="701" w:type="dxa"/>
            <w:tcBorders>
              <w:top w:val="nil"/>
              <w:left w:val="nil"/>
              <w:bottom w:val="nil"/>
              <w:right w:val="nil"/>
            </w:tcBorders>
            <w:shd w:val="clear" w:color="auto" w:fill="auto"/>
            <w:noWrap/>
            <w:hideMark/>
          </w:tcPr>
          <w:p w14:paraId="09778677" w14:textId="7D7D51C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496E2E50" w14:textId="37213BC9"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14</w:t>
            </w:r>
          </w:p>
        </w:tc>
        <w:tc>
          <w:tcPr>
            <w:tcW w:w="582" w:type="dxa"/>
            <w:tcBorders>
              <w:top w:val="nil"/>
              <w:left w:val="nil"/>
              <w:bottom w:val="nil"/>
              <w:right w:val="nil"/>
            </w:tcBorders>
            <w:shd w:val="clear" w:color="auto" w:fill="auto"/>
            <w:noWrap/>
            <w:hideMark/>
          </w:tcPr>
          <w:p w14:paraId="22F39DEA" w14:textId="2D8E7F25"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F42B</w:t>
            </w:r>
          </w:p>
        </w:tc>
        <w:tc>
          <w:tcPr>
            <w:tcW w:w="3977" w:type="dxa"/>
            <w:tcBorders>
              <w:top w:val="nil"/>
              <w:left w:val="nil"/>
              <w:bottom w:val="nil"/>
              <w:right w:val="nil"/>
            </w:tcBorders>
            <w:shd w:val="clear" w:color="auto" w:fill="auto"/>
            <w:noWrap/>
            <w:hideMark/>
          </w:tcPr>
          <w:p w14:paraId="76FDCE3B" w14:textId="618F102F"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Circulatory Dsrds, Not Adm for AMI W Invasive Cardiac Inves Proc, Minor Comp</w:t>
            </w:r>
          </w:p>
        </w:tc>
        <w:tc>
          <w:tcPr>
            <w:tcW w:w="791" w:type="dxa"/>
            <w:tcBorders>
              <w:top w:val="nil"/>
              <w:left w:val="nil"/>
              <w:bottom w:val="nil"/>
              <w:right w:val="nil"/>
            </w:tcBorders>
            <w:shd w:val="clear" w:color="auto" w:fill="auto"/>
            <w:noWrap/>
            <w:hideMark/>
          </w:tcPr>
          <w:p w14:paraId="01DD9E6E" w14:textId="1230AF7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0.92</w:t>
            </w:r>
          </w:p>
        </w:tc>
        <w:tc>
          <w:tcPr>
            <w:tcW w:w="839" w:type="dxa"/>
            <w:tcBorders>
              <w:top w:val="nil"/>
              <w:left w:val="nil"/>
              <w:bottom w:val="nil"/>
              <w:right w:val="nil"/>
            </w:tcBorders>
            <w:shd w:val="clear" w:color="auto" w:fill="auto"/>
            <w:noWrap/>
            <w:hideMark/>
          </w:tcPr>
          <w:p w14:paraId="2E139224" w14:textId="42CB5AC0"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38,621</w:t>
            </w:r>
          </w:p>
        </w:tc>
        <w:tc>
          <w:tcPr>
            <w:tcW w:w="1021" w:type="dxa"/>
            <w:tcBorders>
              <w:top w:val="nil"/>
              <w:left w:val="nil"/>
              <w:bottom w:val="nil"/>
              <w:right w:val="nil"/>
            </w:tcBorders>
            <w:shd w:val="clear" w:color="auto" w:fill="auto"/>
            <w:noWrap/>
            <w:hideMark/>
          </w:tcPr>
          <w:p w14:paraId="3FDA410D" w14:textId="627BC28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35,531</w:t>
            </w:r>
          </w:p>
        </w:tc>
        <w:tc>
          <w:tcPr>
            <w:tcW w:w="882" w:type="dxa"/>
            <w:tcBorders>
              <w:top w:val="nil"/>
              <w:left w:val="nil"/>
              <w:bottom w:val="nil"/>
              <w:right w:val="nil"/>
            </w:tcBorders>
            <w:shd w:val="clear" w:color="auto" w:fill="auto"/>
            <w:noWrap/>
            <w:hideMark/>
          </w:tcPr>
          <w:p w14:paraId="32FE75A0" w14:textId="7C20F8F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54,856</w:t>
            </w:r>
          </w:p>
        </w:tc>
        <w:tc>
          <w:tcPr>
            <w:tcW w:w="873" w:type="dxa"/>
            <w:tcBorders>
              <w:top w:val="nil"/>
              <w:left w:val="nil"/>
              <w:bottom w:val="nil"/>
              <w:right w:val="nil"/>
            </w:tcBorders>
            <w:shd w:val="clear" w:color="auto" w:fill="auto"/>
            <w:noWrap/>
            <w:hideMark/>
          </w:tcPr>
          <w:p w14:paraId="66F35629" w14:textId="3E2FECE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1.4</w:t>
            </w:r>
          </w:p>
        </w:tc>
        <w:tc>
          <w:tcPr>
            <w:tcW w:w="672" w:type="dxa"/>
            <w:tcBorders>
              <w:top w:val="nil"/>
              <w:left w:val="nil"/>
              <w:bottom w:val="nil"/>
              <w:right w:val="nil"/>
            </w:tcBorders>
            <w:shd w:val="clear" w:color="auto" w:fill="auto"/>
            <w:noWrap/>
            <w:hideMark/>
          </w:tcPr>
          <w:p w14:paraId="203D5756" w14:textId="62EB307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0.005</w:t>
            </w:r>
          </w:p>
        </w:tc>
        <w:tc>
          <w:tcPr>
            <w:tcW w:w="575" w:type="dxa"/>
            <w:tcBorders>
              <w:top w:val="nil"/>
              <w:left w:val="nil"/>
              <w:bottom w:val="nil"/>
              <w:right w:val="nil"/>
            </w:tcBorders>
            <w:shd w:val="clear" w:color="auto" w:fill="auto"/>
            <w:noWrap/>
            <w:hideMark/>
          </w:tcPr>
          <w:p w14:paraId="6C4C3C0E" w14:textId="16B9954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575" w:type="dxa"/>
            <w:tcBorders>
              <w:top w:val="nil"/>
              <w:left w:val="nil"/>
              <w:bottom w:val="nil"/>
              <w:right w:val="nil"/>
            </w:tcBorders>
            <w:shd w:val="clear" w:color="auto" w:fill="auto"/>
            <w:noWrap/>
            <w:hideMark/>
          </w:tcPr>
          <w:p w14:paraId="43A8DFAB" w14:textId="66092A4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994" w:type="dxa"/>
            <w:tcBorders>
              <w:top w:val="nil"/>
              <w:left w:val="nil"/>
              <w:bottom w:val="nil"/>
              <w:right w:val="nil"/>
            </w:tcBorders>
            <w:shd w:val="clear" w:color="auto" w:fill="auto"/>
            <w:noWrap/>
            <w:hideMark/>
          </w:tcPr>
          <w:p w14:paraId="40998341" w14:textId="18E4D77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37,095 </w:t>
            </w:r>
          </w:p>
        </w:tc>
        <w:tc>
          <w:tcPr>
            <w:tcW w:w="660" w:type="dxa"/>
            <w:tcBorders>
              <w:top w:val="nil"/>
              <w:left w:val="nil"/>
              <w:bottom w:val="nil"/>
              <w:right w:val="nil"/>
            </w:tcBorders>
            <w:shd w:val="clear" w:color="auto" w:fill="auto"/>
            <w:noWrap/>
            <w:hideMark/>
          </w:tcPr>
          <w:p w14:paraId="5C4D302D" w14:textId="102EB53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13 </w:t>
            </w:r>
          </w:p>
        </w:tc>
        <w:tc>
          <w:tcPr>
            <w:tcW w:w="1182" w:type="dxa"/>
            <w:tcBorders>
              <w:top w:val="nil"/>
              <w:left w:val="nil"/>
              <w:bottom w:val="nil"/>
              <w:right w:val="nil"/>
            </w:tcBorders>
            <w:shd w:val="clear" w:color="auto" w:fill="auto"/>
            <w:noWrap/>
            <w:hideMark/>
          </w:tcPr>
          <w:p w14:paraId="183E06D7" w14:textId="61C024D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0.88 </w:t>
            </w:r>
          </w:p>
        </w:tc>
      </w:tr>
      <w:tr w:rsidR="007D3711" w:rsidRPr="00E4527E" w14:paraId="3025107D" w14:textId="77777777" w:rsidTr="00BB391D">
        <w:trPr>
          <w:trHeight w:hRule="exact" w:val="312"/>
        </w:trPr>
        <w:tc>
          <w:tcPr>
            <w:tcW w:w="701" w:type="dxa"/>
            <w:tcBorders>
              <w:top w:val="nil"/>
              <w:left w:val="nil"/>
              <w:bottom w:val="nil"/>
              <w:right w:val="nil"/>
            </w:tcBorders>
            <w:shd w:val="clear" w:color="auto" w:fill="auto"/>
            <w:noWrap/>
            <w:hideMark/>
          </w:tcPr>
          <w:p w14:paraId="7570F887" w14:textId="7AFD426E"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09FB40E4" w14:textId="1BCFD18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15</w:t>
            </w:r>
          </w:p>
        </w:tc>
        <w:tc>
          <w:tcPr>
            <w:tcW w:w="582" w:type="dxa"/>
            <w:tcBorders>
              <w:top w:val="nil"/>
              <w:left w:val="nil"/>
              <w:bottom w:val="nil"/>
              <w:right w:val="nil"/>
            </w:tcBorders>
            <w:shd w:val="clear" w:color="auto" w:fill="auto"/>
            <w:noWrap/>
            <w:hideMark/>
          </w:tcPr>
          <w:p w14:paraId="06F52966" w14:textId="74184107"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G10B</w:t>
            </w:r>
          </w:p>
        </w:tc>
        <w:tc>
          <w:tcPr>
            <w:tcW w:w="3977" w:type="dxa"/>
            <w:tcBorders>
              <w:top w:val="nil"/>
              <w:left w:val="nil"/>
              <w:bottom w:val="nil"/>
              <w:right w:val="nil"/>
            </w:tcBorders>
            <w:shd w:val="clear" w:color="auto" w:fill="auto"/>
            <w:noWrap/>
            <w:hideMark/>
          </w:tcPr>
          <w:p w14:paraId="0641D4DF" w14:textId="10DD8FB0"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Hernia Procedures, Minor Complexity</w:t>
            </w:r>
          </w:p>
        </w:tc>
        <w:tc>
          <w:tcPr>
            <w:tcW w:w="791" w:type="dxa"/>
            <w:tcBorders>
              <w:top w:val="nil"/>
              <w:left w:val="nil"/>
              <w:bottom w:val="nil"/>
              <w:right w:val="nil"/>
            </w:tcBorders>
            <w:shd w:val="clear" w:color="auto" w:fill="auto"/>
            <w:noWrap/>
            <w:hideMark/>
          </w:tcPr>
          <w:p w14:paraId="269025F0" w14:textId="499CE02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0.98</w:t>
            </w:r>
          </w:p>
        </w:tc>
        <w:tc>
          <w:tcPr>
            <w:tcW w:w="839" w:type="dxa"/>
            <w:tcBorders>
              <w:top w:val="nil"/>
              <w:left w:val="nil"/>
              <w:bottom w:val="nil"/>
              <w:right w:val="nil"/>
            </w:tcBorders>
            <w:shd w:val="clear" w:color="auto" w:fill="auto"/>
            <w:noWrap/>
            <w:hideMark/>
          </w:tcPr>
          <w:p w14:paraId="030C2123" w14:textId="0A4A9100"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38,455</w:t>
            </w:r>
          </w:p>
        </w:tc>
        <w:tc>
          <w:tcPr>
            <w:tcW w:w="1021" w:type="dxa"/>
            <w:tcBorders>
              <w:top w:val="nil"/>
              <w:left w:val="nil"/>
              <w:bottom w:val="nil"/>
              <w:right w:val="nil"/>
            </w:tcBorders>
            <w:shd w:val="clear" w:color="auto" w:fill="auto"/>
            <w:noWrap/>
            <w:hideMark/>
          </w:tcPr>
          <w:p w14:paraId="035FF0FE" w14:textId="24B8798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37,686</w:t>
            </w:r>
          </w:p>
        </w:tc>
        <w:tc>
          <w:tcPr>
            <w:tcW w:w="882" w:type="dxa"/>
            <w:tcBorders>
              <w:top w:val="nil"/>
              <w:left w:val="nil"/>
              <w:bottom w:val="nil"/>
              <w:right w:val="nil"/>
            </w:tcBorders>
            <w:shd w:val="clear" w:color="auto" w:fill="auto"/>
            <w:noWrap/>
            <w:hideMark/>
          </w:tcPr>
          <w:p w14:paraId="12ACF960" w14:textId="323C10E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47,188</w:t>
            </w:r>
          </w:p>
        </w:tc>
        <w:tc>
          <w:tcPr>
            <w:tcW w:w="873" w:type="dxa"/>
            <w:tcBorders>
              <w:top w:val="nil"/>
              <w:left w:val="nil"/>
              <w:bottom w:val="nil"/>
              <w:right w:val="nil"/>
            </w:tcBorders>
            <w:shd w:val="clear" w:color="auto" w:fill="auto"/>
            <w:noWrap/>
            <w:hideMark/>
          </w:tcPr>
          <w:p w14:paraId="10E78BB8" w14:textId="1B33777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672" w:type="dxa"/>
            <w:tcBorders>
              <w:top w:val="nil"/>
              <w:left w:val="nil"/>
              <w:bottom w:val="nil"/>
              <w:right w:val="nil"/>
            </w:tcBorders>
            <w:shd w:val="clear" w:color="auto" w:fill="auto"/>
            <w:noWrap/>
            <w:hideMark/>
          </w:tcPr>
          <w:p w14:paraId="1DE7D0C0" w14:textId="28F9491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0.003</w:t>
            </w:r>
          </w:p>
        </w:tc>
        <w:tc>
          <w:tcPr>
            <w:tcW w:w="575" w:type="dxa"/>
            <w:tcBorders>
              <w:top w:val="nil"/>
              <w:left w:val="nil"/>
              <w:bottom w:val="nil"/>
              <w:right w:val="nil"/>
            </w:tcBorders>
            <w:shd w:val="clear" w:color="auto" w:fill="auto"/>
            <w:noWrap/>
            <w:hideMark/>
          </w:tcPr>
          <w:p w14:paraId="614008BD" w14:textId="2A5A5B9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575" w:type="dxa"/>
            <w:tcBorders>
              <w:top w:val="nil"/>
              <w:left w:val="nil"/>
              <w:bottom w:val="nil"/>
              <w:right w:val="nil"/>
            </w:tcBorders>
            <w:shd w:val="clear" w:color="auto" w:fill="auto"/>
            <w:noWrap/>
            <w:hideMark/>
          </w:tcPr>
          <w:p w14:paraId="709C1895" w14:textId="7F2B8D7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994" w:type="dxa"/>
            <w:tcBorders>
              <w:top w:val="nil"/>
              <w:left w:val="nil"/>
              <w:bottom w:val="nil"/>
              <w:right w:val="nil"/>
            </w:tcBorders>
            <w:shd w:val="clear" w:color="auto" w:fill="auto"/>
            <w:noWrap/>
            <w:hideMark/>
          </w:tcPr>
          <w:p w14:paraId="2F67ED16" w14:textId="59543AD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36,484 </w:t>
            </w:r>
          </w:p>
        </w:tc>
        <w:tc>
          <w:tcPr>
            <w:tcW w:w="660" w:type="dxa"/>
            <w:tcBorders>
              <w:top w:val="nil"/>
              <w:left w:val="nil"/>
              <w:bottom w:val="nil"/>
              <w:right w:val="nil"/>
            </w:tcBorders>
            <w:shd w:val="clear" w:color="auto" w:fill="auto"/>
            <w:noWrap/>
            <w:hideMark/>
          </w:tcPr>
          <w:p w14:paraId="40FF40A1" w14:textId="5E3EB33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14 </w:t>
            </w:r>
          </w:p>
        </w:tc>
        <w:tc>
          <w:tcPr>
            <w:tcW w:w="1182" w:type="dxa"/>
            <w:tcBorders>
              <w:top w:val="nil"/>
              <w:left w:val="nil"/>
              <w:bottom w:val="nil"/>
              <w:right w:val="nil"/>
            </w:tcBorders>
            <w:shd w:val="clear" w:color="auto" w:fill="auto"/>
            <w:noWrap/>
            <w:hideMark/>
          </w:tcPr>
          <w:p w14:paraId="1B5F3FF3" w14:textId="7EEE1AA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0.86 </w:t>
            </w:r>
          </w:p>
        </w:tc>
      </w:tr>
      <w:tr w:rsidR="007D3711" w:rsidRPr="00E4527E" w14:paraId="33AA21C2" w14:textId="77777777" w:rsidTr="00BB391D">
        <w:trPr>
          <w:trHeight w:hRule="exact" w:val="312"/>
        </w:trPr>
        <w:tc>
          <w:tcPr>
            <w:tcW w:w="701" w:type="dxa"/>
            <w:tcBorders>
              <w:top w:val="nil"/>
              <w:left w:val="nil"/>
              <w:bottom w:val="nil"/>
              <w:right w:val="nil"/>
            </w:tcBorders>
            <w:shd w:val="clear" w:color="auto" w:fill="auto"/>
            <w:noWrap/>
            <w:hideMark/>
          </w:tcPr>
          <w:p w14:paraId="18F662A1" w14:textId="4DFC3680"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3F327E73" w14:textId="6EFF52B7"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16</w:t>
            </w:r>
          </w:p>
        </w:tc>
        <w:tc>
          <w:tcPr>
            <w:tcW w:w="582" w:type="dxa"/>
            <w:tcBorders>
              <w:top w:val="nil"/>
              <w:left w:val="nil"/>
              <w:bottom w:val="nil"/>
              <w:right w:val="nil"/>
            </w:tcBorders>
            <w:shd w:val="clear" w:color="auto" w:fill="auto"/>
            <w:noWrap/>
            <w:hideMark/>
          </w:tcPr>
          <w:p w14:paraId="0F29D1F4" w14:textId="4BE5947F"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I16Z</w:t>
            </w:r>
          </w:p>
        </w:tc>
        <w:tc>
          <w:tcPr>
            <w:tcW w:w="3977" w:type="dxa"/>
            <w:tcBorders>
              <w:top w:val="nil"/>
              <w:left w:val="nil"/>
              <w:bottom w:val="nil"/>
              <w:right w:val="nil"/>
            </w:tcBorders>
            <w:shd w:val="clear" w:color="auto" w:fill="auto"/>
            <w:noWrap/>
            <w:hideMark/>
          </w:tcPr>
          <w:p w14:paraId="52683EC1" w14:textId="349DC361"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Other Shoulder Procedures</w:t>
            </w:r>
          </w:p>
        </w:tc>
        <w:tc>
          <w:tcPr>
            <w:tcW w:w="791" w:type="dxa"/>
            <w:tcBorders>
              <w:top w:val="nil"/>
              <w:left w:val="nil"/>
              <w:bottom w:val="nil"/>
              <w:right w:val="nil"/>
            </w:tcBorders>
            <w:shd w:val="clear" w:color="auto" w:fill="auto"/>
            <w:noWrap/>
            <w:hideMark/>
          </w:tcPr>
          <w:p w14:paraId="043C4609" w14:textId="48595C2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1.39</w:t>
            </w:r>
          </w:p>
        </w:tc>
        <w:tc>
          <w:tcPr>
            <w:tcW w:w="839" w:type="dxa"/>
            <w:tcBorders>
              <w:top w:val="nil"/>
              <w:left w:val="nil"/>
              <w:bottom w:val="nil"/>
              <w:right w:val="nil"/>
            </w:tcBorders>
            <w:shd w:val="clear" w:color="auto" w:fill="auto"/>
            <w:noWrap/>
            <w:hideMark/>
          </w:tcPr>
          <w:p w14:paraId="17578B88" w14:textId="27B9E674"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35,616</w:t>
            </w:r>
          </w:p>
        </w:tc>
        <w:tc>
          <w:tcPr>
            <w:tcW w:w="1021" w:type="dxa"/>
            <w:tcBorders>
              <w:top w:val="nil"/>
              <w:left w:val="nil"/>
              <w:bottom w:val="nil"/>
              <w:right w:val="nil"/>
            </w:tcBorders>
            <w:shd w:val="clear" w:color="auto" w:fill="auto"/>
            <w:noWrap/>
            <w:hideMark/>
          </w:tcPr>
          <w:p w14:paraId="1490A618" w14:textId="790472C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49,506</w:t>
            </w:r>
          </w:p>
        </w:tc>
        <w:tc>
          <w:tcPr>
            <w:tcW w:w="882" w:type="dxa"/>
            <w:tcBorders>
              <w:top w:val="nil"/>
              <w:left w:val="nil"/>
              <w:bottom w:val="nil"/>
              <w:right w:val="nil"/>
            </w:tcBorders>
            <w:shd w:val="clear" w:color="auto" w:fill="auto"/>
            <w:noWrap/>
            <w:hideMark/>
          </w:tcPr>
          <w:p w14:paraId="0C40975A" w14:textId="1691653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42,500</w:t>
            </w:r>
          </w:p>
        </w:tc>
        <w:tc>
          <w:tcPr>
            <w:tcW w:w="873" w:type="dxa"/>
            <w:tcBorders>
              <w:top w:val="nil"/>
              <w:left w:val="nil"/>
              <w:bottom w:val="nil"/>
              <w:right w:val="nil"/>
            </w:tcBorders>
            <w:shd w:val="clear" w:color="auto" w:fill="auto"/>
            <w:noWrap/>
            <w:hideMark/>
          </w:tcPr>
          <w:p w14:paraId="24FB06C1" w14:textId="5B1BA38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1.2</w:t>
            </w:r>
          </w:p>
        </w:tc>
        <w:tc>
          <w:tcPr>
            <w:tcW w:w="672" w:type="dxa"/>
            <w:tcBorders>
              <w:top w:val="nil"/>
              <w:left w:val="nil"/>
              <w:bottom w:val="nil"/>
              <w:right w:val="nil"/>
            </w:tcBorders>
            <w:shd w:val="clear" w:color="auto" w:fill="auto"/>
            <w:noWrap/>
            <w:hideMark/>
          </w:tcPr>
          <w:p w14:paraId="4D3ED049" w14:textId="5E06721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0.004</w:t>
            </w:r>
          </w:p>
        </w:tc>
        <w:tc>
          <w:tcPr>
            <w:tcW w:w="575" w:type="dxa"/>
            <w:tcBorders>
              <w:top w:val="nil"/>
              <w:left w:val="nil"/>
              <w:bottom w:val="nil"/>
              <w:right w:val="nil"/>
            </w:tcBorders>
            <w:shd w:val="clear" w:color="auto" w:fill="auto"/>
            <w:noWrap/>
            <w:hideMark/>
          </w:tcPr>
          <w:p w14:paraId="7DC966DE" w14:textId="1F0E96E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575" w:type="dxa"/>
            <w:tcBorders>
              <w:top w:val="nil"/>
              <w:left w:val="nil"/>
              <w:bottom w:val="nil"/>
              <w:right w:val="nil"/>
            </w:tcBorders>
            <w:shd w:val="clear" w:color="auto" w:fill="auto"/>
            <w:noWrap/>
            <w:hideMark/>
          </w:tcPr>
          <w:p w14:paraId="327C577F" w14:textId="328D166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1.5%</w:t>
            </w:r>
          </w:p>
        </w:tc>
        <w:tc>
          <w:tcPr>
            <w:tcW w:w="994" w:type="dxa"/>
            <w:tcBorders>
              <w:top w:val="nil"/>
              <w:left w:val="nil"/>
              <w:bottom w:val="nil"/>
              <w:right w:val="nil"/>
            </w:tcBorders>
            <w:shd w:val="clear" w:color="auto" w:fill="auto"/>
            <w:noWrap/>
            <w:hideMark/>
          </w:tcPr>
          <w:p w14:paraId="67357EEC" w14:textId="62AC031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34,255 </w:t>
            </w:r>
          </w:p>
        </w:tc>
        <w:tc>
          <w:tcPr>
            <w:tcW w:w="660" w:type="dxa"/>
            <w:tcBorders>
              <w:top w:val="nil"/>
              <w:left w:val="nil"/>
              <w:bottom w:val="nil"/>
              <w:right w:val="nil"/>
            </w:tcBorders>
            <w:shd w:val="clear" w:color="auto" w:fill="auto"/>
            <w:noWrap/>
            <w:hideMark/>
          </w:tcPr>
          <w:p w14:paraId="0A531122" w14:textId="6B8AC59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16 </w:t>
            </w:r>
          </w:p>
        </w:tc>
        <w:tc>
          <w:tcPr>
            <w:tcW w:w="1182" w:type="dxa"/>
            <w:tcBorders>
              <w:top w:val="nil"/>
              <w:left w:val="nil"/>
              <w:bottom w:val="nil"/>
              <w:right w:val="nil"/>
            </w:tcBorders>
            <w:shd w:val="clear" w:color="auto" w:fill="auto"/>
            <w:noWrap/>
            <w:hideMark/>
          </w:tcPr>
          <w:p w14:paraId="2FC50052" w14:textId="10E1614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1.26 </w:t>
            </w:r>
          </w:p>
        </w:tc>
      </w:tr>
      <w:tr w:rsidR="007D3711" w:rsidRPr="00E4527E" w14:paraId="4F1BC156" w14:textId="77777777" w:rsidTr="00BB391D">
        <w:trPr>
          <w:trHeight w:hRule="exact" w:val="312"/>
        </w:trPr>
        <w:tc>
          <w:tcPr>
            <w:tcW w:w="701" w:type="dxa"/>
            <w:tcBorders>
              <w:top w:val="nil"/>
              <w:left w:val="nil"/>
              <w:bottom w:val="nil"/>
              <w:right w:val="nil"/>
            </w:tcBorders>
            <w:shd w:val="clear" w:color="auto" w:fill="auto"/>
            <w:noWrap/>
            <w:hideMark/>
          </w:tcPr>
          <w:p w14:paraId="20DDCC65" w14:textId="4C22136E"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77F70C04" w14:textId="6E27946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17</w:t>
            </w:r>
          </w:p>
        </w:tc>
        <w:tc>
          <w:tcPr>
            <w:tcW w:w="582" w:type="dxa"/>
            <w:tcBorders>
              <w:top w:val="nil"/>
              <w:left w:val="nil"/>
              <w:bottom w:val="nil"/>
              <w:right w:val="nil"/>
            </w:tcBorders>
            <w:shd w:val="clear" w:color="auto" w:fill="auto"/>
            <w:noWrap/>
            <w:hideMark/>
          </w:tcPr>
          <w:p w14:paraId="5B94E0AD" w14:textId="370358AD"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I68B</w:t>
            </w:r>
          </w:p>
        </w:tc>
        <w:tc>
          <w:tcPr>
            <w:tcW w:w="3977" w:type="dxa"/>
            <w:tcBorders>
              <w:top w:val="nil"/>
              <w:left w:val="nil"/>
              <w:bottom w:val="nil"/>
              <w:right w:val="nil"/>
            </w:tcBorders>
            <w:shd w:val="clear" w:color="auto" w:fill="auto"/>
            <w:noWrap/>
            <w:hideMark/>
          </w:tcPr>
          <w:p w14:paraId="797C23FC" w14:textId="0B72B507"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Non-surgical Spinal Disorders, Minor Complexity</w:t>
            </w:r>
          </w:p>
        </w:tc>
        <w:tc>
          <w:tcPr>
            <w:tcW w:w="791" w:type="dxa"/>
            <w:tcBorders>
              <w:top w:val="nil"/>
              <w:left w:val="nil"/>
              <w:bottom w:val="nil"/>
              <w:right w:val="nil"/>
            </w:tcBorders>
            <w:shd w:val="clear" w:color="auto" w:fill="auto"/>
            <w:noWrap/>
            <w:hideMark/>
          </w:tcPr>
          <w:p w14:paraId="2A7D8444" w14:textId="3051B918"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0.46</w:t>
            </w:r>
          </w:p>
        </w:tc>
        <w:tc>
          <w:tcPr>
            <w:tcW w:w="839" w:type="dxa"/>
            <w:tcBorders>
              <w:top w:val="nil"/>
              <w:left w:val="nil"/>
              <w:bottom w:val="nil"/>
              <w:right w:val="nil"/>
            </w:tcBorders>
            <w:shd w:val="clear" w:color="auto" w:fill="auto"/>
            <w:noWrap/>
            <w:hideMark/>
          </w:tcPr>
          <w:p w14:paraId="2C47F926" w14:textId="2C9BF813"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35,278</w:t>
            </w:r>
          </w:p>
        </w:tc>
        <w:tc>
          <w:tcPr>
            <w:tcW w:w="1021" w:type="dxa"/>
            <w:tcBorders>
              <w:top w:val="nil"/>
              <w:left w:val="nil"/>
              <w:bottom w:val="nil"/>
              <w:right w:val="nil"/>
            </w:tcBorders>
            <w:shd w:val="clear" w:color="auto" w:fill="auto"/>
            <w:noWrap/>
            <w:hideMark/>
          </w:tcPr>
          <w:p w14:paraId="602DF57A" w14:textId="7402A44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16,228</w:t>
            </w:r>
          </w:p>
        </w:tc>
        <w:tc>
          <w:tcPr>
            <w:tcW w:w="882" w:type="dxa"/>
            <w:tcBorders>
              <w:top w:val="nil"/>
              <w:left w:val="nil"/>
              <w:bottom w:val="nil"/>
              <w:right w:val="nil"/>
            </w:tcBorders>
            <w:shd w:val="clear" w:color="auto" w:fill="auto"/>
            <w:noWrap/>
            <w:hideMark/>
          </w:tcPr>
          <w:p w14:paraId="5E2F3EE2" w14:textId="7DA8EA3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61,297</w:t>
            </w:r>
          </w:p>
        </w:tc>
        <w:tc>
          <w:tcPr>
            <w:tcW w:w="873" w:type="dxa"/>
            <w:tcBorders>
              <w:top w:val="nil"/>
              <w:left w:val="nil"/>
              <w:bottom w:val="nil"/>
              <w:right w:val="nil"/>
            </w:tcBorders>
            <w:shd w:val="clear" w:color="auto" w:fill="auto"/>
            <w:noWrap/>
            <w:hideMark/>
          </w:tcPr>
          <w:p w14:paraId="558C3DB7" w14:textId="6C89372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1.7</w:t>
            </w:r>
          </w:p>
        </w:tc>
        <w:tc>
          <w:tcPr>
            <w:tcW w:w="672" w:type="dxa"/>
            <w:tcBorders>
              <w:top w:val="nil"/>
              <w:left w:val="nil"/>
              <w:bottom w:val="nil"/>
              <w:right w:val="nil"/>
            </w:tcBorders>
            <w:shd w:val="clear" w:color="auto" w:fill="auto"/>
            <w:noWrap/>
            <w:hideMark/>
          </w:tcPr>
          <w:p w14:paraId="0028789D" w14:textId="6592A75B"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0.003</w:t>
            </w:r>
          </w:p>
        </w:tc>
        <w:tc>
          <w:tcPr>
            <w:tcW w:w="575" w:type="dxa"/>
            <w:tcBorders>
              <w:top w:val="nil"/>
              <w:left w:val="nil"/>
              <w:bottom w:val="nil"/>
              <w:right w:val="nil"/>
            </w:tcBorders>
            <w:shd w:val="clear" w:color="auto" w:fill="auto"/>
            <w:noWrap/>
            <w:hideMark/>
          </w:tcPr>
          <w:p w14:paraId="2BA7DE6D" w14:textId="03A5F1B3"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575" w:type="dxa"/>
            <w:tcBorders>
              <w:top w:val="nil"/>
              <w:left w:val="nil"/>
              <w:bottom w:val="nil"/>
              <w:right w:val="nil"/>
            </w:tcBorders>
            <w:shd w:val="clear" w:color="auto" w:fill="auto"/>
            <w:noWrap/>
            <w:hideMark/>
          </w:tcPr>
          <w:p w14:paraId="620CC8B3" w14:textId="075A593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0.5%</w:t>
            </w:r>
          </w:p>
        </w:tc>
        <w:tc>
          <w:tcPr>
            <w:tcW w:w="994" w:type="dxa"/>
            <w:tcBorders>
              <w:top w:val="nil"/>
              <w:left w:val="nil"/>
              <w:bottom w:val="nil"/>
              <w:right w:val="nil"/>
            </w:tcBorders>
            <w:shd w:val="clear" w:color="auto" w:fill="auto"/>
            <w:noWrap/>
            <w:hideMark/>
          </w:tcPr>
          <w:p w14:paraId="1F7C5FBC" w14:textId="0B9894F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30,648 </w:t>
            </w:r>
          </w:p>
        </w:tc>
        <w:tc>
          <w:tcPr>
            <w:tcW w:w="660" w:type="dxa"/>
            <w:tcBorders>
              <w:top w:val="nil"/>
              <w:left w:val="nil"/>
              <w:bottom w:val="nil"/>
              <w:right w:val="nil"/>
            </w:tcBorders>
            <w:shd w:val="clear" w:color="auto" w:fill="auto"/>
            <w:noWrap/>
            <w:hideMark/>
          </w:tcPr>
          <w:p w14:paraId="01716792" w14:textId="7F23C7B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19 </w:t>
            </w:r>
          </w:p>
        </w:tc>
        <w:tc>
          <w:tcPr>
            <w:tcW w:w="1182" w:type="dxa"/>
            <w:tcBorders>
              <w:top w:val="nil"/>
              <w:left w:val="nil"/>
              <w:bottom w:val="nil"/>
              <w:right w:val="nil"/>
            </w:tcBorders>
            <w:shd w:val="clear" w:color="auto" w:fill="auto"/>
            <w:noWrap/>
            <w:hideMark/>
          </w:tcPr>
          <w:p w14:paraId="769F0F52" w14:textId="508482DC"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0.45 </w:t>
            </w:r>
          </w:p>
        </w:tc>
      </w:tr>
      <w:tr w:rsidR="007D3711" w:rsidRPr="00E4527E" w14:paraId="39F9455B" w14:textId="77777777" w:rsidTr="00BB391D">
        <w:trPr>
          <w:trHeight w:hRule="exact" w:val="312"/>
        </w:trPr>
        <w:tc>
          <w:tcPr>
            <w:tcW w:w="701" w:type="dxa"/>
            <w:tcBorders>
              <w:top w:val="nil"/>
              <w:left w:val="nil"/>
              <w:bottom w:val="nil"/>
              <w:right w:val="nil"/>
            </w:tcBorders>
            <w:shd w:val="clear" w:color="auto" w:fill="auto"/>
            <w:noWrap/>
            <w:hideMark/>
          </w:tcPr>
          <w:p w14:paraId="76D4F20E" w14:textId="53C49365"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6256FFEA" w14:textId="32216115"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18</w:t>
            </w:r>
          </w:p>
        </w:tc>
        <w:tc>
          <w:tcPr>
            <w:tcW w:w="582" w:type="dxa"/>
            <w:tcBorders>
              <w:top w:val="nil"/>
              <w:left w:val="nil"/>
              <w:bottom w:val="nil"/>
              <w:right w:val="nil"/>
            </w:tcBorders>
            <w:shd w:val="clear" w:color="auto" w:fill="auto"/>
            <w:noWrap/>
            <w:hideMark/>
          </w:tcPr>
          <w:p w14:paraId="3EA4A586" w14:textId="2F3BBD89"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J11B</w:t>
            </w:r>
          </w:p>
        </w:tc>
        <w:tc>
          <w:tcPr>
            <w:tcW w:w="3977" w:type="dxa"/>
            <w:tcBorders>
              <w:top w:val="nil"/>
              <w:left w:val="nil"/>
              <w:bottom w:val="nil"/>
              <w:right w:val="nil"/>
            </w:tcBorders>
            <w:shd w:val="clear" w:color="auto" w:fill="auto"/>
            <w:noWrap/>
            <w:hideMark/>
          </w:tcPr>
          <w:p w14:paraId="4D6EE6A3" w14:textId="1B6BD341"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Other Skin, Subcutaneous Tissue and Breast Procedures, Minor Complexity</w:t>
            </w:r>
          </w:p>
        </w:tc>
        <w:tc>
          <w:tcPr>
            <w:tcW w:w="791" w:type="dxa"/>
            <w:tcBorders>
              <w:top w:val="nil"/>
              <w:left w:val="nil"/>
              <w:bottom w:val="nil"/>
              <w:right w:val="nil"/>
            </w:tcBorders>
            <w:shd w:val="clear" w:color="auto" w:fill="auto"/>
            <w:noWrap/>
            <w:hideMark/>
          </w:tcPr>
          <w:p w14:paraId="3292D6B4" w14:textId="5A3B702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0.41</w:t>
            </w:r>
          </w:p>
        </w:tc>
        <w:tc>
          <w:tcPr>
            <w:tcW w:w="839" w:type="dxa"/>
            <w:tcBorders>
              <w:top w:val="nil"/>
              <w:left w:val="nil"/>
              <w:bottom w:val="nil"/>
              <w:right w:val="nil"/>
            </w:tcBorders>
            <w:shd w:val="clear" w:color="auto" w:fill="auto"/>
            <w:noWrap/>
            <w:hideMark/>
          </w:tcPr>
          <w:p w14:paraId="464388EA" w14:textId="32E6E0CA"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35,256</w:t>
            </w:r>
          </w:p>
        </w:tc>
        <w:tc>
          <w:tcPr>
            <w:tcW w:w="1021" w:type="dxa"/>
            <w:tcBorders>
              <w:top w:val="nil"/>
              <w:left w:val="nil"/>
              <w:bottom w:val="nil"/>
              <w:right w:val="nil"/>
            </w:tcBorders>
            <w:shd w:val="clear" w:color="auto" w:fill="auto"/>
            <w:noWrap/>
            <w:hideMark/>
          </w:tcPr>
          <w:p w14:paraId="27E84476" w14:textId="6833BF94"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14,455</w:t>
            </w:r>
          </w:p>
        </w:tc>
        <w:tc>
          <w:tcPr>
            <w:tcW w:w="882" w:type="dxa"/>
            <w:tcBorders>
              <w:top w:val="nil"/>
              <w:left w:val="nil"/>
              <w:bottom w:val="nil"/>
              <w:right w:val="nil"/>
            </w:tcBorders>
            <w:shd w:val="clear" w:color="auto" w:fill="auto"/>
            <w:noWrap/>
            <w:hideMark/>
          </w:tcPr>
          <w:p w14:paraId="14973956" w14:textId="33C73D3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36,143</w:t>
            </w:r>
          </w:p>
        </w:tc>
        <w:tc>
          <w:tcPr>
            <w:tcW w:w="873" w:type="dxa"/>
            <w:tcBorders>
              <w:top w:val="nil"/>
              <w:left w:val="nil"/>
              <w:bottom w:val="nil"/>
              <w:right w:val="nil"/>
            </w:tcBorders>
            <w:shd w:val="clear" w:color="auto" w:fill="auto"/>
            <w:noWrap/>
            <w:hideMark/>
          </w:tcPr>
          <w:p w14:paraId="087F6340" w14:textId="64088512"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1A0F3AE9" w14:textId="4E92E21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0.002</w:t>
            </w:r>
          </w:p>
        </w:tc>
        <w:tc>
          <w:tcPr>
            <w:tcW w:w="575" w:type="dxa"/>
            <w:tcBorders>
              <w:top w:val="nil"/>
              <w:left w:val="nil"/>
              <w:bottom w:val="nil"/>
              <w:right w:val="nil"/>
            </w:tcBorders>
            <w:shd w:val="clear" w:color="auto" w:fill="auto"/>
            <w:noWrap/>
            <w:hideMark/>
          </w:tcPr>
          <w:p w14:paraId="5553BA03" w14:textId="29BDB956"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575" w:type="dxa"/>
            <w:tcBorders>
              <w:top w:val="nil"/>
              <w:left w:val="nil"/>
              <w:bottom w:val="nil"/>
              <w:right w:val="nil"/>
            </w:tcBorders>
            <w:shd w:val="clear" w:color="auto" w:fill="auto"/>
            <w:noWrap/>
            <w:hideMark/>
          </w:tcPr>
          <w:p w14:paraId="0813D5DE" w14:textId="20488C3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0.4%</w:t>
            </w:r>
          </w:p>
        </w:tc>
        <w:tc>
          <w:tcPr>
            <w:tcW w:w="994" w:type="dxa"/>
            <w:tcBorders>
              <w:top w:val="nil"/>
              <w:left w:val="nil"/>
              <w:bottom w:val="nil"/>
              <w:right w:val="nil"/>
            </w:tcBorders>
            <w:shd w:val="clear" w:color="auto" w:fill="auto"/>
            <w:noWrap/>
            <w:hideMark/>
          </w:tcPr>
          <w:p w14:paraId="7C0051C7" w14:textId="10161A7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34,595 </w:t>
            </w:r>
          </w:p>
        </w:tc>
        <w:tc>
          <w:tcPr>
            <w:tcW w:w="660" w:type="dxa"/>
            <w:tcBorders>
              <w:top w:val="nil"/>
              <w:left w:val="nil"/>
              <w:bottom w:val="nil"/>
              <w:right w:val="nil"/>
            </w:tcBorders>
            <w:shd w:val="clear" w:color="auto" w:fill="auto"/>
            <w:noWrap/>
            <w:hideMark/>
          </w:tcPr>
          <w:p w14:paraId="334E3EF9" w14:textId="2D2259EA"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15 </w:t>
            </w:r>
          </w:p>
        </w:tc>
        <w:tc>
          <w:tcPr>
            <w:tcW w:w="1182" w:type="dxa"/>
            <w:tcBorders>
              <w:top w:val="nil"/>
              <w:left w:val="nil"/>
              <w:bottom w:val="nil"/>
              <w:right w:val="nil"/>
            </w:tcBorders>
            <w:shd w:val="clear" w:color="auto" w:fill="auto"/>
            <w:noWrap/>
            <w:hideMark/>
          </w:tcPr>
          <w:p w14:paraId="5BD29DB6" w14:textId="49C7C77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0.36 </w:t>
            </w:r>
          </w:p>
        </w:tc>
      </w:tr>
      <w:tr w:rsidR="007D3711" w:rsidRPr="00E4527E" w14:paraId="6CE05737" w14:textId="77777777" w:rsidTr="00BB391D">
        <w:trPr>
          <w:trHeight w:hRule="exact" w:val="312"/>
        </w:trPr>
        <w:tc>
          <w:tcPr>
            <w:tcW w:w="701" w:type="dxa"/>
            <w:tcBorders>
              <w:top w:val="nil"/>
              <w:left w:val="nil"/>
              <w:bottom w:val="nil"/>
              <w:right w:val="nil"/>
            </w:tcBorders>
            <w:shd w:val="clear" w:color="auto" w:fill="auto"/>
            <w:noWrap/>
            <w:hideMark/>
          </w:tcPr>
          <w:p w14:paraId="2AE67FAA" w14:textId="71192CF0"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Yes</w:t>
            </w:r>
          </w:p>
        </w:tc>
        <w:tc>
          <w:tcPr>
            <w:tcW w:w="701" w:type="dxa"/>
            <w:tcBorders>
              <w:top w:val="nil"/>
              <w:left w:val="nil"/>
              <w:bottom w:val="nil"/>
              <w:right w:val="nil"/>
            </w:tcBorders>
            <w:shd w:val="clear" w:color="auto" w:fill="auto"/>
            <w:noWrap/>
            <w:hideMark/>
          </w:tcPr>
          <w:p w14:paraId="67BC5ACC" w14:textId="74343313"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19</w:t>
            </w:r>
          </w:p>
        </w:tc>
        <w:tc>
          <w:tcPr>
            <w:tcW w:w="582" w:type="dxa"/>
            <w:tcBorders>
              <w:top w:val="nil"/>
              <w:left w:val="nil"/>
              <w:bottom w:val="nil"/>
              <w:right w:val="nil"/>
            </w:tcBorders>
            <w:shd w:val="clear" w:color="auto" w:fill="auto"/>
            <w:noWrap/>
            <w:hideMark/>
          </w:tcPr>
          <w:p w14:paraId="3FF42D3C" w14:textId="1E35B75A"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I04B</w:t>
            </w:r>
          </w:p>
        </w:tc>
        <w:tc>
          <w:tcPr>
            <w:tcW w:w="3977" w:type="dxa"/>
            <w:tcBorders>
              <w:top w:val="nil"/>
              <w:left w:val="nil"/>
              <w:bottom w:val="nil"/>
              <w:right w:val="nil"/>
            </w:tcBorders>
            <w:shd w:val="clear" w:color="auto" w:fill="auto"/>
            <w:noWrap/>
            <w:hideMark/>
          </w:tcPr>
          <w:p w14:paraId="15782A92" w14:textId="4012A7C0"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Knee Replacement, Minor Complexity</w:t>
            </w:r>
          </w:p>
        </w:tc>
        <w:tc>
          <w:tcPr>
            <w:tcW w:w="791" w:type="dxa"/>
            <w:tcBorders>
              <w:top w:val="nil"/>
              <w:left w:val="nil"/>
              <w:bottom w:val="nil"/>
              <w:right w:val="nil"/>
            </w:tcBorders>
            <w:shd w:val="clear" w:color="auto" w:fill="auto"/>
            <w:noWrap/>
            <w:hideMark/>
          </w:tcPr>
          <w:p w14:paraId="3E05D95D" w14:textId="552824E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4.35</w:t>
            </w:r>
          </w:p>
        </w:tc>
        <w:tc>
          <w:tcPr>
            <w:tcW w:w="839" w:type="dxa"/>
            <w:tcBorders>
              <w:top w:val="nil"/>
              <w:left w:val="nil"/>
              <w:bottom w:val="nil"/>
              <w:right w:val="nil"/>
            </w:tcBorders>
            <w:shd w:val="clear" w:color="auto" w:fill="auto"/>
            <w:noWrap/>
            <w:hideMark/>
          </w:tcPr>
          <w:p w14:paraId="017092B7" w14:textId="3F9D9116"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34,532</w:t>
            </w:r>
          </w:p>
        </w:tc>
        <w:tc>
          <w:tcPr>
            <w:tcW w:w="1021" w:type="dxa"/>
            <w:tcBorders>
              <w:top w:val="nil"/>
              <w:left w:val="nil"/>
              <w:bottom w:val="nil"/>
              <w:right w:val="nil"/>
            </w:tcBorders>
            <w:shd w:val="clear" w:color="auto" w:fill="auto"/>
            <w:noWrap/>
            <w:hideMark/>
          </w:tcPr>
          <w:p w14:paraId="56B9265C" w14:textId="489194DD"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150,214</w:t>
            </w:r>
          </w:p>
        </w:tc>
        <w:tc>
          <w:tcPr>
            <w:tcW w:w="882" w:type="dxa"/>
            <w:tcBorders>
              <w:top w:val="nil"/>
              <w:left w:val="nil"/>
              <w:bottom w:val="nil"/>
              <w:right w:val="nil"/>
            </w:tcBorders>
            <w:shd w:val="clear" w:color="auto" w:fill="auto"/>
            <w:noWrap/>
            <w:hideMark/>
          </w:tcPr>
          <w:p w14:paraId="180173E3" w14:textId="2DF50B7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174,770</w:t>
            </w:r>
          </w:p>
        </w:tc>
        <w:tc>
          <w:tcPr>
            <w:tcW w:w="873" w:type="dxa"/>
            <w:tcBorders>
              <w:top w:val="nil"/>
              <w:left w:val="nil"/>
              <w:bottom w:val="nil"/>
              <w:right w:val="nil"/>
            </w:tcBorders>
            <w:shd w:val="clear" w:color="auto" w:fill="auto"/>
            <w:noWrap/>
            <w:hideMark/>
          </w:tcPr>
          <w:p w14:paraId="0AC78FF4" w14:textId="63A094C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5.1</w:t>
            </w:r>
          </w:p>
        </w:tc>
        <w:tc>
          <w:tcPr>
            <w:tcW w:w="672" w:type="dxa"/>
            <w:tcBorders>
              <w:top w:val="nil"/>
              <w:left w:val="nil"/>
              <w:bottom w:val="nil"/>
              <w:right w:val="nil"/>
            </w:tcBorders>
            <w:shd w:val="clear" w:color="auto" w:fill="auto"/>
            <w:noWrap/>
            <w:hideMark/>
          </w:tcPr>
          <w:p w14:paraId="24EA37DE" w14:textId="028F2D39"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0.007</w:t>
            </w:r>
          </w:p>
        </w:tc>
        <w:tc>
          <w:tcPr>
            <w:tcW w:w="575" w:type="dxa"/>
            <w:tcBorders>
              <w:top w:val="nil"/>
              <w:left w:val="nil"/>
              <w:bottom w:val="nil"/>
              <w:right w:val="nil"/>
            </w:tcBorders>
            <w:shd w:val="clear" w:color="auto" w:fill="auto"/>
            <w:noWrap/>
            <w:hideMark/>
          </w:tcPr>
          <w:p w14:paraId="486E0A47" w14:textId="64AB005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1.1%</w:t>
            </w:r>
          </w:p>
        </w:tc>
        <w:tc>
          <w:tcPr>
            <w:tcW w:w="575" w:type="dxa"/>
            <w:tcBorders>
              <w:top w:val="nil"/>
              <w:left w:val="nil"/>
              <w:bottom w:val="nil"/>
              <w:right w:val="nil"/>
            </w:tcBorders>
            <w:shd w:val="clear" w:color="auto" w:fill="auto"/>
            <w:noWrap/>
            <w:hideMark/>
          </w:tcPr>
          <w:p w14:paraId="408D1C56" w14:textId="154F148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4.6%</w:t>
            </w:r>
          </w:p>
        </w:tc>
        <w:tc>
          <w:tcPr>
            <w:tcW w:w="994" w:type="dxa"/>
            <w:tcBorders>
              <w:top w:val="nil"/>
              <w:left w:val="nil"/>
              <w:bottom w:val="nil"/>
              <w:right w:val="nil"/>
            </w:tcBorders>
            <w:shd w:val="clear" w:color="auto" w:fill="auto"/>
            <w:noWrap/>
            <w:hideMark/>
          </w:tcPr>
          <w:p w14:paraId="0084E138" w14:textId="56FFEBD5"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33,693 </w:t>
            </w:r>
          </w:p>
        </w:tc>
        <w:tc>
          <w:tcPr>
            <w:tcW w:w="660" w:type="dxa"/>
            <w:tcBorders>
              <w:top w:val="nil"/>
              <w:left w:val="nil"/>
              <w:bottom w:val="nil"/>
              <w:right w:val="nil"/>
            </w:tcBorders>
            <w:shd w:val="clear" w:color="auto" w:fill="auto"/>
            <w:noWrap/>
            <w:hideMark/>
          </w:tcPr>
          <w:p w14:paraId="04C0C9E2" w14:textId="3319949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17 </w:t>
            </w:r>
          </w:p>
        </w:tc>
        <w:tc>
          <w:tcPr>
            <w:tcW w:w="1182" w:type="dxa"/>
            <w:tcBorders>
              <w:top w:val="nil"/>
              <w:left w:val="nil"/>
              <w:bottom w:val="nil"/>
              <w:right w:val="nil"/>
            </w:tcBorders>
            <w:shd w:val="clear" w:color="auto" w:fill="auto"/>
            <w:noWrap/>
            <w:hideMark/>
          </w:tcPr>
          <w:p w14:paraId="730DA0D7" w14:textId="55530011"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 xml:space="preserve">4.25 </w:t>
            </w:r>
          </w:p>
        </w:tc>
      </w:tr>
      <w:tr w:rsidR="007D3711" w:rsidRPr="00E4527E" w14:paraId="307369CB" w14:textId="77777777" w:rsidTr="00BB391D">
        <w:trPr>
          <w:trHeight w:hRule="exact" w:val="312"/>
        </w:trPr>
        <w:tc>
          <w:tcPr>
            <w:tcW w:w="701" w:type="dxa"/>
            <w:tcBorders>
              <w:top w:val="nil"/>
              <w:left w:val="nil"/>
              <w:bottom w:val="nil"/>
              <w:right w:val="nil"/>
            </w:tcBorders>
            <w:shd w:val="clear" w:color="auto" w:fill="auto"/>
            <w:noWrap/>
            <w:hideMark/>
          </w:tcPr>
          <w:p w14:paraId="757EC45A" w14:textId="7EE5EE42"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No</w:t>
            </w:r>
          </w:p>
        </w:tc>
        <w:tc>
          <w:tcPr>
            <w:tcW w:w="701" w:type="dxa"/>
            <w:tcBorders>
              <w:top w:val="nil"/>
              <w:left w:val="nil"/>
              <w:bottom w:val="nil"/>
              <w:right w:val="nil"/>
            </w:tcBorders>
            <w:shd w:val="clear" w:color="auto" w:fill="auto"/>
            <w:noWrap/>
            <w:hideMark/>
          </w:tcPr>
          <w:p w14:paraId="1B3F95C7" w14:textId="4D4C6A87"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20</w:t>
            </w:r>
          </w:p>
        </w:tc>
        <w:tc>
          <w:tcPr>
            <w:tcW w:w="582" w:type="dxa"/>
            <w:tcBorders>
              <w:top w:val="nil"/>
              <w:left w:val="nil"/>
              <w:bottom w:val="nil"/>
              <w:right w:val="nil"/>
            </w:tcBorders>
            <w:shd w:val="clear" w:color="auto" w:fill="auto"/>
            <w:noWrap/>
            <w:hideMark/>
          </w:tcPr>
          <w:p w14:paraId="7161A81D" w14:textId="0FC85526"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D11Z</w:t>
            </w:r>
          </w:p>
        </w:tc>
        <w:tc>
          <w:tcPr>
            <w:tcW w:w="3977" w:type="dxa"/>
            <w:tcBorders>
              <w:top w:val="nil"/>
              <w:left w:val="nil"/>
              <w:bottom w:val="nil"/>
              <w:right w:val="nil"/>
            </w:tcBorders>
            <w:shd w:val="clear" w:color="auto" w:fill="auto"/>
            <w:noWrap/>
            <w:hideMark/>
          </w:tcPr>
          <w:p w14:paraId="4A7B62E9" w14:textId="6273E274"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Tonsillectomy and Adenoidectomy</w:t>
            </w:r>
          </w:p>
        </w:tc>
        <w:tc>
          <w:tcPr>
            <w:tcW w:w="791" w:type="dxa"/>
            <w:tcBorders>
              <w:top w:val="nil"/>
              <w:left w:val="nil"/>
              <w:bottom w:val="nil"/>
              <w:right w:val="nil"/>
            </w:tcBorders>
            <w:shd w:val="clear" w:color="auto" w:fill="auto"/>
            <w:noWrap/>
            <w:hideMark/>
          </w:tcPr>
          <w:p w14:paraId="7A8E6094" w14:textId="6FBFB690"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0.57</w:t>
            </w:r>
          </w:p>
        </w:tc>
        <w:tc>
          <w:tcPr>
            <w:tcW w:w="839" w:type="dxa"/>
            <w:tcBorders>
              <w:top w:val="nil"/>
              <w:left w:val="nil"/>
              <w:bottom w:val="nil"/>
              <w:right w:val="nil"/>
            </w:tcBorders>
            <w:shd w:val="clear" w:color="auto" w:fill="auto"/>
            <w:noWrap/>
            <w:hideMark/>
          </w:tcPr>
          <w:p w14:paraId="431C0919" w14:textId="2619CB54" w:rsidR="007D3711" w:rsidRPr="00E4527E" w:rsidRDefault="007D3711" w:rsidP="00191507">
            <w:pPr>
              <w:spacing w:before="20" w:after="20" w:line="240" w:lineRule="auto"/>
              <w:jc w:val="right"/>
              <w:rPr>
                <w:rFonts w:asciiTheme="minorHAnsi" w:hAnsiTheme="minorHAnsi" w:cstheme="minorHAnsi"/>
                <w:b/>
                <w:color w:val="000000"/>
                <w:sz w:val="14"/>
                <w:szCs w:val="14"/>
                <w:highlight w:val="yellow"/>
                <w:lang w:val="en-US" w:eastAsia="en-US"/>
              </w:rPr>
            </w:pPr>
            <w:r>
              <w:rPr>
                <w:b/>
                <w:bCs/>
                <w:color w:val="000000"/>
                <w:sz w:val="14"/>
                <w:szCs w:val="14"/>
              </w:rPr>
              <w:t>32,793</w:t>
            </w:r>
          </w:p>
        </w:tc>
        <w:tc>
          <w:tcPr>
            <w:tcW w:w="1021" w:type="dxa"/>
            <w:tcBorders>
              <w:top w:val="nil"/>
              <w:left w:val="nil"/>
              <w:bottom w:val="nil"/>
              <w:right w:val="nil"/>
            </w:tcBorders>
            <w:shd w:val="clear" w:color="auto" w:fill="auto"/>
            <w:noWrap/>
            <w:hideMark/>
          </w:tcPr>
          <w:p w14:paraId="2595DD53" w14:textId="23E6A9E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18,692</w:t>
            </w:r>
          </w:p>
        </w:tc>
        <w:tc>
          <w:tcPr>
            <w:tcW w:w="882" w:type="dxa"/>
            <w:tcBorders>
              <w:top w:val="nil"/>
              <w:left w:val="nil"/>
              <w:bottom w:val="nil"/>
              <w:right w:val="nil"/>
            </w:tcBorders>
            <w:shd w:val="clear" w:color="auto" w:fill="auto"/>
            <w:noWrap/>
            <w:hideMark/>
          </w:tcPr>
          <w:p w14:paraId="01587972" w14:textId="401EECEE"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33,437</w:t>
            </w:r>
          </w:p>
        </w:tc>
        <w:tc>
          <w:tcPr>
            <w:tcW w:w="873" w:type="dxa"/>
            <w:tcBorders>
              <w:top w:val="nil"/>
              <w:left w:val="nil"/>
              <w:bottom w:val="nil"/>
              <w:right w:val="nil"/>
            </w:tcBorders>
            <w:shd w:val="clear" w:color="auto" w:fill="auto"/>
            <w:noWrap/>
            <w:hideMark/>
          </w:tcPr>
          <w:p w14:paraId="3A37B80C" w14:textId="70F02ED7"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1.0</w:t>
            </w:r>
          </w:p>
        </w:tc>
        <w:tc>
          <w:tcPr>
            <w:tcW w:w="672" w:type="dxa"/>
            <w:tcBorders>
              <w:top w:val="nil"/>
              <w:left w:val="nil"/>
              <w:bottom w:val="nil"/>
              <w:right w:val="nil"/>
            </w:tcBorders>
            <w:shd w:val="clear" w:color="auto" w:fill="auto"/>
            <w:noWrap/>
            <w:hideMark/>
          </w:tcPr>
          <w:p w14:paraId="069C6F98" w14:textId="7DAB891F" w:rsidR="007D3711" w:rsidRPr="00E4527E" w:rsidRDefault="007D3711" w:rsidP="00191507">
            <w:pPr>
              <w:spacing w:before="20" w:after="20" w:line="240" w:lineRule="auto"/>
              <w:jc w:val="right"/>
              <w:rPr>
                <w:rFonts w:asciiTheme="minorHAnsi" w:hAnsiTheme="minorHAnsi" w:cstheme="minorHAnsi"/>
                <w:color w:val="000000"/>
                <w:sz w:val="14"/>
                <w:szCs w:val="14"/>
                <w:highlight w:val="yellow"/>
                <w:lang w:val="en-US" w:eastAsia="en-US"/>
              </w:rPr>
            </w:pPr>
            <w:r>
              <w:rPr>
                <w:color w:val="000000"/>
                <w:sz w:val="14"/>
                <w:szCs w:val="14"/>
              </w:rPr>
              <w:t>0.002</w:t>
            </w:r>
          </w:p>
        </w:tc>
        <w:tc>
          <w:tcPr>
            <w:tcW w:w="575" w:type="dxa"/>
            <w:tcBorders>
              <w:top w:val="nil"/>
              <w:left w:val="nil"/>
              <w:bottom w:val="nil"/>
              <w:right w:val="nil"/>
            </w:tcBorders>
            <w:shd w:val="clear" w:color="auto" w:fill="auto"/>
            <w:noWrap/>
            <w:hideMark/>
          </w:tcPr>
          <w:p w14:paraId="3A71C0E2" w14:textId="13A8A220"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1.0%</w:t>
            </w:r>
          </w:p>
        </w:tc>
        <w:tc>
          <w:tcPr>
            <w:tcW w:w="575" w:type="dxa"/>
            <w:tcBorders>
              <w:top w:val="nil"/>
              <w:left w:val="nil"/>
              <w:bottom w:val="nil"/>
              <w:right w:val="nil"/>
            </w:tcBorders>
            <w:shd w:val="clear" w:color="auto" w:fill="auto"/>
            <w:noWrap/>
            <w:hideMark/>
          </w:tcPr>
          <w:p w14:paraId="39016D74" w14:textId="55E83062"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0.6%</w:t>
            </w:r>
          </w:p>
        </w:tc>
        <w:tc>
          <w:tcPr>
            <w:tcW w:w="994" w:type="dxa"/>
            <w:tcBorders>
              <w:top w:val="nil"/>
              <w:left w:val="nil"/>
              <w:bottom w:val="nil"/>
              <w:right w:val="nil"/>
            </w:tcBorders>
            <w:shd w:val="clear" w:color="auto" w:fill="auto"/>
            <w:noWrap/>
            <w:hideMark/>
          </w:tcPr>
          <w:p w14:paraId="06D0BC55" w14:textId="3C42F26B"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 xml:space="preserve">28,384 </w:t>
            </w:r>
          </w:p>
        </w:tc>
        <w:tc>
          <w:tcPr>
            <w:tcW w:w="660" w:type="dxa"/>
            <w:tcBorders>
              <w:top w:val="nil"/>
              <w:left w:val="nil"/>
              <w:bottom w:val="nil"/>
              <w:right w:val="nil"/>
            </w:tcBorders>
            <w:shd w:val="clear" w:color="auto" w:fill="auto"/>
            <w:noWrap/>
            <w:hideMark/>
          </w:tcPr>
          <w:p w14:paraId="10D5BD68" w14:textId="077AEA2B"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 xml:space="preserve">21 </w:t>
            </w:r>
          </w:p>
        </w:tc>
        <w:tc>
          <w:tcPr>
            <w:tcW w:w="1182" w:type="dxa"/>
            <w:tcBorders>
              <w:top w:val="nil"/>
              <w:left w:val="nil"/>
              <w:bottom w:val="nil"/>
              <w:right w:val="nil"/>
            </w:tcBorders>
            <w:shd w:val="clear" w:color="auto" w:fill="auto"/>
            <w:noWrap/>
            <w:hideMark/>
          </w:tcPr>
          <w:p w14:paraId="72CFFEEB" w14:textId="7A5417F2"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 xml:space="preserve">0.50 </w:t>
            </w:r>
          </w:p>
        </w:tc>
      </w:tr>
      <w:tr w:rsidR="007D3711" w:rsidRPr="00E4527E" w14:paraId="61C91DEE" w14:textId="77777777" w:rsidTr="006923CA">
        <w:trPr>
          <w:trHeight w:hRule="exact" w:val="221"/>
        </w:trPr>
        <w:tc>
          <w:tcPr>
            <w:tcW w:w="701" w:type="dxa"/>
            <w:tcBorders>
              <w:top w:val="single" w:sz="4" w:space="0" w:color="auto"/>
              <w:left w:val="nil"/>
              <w:bottom w:val="nil"/>
              <w:right w:val="nil"/>
            </w:tcBorders>
            <w:shd w:val="clear" w:color="auto" w:fill="auto"/>
            <w:noWrap/>
            <w:hideMark/>
          </w:tcPr>
          <w:p w14:paraId="56AE644A" w14:textId="40DFB2B2"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19</w:t>
            </w:r>
          </w:p>
        </w:tc>
        <w:tc>
          <w:tcPr>
            <w:tcW w:w="5260" w:type="dxa"/>
            <w:gridSpan w:val="3"/>
            <w:tcBorders>
              <w:top w:val="single" w:sz="4" w:space="0" w:color="auto"/>
              <w:left w:val="nil"/>
              <w:bottom w:val="nil"/>
              <w:right w:val="nil"/>
            </w:tcBorders>
            <w:shd w:val="clear" w:color="auto" w:fill="auto"/>
            <w:noWrap/>
            <w:hideMark/>
          </w:tcPr>
          <w:p w14:paraId="7B4A5906" w14:textId="1672FE2F" w:rsidR="007D3711" w:rsidRPr="007D3711" w:rsidRDefault="007D3711" w:rsidP="00191507">
            <w:pPr>
              <w:spacing w:before="20" w:after="20" w:line="240" w:lineRule="auto"/>
              <w:rPr>
                <w:b/>
                <w:bCs/>
                <w:color w:val="000000"/>
                <w:sz w:val="14"/>
                <w:szCs w:val="14"/>
              </w:rPr>
            </w:pPr>
            <w:r>
              <w:rPr>
                <w:b/>
                <w:bCs/>
                <w:color w:val="000000"/>
                <w:sz w:val="14"/>
                <w:szCs w:val="14"/>
              </w:rPr>
              <w:t>Sub-total, 20 highest separation count</w:t>
            </w:r>
          </w:p>
        </w:tc>
        <w:tc>
          <w:tcPr>
            <w:tcW w:w="791" w:type="dxa"/>
            <w:tcBorders>
              <w:top w:val="single" w:sz="4" w:space="0" w:color="auto"/>
              <w:left w:val="nil"/>
              <w:bottom w:val="nil"/>
              <w:right w:val="nil"/>
            </w:tcBorders>
            <w:shd w:val="clear" w:color="auto" w:fill="auto"/>
            <w:noWrap/>
            <w:hideMark/>
          </w:tcPr>
          <w:p w14:paraId="6E463BD4" w14:textId="24284543"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0.43</w:t>
            </w:r>
          </w:p>
        </w:tc>
        <w:tc>
          <w:tcPr>
            <w:tcW w:w="839" w:type="dxa"/>
            <w:tcBorders>
              <w:top w:val="single" w:sz="4" w:space="0" w:color="auto"/>
              <w:left w:val="nil"/>
              <w:bottom w:val="nil"/>
              <w:right w:val="nil"/>
            </w:tcBorders>
            <w:shd w:val="clear" w:color="auto" w:fill="auto"/>
            <w:noWrap/>
            <w:hideMark/>
          </w:tcPr>
          <w:p w14:paraId="17722F93" w14:textId="6D92E802"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1,461,226</w:t>
            </w:r>
          </w:p>
        </w:tc>
        <w:tc>
          <w:tcPr>
            <w:tcW w:w="1021" w:type="dxa"/>
            <w:tcBorders>
              <w:top w:val="single" w:sz="4" w:space="0" w:color="auto"/>
              <w:left w:val="nil"/>
              <w:bottom w:val="nil"/>
              <w:right w:val="nil"/>
            </w:tcBorders>
            <w:shd w:val="clear" w:color="auto" w:fill="auto"/>
            <w:noWrap/>
            <w:hideMark/>
          </w:tcPr>
          <w:p w14:paraId="1297E21D" w14:textId="7A5B2955"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631,757</w:t>
            </w:r>
          </w:p>
        </w:tc>
        <w:tc>
          <w:tcPr>
            <w:tcW w:w="882" w:type="dxa"/>
            <w:tcBorders>
              <w:top w:val="single" w:sz="4" w:space="0" w:color="auto"/>
              <w:left w:val="nil"/>
              <w:bottom w:val="nil"/>
              <w:right w:val="nil"/>
            </w:tcBorders>
            <w:shd w:val="clear" w:color="auto" w:fill="auto"/>
            <w:noWrap/>
            <w:hideMark/>
          </w:tcPr>
          <w:p w14:paraId="67CA1F7D" w14:textId="3775DDA9"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1,683,957</w:t>
            </w:r>
          </w:p>
        </w:tc>
        <w:tc>
          <w:tcPr>
            <w:tcW w:w="873" w:type="dxa"/>
            <w:tcBorders>
              <w:top w:val="single" w:sz="4" w:space="0" w:color="auto"/>
              <w:left w:val="nil"/>
              <w:bottom w:val="nil"/>
              <w:right w:val="nil"/>
            </w:tcBorders>
            <w:shd w:val="clear" w:color="auto" w:fill="auto"/>
            <w:noWrap/>
            <w:hideMark/>
          </w:tcPr>
          <w:p w14:paraId="5026FE03" w14:textId="14615877"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1.2</w:t>
            </w:r>
          </w:p>
        </w:tc>
        <w:tc>
          <w:tcPr>
            <w:tcW w:w="672" w:type="dxa"/>
            <w:tcBorders>
              <w:top w:val="single" w:sz="4" w:space="0" w:color="auto"/>
              <w:left w:val="nil"/>
              <w:bottom w:val="nil"/>
              <w:right w:val="nil"/>
            </w:tcBorders>
            <w:shd w:val="clear" w:color="auto" w:fill="auto"/>
            <w:noWrap/>
            <w:hideMark/>
          </w:tcPr>
          <w:p w14:paraId="02EB9FBF" w14:textId="0484C98A"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 </w:t>
            </w:r>
          </w:p>
        </w:tc>
        <w:tc>
          <w:tcPr>
            <w:tcW w:w="575" w:type="dxa"/>
            <w:tcBorders>
              <w:top w:val="single" w:sz="4" w:space="0" w:color="auto"/>
              <w:left w:val="nil"/>
              <w:bottom w:val="nil"/>
              <w:right w:val="nil"/>
            </w:tcBorders>
            <w:shd w:val="clear" w:color="auto" w:fill="auto"/>
            <w:noWrap/>
            <w:hideMark/>
          </w:tcPr>
          <w:p w14:paraId="245C1005" w14:textId="78D5235F"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45%</w:t>
            </w:r>
          </w:p>
        </w:tc>
        <w:tc>
          <w:tcPr>
            <w:tcW w:w="575" w:type="dxa"/>
            <w:tcBorders>
              <w:top w:val="single" w:sz="4" w:space="0" w:color="auto"/>
              <w:left w:val="nil"/>
              <w:bottom w:val="nil"/>
              <w:right w:val="nil"/>
            </w:tcBorders>
            <w:shd w:val="clear" w:color="auto" w:fill="auto"/>
            <w:noWrap/>
            <w:hideMark/>
          </w:tcPr>
          <w:p w14:paraId="7ADF5B0B" w14:textId="55BD09E2"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19%</w:t>
            </w:r>
          </w:p>
        </w:tc>
        <w:tc>
          <w:tcPr>
            <w:tcW w:w="994" w:type="dxa"/>
            <w:tcBorders>
              <w:top w:val="single" w:sz="4" w:space="0" w:color="auto"/>
              <w:left w:val="nil"/>
              <w:bottom w:val="nil"/>
              <w:right w:val="nil"/>
            </w:tcBorders>
            <w:shd w:val="clear" w:color="auto" w:fill="auto"/>
            <w:noWrap/>
            <w:hideMark/>
          </w:tcPr>
          <w:p w14:paraId="65B4B3EC" w14:textId="77777777" w:rsidR="007D3711" w:rsidRPr="00E763E2" w:rsidRDefault="007D3711" w:rsidP="00191507">
            <w:pPr>
              <w:spacing w:before="20" w:after="20" w:line="240" w:lineRule="auto"/>
              <w:rPr>
                <w:rFonts w:asciiTheme="minorHAnsi" w:hAnsiTheme="minorHAnsi" w:cstheme="minorHAnsi"/>
                <w:b/>
                <w:bCs/>
                <w:color w:val="000000"/>
                <w:sz w:val="14"/>
                <w:szCs w:val="14"/>
                <w:lang w:val="en-US" w:eastAsia="en-US"/>
              </w:rPr>
            </w:pPr>
            <w:r w:rsidRPr="00E763E2">
              <w:rPr>
                <w:rFonts w:asciiTheme="minorHAnsi" w:hAnsiTheme="minorHAnsi" w:cstheme="minorHAnsi"/>
                <w:b/>
                <w:bCs/>
                <w:color w:val="000000"/>
                <w:sz w:val="14"/>
                <w:szCs w:val="14"/>
                <w:lang w:val="en-US" w:eastAsia="en-US"/>
              </w:rPr>
              <w:t> </w:t>
            </w:r>
          </w:p>
        </w:tc>
        <w:tc>
          <w:tcPr>
            <w:tcW w:w="660" w:type="dxa"/>
            <w:tcBorders>
              <w:top w:val="single" w:sz="4" w:space="0" w:color="auto"/>
              <w:left w:val="nil"/>
              <w:bottom w:val="nil"/>
              <w:right w:val="nil"/>
            </w:tcBorders>
            <w:shd w:val="clear" w:color="auto" w:fill="auto"/>
            <w:noWrap/>
            <w:hideMark/>
          </w:tcPr>
          <w:p w14:paraId="6067598C" w14:textId="77777777" w:rsidR="007D3711" w:rsidRPr="00E763E2" w:rsidRDefault="007D3711" w:rsidP="00191507">
            <w:pPr>
              <w:spacing w:before="20" w:after="20" w:line="240" w:lineRule="auto"/>
              <w:rPr>
                <w:rFonts w:asciiTheme="minorHAnsi" w:hAnsiTheme="minorHAnsi" w:cstheme="minorHAnsi"/>
                <w:b/>
                <w:bCs/>
                <w:color w:val="000000"/>
                <w:sz w:val="14"/>
                <w:szCs w:val="14"/>
                <w:lang w:val="en-US" w:eastAsia="en-US"/>
              </w:rPr>
            </w:pPr>
            <w:r w:rsidRPr="00E763E2">
              <w:rPr>
                <w:rFonts w:asciiTheme="minorHAnsi" w:hAnsiTheme="minorHAnsi" w:cstheme="minorHAnsi"/>
                <w:b/>
                <w:bCs/>
                <w:color w:val="000000"/>
                <w:sz w:val="14"/>
                <w:szCs w:val="14"/>
                <w:lang w:val="en-US" w:eastAsia="en-US"/>
              </w:rPr>
              <w:t> </w:t>
            </w:r>
          </w:p>
        </w:tc>
        <w:tc>
          <w:tcPr>
            <w:tcW w:w="1182" w:type="dxa"/>
            <w:tcBorders>
              <w:top w:val="single" w:sz="4" w:space="0" w:color="auto"/>
              <w:left w:val="nil"/>
              <w:bottom w:val="nil"/>
              <w:right w:val="nil"/>
            </w:tcBorders>
            <w:shd w:val="clear" w:color="auto" w:fill="auto"/>
            <w:noWrap/>
            <w:hideMark/>
          </w:tcPr>
          <w:p w14:paraId="77E33084" w14:textId="77777777" w:rsidR="007D3711" w:rsidRPr="00E763E2" w:rsidRDefault="007D3711" w:rsidP="00191507">
            <w:pPr>
              <w:spacing w:before="20" w:after="20" w:line="240" w:lineRule="auto"/>
              <w:rPr>
                <w:rFonts w:asciiTheme="minorHAnsi" w:hAnsiTheme="minorHAnsi" w:cstheme="minorHAnsi"/>
                <w:b/>
                <w:bCs/>
                <w:color w:val="000000"/>
                <w:sz w:val="14"/>
                <w:szCs w:val="14"/>
                <w:lang w:val="en-US" w:eastAsia="en-US"/>
              </w:rPr>
            </w:pPr>
            <w:r w:rsidRPr="00E763E2">
              <w:rPr>
                <w:rFonts w:asciiTheme="minorHAnsi" w:hAnsiTheme="minorHAnsi" w:cstheme="minorHAnsi"/>
                <w:b/>
                <w:bCs/>
                <w:color w:val="000000"/>
                <w:sz w:val="14"/>
                <w:szCs w:val="14"/>
                <w:lang w:val="en-US" w:eastAsia="en-US"/>
              </w:rPr>
              <w:t> </w:t>
            </w:r>
          </w:p>
        </w:tc>
      </w:tr>
      <w:tr w:rsidR="007D3711" w:rsidRPr="00E4527E" w14:paraId="48878EA2" w14:textId="77777777" w:rsidTr="006923CA">
        <w:trPr>
          <w:trHeight w:hRule="exact" w:val="221"/>
        </w:trPr>
        <w:tc>
          <w:tcPr>
            <w:tcW w:w="701" w:type="dxa"/>
            <w:tcBorders>
              <w:top w:val="nil"/>
              <w:left w:val="nil"/>
              <w:bottom w:val="nil"/>
              <w:right w:val="nil"/>
            </w:tcBorders>
            <w:shd w:val="clear" w:color="auto" w:fill="auto"/>
            <w:noWrap/>
            <w:hideMark/>
          </w:tcPr>
          <w:p w14:paraId="7B8E158A" w14:textId="3CA89CCD"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 xml:space="preserve">in </w:t>
            </w:r>
          </w:p>
        </w:tc>
        <w:tc>
          <w:tcPr>
            <w:tcW w:w="5260" w:type="dxa"/>
            <w:gridSpan w:val="3"/>
            <w:tcBorders>
              <w:top w:val="nil"/>
              <w:left w:val="nil"/>
              <w:bottom w:val="nil"/>
              <w:right w:val="nil"/>
            </w:tcBorders>
            <w:shd w:val="clear" w:color="auto" w:fill="auto"/>
            <w:noWrap/>
            <w:hideMark/>
          </w:tcPr>
          <w:p w14:paraId="37991C69" w14:textId="17D78047" w:rsidR="007D3711" w:rsidRPr="00BB391D" w:rsidRDefault="00BB391D" w:rsidP="00191507">
            <w:pPr>
              <w:spacing w:before="20" w:after="20" w:line="240" w:lineRule="auto"/>
              <w:rPr>
                <w:b/>
                <w:bCs/>
                <w:color w:val="000000"/>
                <w:sz w:val="14"/>
                <w:szCs w:val="14"/>
              </w:rPr>
            </w:pPr>
            <w:r>
              <w:rPr>
                <w:b/>
                <w:bCs/>
                <w:color w:val="000000"/>
                <w:sz w:val="14"/>
                <w:szCs w:val="14"/>
              </w:rPr>
              <w:t>All DRGs</w:t>
            </w:r>
          </w:p>
        </w:tc>
        <w:tc>
          <w:tcPr>
            <w:tcW w:w="791" w:type="dxa"/>
            <w:tcBorders>
              <w:top w:val="nil"/>
              <w:left w:val="nil"/>
              <w:bottom w:val="nil"/>
              <w:right w:val="nil"/>
            </w:tcBorders>
            <w:shd w:val="clear" w:color="auto" w:fill="auto"/>
            <w:noWrap/>
            <w:hideMark/>
          </w:tcPr>
          <w:p w14:paraId="07E3B028" w14:textId="029B18C5"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1.00</w:t>
            </w:r>
          </w:p>
        </w:tc>
        <w:tc>
          <w:tcPr>
            <w:tcW w:w="839" w:type="dxa"/>
            <w:tcBorders>
              <w:top w:val="nil"/>
              <w:left w:val="nil"/>
              <w:bottom w:val="nil"/>
              <w:right w:val="nil"/>
            </w:tcBorders>
            <w:shd w:val="clear" w:color="auto" w:fill="auto"/>
            <w:noWrap/>
            <w:hideMark/>
          </w:tcPr>
          <w:p w14:paraId="44E99100" w14:textId="320B682A"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3,242,411</w:t>
            </w:r>
          </w:p>
        </w:tc>
        <w:tc>
          <w:tcPr>
            <w:tcW w:w="1021" w:type="dxa"/>
            <w:tcBorders>
              <w:top w:val="nil"/>
              <w:left w:val="nil"/>
              <w:bottom w:val="nil"/>
              <w:right w:val="nil"/>
            </w:tcBorders>
            <w:shd w:val="clear" w:color="auto" w:fill="auto"/>
            <w:noWrap/>
            <w:hideMark/>
          </w:tcPr>
          <w:p w14:paraId="4F6C75C1" w14:textId="144E8BA4"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3,242,411</w:t>
            </w:r>
          </w:p>
        </w:tc>
        <w:tc>
          <w:tcPr>
            <w:tcW w:w="882" w:type="dxa"/>
            <w:tcBorders>
              <w:top w:val="nil"/>
              <w:left w:val="nil"/>
              <w:bottom w:val="nil"/>
              <w:right w:val="nil"/>
            </w:tcBorders>
            <w:shd w:val="clear" w:color="auto" w:fill="auto"/>
            <w:noWrap/>
            <w:hideMark/>
          </w:tcPr>
          <w:p w14:paraId="0EEE5544" w14:textId="24314FF7"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7,331,450</w:t>
            </w:r>
          </w:p>
        </w:tc>
        <w:tc>
          <w:tcPr>
            <w:tcW w:w="873" w:type="dxa"/>
            <w:tcBorders>
              <w:top w:val="nil"/>
              <w:left w:val="nil"/>
              <w:bottom w:val="nil"/>
              <w:right w:val="nil"/>
            </w:tcBorders>
            <w:shd w:val="clear" w:color="auto" w:fill="auto"/>
            <w:noWrap/>
            <w:hideMark/>
          </w:tcPr>
          <w:p w14:paraId="6849D79C" w14:textId="244657AA"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2.3</w:t>
            </w:r>
          </w:p>
        </w:tc>
        <w:tc>
          <w:tcPr>
            <w:tcW w:w="672" w:type="dxa"/>
            <w:tcBorders>
              <w:top w:val="nil"/>
              <w:left w:val="nil"/>
              <w:bottom w:val="nil"/>
              <w:right w:val="nil"/>
            </w:tcBorders>
            <w:shd w:val="clear" w:color="auto" w:fill="auto"/>
            <w:noWrap/>
            <w:hideMark/>
          </w:tcPr>
          <w:p w14:paraId="73E16791" w14:textId="77777777"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p>
        </w:tc>
        <w:tc>
          <w:tcPr>
            <w:tcW w:w="575" w:type="dxa"/>
            <w:tcBorders>
              <w:top w:val="nil"/>
              <w:left w:val="nil"/>
              <w:bottom w:val="nil"/>
              <w:right w:val="nil"/>
            </w:tcBorders>
            <w:shd w:val="clear" w:color="auto" w:fill="auto"/>
            <w:noWrap/>
            <w:hideMark/>
          </w:tcPr>
          <w:p w14:paraId="294F1519" w14:textId="77565D9A"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100%</w:t>
            </w:r>
          </w:p>
        </w:tc>
        <w:tc>
          <w:tcPr>
            <w:tcW w:w="575" w:type="dxa"/>
            <w:tcBorders>
              <w:top w:val="nil"/>
              <w:left w:val="nil"/>
              <w:bottom w:val="nil"/>
              <w:right w:val="nil"/>
            </w:tcBorders>
            <w:shd w:val="clear" w:color="auto" w:fill="auto"/>
            <w:noWrap/>
            <w:hideMark/>
          </w:tcPr>
          <w:p w14:paraId="59E91774" w14:textId="27C3AD67"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r w:rsidRPr="00E763E2">
              <w:rPr>
                <w:color w:val="000000"/>
                <w:sz w:val="14"/>
                <w:szCs w:val="14"/>
              </w:rPr>
              <w:t>100%</w:t>
            </w:r>
          </w:p>
        </w:tc>
        <w:tc>
          <w:tcPr>
            <w:tcW w:w="994" w:type="dxa"/>
            <w:tcBorders>
              <w:top w:val="nil"/>
              <w:left w:val="nil"/>
              <w:bottom w:val="nil"/>
              <w:right w:val="nil"/>
            </w:tcBorders>
            <w:shd w:val="clear" w:color="auto" w:fill="auto"/>
            <w:noWrap/>
            <w:hideMark/>
          </w:tcPr>
          <w:p w14:paraId="5E359FE5" w14:textId="77777777" w:rsidR="007D3711" w:rsidRPr="00E763E2" w:rsidRDefault="007D3711" w:rsidP="00191507">
            <w:pPr>
              <w:spacing w:before="20" w:after="20" w:line="240" w:lineRule="auto"/>
              <w:jc w:val="right"/>
              <w:rPr>
                <w:rFonts w:asciiTheme="minorHAnsi" w:hAnsiTheme="minorHAnsi" w:cstheme="minorHAnsi"/>
                <w:color w:val="000000"/>
                <w:sz w:val="14"/>
                <w:szCs w:val="14"/>
                <w:lang w:val="en-US" w:eastAsia="en-US"/>
              </w:rPr>
            </w:pPr>
          </w:p>
        </w:tc>
        <w:tc>
          <w:tcPr>
            <w:tcW w:w="660" w:type="dxa"/>
            <w:tcBorders>
              <w:top w:val="nil"/>
              <w:left w:val="nil"/>
              <w:bottom w:val="nil"/>
              <w:right w:val="nil"/>
            </w:tcBorders>
            <w:shd w:val="clear" w:color="auto" w:fill="auto"/>
            <w:noWrap/>
            <w:hideMark/>
          </w:tcPr>
          <w:p w14:paraId="4A43FD77" w14:textId="77777777" w:rsidR="007D3711" w:rsidRPr="00E763E2" w:rsidRDefault="007D3711" w:rsidP="00191507">
            <w:pPr>
              <w:spacing w:before="20" w:after="20" w:line="240" w:lineRule="auto"/>
              <w:rPr>
                <w:rFonts w:asciiTheme="minorHAnsi" w:hAnsiTheme="minorHAnsi" w:cstheme="minorHAnsi"/>
                <w:sz w:val="20"/>
                <w:lang w:val="en-US" w:eastAsia="en-US"/>
              </w:rPr>
            </w:pPr>
          </w:p>
        </w:tc>
        <w:tc>
          <w:tcPr>
            <w:tcW w:w="1182" w:type="dxa"/>
            <w:tcBorders>
              <w:top w:val="nil"/>
              <w:left w:val="nil"/>
              <w:bottom w:val="nil"/>
              <w:right w:val="nil"/>
            </w:tcBorders>
            <w:shd w:val="clear" w:color="auto" w:fill="auto"/>
            <w:noWrap/>
            <w:hideMark/>
          </w:tcPr>
          <w:p w14:paraId="2D5F9FF0" w14:textId="77777777" w:rsidR="007D3711" w:rsidRPr="00E763E2" w:rsidRDefault="007D3711" w:rsidP="00191507">
            <w:pPr>
              <w:spacing w:before="20" w:after="20" w:line="240" w:lineRule="auto"/>
              <w:rPr>
                <w:rFonts w:asciiTheme="minorHAnsi" w:hAnsiTheme="minorHAnsi" w:cstheme="minorHAnsi"/>
                <w:b/>
                <w:bCs/>
                <w:color w:val="000000"/>
                <w:sz w:val="14"/>
                <w:szCs w:val="14"/>
                <w:lang w:val="en-US" w:eastAsia="en-US"/>
              </w:rPr>
            </w:pPr>
            <w:r w:rsidRPr="00E763E2">
              <w:rPr>
                <w:rFonts w:asciiTheme="minorHAnsi" w:hAnsiTheme="minorHAnsi" w:cstheme="minorHAnsi"/>
                <w:b/>
                <w:bCs/>
                <w:color w:val="000000"/>
                <w:sz w:val="14"/>
                <w:szCs w:val="14"/>
                <w:lang w:val="en-US" w:eastAsia="en-US"/>
              </w:rPr>
              <w:t> </w:t>
            </w:r>
          </w:p>
        </w:tc>
      </w:tr>
      <w:tr w:rsidR="007D3711" w:rsidRPr="00E4527E" w14:paraId="52B8E10B" w14:textId="77777777" w:rsidTr="006923CA">
        <w:trPr>
          <w:trHeight w:hRule="exact" w:val="221"/>
        </w:trPr>
        <w:tc>
          <w:tcPr>
            <w:tcW w:w="701" w:type="dxa"/>
            <w:tcBorders>
              <w:top w:val="nil"/>
              <w:left w:val="nil"/>
              <w:bottom w:val="single" w:sz="4" w:space="0" w:color="auto"/>
              <w:right w:val="nil"/>
            </w:tcBorders>
            <w:shd w:val="clear" w:color="auto" w:fill="auto"/>
            <w:noWrap/>
            <w:hideMark/>
          </w:tcPr>
          <w:p w14:paraId="1377AB88" w14:textId="6EEB4E78" w:rsidR="007D3711" w:rsidRPr="00E4527E" w:rsidRDefault="007D3711" w:rsidP="00191507">
            <w:pPr>
              <w:spacing w:before="20" w:after="20" w:line="240" w:lineRule="auto"/>
              <w:jc w:val="center"/>
              <w:rPr>
                <w:rFonts w:asciiTheme="minorHAnsi" w:hAnsiTheme="minorHAnsi" w:cstheme="minorHAnsi"/>
                <w:color w:val="000000"/>
                <w:sz w:val="14"/>
                <w:szCs w:val="14"/>
                <w:highlight w:val="yellow"/>
                <w:lang w:val="en-US" w:eastAsia="en-US"/>
              </w:rPr>
            </w:pPr>
            <w:r>
              <w:rPr>
                <w:color w:val="000000"/>
                <w:sz w:val="14"/>
                <w:szCs w:val="14"/>
              </w:rPr>
              <w:t>Top 20</w:t>
            </w:r>
          </w:p>
        </w:tc>
        <w:tc>
          <w:tcPr>
            <w:tcW w:w="5260" w:type="dxa"/>
            <w:gridSpan w:val="3"/>
            <w:tcBorders>
              <w:top w:val="nil"/>
              <w:left w:val="nil"/>
              <w:bottom w:val="single" w:sz="4" w:space="0" w:color="auto"/>
              <w:right w:val="nil"/>
            </w:tcBorders>
            <w:shd w:val="clear" w:color="auto" w:fill="auto"/>
            <w:noWrap/>
            <w:hideMark/>
          </w:tcPr>
          <w:p w14:paraId="70FC293D" w14:textId="26D8EF34" w:rsidR="007D3711" w:rsidRPr="007D3711" w:rsidRDefault="007D3711" w:rsidP="00191507">
            <w:pPr>
              <w:spacing w:before="20" w:after="20" w:line="240" w:lineRule="auto"/>
              <w:rPr>
                <w:rFonts w:asciiTheme="minorHAnsi" w:hAnsiTheme="minorHAnsi" w:cstheme="minorHAnsi"/>
                <w:b/>
                <w:bCs/>
                <w:color w:val="000000"/>
                <w:sz w:val="14"/>
                <w:szCs w:val="14"/>
                <w:lang w:val="en-US" w:eastAsia="en-US"/>
              </w:rPr>
            </w:pPr>
            <w:r w:rsidRPr="007D3711">
              <w:rPr>
                <w:rFonts w:asciiTheme="minorHAnsi" w:hAnsiTheme="minorHAnsi" w:cstheme="minorHAnsi"/>
                <w:b/>
                <w:bCs/>
                <w:color w:val="000000"/>
                <w:sz w:val="14"/>
                <w:szCs w:val="14"/>
                <w:lang w:val="en-US" w:eastAsia="en-US"/>
              </w:rPr>
              <w:t>Top 20 separation count, % of all DRGs</w:t>
            </w:r>
          </w:p>
        </w:tc>
        <w:tc>
          <w:tcPr>
            <w:tcW w:w="791" w:type="dxa"/>
            <w:tcBorders>
              <w:top w:val="nil"/>
              <w:left w:val="nil"/>
              <w:bottom w:val="single" w:sz="4" w:space="0" w:color="auto"/>
              <w:right w:val="nil"/>
            </w:tcBorders>
            <w:shd w:val="clear" w:color="auto" w:fill="auto"/>
            <w:noWrap/>
            <w:hideMark/>
          </w:tcPr>
          <w:p w14:paraId="14C70924" w14:textId="666D13BA" w:rsidR="007D3711" w:rsidRPr="00E4527E" w:rsidRDefault="007D3711" w:rsidP="00191507">
            <w:pPr>
              <w:spacing w:before="20" w:after="20" w:line="240" w:lineRule="auto"/>
              <w:rPr>
                <w:rFonts w:asciiTheme="minorHAnsi" w:hAnsiTheme="minorHAnsi" w:cstheme="minorHAnsi"/>
                <w:b/>
                <w:bCs/>
                <w:color w:val="000000"/>
                <w:sz w:val="14"/>
                <w:szCs w:val="14"/>
                <w:highlight w:val="yellow"/>
                <w:lang w:val="en-US" w:eastAsia="en-US"/>
              </w:rPr>
            </w:pPr>
            <w:r>
              <w:rPr>
                <w:b/>
                <w:bCs/>
                <w:color w:val="000000"/>
                <w:sz w:val="14"/>
                <w:szCs w:val="14"/>
              </w:rPr>
              <w:t> </w:t>
            </w:r>
          </w:p>
        </w:tc>
        <w:tc>
          <w:tcPr>
            <w:tcW w:w="839" w:type="dxa"/>
            <w:tcBorders>
              <w:top w:val="nil"/>
              <w:left w:val="nil"/>
              <w:bottom w:val="single" w:sz="4" w:space="0" w:color="auto"/>
              <w:right w:val="nil"/>
            </w:tcBorders>
            <w:shd w:val="clear" w:color="auto" w:fill="auto"/>
            <w:noWrap/>
            <w:hideMark/>
          </w:tcPr>
          <w:p w14:paraId="32B666D9" w14:textId="298C0E52"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45%</w:t>
            </w:r>
          </w:p>
        </w:tc>
        <w:tc>
          <w:tcPr>
            <w:tcW w:w="1021" w:type="dxa"/>
            <w:tcBorders>
              <w:top w:val="nil"/>
              <w:left w:val="nil"/>
              <w:bottom w:val="single" w:sz="4" w:space="0" w:color="auto"/>
              <w:right w:val="nil"/>
            </w:tcBorders>
            <w:shd w:val="clear" w:color="auto" w:fill="auto"/>
            <w:noWrap/>
            <w:hideMark/>
          </w:tcPr>
          <w:p w14:paraId="1A945239" w14:textId="216D44B7"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19%</w:t>
            </w:r>
          </w:p>
        </w:tc>
        <w:tc>
          <w:tcPr>
            <w:tcW w:w="882" w:type="dxa"/>
            <w:tcBorders>
              <w:top w:val="nil"/>
              <w:left w:val="nil"/>
              <w:bottom w:val="single" w:sz="4" w:space="0" w:color="auto"/>
              <w:right w:val="nil"/>
            </w:tcBorders>
            <w:shd w:val="clear" w:color="auto" w:fill="auto"/>
            <w:noWrap/>
            <w:hideMark/>
          </w:tcPr>
          <w:p w14:paraId="472321CF" w14:textId="130CB34D" w:rsidR="007D3711" w:rsidRPr="00E4527E" w:rsidRDefault="007D3711" w:rsidP="00191507">
            <w:pPr>
              <w:spacing w:before="20" w:after="20" w:line="240" w:lineRule="auto"/>
              <w:jc w:val="right"/>
              <w:rPr>
                <w:rFonts w:asciiTheme="minorHAnsi" w:hAnsiTheme="minorHAnsi" w:cstheme="minorHAnsi"/>
                <w:b/>
                <w:bCs/>
                <w:color w:val="000000"/>
                <w:sz w:val="14"/>
                <w:szCs w:val="14"/>
                <w:highlight w:val="yellow"/>
                <w:lang w:val="en-US" w:eastAsia="en-US"/>
              </w:rPr>
            </w:pPr>
            <w:r>
              <w:rPr>
                <w:b/>
                <w:bCs/>
                <w:color w:val="000000"/>
                <w:sz w:val="14"/>
                <w:szCs w:val="14"/>
              </w:rPr>
              <w:t>23%</w:t>
            </w:r>
          </w:p>
        </w:tc>
        <w:tc>
          <w:tcPr>
            <w:tcW w:w="873" w:type="dxa"/>
            <w:tcBorders>
              <w:top w:val="nil"/>
              <w:left w:val="nil"/>
              <w:bottom w:val="single" w:sz="4" w:space="0" w:color="auto"/>
              <w:right w:val="nil"/>
            </w:tcBorders>
            <w:shd w:val="clear" w:color="auto" w:fill="auto"/>
            <w:noWrap/>
            <w:hideMark/>
          </w:tcPr>
          <w:p w14:paraId="29D4D885" w14:textId="6E19C172"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 </w:t>
            </w:r>
          </w:p>
        </w:tc>
        <w:tc>
          <w:tcPr>
            <w:tcW w:w="672" w:type="dxa"/>
            <w:tcBorders>
              <w:top w:val="nil"/>
              <w:left w:val="nil"/>
              <w:bottom w:val="single" w:sz="4" w:space="0" w:color="auto"/>
              <w:right w:val="nil"/>
            </w:tcBorders>
            <w:shd w:val="clear" w:color="auto" w:fill="auto"/>
            <w:noWrap/>
            <w:hideMark/>
          </w:tcPr>
          <w:p w14:paraId="65832362" w14:textId="60D469EB" w:rsidR="007D3711" w:rsidRPr="00E4527E" w:rsidRDefault="007D3711" w:rsidP="00191507">
            <w:pPr>
              <w:spacing w:before="20" w:after="20" w:line="240" w:lineRule="auto"/>
              <w:rPr>
                <w:rFonts w:asciiTheme="minorHAnsi" w:hAnsiTheme="minorHAnsi" w:cstheme="minorHAnsi"/>
                <w:color w:val="000000"/>
                <w:sz w:val="14"/>
                <w:szCs w:val="14"/>
                <w:highlight w:val="yellow"/>
                <w:lang w:val="en-US" w:eastAsia="en-US"/>
              </w:rPr>
            </w:pPr>
            <w:r>
              <w:rPr>
                <w:color w:val="000000"/>
                <w:sz w:val="14"/>
                <w:szCs w:val="14"/>
              </w:rPr>
              <w:t> </w:t>
            </w:r>
          </w:p>
        </w:tc>
        <w:tc>
          <w:tcPr>
            <w:tcW w:w="575" w:type="dxa"/>
            <w:tcBorders>
              <w:top w:val="nil"/>
              <w:left w:val="nil"/>
              <w:bottom w:val="single" w:sz="4" w:space="0" w:color="auto"/>
              <w:right w:val="nil"/>
            </w:tcBorders>
            <w:shd w:val="clear" w:color="auto" w:fill="auto"/>
            <w:noWrap/>
            <w:hideMark/>
          </w:tcPr>
          <w:p w14:paraId="72F141DD" w14:textId="520E113B" w:rsidR="007D3711" w:rsidRPr="00E763E2" w:rsidRDefault="007D3711" w:rsidP="00191507">
            <w:pPr>
              <w:spacing w:before="20" w:after="20" w:line="240" w:lineRule="auto"/>
              <w:rPr>
                <w:rFonts w:asciiTheme="minorHAnsi" w:hAnsiTheme="minorHAnsi" w:cstheme="minorHAnsi"/>
                <w:color w:val="000000"/>
                <w:sz w:val="14"/>
                <w:szCs w:val="14"/>
                <w:lang w:val="en-US" w:eastAsia="en-US"/>
              </w:rPr>
            </w:pPr>
            <w:r w:rsidRPr="00E763E2">
              <w:rPr>
                <w:color w:val="000000"/>
                <w:sz w:val="14"/>
                <w:szCs w:val="14"/>
              </w:rPr>
              <w:t> </w:t>
            </w:r>
          </w:p>
        </w:tc>
        <w:tc>
          <w:tcPr>
            <w:tcW w:w="575" w:type="dxa"/>
            <w:tcBorders>
              <w:top w:val="nil"/>
              <w:left w:val="nil"/>
              <w:bottom w:val="single" w:sz="4" w:space="0" w:color="auto"/>
              <w:right w:val="nil"/>
            </w:tcBorders>
            <w:shd w:val="clear" w:color="auto" w:fill="auto"/>
            <w:noWrap/>
            <w:hideMark/>
          </w:tcPr>
          <w:p w14:paraId="2C789E44" w14:textId="29556F6A" w:rsidR="007D3711" w:rsidRPr="00E763E2" w:rsidRDefault="007D3711" w:rsidP="00191507">
            <w:pPr>
              <w:spacing w:before="20" w:after="20" w:line="240" w:lineRule="auto"/>
              <w:rPr>
                <w:rFonts w:asciiTheme="minorHAnsi" w:hAnsiTheme="minorHAnsi" w:cstheme="minorHAnsi"/>
                <w:color w:val="000000"/>
                <w:sz w:val="14"/>
                <w:szCs w:val="14"/>
                <w:lang w:val="en-US" w:eastAsia="en-US"/>
              </w:rPr>
            </w:pPr>
            <w:r w:rsidRPr="00E763E2">
              <w:rPr>
                <w:color w:val="000000"/>
                <w:sz w:val="14"/>
                <w:szCs w:val="14"/>
              </w:rPr>
              <w:t> </w:t>
            </w:r>
          </w:p>
        </w:tc>
        <w:tc>
          <w:tcPr>
            <w:tcW w:w="994" w:type="dxa"/>
            <w:tcBorders>
              <w:top w:val="nil"/>
              <w:left w:val="nil"/>
              <w:bottom w:val="single" w:sz="4" w:space="0" w:color="auto"/>
              <w:right w:val="nil"/>
            </w:tcBorders>
            <w:shd w:val="clear" w:color="auto" w:fill="auto"/>
            <w:noWrap/>
            <w:hideMark/>
          </w:tcPr>
          <w:p w14:paraId="2A5C6E98" w14:textId="77777777" w:rsidR="007D3711" w:rsidRPr="00E763E2" w:rsidRDefault="007D3711" w:rsidP="00191507">
            <w:pPr>
              <w:spacing w:before="20" w:after="20" w:line="240" w:lineRule="auto"/>
              <w:rPr>
                <w:rFonts w:asciiTheme="minorHAnsi" w:hAnsiTheme="minorHAnsi" w:cstheme="minorHAnsi"/>
                <w:color w:val="000000"/>
                <w:sz w:val="14"/>
                <w:szCs w:val="14"/>
                <w:lang w:val="en-US" w:eastAsia="en-US"/>
              </w:rPr>
            </w:pPr>
            <w:r w:rsidRPr="00E763E2">
              <w:rPr>
                <w:rFonts w:asciiTheme="minorHAnsi" w:hAnsiTheme="minorHAnsi" w:cstheme="minorHAnsi"/>
                <w:color w:val="000000"/>
                <w:sz w:val="14"/>
                <w:szCs w:val="14"/>
                <w:lang w:val="en-US" w:eastAsia="en-US"/>
              </w:rPr>
              <w:t> </w:t>
            </w:r>
          </w:p>
        </w:tc>
        <w:tc>
          <w:tcPr>
            <w:tcW w:w="660" w:type="dxa"/>
            <w:tcBorders>
              <w:top w:val="nil"/>
              <w:left w:val="nil"/>
              <w:bottom w:val="single" w:sz="4" w:space="0" w:color="auto"/>
              <w:right w:val="nil"/>
            </w:tcBorders>
            <w:shd w:val="clear" w:color="auto" w:fill="auto"/>
            <w:noWrap/>
            <w:hideMark/>
          </w:tcPr>
          <w:p w14:paraId="370B9988" w14:textId="77777777" w:rsidR="007D3711" w:rsidRPr="00E763E2" w:rsidRDefault="007D3711" w:rsidP="00191507">
            <w:pPr>
              <w:spacing w:before="20" w:after="20" w:line="240" w:lineRule="auto"/>
              <w:rPr>
                <w:rFonts w:asciiTheme="minorHAnsi" w:hAnsiTheme="minorHAnsi" w:cstheme="minorHAnsi"/>
                <w:color w:val="000000"/>
                <w:sz w:val="14"/>
                <w:szCs w:val="14"/>
                <w:lang w:val="en-US" w:eastAsia="en-US"/>
              </w:rPr>
            </w:pPr>
            <w:r w:rsidRPr="00E763E2">
              <w:rPr>
                <w:rFonts w:asciiTheme="minorHAnsi" w:hAnsiTheme="minorHAnsi" w:cstheme="minorHAnsi"/>
                <w:color w:val="000000"/>
                <w:sz w:val="14"/>
                <w:szCs w:val="14"/>
                <w:lang w:val="en-US" w:eastAsia="en-US"/>
              </w:rPr>
              <w:t> </w:t>
            </w:r>
          </w:p>
        </w:tc>
        <w:tc>
          <w:tcPr>
            <w:tcW w:w="1182" w:type="dxa"/>
            <w:tcBorders>
              <w:top w:val="nil"/>
              <w:left w:val="nil"/>
              <w:bottom w:val="single" w:sz="4" w:space="0" w:color="auto"/>
              <w:right w:val="nil"/>
            </w:tcBorders>
            <w:shd w:val="clear" w:color="auto" w:fill="auto"/>
            <w:noWrap/>
            <w:hideMark/>
          </w:tcPr>
          <w:p w14:paraId="530DC7DA" w14:textId="77777777" w:rsidR="007D3711" w:rsidRPr="00E763E2" w:rsidRDefault="007D3711" w:rsidP="00191507">
            <w:pPr>
              <w:spacing w:before="20" w:after="20" w:line="240" w:lineRule="auto"/>
              <w:rPr>
                <w:rFonts w:asciiTheme="minorHAnsi" w:hAnsiTheme="minorHAnsi" w:cstheme="minorHAnsi"/>
                <w:color w:val="000000"/>
                <w:sz w:val="14"/>
                <w:szCs w:val="14"/>
                <w:lang w:val="en-US" w:eastAsia="en-US"/>
              </w:rPr>
            </w:pPr>
            <w:r w:rsidRPr="00E763E2">
              <w:rPr>
                <w:rFonts w:asciiTheme="minorHAnsi" w:hAnsiTheme="minorHAnsi" w:cstheme="minorHAnsi"/>
                <w:color w:val="000000"/>
                <w:sz w:val="14"/>
                <w:szCs w:val="14"/>
                <w:lang w:val="en-US" w:eastAsia="en-US"/>
              </w:rPr>
              <w:t> </w:t>
            </w:r>
          </w:p>
        </w:tc>
      </w:tr>
    </w:tbl>
    <w:p w14:paraId="17AAA145" w14:textId="473FE4E5" w:rsidR="00231641" w:rsidRPr="007D3711" w:rsidRDefault="00231641" w:rsidP="006923CA">
      <w:pPr>
        <w:spacing w:after="0" w:line="240" w:lineRule="auto"/>
        <w:rPr>
          <w:rFonts w:asciiTheme="minorHAnsi" w:hAnsiTheme="minorHAnsi" w:cstheme="minorHAnsi"/>
          <w:sz w:val="14"/>
        </w:rPr>
      </w:pPr>
      <w:r w:rsidRPr="007D3711">
        <w:rPr>
          <w:rFonts w:asciiTheme="minorHAnsi" w:hAnsiTheme="minorHAnsi" w:cstheme="minorHAnsi"/>
          <w:color w:val="008A00" w:themeColor="accent2"/>
          <w:sz w:val="14"/>
        </w:rPr>
        <w:t>Notes</w:t>
      </w:r>
      <w:r w:rsidRPr="007D3711">
        <w:rPr>
          <w:rFonts w:asciiTheme="minorHAnsi" w:hAnsiTheme="minorHAnsi" w:cstheme="minorHAnsi"/>
          <w:sz w:val="14"/>
        </w:rPr>
        <w:tab/>
      </w:r>
      <w:r w:rsidRPr="007D3711">
        <w:rPr>
          <w:rFonts w:asciiTheme="minorHAnsi" w:hAnsiTheme="minorHAnsi" w:cstheme="minorHAnsi"/>
          <w:sz w:val="14"/>
        </w:rPr>
        <w:tab/>
      </w:r>
    </w:p>
    <w:p w14:paraId="07F98573" w14:textId="55F8D0DC" w:rsidR="00231641" w:rsidRPr="00F467C8" w:rsidRDefault="00231641" w:rsidP="006923CA">
      <w:pPr>
        <w:spacing w:after="0" w:line="240" w:lineRule="auto"/>
        <w:rPr>
          <w:rFonts w:asciiTheme="minorHAnsi" w:hAnsiTheme="minorHAnsi" w:cstheme="minorHAnsi"/>
          <w:sz w:val="14"/>
        </w:rPr>
      </w:pPr>
      <w:r w:rsidRPr="00F467C8">
        <w:rPr>
          <w:rFonts w:asciiTheme="minorHAnsi" w:hAnsiTheme="minorHAnsi" w:cstheme="minorHAnsi"/>
          <w:sz w:val="14"/>
        </w:rPr>
        <w:t xml:space="preserve">(a) For cost weight (cost bucket specific) calculations please refer to </w:t>
      </w:r>
      <w:r w:rsidR="00544B40" w:rsidRPr="00F467C8">
        <w:rPr>
          <w:rFonts w:asciiTheme="minorHAnsi" w:hAnsiTheme="minorHAnsi" w:cstheme="minorHAnsi"/>
          <w:sz w:val="14"/>
        </w:rPr>
        <w:fldChar w:fldCharType="begin"/>
      </w:r>
      <w:r w:rsidR="00544B40" w:rsidRPr="00F467C8">
        <w:rPr>
          <w:rFonts w:asciiTheme="minorHAnsi" w:hAnsiTheme="minorHAnsi" w:cstheme="minorHAnsi"/>
          <w:sz w:val="14"/>
        </w:rPr>
        <w:instrText xml:space="preserve"> REF _Ref497335615 \h  \* MERGEFORMAT </w:instrText>
      </w:r>
      <w:r w:rsidR="00544B40" w:rsidRPr="00F467C8">
        <w:rPr>
          <w:rFonts w:asciiTheme="minorHAnsi" w:hAnsiTheme="minorHAnsi" w:cstheme="minorHAnsi"/>
          <w:sz w:val="14"/>
        </w:rPr>
      </w:r>
      <w:r w:rsidR="00544B40" w:rsidRPr="00F467C8">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00544B40" w:rsidRPr="00F467C8">
        <w:rPr>
          <w:rFonts w:asciiTheme="minorHAnsi" w:hAnsiTheme="minorHAnsi" w:cstheme="minorHAnsi"/>
          <w:sz w:val="14"/>
        </w:rPr>
        <w:fldChar w:fldCharType="end"/>
      </w:r>
      <w:r w:rsidR="00544B40" w:rsidRPr="00F467C8">
        <w:rPr>
          <w:rFonts w:asciiTheme="minorHAnsi" w:hAnsiTheme="minorHAnsi" w:cstheme="minorHAnsi"/>
          <w:sz w:val="14"/>
        </w:rPr>
        <w:tab/>
      </w:r>
      <w:r w:rsidRPr="00F467C8">
        <w:rPr>
          <w:rFonts w:asciiTheme="minorHAnsi" w:hAnsiTheme="minorHAnsi" w:cstheme="minorHAnsi"/>
          <w:sz w:val="14"/>
        </w:rPr>
        <w:tab/>
      </w:r>
    </w:p>
    <w:p w14:paraId="0A8134CB" w14:textId="27E7B654" w:rsidR="00231641" w:rsidRPr="007D3711" w:rsidRDefault="00231641" w:rsidP="006923CA">
      <w:pPr>
        <w:spacing w:after="0" w:line="240" w:lineRule="auto"/>
        <w:rPr>
          <w:rFonts w:asciiTheme="minorHAnsi" w:hAnsiTheme="minorHAnsi" w:cstheme="minorHAnsi"/>
          <w:sz w:val="14"/>
        </w:rPr>
      </w:pPr>
      <w:r w:rsidRPr="007D3711">
        <w:rPr>
          <w:rFonts w:asciiTheme="minorHAnsi" w:hAnsiTheme="minorHAnsi" w:cstheme="minorHAnsi"/>
          <w:sz w:val="14"/>
        </w:rPr>
        <w:t>(b) Separations shown are strata weighted</w:t>
      </w:r>
      <w:r w:rsidRPr="007D3711">
        <w:rPr>
          <w:rFonts w:asciiTheme="minorHAnsi" w:hAnsiTheme="minorHAnsi" w:cstheme="minorHAnsi"/>
          <w:sz w:val="14"/>
        </w:rPr>
        <w:tab/>
      </w:r>
    </w:p>
    <w:p w14:paraId="19D30313" w14:textId="73FE4CEF" w:rsidR="00231641" w:rsidRPr="007D3711" w:rsidRDefault="00231641" w:rsidP="006923CA">
      <w:pPr>
        <w:spacing w:after="0" w:line="240" w:lineRule="auto"/>
        <w:rPr>
          <w:rFonts w:asciiTheme="minorHAnsi" w:hAnsiTheme="minorHAnsi" w:cstheme="minorHAnsi"/>
          <w:sz w:val="14"/>
        </w:rPr>
      </w:pPr>
      <w:r w:rsidRPr="007D3711">
        <w:rPr>
          <w:rFonts w:asciiTheme="minorHAnsi" w:hAnsiTheme="minorHAnsi" w:cstheme="minorHAnsi"/>
          <w:sz w:val="14"/>
        </w:rPr>
        <w:t xml:space="preserve">(e) ALoS means </w:t>
      </w:r>
      <w:r w:rsidR="008C3232">
        <w:rPr>
          <w:rFonts w:asciiTheme="minorHAnsi" w:hAnsiTheme="minorHAnsi" w:cstheme="minorHAnsi"/>
          <w:sz w:val="14"/>
        </w:rPr>
        <w:t>A</w:t>
      </w:r>
      <w:r w:rsidRPr="007D3711">
        <w:rPr>
          <w:rFonts w:asciiTheme="minorHAnsi" w:hAnsiTheme="minorHAnsi" w:cstheme="minorHAnsi"/>
          <w:sz w:val="14"/>
        </w:rPr>
        <w:t xml:space="preserve">verage </w:t>
      </w:r>
      <w:r w:rsidR="008C3232">
        <w:rPr>
          <w:rFonts w:asciiTheme="minorHAnsi" w:hAnsiTheme="minorHAnsi" w:cstheme="minorHAnsi"/>
          <w:sz w:val="14"/>
        </w:rPr>
        <w:t>L</w:t>
      </w:r>
      <w:r w:rsidRPr="007D3711">
        <w:rPr>
          <w:rFonts w:asciiTheme="minorHAnsi" w:hAnsiTheme="minorHAnsi" w:cstheme="minorHAnsi"/>
          <w:sz w:val="14"/>
        </w:rPr>
        <w:t xml:space="preserve">ength of </w:t>
      </w:r>
      <w:r w:rsidR="008C3232">
        <w:rPr>
          <w:rFonts w:asciiTheme="minorHAnsi" w:hAnsiTheme="minorHAnsi" w:cstheme="minorHAnsi"/>
          <w:sz w:val="14"/>
        </w:rPr>
        <w:t>S</w:t>
      </w:r>
      <w:r w:rsidRPr="007D3711">
        <w:rPr>
          <w:rFonts w:asciiTheme="minorHAnsi" w:hAnsiTheme="minorHAnsi" w:cstheme="minorHAnsi"/>
          <w:sz w:val="14"/>
        </w:rPr>
        <w:t>tay</w:t>
      </w:r>
      <w:r w:rsidRPr="007D3711">
        <w:rPr>
          <w:rFonts w:asciiTheme="minorHAnsi" w:hAnsiTheme="minorHAnsi" w:cstheme="minorHAnsi"/>
          <w:sz w:val="14"/>
        </w:rPr>
        <w:tab/>
      </w:r>
    </w:p>
    <w:p w14:paraId="4328BDCF" w14:textId="77777777" w:rsidR="00581D11" w:rsidRPr="00E4527E" w:rsidRDefault="00581D11" w:rsidP="006200A2">
      <w:pPr>
        <w:pStyle w:val="Figureheadings"/>
        <w:rPr>
          <w:highlight w:val="yellow"/>
        </w:rPr>
        <w:sectPr w:rsidR="00581D11" w:rsidRPr="00E4527E" w:rsidSect="00384647">
          <w:pgSz w:w="16840" w:h="11907" w:orient="landscape" w:code="9"/>
          <w:pgMar w:top="1843" w:right="1440" w:bottom="1021" w:left="1021" w:header="680" w:footer="510" w:gutter="0"/>
          <w:cols w:space="708"/>
          <w:docGrid w:linePitch="360"/>
        </w:sectPr>
      </w:pPr>
    </w:p>
    <w:p w14:paraId="581D2B79" w14:textId="505DACD8" w:rsidR="005D7320" w:rsidRPr="006F26B4" w:rsidRDefault="005D7320" w:rsidP="00302DDA">
      <w:pPr>
        <w:pStyle w:val="Heading3"/>
        <w:rPr>
          <w:rFonts w:ascii="Georgia" w:hAnsi="Georgia"/>
          <w:sz w:val="20"/>
          <w:szCs w:val="20"/>
        </w:rPr>
      </w:pPr>
      <w:bookmarkStart w:id="159" w:name="_Ref433277770"/>
      <w:bookmarkStart w:id="160" w:name="_Toc496857580"/>
      <w:r w:rsidRPr="006F26B4">
        <w:lastRenderedPageBreak/>
        <w:t xml:space="preserve">Top 20 DRGs ranked by highest </w:t>
      </w:r>
      <w:r w:rsidR="007E6F3B">
        <w:t>cost-</w:t>
      </w:r>
      <w:r w:rsidR="003D1557">
        <w:t>weighted</w:t>
      </w:r>
      <w:r w:rsidRPr="006F26B4">
        <w:t xml:space="preserve"> separations</w:t>
      </w:r>
      <w:bookmarkEnd w:id="159"/>
      <w:bookmarkEnd w:id="160"/>
    </w:p>
    <w:p w14:paraId="721995A0" w14:textId="40B91F7F" w:rsidR="005D7320" w:rsidRPr="006F26B4" w:rsidRDefault="005D7320" w:rsidP="005D7320">
      <w:pPr>
        <w:pStyle w:val="Intro"/>
      </w:pPr>
      <w:r w:rsidRPr="006F26B4">
        <w:t>Key findings</w:t>
      </w:r>
    </w:p>
    <w:p w14:paraId="6A6B573A" w14:textId="4BA392A6" w:rsidR="00E7439E" w:rsidRPr="00E4527E" w:rsidRDefault="006654BA" w:rsidP="005D7320">
      <w:pPr>
        <w:rPr>
          <w:highlight w:val="yellow"/>
        </w:rPr>
      </w:pPr>
      <w:r w:rsidRPr="00F467C8">
        <w:t>Table 7</w:t>
      </w:r>
      <w:r w:rsidR="009E6DCF" w:rsidRPr="00F467C8">
        <w:t xml:space="preserve"> and </w:t>
      </w:r>
      <w:r w:rsidRPr="00F467C8">
        <w:t>Figure 3</w:t>
      </w:r>
      <w:r w:rsidR="005D7320" w:rsidRPr="00F467C8">
        <w:t xml:space="preserve"> present the top 20 DRGs ranked by highest </w:t>
      </w:r>
      <w:r w:rsidR="007E6F3B" w:rsidRPr="00F467C8">
        <w:t>cost weight separations. A</w:t>
      </w:r>
      <w:r w:rsidR="007E6F3B">
        <w:t xml:space="preserve"> cost-</w:t>
      </w:r>
      <w:r w:rsidR="003D1557">
        <w:t>weighted</w:t>
      </w:r>
      <w:r w:rsidR="005D7320" w:rsidRPr="00455435">
        <w:t xml:space="preserve"> separation refers to the number of population-adjusted separations multiplied by the cost weight for that DRG, and measures the total cost</w:t>
      </w:r>
      <w:r w:rsidR="00536768">
        <w:t xml:space="preserve">, or resource utilisation, </w:t>
      </w:r>
      <w:r w:rsidR="005D7320" w:rsidRPr="00455435">
        <w:t>associated with that DRG.</w:t>
      </w:r>
    </w:p>
    <w:p w14:paraId="32FE43A8" w14:textId="1ED93DE9" w:rsidR="00E7439E" w:rsidRPr="00E4527E" w:rsidRDefault="006654BA" w:rsidP="005D7320">
      <w:pPr>
        <w:rPr>
          <w:highlight w:val="yellow"/>
        </w:rPr>
      </w:pPr>
      <w:r w:rsidRPr="00F467C8">
        <w:t>Figure 3</w:t>
      </w:r>
      <w:r w:rsidR="00FD56F8" w:rsidRPr="00F467C8">
        <w:t xml:space="preserve"> </w:t>
      </w:r>
      <w:r w:rsidR="00455435" w:rsidRPr="00F467C8">
        <w:t>shows</w:t>
      </w:r>
      <w:r w:rsidR="005D7320" w:rsidRPr="00F467C8">
        <w:t xml:space="preserve"> that the highest cost weigh</w:t>
      </w:r>
      <w:r w:rsidR="009C53E9" w:rsidRPr="00F467C8">
        <w:t>t</w:t>
      </w:r>
      <w:r w:rsidR="00517529">
        <w:t xml:space="preserve"> DRG wa</w:t>
      </w:r>
      <w:r w:rsidR="005D7320" w:rsidRPr="00F467C8">
        <w:t xml:space="preserve">s I04B </w:t>
      </w:r>
      <w:r w:rsidR="006923CA" w:rsidRPr="00F467C8">
        <w:t>(</w:t>
      </w:r>
      <w:r w:rsidR="00455435" w:rsidRPr="00F467C8">
        <w:rPr>
          <w:color w:val="000000"/>
          <w:szCs w:val="22"/>
        </w:rPr>
        <w:t>Knee Replacement, Minor Complexity</w:t>
      </w:r>
      <w:r w:rsidR="006923CA" w:rsidRPr="00F467C8">
        <w:rPr>
          <w:color w:val="000000"/>
          <w:szCs w:val="22"/>
        </w:rPr>
        <w:t>)</w:t>
      </w:r>
      <w:r w:rsidR="005D7320" w:rsidRPr="00F467C8">
        <w:t xml:space="preserve">. This procedure is a common procedure within the </w:t>
      </w:r>
      <w:r w:rsidR="006923CA" w:rsidRPr="00F467C8">
        <w:t xml:space="preserve">private </w:t>
      </w:r>
      <w:r w:rsidR="005D7320" w:rsidRPr="00F467C8">
        <w:t xml:space="preserve">sector and </w:t>
      </w:r>
      <w:r w:rsidR="00455435" w:rsidRPr="00F467C8">
        <w:t xml:space="preserve">it is frequently ranked amongst the highest </w:t>
      </w:r>
      <w:r w:rsidR="007E6F3B" w:rsidRPr="00F467C8">
        <w:t>cost-</w:t>
      </w:r>
      <w:r w:rsidR="003D1557" w:rsidRPr="00F467C8">
        <w:t>weighted</w:t>
      </w:r>
      <w:r w:rsidR="00455435" w:rsidRPr="00F467C8">
        <w:t xml:space="preserve"> DRGs. A</w:t>
      </w:r>
      <w:r w:rsidR="00E53105" w:rsidRPr="00F467C8">
        <w:t xml:space="preserve">s can be seen in </w:t>
      </w:r>
      <w:r w:rsidRPr="00F467C8">
        <w:t>Table 7</w:t>
      </w:r>
      <w:r w:rsidR="00E53105" w:rsidRPr="00F467C8">
        <w:t xml:space="preserve">, </w:t>
      </w:r>
      <w:r w:rsidR="007E6F3B" w:rsidRPr="00F467C8">
        <w:t>the number of</w:t>
      </w:r>
      <w:r w:rsidR="007E6F3B">
        <w:t xml:space="preserve"> cost-</w:t>
      </w:r>
      <w:r w:rsidR="003D1557">
        <w:t>weighted</w:t>
      </w:r>
      <w:r w:rsidR="005D7320" w:rsidRPr="00455435">
        <w:t xml:space="preserve"> separations </w:t>
      </w:r>
      <w:r w:rsidR="000D6147">
        <w:t xml:space="preserve">for this DRG </w:t>
      </w:r>
      <w:r w:rsidR="005D7320" w:rsidRPr="00455435">
        <w:t xml:space="preserve">has </w:t>
      </w:r>
      <w:r w:rsidR="00BD030A" w:rsidRPr="00455435">
        <w:t>increased</w:t>
      </w:r>
      <w:r w:rsidR="005D7320" w:rsidRPr="00455435">
        <w:t xml:space="preserve"> by </w:t>
      </w:r>
      <w:r w:rsidR="00455435" w:rsidRPr="00455435">
        <w:t>6</w:t>
      </w:r>
      <w:r w:rsidR="00BD030A" w:rsidRPr="00455435">
        <w:t>,</w:t>
      </w:r>
      <w:r w:rsidR="00385317" w:rsidRPr="00455435">
        <w:t>8</w:t>
      </w:r>
      <w:r w:rsidR="00455435" w:rsidRPr="00455435">
        <w:t>7</w:t>
      </w:r>
      <w:r w:rsidR="00385317" w:rsidRPr="00455435">
        <w:t>1</w:t>
      </w:r>
      <w:r w:rsidR="00BD030A" w:rsidRPr="00455435">
        <w:t xml:space="preserve"> or </w:t>
      </w:r>
      <w:r w:rsidR="00455435" w:rsidRPr="00455435">
        <w:t>4</w:t>
      </w:r>
      <w:r w:rsidR="00E359A8" w:rsidRPr="00455435">
        <w:t>.</w:t>
      </w:r>
      <w:r w:rsidR="00455435" w:rsidRPr="00455435">
        <w:t>8</w:t>
      </w:r>
      <w:r w:rsidR="00D61C39" w:rsidRPr="00455435">
        <w:t xml:space="preserve"> </w:t>
      </w:r>
      <w:r w:rsidR="00F74337">
        <w:t>percent</w:t>
      </w:r>
      <w:r w:rsidR="00BD030A" w:rsidRPr="00455435">
        <w:t xml:space="preserve"> </w:t>
      </w:r>
      <w:r w:rsidR="005D7320" w:rsidRPr="00455435">
        <w:t>(</w:t>
      </w:r>
      <w:r w:rsidR="00455435" w:rsidRPr="00455435">
        <w:t xml:space="preserve">from </w:t>
      </w:r>
      <w:r w:rsidR="00BD030A" w:rsidRPr="00455435">
        <w:t>14</w:t>
      </w:r>
      <w:r w:rsidR="00455435" w:rsidRPr="00455435">
        <w:t>3</w:t>
      </w:r>
      <w:r w:rsidR="00BD030A" w:rsidRPr="00455435">
        <w:t>,</w:t>
      </w:r>
      <w:r w:rsidR="00455435" w:rsidRPr="00455435">
        <w:t>3</w:t>
      </w:r>
      <w:r w:rsidR="00385317" w:rsidRPr="00455435">
        <w:t>43</w:t>
      </w:r>
      <w:r w:rsidR="00455435" w:rsidRPr="00455435">
        <w:t xml:space="preserve"> to </w:t>
      </w:r>
      <w:r w:rsidR="00BD030A" w:rsidRPr="00455435">
        <w:t>1</w:t>
      </w:r>
      <w:r w:rsidR="00455435" w:rsidRPr="00455435">
        <w:t>50</w:t>
      </w:r>
      <w:r w:rsidR="00BD030A" w:rsidRPr="00455435">
        <w:t>,</w:t>
      </w:r>
      <w:r w:rsidR="00455435" w:rsidRPr="00455435">
        <w:t>2</w:t>
      </w:r>
      <w:r w:rsidR="00BD030A" w:rsidRPr="00455435">
        <w:t>1</w:t>
      </w:r>
      <w:r w:rsidR="00455435" w:rsidRPr="00455435">
        <w:t>4 separations</w:t>
      </w:r>
      <w:r w:rsidR="005D7320" w:rsidRPr="00455435">
        <w:t>)</w:t>
      </w:r>
      <w:r w:rsidR="005D7320" w:rsidRPr="00455435">
        <w:rPr>
          <w:color w:val="000000"/>
          <w:sz w:val="16"/>
          <w:szCs w:val="16"/>
        </w:rPr>
        <w:t xml:space="preserve"> </w:t>
      </w:r>
      <w:r w:rsidR="005D7320" w:rsidRPr="00455435">
        <w:t xml:space="preserve">between Rounds. </w:t>
      </w:r>
    </w:p>
    <w:p w14:paraId="5F7659F9" w14:textId="30854E4C" w:rsidR="00E7439E" w:rsidRPr="000D6147" w:rsidRDefault="005D7320" w:rsidP="005D7320">
      <w:r w:rsidRPr="000D6147">
        <w:t>The DRGs listed in the top 20 (</w:t>
      </w:r>
      <w:r w:rsidR="006654BA" w:rsidRPr="000D6147">
        <w:t>Table 7</w:t>
      </w:r>
      <w:r w:rsidRPr="000D6147">
        <w:t xml:space="preserve">) </w:t>
      </w:r>
      <w:r w:rsidR="00517529">
        <w:t>were</w:t>
      </w:r>
      <w:r w:rsidRPr="000D6147">
        <w:t xml:space="preserve"> </w:t>
      </w:r>
      <w:r w:rsidR="00536768">
        <w:t>anticipated</w:t>
      </w:r>
      <w:r w:rsidR="00536768" w:rsidRPr="000D6147">
        <w:t xml:space="preserve"> </w:t>
      </w:r>
      <w:r w:rsidRPr="000D6147">
        <w:t xml:space="preserve">to be within this ranking given that </w:t>
      </w:r>
      <w:r w:rsidR="00BD030A" w:rsidRPr="000D6147">
        <w:t>8</w:t>
      </w:r>
      <w:r w:rsidR="00D61C39" w:rsidRPr="000D6147">
        <w:t xml:space="preserve">0 </w:t>
      </w:r>
      <w:r w:rsidR="00F74337" w:rsidRPr="000D6147">
        <w:t>percent</w:t>
      </w:r>
      <w:r w:rsidRPr="000D6147">
        <w:t xml:space="preserve"> (1</w:t>
      </w:r>
      <w:r w:rsidR="00BD030A" w:rsidRPr="000D6147">
        <w:t>6</w:t>
      </w:r>
      <w:r w:rsidRPr="000D6147">
        <w:t xml:space="preserve"> out of 20) are either within orthopaedic, neurology or cardiac procedures which require high cost prostheses or high volume treatments like </w:t>
      </w:r>
      <w:r w:rsidR="000D6147" w:rsidRPr="000D6147">
        <w:t xml:space="preserve">colonoscopy/endoscopy or </w:t>
      </w:r>
      <w:r w:rsidRPr="000D6147">
        <w:t>chemotherapy.</w:t>
      </w:r>
    </w:p>
    <w:p w14:paraId="5A668C68" w14:textId="0B5B6017" w:rsidR="00E7439E" w:rsidRPr="00005BE4" w:rsidRDefault="00853F32" w:rsidP="005D7320">
      <w:r w:rsidRPr="00005BE4">
        <w:t xml:space="preserve">The top 20 </w:t>
      </w:r>
      <w:r w:rsidR="005D7320" w:rsidRPr="00005BE4">
        <w:t xml:space="preserve">DRGs </w:t>
      </w:r>
      <w:r w:rsidRPr="00005BE4">
        <w:t xml:space="preserve">by </w:t>
      </w:r>
      <w:r w:rsidR="007E6F3B">
        <w:t>cost-</w:t>
      </w:r>
      <w:r w:rsidR="003D1557">
        <w:t>weighted</w:t>
      </w:r>
      <w:r w:rsidRPr="00005BE4">
        <w:t xml:space="preserve"> separations </w:t>
      </w:r>
      <w:r w:rsidR="005D7320" w:rsidRPr="00005BE4">
        <w:t>represent</w:t>
      </w:r>
      <w:r w:rsidR="00A3433C">
        <w:t>ed</w:t>
      </w:r>
      <w:r w:rsidR="005D7320" w:rsidRPr="00005BE4">
        <w:t xml:space="preserve"> 3</w:t>
      </w:r>
      <w:r w:rsidR="00005BE4" w:rsidRPr="00005BE4">
        <w:t>1</w:t>
      </w:r>
      <w:r w:rsidR="00D61C39" w:rsidRPr="00005BE4">
        <w:t xml:space="preserve"> </w:t>
      </w:r>
      <w:r w:rsidR="00F74337">
        <w:t>percent</w:t>
      </w:r>
      <w:r w:rsidR="005D7320" w:rsidRPr="00005BE4">
        <w:t xml:space="preserve"> (</w:t>
      </w:r>
      <w:r w:rsidR="00005BE4" w:rsidRPr="00005BE4">
        <w:t>1,006,245</w:t>
      </w:r>
      <w:r w:rsidR="003D1557">
        <w:t xml:space="preserve"> cost</w:t>
      </w:r>
      <w:r w:rsidR="007E6F3B">
        <w:t>-</w:t>
      </w:r>
      <w:r w:rsidR="003D1557">
        <w:t>weighted</w:t>
      </w:r>
      <w:r w:rsidR="005D7320" w:rsidRPr="00005BE4">
        <w:t xml:space="preserve"> separations) of the total population</w:t>
      </w:r>
      <w:r w:rsidR="007E6F3B">
        <w:t xml:space="preserve"> cost-</w:t>
      </w:r>
      <w:r w:rsidR="003D1557">
        <w:t>weighted</w:t>
      </w:r>
      <w:r w:rsidR="005D7320" w:rsidRPr="00005BE4">
        <w:t xml:space="preserve"> separations </w:t>
      </w:r>
      <w:r w:rsidR="0053227C" w:rsidRPr="00005BE4">
        <w:t xml:space="preserve">of </w:t>
      </w:r>
      <w:r w:rsidR="000D6147" w:rsidRPr="006923CA">
        <w:t>3,242,411</w:t>
      </w:r>
      <w:r w:rsidR="005D7320" w:rsidRPr="00005BE4">
        <w:t xml:space="preserve">. </w:t>
      </w:r>
      <w:r w:rsidR="00281672" w:rsidRPr="00005BE4">
        <w:t>Additionally, these</w:t>
      </w:r>
      <w:r w:rsidR="005D7320" w:rsidRPr="00005BE4">
        <w:t xml:space="preserve"> DRGs represent</w:t>
      </w:r>
      <w:r w:rsidR="00A3433C">
        <w:t>ed</w:t>
      </w:r>
      <w:r w:rsidR="005D7320" w:rsidRPr="00005BE4">
        <w:t xml:space="preserve"> 2</w:t>
      </w:r>
      <w:r w:rsidR="00005BE4" w:rsidRPr="00005BE4">
        <w:t>2</w:t>
      </w:r>
      <w:r w:rsidR="00D61C39" w:rsidRPr="00005BE4">
        <w:t xml:space="preserve"> </w:t>
      </w:r>
      <w:r w:rsidR="00F74337">
        <w:t>percent</w:t>
      </w:r>
      <w:r w:rsidR="005D7320" w:rsidRPr="00005BE4">
        <w:t xml:space="preserve"> of the total population-adju</w:t>
      </w:r>
      <w:r w:rsidR="00A3433C">
        <w:t>sted separations. This indicated</w:t>
      </w:r>
      <w:r w:rsidR="005D7320" w:rsidRPr="00005BE4">
        <w:t xml:space="preserve"> that these </w:t>
      </w:r>
      <w:r w:rsidR="00517529">
        <w:t>were</w:t>
      </w:r>
      <w:r w:rsidR="005D7320" w:rsidRPr="00005BE4">
        <w:t xml:space="preserve"> a mix</w:t>
      </w:r>
      <w:r w:rsidR="00D61C39" w:rsidRPr="00005BE4">
        <w:t xml:space="preserve">ture </w:t>
      </w:r>
      <w:r w:rsidR="000D6147">
        <w:t xml:space="preserve">of high volume and </w:t>
      </w:r>
      <w:r w:rsidR="00D61C39" w:rsidRPr="00005BE4">
        <w:t xml:space="preserve">high cost </w:t>
      </w:r>
      <w:r w:rsidR="005D7320" w:rsidRPr="00005BE4">
        <w:t xml:space="preserve">DRGs. </w:t>
      </w:r>
    </w:p>
    <w:p w14:paraId="651D9A67" w14:textId="440983EE" w:rsidR="005D7320" w:rsidRPr="00005BE4" w:rsidRDefault="00162614" w:rsidP="005D7320">
      <w:pPr>
        <w:pStyle w:val="Intro"/>
      </w:pPr>
      <w:r>
        <w:t>Consistencies between Round 21 and Round 20</w:t>
      </w:r>
    </w:p>
    <w:p w14:paraId="541FFE69" w14:textId="6DED2680" w:rsidR="00E7439E" w:rsidRPr="00005BE4" w:rsidRDefault="005D7320" w:rsidP="005D7320">
      <w:r w:rsidRPr="00005BE4">
        <w:t>As</w:t>
      </w:r>
      <w:r w:rsidR="00AA16B4" w:rsidRPr="00005BE4">
        <w:t xml:space="preserve"> shown i</w:t>
      </w:r>
      <w:r w:rsidR="00AA16B4" w:rsidRPr="00F467C8">
        <w:t xml:space="preserve">n </w:t>
      </w:r>
      <w:r w:rsidR="006654BA" w:rsidRPr="00F467C8">
        <w:t>Table 7</w:t>
      </w:r>
      <w:r w:rsidRPr="00F467C8">
        <w:t xml:space="preserve"> the top </w:t>
      </w:r>
      <w:r w:rsidR="000E10B8" w:rsidRPr="00F467C8">
        <w:t xml:space="preserve">two </w:t>
      </w:r>
      <w:r w:rsidRPr="00F467C8">
        <w:t xml:space="preserve">DRGs </w:t>
      </w:r>
      <w:r w:rsidR="000D6147" w:rsidRPr="00F467C8">
        <w:t xml:space="preserve">by </w:t>
      </w:r>
      <w:r w:rsidR="007E6F3B" w:rsidRPr="00F467C8">
        <w:t>cost-</w:t>
      </w:r>
      <w:r w:rsidR="003D1557" w:rsidRPr="00F467C8">
        <w:t>weighted</w:t>
      </w:r>
      <w:r w:rsidR="000D6147" w:rsidRPr="00F467C8">
        <w:t xml:space="preserve"> separations; </w:t>
      </w:r>
      <w:r w:rsidR="000D6147" w:rsidRPr="00F467C8">
        <w:rPr>
          <w:szCs w:val="22"/>
        </w:rPr>
        <w:t>I04B (</w:t>
      </w:r>
      <w:r w:rsidR="00005BE4" w:rsidRPr="00F467C8">
        <w:rPr>
          <w:color w:val="000000"/>
          <w:szCs w:val="22"/>
        </w:rPr>
        <w:t>Knee Replacement,</w:t>
      </w:r>
      <w:r w:rsidR="00005BE4" w:rsidRPr="00005BE4">
        <w:rPr>
          <w:color w:val="000000"/>
          <w:szCs w:val="22"/>
        </w:rPr>
        <w:t xml:space="preserve"> Minor Complexity</w:t>
      </w:r>
      <w:r w:rsidR="000D6147">
        <w:rPr>
          <w:color w:val="000000"/>
          <w:szCs w:val="22"/>
        </w:rPr>
        <w:t>)</w:t>
      </w:r>
      <w:r w:rsidR="00EE4BB9" w:rsidRPr="00005BE4">
        <w:rPr>
          <w:szCs w:val="22"/>
        </w:rPr>
        <w:t xml:space="preserve"> and</w:t>
      </w:r>
      <w:r w:rsidR="00005BE4">
        <w:rPr>
          <w:szCs w:val="22"/>
        </w:rPr>
        <w:t xml:space="preserve"> I3</w:t>
      </w:r>
      <w:r w:rsidR="000D6147">
        <w:rPr>
          <w:szCs w:val="22"/>
        </w:rPr>
        <w:t>3B (</w:t>
      </w:r>
      <w:r w:rsidR="00005BE4" w:rsidRPr="00005BE4">
        <w:rPr>
          <w:color w:val="000000"/>
          <w:szCs w:val="22"/>
        </w:rPr>
        <w:t>Hip Replacement for Non-Trauma, Minor Complexity</w:t>
      </w:r>
      <w:r w:rsidR="000D6147">
        <w:rPr>
          <w:color w:val="000000"/>
          <w:szCs w:val="22"/>
        </w:rPr>
        <w:t>)</w:t>
      </w:r>
      <w:r w:rsidRPr="00005BE4">
        <w:rPr>
          <w:szCs w:val="22"/>
        </w:rPr>
        <w:t xml:space="preserve"> we</w:t>
      </w:r>
      <w:r w:rsidRPr="00005BE4">
        <w:t xml:space="preserve">re ranked in the same order as Round </w:t>
      </w:r>
      <w:r w:rsidR="00005BE4" w:rsidRPr="00005BE4">
        <w:t>20</w:t>
      </w:r>
      <w:r w:rsidRPr="00005BE4">
        <w:t xml:space="preserve"> which is influenced by </w:t>
      </w:r>
      <w:r w:rsidR="000D6147">
        <w:t xml:space="preserve">the high volume of separations, length of stay above average </w:t>
      </w:r>
      <w:r w:rsidRPr="00005BE4">
        <w:t>and high cost prostheses bein</w:t>
      </w:r>
      <w:r w:rsidR="000D6147">
        <w:t>g used in these orthopaedic procedures</w:t>
      </w:r>
      <w:r w:rsidRPr="00005BE4">
        <w:t>.</w:t>
      </w:r>
    </w:p>
    <w:p w14:paraId="1D77E02E" w14:textId="3797C27C" w:rsidR="00BF794D" w:rsidRPr="00005BE4" w:rsidRDefault="00162614" w:rsidP="00BF794D">
      <w:pPr>
        <w:pStyle w:val="Intro"/>
      </w:pPr>
      <w:r>
        <w:t>Differences between Round 21 and Round 20</w:t>
      </w:r>
    </w:p>
    <w:p w14:paraId="1DD76128" w14:textId="38921093" w:rsidR="000D6147" w:rsidRPr="003D1557" w:rsidRDefault="000C3EE1" w:rsidP="00607884">
      <w:r w:rsidRPr="003D1557">
        <w:t xml:space="preserve">There </w:t>
      </w:r>
      <w:r w:rsidR="00517529">
        <w:t>were</w:t>
      </w:r>
      <w:r w:rsidRPr="003D1557">
        <w:t xml:space="preserve"> </w:t>
      </w:r>
      <w:r w:rsidR="00005BE4" w:rsidRPr="003D1557">
        <w:t>two</w:t>
      </w:r>
      <w:r w:rsidRPr="003D1557">
        <w:t xml:space="preserve"> new DRGs in the top 20 </w:t>
      </w:r>
      <w:r w:rsidR="00FD56F8" w:rsidRPr="003D1557">
        <w:t xml:space="preserve">as </w:t>
      </w:r>
      <w:r w:rsidR="00005BE4" w:rsidRPr="003D1557">
        <w:t xml:space="preserve">can be seen </w:t>
      </w:r>
      <w:r w:rsidR="00FD56F8" w:rsidRPr="003D1557">
        <w:t>in</w:t>
      </w:r>
      <w:r w:rsidR="009E6DCF" w:rsidRPr="003D1557">
        <w:t xml:space="preserve"> </w:t>
      </w:r>
      <w:r w:rsidR="00607884">
        <w:t>Table 7</w:t>
      </w:r>
      <w:r w:rsidRPr="003D1557">
        <w:t xml:space="preserve">. </w:t>
      </w:r>
      <w:r w:rsidR="000D6147" w:rsidRPr="003D1557">
        <w:t>These are;</w:t>
      </w:r>
      <w:r w:rsidR="00607884">
        <w:t xml:space="preserve"> </w:t>
      </w:r>
      <w:r w:rsidR="000D6147" w:rsidRPr="003D1557">
        <w:t>C16Z (</w:t>
      </w:r>
      <w:r w:rsidR="00005BE4" w:rsidRPr="003D1557">
        <w:t xml:space="preserve">Lens </w:t>
      </w:r>
      <w:r w:rsidR="00005BE4" w:rsidRPr="003D1557">
        <w:rPr>
          <w:szCs w:val="22"/>
        </w:rPr>
        <w:t>Procedures</w:t>
      </w:r>
      <w:r w:rsidR="000D6147" w:rsidRPr="003D1557">
        <w:rPr>
          <w:szCs w:val="22"/>
        </w:rPr>
        <w:t xml:space="preserve">) </w:t>
      </w:r>
      <w:r w:rsidR="00A04530" w:rsidRPr="003D1557">
        <w:rPr>
          <w:szCs w:val="22"/>
        </w:rPr>
        <w:t>rank</w:t>
      </w:r>
      <w:r w:rsidR="000D6147" w:rsidRPr="003D1557">
        <w:rPr>
          <w:szCs w:val="22"/>
        </w:rPr>
        <w:t>ed</w:t>
      </w:r>
      <w:r w:rsidR="00A04530" w:rsidRPr="003D1557">
        <w:rPr>
          <w:szCs w:val="22"/>
        </w:rPr>
        <w:t xml:space="preserve"> 11</w:t>
      </w:r>
      <w:r w:rsidR="000D6147" w:rsidRPr="003D1557">
        <w:rPr>
          <w:szCs w:val="22"/>
        </w:rPr>
        <w:t xml:space="preserve"> in Round </w:t>
      </w:r>
      <w:r w:rsidR="00607884">
        <w:rPr>
          <w:szCs w:val="22"/>
        </w:rPr>
        <w:t xml:space="preserve">21 and 21 in the previous round, and </w:t>
      </w:r>
      <w:r w:rsidR="000D6147" w:rsidRPr="003D1557">
        <w:rPr>
          <w:szCs w:val="22"/>
        </w:rPr>
        <w:t>D40Z (</w:t>
      </w:r>
      <w:r w:rsidR="00A04530" w:rsidRPr="003D1557">
        <w:rPr>
          <w:color w:val="000000"/>
          <w:szCs w:val="22"/>
        </w:rPr>
        <w:t>Dental Extractions and Restorations</w:t>
      </w:r>
      <w:r w:rsidR="000D6147" w:rsidRPr="003D1557">
        <w:rPr>
          <w:color w:val="000000"/>
          <w:szCs w:val="22"/>
        </w:rPr>
        <w:t xml:space="preserve">) </w:t>
      </w:r>
      <w:r w:rsidR="00A04530" w:rsidRPr="003D1557">
        <w:rPr>
          <w:color w:val="000000"/>
          <w:szCs w:val="22"/>
        </w:rPr>
        <w:t>rank</w:t>
      </w:r>
      <w:r w:rsidR="000D6147" w:rsidRPr="003D1557">
        <w:rPr>
          <w:color w:val="000000"/>
          <w:szCs w:val="22"/>
        </w:rPr>
        <w:t>ed</w:t>
      </w:r>
      <w:r w:rsidR="00A04530" w:rsidRPr="003D1557">
        <w:rPr>
          <w:color w:val="000000"/>
          <w:szCs w:val="22"/>
        </w:rPr>
        <w:t xml:space="preserve"> 18</w:t>
      </w:r>
      <w:r w:rsidR="000D6147" w:rsidRPr="003D1557">
        <w:rPr>
          <w:color w:val="000000"/>
          <w:szCs w:val="22"/>
        </w:rPr>
        <w:t xml:space="preserve"> in Round 21 and </w:t>
      </w:r>
      <w:r w:rsidR="00A04530" w:rsidRPr="003D1557">
        <w:rPr>
          <w:color w:val="000000"/>
          <w:szCs w:val="22"/>
        </w:rPr>
        <w:t>23</w:t>
      </w:r>
      <w:r w:rsidR="000D6147" w:rsidRPr="003D1557">
        <w:rPr>
          <w:color w:val="000000"/>
          <w:szCs w:val="22"/>
        </w:rPr>
        <w:t xml:space="preserve"> in Round 20. </w:t>
      </w:r>
    </w:p>
    <w:p w14:paraId="0571FD64" w14:textId="4EA4DC4D" w:rsidR="00005BE4" w:rsidRPr="003D1557" w:rsidRDefault="00A04530" w:rsidP="000D6147">
      <w:r w:rsidRPr="003D1557">
        <w:rPr>
          <w:color w:val="000000"/>
          <w:szCs w:val="22"/>
        </w:rPr>
        <w:t>These DRGs have incurred a significant</w:t>
      </w:r>
      <w:r w:rsidR="003D1557">
        <w:rPr>
          <w:color w:val="000000"/>
          <w:szCs w:val="22"/>
        </w:rPr>
        <w:t xml:space="preserve"> increase in the number of cost</w:t>
      </w:r>
      <w:r w:rsidR="007E6F3B">
        <w:rPr>
          <w:color w:val="000000"/>
          <w:szCs w:val="22"/>
        </w:rPr>
        <w:t>-</w:t>
      </w:r>
      <w:r w:rsidR="003D1557">
        <w:rPr>
          <w:color w:val="000000"/>
          <w:szCs w:val="22"/>
        </w:rPr>
        <w:t>weighted</w:t>
      </w:r>
      <w:r w:rsidRPr="003D1557">
        <w:rPr>
          <w:color w:val="000000"/>
          <w:szCs w:val="22"/>
        </w:rPr>
        <w:t xml:space="preserve"> separations between rounds, </w:t>
      </w:r>
      <w:r w:rsidR="005D75D1" w:rsidRPr="003D1557">
        <w:rPr>
          <w:color w:val="000000"/>
          <w:szCs w:val="22"/>
        </w:rPr>
        <w:t xml:space="preserve">with an increase of 13,045 </w:t>
      </w:r>
      <w:r w:rsidR="007E6F3B">
        <w:rPr>
          <w:color w:val="000000"/>
          <w:szCs w:val="22"/>
        </w:rPr>
        <w:t>cost-</w:t>
      </w:r>
      <w:r w:rsidR="003D1557">
        <w:rPr>
          <w:color w:val="000000"/>
          <w:szCs w:val="22"/>
        </w:rPr>
        <w:t>weighted</w:t>
      </w:r>
      <w:r w:rsidR="005D75D1" w:rsidRPr="003D1557">
        <w:rPr>
          <w:color w:val="000000"/>
          <w:szCs w:val="22"/>
        </w:rPr>
        <w:t xml:space="preserve"> separations (or 52%) for C16Z and 10,721 </w:t>
      </w:r>
      <w:r w:rsidR="007E6F3B">
        <w:rPr>
          <w:color w:val="000000"/>
          <w:szCs w:val="22"/>
        </w:rPr>
        <w:t>cost-</w:t>
      </w:r>
      <w:r w:rsidR="003D1557">
        <w:rPr>
          <w:color w:val="000000"/>
          <w:szCs w:val="22"/>
        </w:rPr>
        <w:t>weighted</w:t>
      </w:r>
      <w:r w:rsidR="005D75D1" w:rsidRPr="003D1557">
        <w:rPr>
          <w:color w:val="000000"/>
          <w:szCs w:val="22"/>
        </w:rPr>
        <w:t xml:space="preserve"> separations (or 46%) for D40Z</w:t>
      </w:r>
      <w:r w:rsidR="000D6147" w:rsidRPr="003D1557">
        <w:rPr>
          <w:color w:val="000000"/>
          <w:szCs w:val="22"/>
        </w:rPr>
        <w:t>.</w:t>
      </w:r>
    </w:p>
    <w:p w14:paraId="62AD0951" w14:textId="1AD0AC98" w:rsidR="00E7439E" w:rsidRDefault="007F5108" w:rsidP="003D1557">
      <w:pPr>
        <w:rPr>
          <w:color w:val="000000"/>
          <w:szCs w:val="22"/>
        </w:rPr>
      </w:pPr>
      <w:r w:rsidRPr="003D1557">
        <w:rPr>
          <w:szCs w:val="22"/>
        </w:rPr>
        <w:t>K</w:t>
      </w:r>
      <w:r w:rsidR="000D6147" w:rsidRPr="003D1557">
        <w:rPr>
          <w:szCs w:val="22"/>
        </w:rPr>
        <w:t>11Z (</w:t>
      </w:r>
      <w:r w:rsidRPr="003D1557">
        <w:rPr>
          <w:color w:val="000000"/>
          <w:szCs w:val="22"/>
        </w:rPr>
        <w:t>Major Laparoscopic Bariatric Procedures</w:t>
      </w:r>
      <w:r w:rsidR="000D6147" w:rsidRPr="003D1557">
        <w:rPr>
          <w:color w:val="000000"/>
          <w:szCs w:val="22"/>
        </w:rPr>
        <w:t>)</w:t>
      </w:r>
      <w:r w:rsidRPr="003D1557">
        <w:rPr>
          <w:color w:val="000000"/>
          <w:szCs w:val="22"/>
        </w:rPr>
        <w:t xml:space="preserve"> has moved from rank 9 in Round </w:t>
      </w:r>
      <w:r w:rsidR="00517529">
        <w:rPr>
          <w:color w:val="000000"/>
          <w:szCs w:val="22"/>
        </w:rPr>
        <w:t>20 to rank 3 in Round 21. This wa</w:t>
      </w:r>
      <w:r w:rsidRPr="003D1557">
        <w:rPr>
          <w:color w:val="000000"/>
          <w:szCs w:val="22"/>
        </w:rPr>
        <w:t xml:space="preserve">s due to a large increase in the number of </w:t>
      </w:r>
      <w:r w:rsidR="007E6F3B">
        <w:rPr>
          <w:color w:val="000000"/>
          <w:szCs w:val="22"/>
        </w:rPr>
        <w:t>cost-</w:t>
      </w:r>
      <w:r w:rsidR="003D1557">
        <w:rPr>
          <w:color w:val="000000"/>
          <w:szCs w:val="22"/>
        </w:rPr>
        <w:t>weighted</w:t>
      </w:r>
      <w:r w:rsidRPr="003D1557">
        <w:rPr>
          <w:color w:val="000000"/>
          <w:szCs w:val="22"/>
        </w:rPr>
        <w:t xml:space="preserve"> separations, from 14,681 in Round 20 to 21,042 in Round 21 (an increase of 6,361 weighted separations, or 43%).</w:t>
      </w:r>
    </w:p>
    <w:p w14:paraId="5FD6A5E5" w14:textId="77777777" w:rsidR="00CC798D" w:rsidRDefault="006654BA" w:rsidP="005319AA">
      <w:pPr>
        <w:pStyle w:val="Tableoffigures3"/>
        <w:rPr>
          <w:color w:val="004200" w:themeColor="accent1"/>
          <w:sz w:val="18"/>
        </w:rPr>
      </w:pPr>
      <w:bookmarkStart w:id="161" w:name="_Toc162094"/>
      <w:r w:rsidRPr="005319AA">
        <w:rPr>
          <w:color w:val="004200" w:themeColor="accent1"/>
          <w:sz w:val="18"/>
        </w:rPr>
        <w:lastRenderedPageBreak/>
        <w:t>Figure 3</w:t>
      </w:r>
      <w:r w:rsidR="00A23161" w:rsidRPr="005319AA">
        <w:rPr>
          <w:color w:val="004200" w:themeColor="accent1"/>
          <w:sz w:val="18"/>
        </w:rPr>
        <w:t xml:space="preserve">. Comparison of top 20 DRGs by highest </w:t>
      </w:r>
      <w:r w:rsidR="007E6F3B" w:rsidRPr="005319AA">
        <w:rPr>
          <w:color w:val="004200" w:themeColor="accent1"/>
          <w:sz w:val="18"/>
        </w:rPr>
        <w:t>cost-</w:t>
      </w:r>
      <w:r w:rsidR="003D1557" w:rsidRPr="005319AA">
        <w:rPr>
          <w:color w:val="004200" w:themeColor="accent1"/>
          <w:sz w:val="18"/>
        </w:rPr>
        <w:t>weighted</w:t>
      </w:r>
      <w:r w:rsidR="00A23161" w:rsidRPr="005319AA">
        <w:rPr>
          <w:color w:val="004200" w:themeColor="accent1"/>
          <w:sz w:val="18"/>
        </w:rPr>
        <w:t xml:space="preserve"> separations</w:t>
      </w:r>
      <w:bookmarkEnd w:id="161"/>
    </w:p>
    <w:p w14:paraId="3F0D229E" w14:textId="28CE55D2" w:rsidR="002D6B6A" w:rsidRDefault="00F207B5" w:rsidP="00CC798D">
      <w:r w:rsidRPr="00F207B5">
        <w:rPr>
          <w:noProof/>
        </w:rPr>
        <w:drawing>
          <wp:inline distT="0" distB="0" distL="0" distR="0" wp14:anchorId="6868191E" wp14:editId="34ADDE4C">
            <wp:extent cx="5788334" cy="20196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8334" cy="2019600"/>
                    </a:xfrm>
                    <a:prstGeom prst="rect">
                      <a:avLst/>
                    </a:prstGeom>
                    <a:noFill/>
                    <a:ln>
                      <a:noFill/>
                    </a:ln>
                  </pic:spPr>
                </pic:pic>
              </a:graphicData>
            </a:graphic>
          </wp:inline>
        </w:drawing>
      </w:r>
    </w:p>
    <w:p w14:paraId="2FE86147" w14:textId="30D7D959" w:rsidR="00384647" w:rsidRPr="00E4527E" w:rsidRDefault="00384647" w:rsidP="00607884">
      <w:pPr>
        <w:pStyle w:val="TableHeadings3"/>
        <w:rPr>
          <w:highlight w:val="yellow"/>
        </w:rPr>
        <w:sectPr w:rsidR="00384647" w:rsidRPr="00E4527E" w:rsidSect="00384647">
          <w:pgSz w:w="11907" w:h="16840" w:code="9"/>
          <w:pgMar w:top="1843" w:right="1440" w:bottom="1021" w:left="1021" w:header="680" w:footer="510" w:gutter="0"/>
          <w:cols w:space="708"/>
          <w:docGrid w:linePitch="360"/>
        </w:sectPr>
      </w:pPr>
    </w:p>
    <w:p w14:paraId="5302F928" w14:textId="43EE4695" w:rsidR="002D6B6A" w:rsidRPr="00EE0759" w:rsidRDefault="006654BA" w:rsidP="00E763E2">
      <w:pPr>
        <w:pStyle w:val="TableHeadings3"/>
      </w:pPr>
      <w:bookmarkStart w:id="162" w:name="_Toc497488033"/>
      <w:bookmarkStart w:id="163" w:name="_Toc161997"/>
      <w:r w:rsidRPr="00EE0759">
        <w:lastRenderedPageBreak/>
        <w:t>Table 7</w:t>
      </w:r>
      <w:r w:rsidR="00A23161" w:rsidRPr="00EE0759">
        <w:t>.</w:t>
      </w:r>
      <w:r w:rsidR="005D7320" w:rsidRPr="00EE0759">
        <w:t xml:space="preserve"> Top</w:t>
      </w:r>
      <w:r w:rsidR="007E6F3B">
        <w:t xml:space="preserve"> 20 DRGs ranked by highest cost-</w:t>
      </w:r>
      <w:r w:rsidR="003D1557">
        <w:t>weighted</w:t>
      </w:r>
      <w:r w:rsidR="005D7320" w:rsidRPr="00EE0759">
        <w:t xml:space="preserve"> separations</w:t>
      </w:r>
      <w:bookmarkEnd w:id="162"/>
      <w:bookmarkEnd w:id="163"/>
    </w:p>
    <w:tbl>
      <w:tblPr>
        <w:tblW w:w="14854" w:type="dxa"/>
        <w:tblInd w:w="108" w:type="dxa"/>
        <w:tblLayout w:type="fixed"/>
        <w:tblLook w:val="04A0" w:firstRow="1" w:lastRow="0" w:firstColumn="1" w:lastColumn="0" w:noHBand="0" w:noVBand="1"/>
      </w:tblPr>
      <w:tblGrid>
        <w:gridCol w:w="709"/>
        <w:gridCol w:w="709"/>
        <w:gridCol w:w="709"/>
        <w:gridCol w:w="3719"/>
        <w:gridCol w:w="709"/>
        <w:gridCol w:w="850"/>
        <w:gridCol w:w="851"/>
        <w:gridCol w:w="850"/>
        <w:gridCol w:w="959"/>
        <w:gridCol w:w="567"/>
        <w:gridCol w:w="575"/>
        <w:gridCol w:w="575"/>
        <w:gridCol w:w="851"/>
        <w:gridCol w:w="708"/>
        <w:gridCol w:w="851"/>
        <w:gridCol w:w="662"/>
      </w:tblGrid>
      <w:tr w:rsidR="00E0636F" w:rsidRPr="00E4527E" w14:paraId="1829FE62" w14:textId="77777777" w:rsidTr="008C3232">
        <w:trPr>
          <w:trHeight w:val="170"/>
        </w:trPr>
        <w:tc>
          <w:tcPr>
            <w:tcW w:w="709" w:type="dxa"/>
            <w:tcBorders>
              <w:top w:val="single" w:sz="4" w:space="0" w:color="auto"/>
              <w:left w:val="nil"/>
              <w:bottom w:val="single" w:sz="4" w:space="0" w:color="000000"/>
              <w:right w:val="nil"/>
            </w:tcBorders>
            <w:shd w:val="clear" w:color="auto" w:fill="auto"/>
            <w:hideMark/>
          </w:tcPr>
          <w:p w14:paraId="42DEA61B" w14:textId="0951C00F"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xml:space="preserve">Top 20 Round </w:t>
            </w:r>
            <w:r w:rsidR="00EE0759" w:rsidRPr="00683054">
              <w:rPr>
                <w:rFonts w:asciiTheme="minorHAnsi" w:hAnsiTheme="minorHAnsi" w:cstheme="minorHAnsi"/>
                <w:b/>
                <w:bCs/>
                <w:sz w:val="14"/>
                <w:szCs w:val="14"/>
                <w:lang w:val="en-US" w:eastAsia="en-US"/>
              </w:rPr>
              <w:t>20</w:t>
            </w:r>
          </w:p>
        </w:tc>
        <w:tc>
          <w:tcPr>
            <w:tcW w:w="709" w:type="dxa"/>
            <w:tcBorders>
              <w:top w:val="single" w:sz="4" w:space="0" w:color="auto"/>
              <w:left w:val="nil"/>
              <w:bottom w:val="single" w:sz="4" w:space="0" w:color="000000"/>
              <w:right w:val="nil"/>
            </w:tcBorders>
            <w:shd w:val="clear" w:color="auto" w:fill="auto"/>
            <w:hideMark/>
          </w:tcPr>
          <w:p w14:paraId="72972F73" w14:textId="37DD4A29"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Rank Round 2</w:t>
            </w:r>
            <w:r w:rsidR="00EE0759" w:rsidRPr="00683054">
              <w:rPr>
                <w:rFonts w:asciiTheme="minorHAnsi" w:hAnsiTheme="minorHAnsi" w:cstheme="minorHAnsi"/>
                <w:b/>
                <w:bCs/>
                <w:sz w:val="14"/>
                <w:szCs w:val="14"/>
                <w:lang w:val="en-US" w:eastAsia="en-US"/>
              </w:rPr>
              <w:t>1</w:t>
            </w:r>
          </w:p>
        </w:tc>
        <w:tc>
          <w:tcPr>
            <w:tcW w:w="709" w:type="dxa"/>
            <w:tcBorders>
              <w:top w:val="single" w:sz="4" w:space="0" w:color="auto"/>
              <w:left w:val="nil"/>
              <w:bottom w:val="single" w:sz="4" w:space="0" w:color="000000"/>
              <w:right w:val="nil"/>
            </w:tcBorders>
            <w:shd w:val="clear" w:color="auto" w:fill="auto"/>
            <w:hideMark/>
          </w:tcPr>
          <w:p w14:paraId="2D044038" w14:textId="41B2CD03" w:rsidR="002D6B6A" w:rsidRPr="00683054" w:rsidRDefault="002D6B6A"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DRG</w:t>
            </w:r>
          </w:p>
        </w:tc>
        <w:tc>
          <w:tcPr>
            <w:tcW w:w="3719" w:type="dxa"/>
            <w:tcBorders>
              <w:top w:val="single" w:sz="4" w:space="0" w:color="auto"/>
              <w:left w:val="nil"/>
              <w:bottom w:val="single" w:sz="4" w:space="0" w:color="000000"/>
              <w:right w:val="nil"/>
            </w:tcBorders>
            <w:shd w:val="clear" w:color="auto" w:fill="auto"/>
            <w:noWrap/>
            <w:hideMark/>
          </w:tcPr>
          <w:p w14:paraId="17207E7C" w14:textId="036FCE2D"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DRG Description</w:t>
            </w:r>
          </w:p>
        </w:tc>
        <w:tc>
          <w:tcPr>
            <w:tcW w:w="709" w:type="dxa"/>
            <w:tcBorders>
              <w:top w:val="single" w:sz="4" w:space="0" w:color="auto"/>
              <w:left w:val="nil"/>
              <w:bottom w:val="single" w:sz="4" w:space="0" w:color="000000"/>
              <w:right w:val="nil"/>
            </w:tcBorders>
            <w:shd w:val="clear" w:color="auto" w:fill="auto"/>
            <w:hideMark/>
          </w:tcPr>
          <w:p w14:paraId="54A1223A" w14:textId="59B6E1FF"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Cost weight</w:t>
            </w:r>
            <w:r w:rsidRPr="00683054">
              <w:rPr>
                <w:rFonts w:asciiTheme="minorHAnsi" w:hAnsiTheme="minorHAnsi" w:cstheme="minorHAnsi"/>
                <w:b/>
                <w:bCs/>
                <w:sz w:val="14"/>
                <w:szCs w:val="14"/>
                <w:lang w:val="en-US" w:eastAsia="en-US"/>
              </w:rPr>
              <w:br/>
              <w:t>(a)</w:t>
            </w:r>
          </w:p>
        </w:tc>
        <w:tc>
          <w:tcPr>
            <w:tcW w:w="850" w:type="dxa"/>
            <w:tcBorders>
              <w:top w:val="single" w:sz="4" w:space="0" w:color="auto"/>
              <w:left w:val="nil"/>
              <w:bottom w:val="single" w:sz="4" w:space="0" w:color="000000"/>
              <w:right w:val="nil"/>
            </w:tcBorders>
            <w:shd w:val="clear" w:color="auto" w:fill="auto"/>
            <w:hideMark/>
          </w:tcPr>
          <w:p w14:paraId="44AAFA57" w14:textId="4A0A4F61"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No. of weighted seps</w:t>
            </w:r>
            <w:r w:rsidRPr="00683054">
              <w:rPr>
                <w:rFonts w:asciiTheme="minorHAnsi" w:hAnsiTheme="minorHAnsi" w:cstheme="minorHAnsi"/>
                <w:b/>
                <w:bCs/>
                <w:sz w:val="14"/>
                <w:szCs w:val="14"/>
                <w:lang w:val="en-US" w:eastAsia="en-US"/>
              </w:rPr>
              <w:br/>
              <w:t>(b)</w:t>
            </w:r>
          </w:p>
        </w:tc>
        <w:tc>
          <w:tcPr>
            <w:tcW w:w="851" w:type="dxa"/>
            <w:tcBorders>
              <w:top w:val="single" w:sz="4" w:space="0" w:color="auto"/>
              <w:left w:val="nil"/>
              <w:bottom w:val="single" w:sz="4" w:space="0" w:color="000000"/>
              <w:right w:val="nil"/>
            </w:tcBorders>
            <w:shd w:val="clear" w:color="auto" w:fill="auto"/>
            <w:hideMark/>
          </w:tcPr>
          <w:p w14:paraId="6E52AB54" w14:textId="1AAEB140" w:rsidR="002D6B6A" w:rsidRPr="00683054" w:rsidRDefault="007E6F3B"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Cost-</w:t>
            </w:r>
            <w:r w:rsidR="002D6B6A" w:rsidRPr="00683054">
              <w:rPr>
                <w:rFonts w:asciiTheme="minorHAnsi" w:hAnsiTheme="minorHAnsi" w:cstheme="minorHAnsi"/>
                <w:b/>
                <w:bCs/>
                <w:sz w:val="14"/>
                <w:szCs w:val="14"/>
                <w:lang w:val="en-US" w:eastAsia="en-US"/>
              </w:rPr>
              <w:t>weighted seps</w:t>
            </w:r>
            <w:r w:rsidR="002D6B6A" w:rsidRPr="00683054">
              <w:rPr>
                <w:rFonts w:asciiTheme="minorHAnsi" w:hAnsiTheme="minorHAnsi" w:cstheme="minorHAnsi"/>
                <w:b/>
                <w:bCs/>
                <w:sz w:val="14"/>
                <w:szCs w:val="14"/>
                <w:lang w:val="en-US" w:eastAsia="en-US"/>
              </w:rPr>
              <w:br/>
              <w:t>(c)=</w:t>
            </w:r>
            <w:r w:rsidR="008C3232">
              <w:rPr>
                <w:rFonts w:asciiTheme="minorHAnsi" w:hAnsiTheme="minorHAnsi" w:cstheme="minorHAnsi"/>
                <w:b/>
                <w:bCs/>
                <w:sz w:val="14"/>
                <w:szCs w:val="14"/>
                <w:lang w:val="en-US" w:eastAsia="en-US"/>
              </w:rPr>
              <w:t xml:space="preserve"> </w:t>
            </w:r>
            <w:r w:rsidR="002D6B6A" w:rsidRPr="00683054">
              <w:rPr>
                <w:rFonts w:asciiTheme="minorHAnsi" w:hAnsiTheme="minorHAnsi" w:cstheme="minorHAnsi"/>
                <w:b/>
                <w:bCs/>
                <w:sz w:val="14"/>
                <w:szCs w:val="14"/>
                <w:lang w:val="en-US" w:eastAsia="en-US"/>
              </w:rPr>
              <w:t>(a)</w:t>
            </w:r>
            <w:r w:rsidR="002D6B6A" w:rsidRPr="008C3232">
              <w:rPr>
                <w:rFonts w:asciiTheme="minorHAnsi" w:hAnsiTheme="minorHAnsi" w:cstheme="minorHAnsi"/>
                <w:b/>
                <w:bCs/>
                <w:sz w:val="14"/>
                <w:szCs w:val="14"/>
                <w:lang w:val="en-US" w:eastAsia="en-US"/>
              </w:rPr>
              <w:t>x</w:t>
            </w:r>
            <w:r w:rsidR="002D6B6A" w:rsidRPr="00683054">
              <w:rPr>
                <w:rFonts w:asciiTheme="minorHAnsi" w:hAnsiTheme="minorHAnsi" w:cstheme="minorHAnsi"/>
                <w:b/>
                <w:bCs/>
                <w:sz w:val="14"/>
                <w:szCs w:val="14"/>
                <w:lang w:val="en-US" w:eastAsia="en-US"/>
              </w:rPr>
              <w:t>(b)</w:t>
            </w:r>
          </w:p>
        </w:tc>
        <w:tc>
          <w:tcPr>
            <w:tcW w:w="850" w:type="dxa"/>
            <w:tcBorders>
              <w:top w:val="single" w:sz="4" w:space="0" w:color="auto"/>
              <w:left w:val="nil"/>
              <w:bottom w:val="single" w:sz="4" w:space="0" w:color="000000"/>
              <w:right w:val="nil"/>
            </w:tcBorders>
            <w:shd w:val="clear" w:color="auto" w:fill="auto"/>
            <w:hideMark/>
          </w:tcPr>
          <w:p w14:paraId="7483998B" w14:textId="77777777"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Number of days</w:t>
            </w:r>
            <w:r w:rsidRPr="00683054">
              <w:rPr>
                <w:rFonts w:asciiTheme="minorHAnsi" w:hAnsiTheme="minorHAnsi" w:cstheme="minorHAnsi"/>
                <w:b/>
                <w:bCs/>
                <w:sz w:val="14"/>
                <w:szCs w:val="14"/>
                <w:lang w:val="en-US" w:eastAsia="en-US"/>
              </w:rPr>
              <w:br/>
              <w:t>(d)</w:t>
            </w:r>
          </w:p>
        </w:tc>
        <w:tc>
          <w:tcPr>
            <w:tcW w:w="959" w:type="dxa"/>
            <w:tcBorders>
              <w:top w:val="single" w:sz="4" w:space="0" w:color="auto"/>
              <w:left w:val="nil"/>
              <w:bottom w:val="single" w:sz="4" w:space="0" w:color="000000"/>
              <w:right w:val="nil"/>
            </w:tcBorders>
            <w:shd w:val="clear" w:color="auto" w:fill="auto"/>
            <w:hideMark/>
          </w:tcPr>
          <w:p w14:paraId="77A65637" w14:textId="70AE4F27"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ALoS (days)</w:t>
            </w:r>
            <w:r w:rsidRPr="00683054">
              <w:rPr>
                <w:rFonts w:asciiTheme="minorHAnsi" w:hAnsiTheme="minorHAnsi" w:cstheme="minorHAnsi"/>
                <w:b/>
                <w:bCs/>
                <w:sz w:val="14"/>
                <w:szCs w:val="14"/>
                <w:lang w:val="en-US" w:eastAsia="en-US"/>
              </w:rPr>
              <w:br/>
              <w:t>(e)=(d)/(b)</w:t>
            </w:r>
          </w:p>
        </w:tc>
        <w:tc>
          <w:tcPr>
            <w:tcW w:w="567" w:type="dxa"/>
            <w:tcBorders>
              <w:top w:val="single" w:sz="4" w:space="0" w:color="auto"/>
              <w:left w:val="nil"/>
              <w:bottom w:val="single" w:sz="4" w:space="0" w:color="000000"/>
              <w:right w:val="nil"/>
            </w:tcBorders>
            <w:shd w:val="clear" w:color="auto" w:fill="auto"/>
            <w:hideMark/>
          </w:tcPr>
          <w:p w14:paraId="43466B66" w14:textId="77777777"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Std error</w:t>
            </w:r>
          </w:p>
        </w:tc>
        <w:tc>
          <w:tcPr>
            <w:tcW w:w="575" w:type="dxa"/>
            <w:tcBorders>
              <w:top w:val="single" w:sz="4" w:space="0" w:color="auto"/>
              <w:left w:val="nil"/>
              <w:bottom w:val="single" w:sz="4" w:space="0" w:color="000000"/>
              <w:right w:val="nil"/>
            </w:tcBorders>
            <w:shd w:val="clear" w:color="auto" w:fill="auto"/>
            <w:hideMark/>
          </w:tcPr>
          <w:p w14:paraId="7F9305C9" w14:textId="77777777"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of total seps</w:t>
            </w:r>
          </w:p>
        </w:tc>
        <w:tc>
          <w:tcPr>
            <w:tcW w:w="575" w:type="dxa"/>
            <w:tcBorders>
              <w:top w:val="single" w:sz="4" w:space="0" w:color="auto"/>
              <w:left w:val="nil"/>
              <w:bottom w:val="single" w:sz="4" w:space="0" w:color="000000"/>
              <w:right w:val="nil"/>
            </w:tcBorders>
            <w:shd w:val="clear" w:color="auto" w:fill="auto"/>
            <w:hideMark/>
          </w:tcPr>
          <w:p w14:paraId="4651F923" w14:textId="77777777"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of CW seps</w:t>
            </w:r>
          </w:p>
        </w:tc>
        <w:tc>
          <w:tcPr>
            <w:tcW w:w="851" w:type="dxa"/>
            <w:tcBorders>
              <w:top w:val="single" w:sz="4" w:space="0" w:color="auto"/>
              <w:left w:val="nil"/>
              <w:bottom w:val="single" w:sz="4" w:space="0" w:color="000000"/>
              <w:right w:val="nil"/>
            </w:tcBorders>
            <w:shd w:val="clear" w:color="auto" w:fill="auto"/>
            <w:hideMark/>
          </w:tcPr>
          <w:p w14:paraId="51CF9D23" w14:textId="54A2CDB4" w:rsidR="002D6B6A" w:rsidRPr="00683054" w:rsidRDefault="00A330F5"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C</w:t>
            </w:r>
            <w:r w:rsidR="002D6B6A" w:rsidRPr="00683054">
              <w:rPr>
                <w:rFonts w:asciiTheme="minorHAnsi" w:hAnsiTheme="minorHAnsi" w:cstheme="minorHAnsi"/>
                <w:b/>
                <w:bCs/>
                <w:sz w:val="14"/>
                <w:szCs w:val="14"/>
                <w:lang w:val="en-US" w:eastAsia="en-US"/>
              </w:rPr>
              <w:t>ost</w:t>
            </w:r>
            <w:r w:rsidR="007E6F3B">
              <w:rPr>
                <w:rFonts w:asciiTheme="minorHAnsi" w:hAnsiTheme="minorHAnsi" w:cstheme="minorHAnsi"/>
                <w:b/>
                <w:bCs/>
                <w:sz w:val="14"/>
                <w:szCs w:val="14"/>
                <w:lang w:val="en-US" w:eastAsia="en-US"/>
              </w:rPr>
              <w:t>-</w:t>
            </w:r>
            <w:r w:rsidR="002D6B6A" w:rsidRPr="00683054">
              <w:rPr>
                <w:rFonts w:asciiTheme="minorHAnsi" w:hAnsiTheme="minorHAnsi" w:cstheme="minorHAnsi"/>
                <w:b/>
                <w:bCs/>
                <w:sz w:val="14"/>
                <w:szCs w:val="14"/>
                <w:lang w:val="en-US" w:eastAsia="en-US"/>
              </w:rPr>
              <w:t>weighted seps</w:t>
            </w:r>
            <w:r>
              <w:rPr>
                <w:rFonts w:asciiTheme="minorHAnsi" w:hAnsiTheme="minorHAnsi" w:cstheme="minorHAnsi"/>
                <w:b/>
                <w:bCs/>
                <w:sz w:val="14"/>
                <w:szCs w:val="14"/>
                <w:lang w:val="en-US" w:eastAsia="en-US"/>
              </w:rPr>
              <w:t xml:space="preserve"> Round 20</w:t>
            </w:r>
          </w:p>
        </w:tc>
        <w:tc>
          <w:tcPr>
            <w:tcW w:w="708" w:type="dxa"/>
            <w:tcBorders>
              <w:top w:val="single" w:sz="4" w:space="0" w:color="auto"/>
              <w:left w:val="nil"/>
              <w:bottom w:val="single" w:sz="4" w:space="0" w:color="000000"/>
              <w:right w:val="nil"/>
            </w:tcBorders>
            <w:shd w:val="clear" w:color="auto" w:fill="auto"/>
            <w:hideMark/>
          </w:tcPr>
          <w:p w14:paraId="24CC375C" w14:textId="44FCAED8" w:rsidR="002D6B6A" w:rsidRPr="00683054" w:rsidRDefault="002D6B6A" w:rsidP="00ED3484">
            <w:pPr>
              <w:spacing w:before="20" w:after="20" w:line="240" w:lineRule="auto"/>
              <w:jc w:val="center"/>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xml:space="preserve">Rank Round </w:t>
            </w:r>
            <w:r w:rsidR="00EE0759" w:rsidRPr="00683054">
              <w:rPr>
                <w:rFonts w:asciiTheme="minorHAnsi" w:hAnsiTheme="minorHAnsi" w:cstheme="minorHAnsi"/>
                <w:b/>
                <w:bCs/>
                <w:sz w:val="14"/>
                <w:szCs w:val="14"/>
                <w:lang w:val="en-US" w:eastAsia="en-US"/>
              </w:rPr>
              <w:t>20</w:t>
            </w:r>
          </w:p>
        </w:tc>
        <w:tc>
          <w:tcPr>
            <w:tcW w:w="851" w:type="dxa"/>
            <w:tcBorders>
              <w:top w:val="single" w:sz="4" w:space="0" w:color="auto"/>
              <w:left w:val="nil"/>
              <w:bottom w:val="single" w:sz="4" w:space="0" w:color="000000"/>
              <w:right w:val="nil"/>
            </w:tcBorders>
            <w:shd w:val="clear" w:color="auto" w:fill="auto"/>
            <w:hideMark/>
          </w:tcPr>
          <w:p w14:paraId="497490A0" w14:textId="1DFB01DB" w:rsidR="002D6B6A" w:rsidRPr="00683054" w:rsidRDefault="00E549B8"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 xml:space="preserve">No. of </w:t>
            </w:r>
            <w:r w:rsidRPr="007D3711">
              <w:rPr>
                <w:rFonts w:asciiTheme="minorHAnsi" w:hAnsiTheme="minorHAnsi" w:cstheme="minorHAnsi"/>
                <w:b/>
                <w:bCs/>
                <w:sz w:val="14"/>
                <w:szCs w:val="14"/>
                <w:lang w:val="en-US" w:eastAsia="en-US"/>
              </w:rPr>
              <w:t>weighted seps</w:t>
            </w:r>
            <w:r>
              <w:rPr>
                <w:rFonts w:asciiTheme="minorHAnsi" w:hAnsiTheme="minorHAnsi" w:cstheme="minorHAnsi"/>
                <w:b/>
                <w:bCs/>
                <w:sz w:val="14"/>
                <w:szCs w:val="14"/>
                <w:lang w:val="en-US" w:eastAsia="en-US"/>
              </w:rPr>
              <w:t xml:space="preserve"> Round 20</w:t>
            </w:r>
          </w:p>
        </w:tc>
        <w:tc>
          <w:tcPr>
            <w:tcW w:w="662" w:type="dxa"/>
            <w:tcBorders>
              <w:top w:val="single" w:sz="4" w:space="0" w:color="auto"/>
              <w:left w:val="nil"/>
              <w:bottom w:val="single" w:sz="4" w:space="0" w:color="000000"/>
              <w:right w:val="nil"/>
            </w:tcBorders>
            <w:shd w:val="clear" w:color="auto" w:fill="auto"/>
            <w:hideMark/>
          </w:tcPr>
          <w:p w14:paraId="17DD198D" w14:textId="5F4B8028" w:rsidR="002D6B6A" w:rsidRPr="00683054" w:rsidRDefault="007A05B3"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color w:val="000000"/>
                <w:sz w:val="14"/>
                <w:szCs w:val="14"/>
                <w:lang w:val="en-US" w:eastAsia="en-US"/>
              </w:rPr>
              <w:t>Cost weight Round 20</w:t>
            </w:r>
          </w:p>
        </w:tc>
      </w:tr>
      <w:tr w:rsidR="00EE0759" w:rsidRPr="00E4527E" w14:paraId="46632C52" w14:textId="77777777" w:rsidTr="008C3232">
        <w:trPr>
          <w:trHeight w:val="312"/>
        </w:trPr>
        <w:tc>
          <w:tcPr>
            <w:tcW w:w="709" w:type="dxa"/>
            <w:tcBorders>
              <w:top w:val="nil"/>
              <w:left w:val="nil"/>
              <w:bottom w:val="nil"/>
              <w:right w:val="nil"/>
            </w:tcBorders>
            <w:shd w:val="clear" w:color="auto" w:fill="auto"/>
            <w:noWrap/>
            <w:hideMark/>
          </w:tcPr>
          <w:p w14:paraId="12F0E3C5" w14:textId="4BAA694B"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3E5EC4A6" w14:textId="14751636"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w:t>
            </w:r>
          </w:p>
        </w:tc>
        <w:tc>
          <w:tcPr>
            <w:tcW w:w="709" w:type="dxa"/>
            <w:tcBorders>
              <w:top w:val="nil"/>
              <w:left w:val="nil"/>
              <w:bottom w:val="nil"/>
              <w:right w:val="nil"/>
            </w:tcBorders>
            <w:shd w:val="clear" w:color="auto" w:fill="auto"/>
            <w:noWrap/>
            <w:hideMark/>
          </w:tcPr>
          <w:p w14:paraId="54AAE41A" w14:textId="7545345C"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I04B</w:t>
            </w:r>
          </w:p>
        </w:tc>
        <w:tc>
          <w:tcPr>
            <w:tcW w:w="3719" w:type="dxa"/>
            <w:tcBorders>
              <w:top w:val="nil"/>
              <w:left w:val="nil"/>
              <w:bottom w:val="nil"/>
              <w:right w:val="nil"/>
            </w:tcBorders>
            <w:shd w:val="clear" w:color="auto" w:fill="auto"/>
            <w:noWrap/>
            <w:hideMark/>
          </w:tcPr>
          <w:p w14:paraId="3AFDA472" w14:textId="61C94364"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Knee Replacement, Minor Complexity</w:t>
            </w:r>
          </w:p>
        </w:tc>
        <w:tc>
          <w:tcPr>
            <w:tcW w:w="709" w:type="dxa"/>
            <w:tcBorders>
              <w:top w:val="nil"/>
              <w:left w:val="nil"/>
              <w:bottom w:val="nil"/>
              <w:right w:val="nil"/>
            </w:tcBorders>
            <w:shd w:val="clear" w:color="auto" w:fill="auto"/>
            <w:noWrap/>
            <w:hideMark/>
          </w:tcPr>
          <w:p w14:paraId="2F9A6B94" w14:textId="7372F9A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4.35</w:t>
            </w:r>
          </w:p>
        </w:tc>
        <w:tc>
          <w:tcPr>
            <w:tcW w:w="850" w:type="dxa"/>
            <w:tcBorders>
              <w:top w:val="nil"/>
              <w:left w:val="nil"/>
              <w:bottom w:val="nil"/>
              <w:right w:val="nil"/>
            </w:tcBorders>
            <w:shd w:val="clear" w:color="auto" w:fill="auto"/>
            <w:noWrap/>
            <w:hideMark/>
          </w:tcPr>
          <w:p w14:paraId="521DCF27" w14:textId="49A3B76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34,532</w:t>
            </w:r>
          </w:p>
        </w:tc>
        <w:tc>
          <w:tcPr>
            <w:tcW w:w="851" w:type="dxa"/>
            <w:tcBorders>
              <w:top w:val="nil"/>
              <w:left w:val="nil"/>
              <w:bottom w:val="nil"/>
              <w:right w:val="nil"/>
            </w:tcBorders>
            <w:shd w:val="clear" w:color="auto" w:fill="auto"/>
            <w:noWrap/>
            <w:hideMark/>
          </w:tcPr>
          <w:p w14:paraId="5CA0E275" w14:textId="556A81CB"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150,214</w:t>
            </w:r>
          </w:p>
        </w:tc>
        <w:tc>
          <w:tcPr>
            <w:tcW w:w="850" w:type="dxa"/>
            <w:tcBorders>
              <w:top w:val="nil"/>
              <w:left w:val="nil"/>
              <w:bottom w:val="nil"/>
              <w:right w:val="nil"/>
            </w:tcBorders>
            <w:shd w:val="clear" w:color="auto" w:fill="auto"/>
            <w:noWrap/>
            <w:hideMark/>
          </w:tcPr>
          <w:p w14:paraId="231C93CC" w14:textId="55B6948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174,770</w:t>
            </w:r>
          </w:p>
        </w:tc>
        <w:tc>
          <w:tcPr>
            <w:tcW w:w="959" w:type="dxa"/>
            <w:tcBorders>
              <w:top w:val="nil"/>
              <w:left w:val="nil"/>
              <w:bottom w:val="nil"/>
              <w:right w:val="nil"/>
            </w:tcBorders>
            <w:shd w:val="clear" w:color="auto" w:fill="auto"/>
            <w:noWrap/>
            <w:hideMark/>
          </w:tcPr>
          <w:p w14:paraId="1A5EC52A" w14:textId="56CB31E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5.1</w:t>
            </w:r>
          </w:p>
        </w:tc>
        <w:tc>
          <w:tcPr>
            <w:tcW w:w="567" w:type="dxa"/>
            <w:tcBorders>
              <w:top w:val="nil"/>
              <w:left w:val="nil"/>
              <w:bottom w:val="nil"/>
              <w:right w:val="nil"/>
            </w:tcBorders>
            <w:shd w:val="clear" w:color="auto" w:fill="auto"/>
            <w:noWrap/>
            <w:hideMark/>
          </w:tcPr>
          <w:p w14:paraId="40BE9DBF" w14:textId="31A56F7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6BB678C8" w14:textId="6A63962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575" w:type="dxa"/>
            <w:tcBorders>
              <w:top w:val="nil"/>
              <w:left w:val="nil"/>
              <w:bottom w:val="nil"/>
              <w:right w:val="nil"/>
            </w:tcBorders>
            <w:shd w:val="clear" w:color="auto" w:fill="auto"/>
            <w:noWrap/>
            <w:hideMark/>
          </w:tcPr>
          <w:p w14:paraId="52448D09" w14:textId="2F664C1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4.6%</w:t>
            </w:r>
          </w:p>
        </w:tc>
        <w:tc>
          <w:tcPr>
            <w:tcW w:w="851" w:type="dxa"/>
            <w:tcBorders>
              <w:top w:val="nil"/>
              <w:left w:val="nil"/>
              <w:bottom w:val="nil"/>
              <w:right w:val="nil"/>
            </w:tcBorders>
            <w:shd w:val="clear" w:color="auto" w:fill="auto"/>
            <w:noWrap/>
            <w:hideMark/>
          </w:tcPr>
          <w:p w14:paraId="2AE38031" w14:textId="30475F4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143,343</w:t>
            </w:r>
          </w:p>
        </w:tc>
        <w:tc>
          <w:tcPr>
            <w:tcW w:w="708" w:type="dxa"/>
            <w:tcBorders>
              <w:top w:val="nil"/>
              <w:left w:val="nil"/>
              <w:bottom w:val="nil"/>
              <w:right w:val="nil"/>
            </w:tcBorders>
            <w:shd w:val="clear" w:color="auto" w:fill="auto"/>
            <w:noWrap/>
            <w:hideMark/>
          </w:tcPr>
          <w:p w14:paraId="74B99D2E" w14:textId="7A8AAA2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 </w:t>
            </w:r>
          </w:p>
        </w:tc>
        <w:tc>
          <w:tcPr>
            <w:tcW w:w="851" w:type="dxa"/>
            <w:tcBorders>
              <w:top w:val="nil"/>
              <w:left w:val="nil"/>
              <w:bottom w:val="nil"/>
              <w:right w:val="nil"/>
            </w:tcBorders>
            <w:shd w:val="clear" w:color="auto" w:fill="auto"/>
            <w:noWrap/>
            <w:hideMark/>
          </w:tcPr>
          <w:p w14:paraId="0FCFF58F" w14:textId="4523E0C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33,693 </w:t>
            </w:r>
          </w:p>
        </w:tc>
        <w:tc>
          <w:tcPr>
            <w:tcW w:w="662" w:type="dxa"/>
            <w:tcBorders>
              <w:top w:val="nil"/>
              <w:left w:val="nil"/>
              <w:bottom w:val="nil"/>
              <w:right w:val="nil"/>
            </w:tcBorders>
            <w:shd w:val="clear" w:color="auto" w:fill="auto"/>
            <w:noWrap/>
            <w:hideMark/>
          </w:tcPr>
          <w:p w14:paraId="380C2E90" w14:textId="28A4704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4.25</w:t>
            </w:r>
          </w:p>
        </w:tc>
      </w:tr>
      <w:tr w:rsidR="00EE0759" w:rsidRPr="00E4527E" w14:paraId="79EAA66D" w14:textId="77777777" w:rsidTr="008C3232">
        <w:trPr>
          <w:trHeight w:val="312"/>
        </w:trPr>
        <w:tc>
          <w:tcPr>
            <w:tcW w:w="709" w:type="dxa"/>
            <w:tcBorders>
              <w:top w:val="nil"/>
              <w:left w:val="nil"/>
              <w:bottom w:val="nil"/>
              <w:right w:val="nil"/>
            </w:tcBorders>
            <w:shd w:val="clear" w:color="auto" w:fill="auto"/>
            <w:noWrap/>
            <w:hideMark/>
          </w:tcPr>
          <w:p w14:paraId="65A80FBE" w14:textId="48421F82"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7B70D093" w14:textId="6EDDC57E"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2</w:t>
            </w:r>
          </w:p>
        </w:tc>
        <w:tc>
          <w:tcPr>
            <w:tcW w:w="709" w:type="dxa"/>
            <w:tcBorders>
              <w:top w:val="nil"/>
              <w:left w:val="nil"/>
              <w:bottom w:val="nil"/>
              <w:right w:val="nil"/>
            </w:tcBorders>
            <w:shd w:val="clear" w:color="auto" w:fill="auto"/>
            <w:noWrap/>
            <w:hideMark/>
          </w:tcPr>
          <w:p w14:paraId="31FE8E77" w14:textId="72A99365"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I33B</w:t>
            </w:r>
          </w:p>
        </w:tc>
        <w:tc>
          <w:tcPr>
            <w:tcW w:w="3719" w:type="dxa"/>
            <w:tcBorders>
              <w:top w:val="nil"/>
              <w:left w:val="nil"/>
              <w:bottom w:val="nil"/>
              <w:right w:val="nil"/>
            </w:tcBorders>
            <w:shd w:val="clear" w:color="auto" w:fill="auto"/>
            <w:noWrap/>
            <w:hideMark/>
          </w:tcPr>
          <w:p w14:paraId="0DAC36D6" w14:textId="05A09938"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Hip Replacement for Non-Trauma, Minor Complexity</w:t>
            </w:r>
          </w:p>
        </w:tc>
        <w:tc>
          <w:tcPr>
            <w:tcW w:w="709" w:type="dxa"/>
            <w:tcBorders>
              <w:top w:val="nil"/>
              <w:left w:val="nil"/>
              <w:bottom w:val="nil"/>
              <w:right w:val="nil"/>
            </w:tcBorders>
            <w:shd w:val="clear" w:color="auto" w:fill="auto"/>
            <w:noWrap/>
            <w:hideMark/>
          </w:tcPr>
          <w:p w14:paraId="22C06DC9" w14:textId="343BDDC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5.02</w:t>
            </w:r>
          </w:p>
        </w:tc>
        <w:tc>
          <w:tcPr>
            <w:tcW w:w="850" w:type="dxa"/>
            <w:tcBorders>
              <w:top w:val="nil"/>
              <w:left w:val="nil"/>
              <w:bottom w:val="nil"/>
              <w:right w:val="nil"/>
            </w:tcBorders>
            <w:shd w:val="clear" w:color="auto" w:fill="auto"/>
            <w:noWrap/>
            <w:hideMark/>
          </w:tcPr>
          <w:p w14:paraId="4B407AC8" w14:textId="4920C62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22,720</w:t>
            </w:r>
          </w:p>
        </w:tc>
        <w:tc>
          <w:tcPr>
            <w:tcW w:w="851" w:type="dxa"/>
            <w:tcBorders>
              <w:top w:val="nil"/>
              <w:left w:val="nil"/>
              <w:bottom w:val="nil"/>
              <w:right w:val="nil"/>
            </w:tcBorders>
            <w:shd w:val="clear" w:color="auto" w:fill="auto"/>
            <w:noWrap/>
            <w:hideMark/>
          </w:tcPr>
          <w:p w14:paraId="03B31E6E" w14:textId="733A74C7"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114,054</w:t>
            </w:r>
          </w:p>
        </w:tc>
        <w:tc>
          <w:tcPr>
            <w:tcW w:w="850" w:type="dxa"/>
            <w:tcBorders>
              <w:top w:val="nil"/>
              <w:left w:val="nil"/>
              <w:bottom w:val="nil"/>
              <w:right w:val="nil"/>
            </w:tcBorders>
            <w:shd w:val="clear" w:color="auto" w:fill="auto"/>
            <w:noWrap/>
            <w:hideMark/>
          </w:tcPr>
          <w:p w14:paraId="09A3184A" w14:textId="003E051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106,142</w:t>
            </w:r>
          </w:p>
        </w:tc>
        <w:tc>
          <w:tcPr>
            <w:tcW w:w="959" w:type="dxa"/>
            <w:tcBorders>
              <w:top w:val="nil"/>
              <w:left w:val="nil"/>
              <w:bottom w:val="nil"/>
              <w:right w:val="nil"/>
            </w:tcBorders>
            <w:shd w:val="clear" w:color="auto" w:fill="auto"/>
            <w:noWrap/>
            <w:hideMark/>
          </w:tcPr>
          <w:p w14:paraId="50E77672" w14:textId="7A66B94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4.7</w:t>
            </w:r>
          </w:p>
        </w:tc>
        <w:tc>
          <w:tcPr>
            <w:tcW w:w="567" w:type="dxa"/>
            <w:tcBorders>
              <w:top w:val="nil"/>
              <w:left w:val="nil"/>
              <w:bottom w:val="nil"/>
              <w:right w:val="nil"/>
            </w:tcBorders>
            <w:shd w:val="clear" w:color="auto" w:fill="auto"/>
            <w:noWrap/>
            <w:hideMark/>
          </w:tcPr>
          <w:p w14:paraId="5AB7C9A8" w14:textId="7AE782C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57C00E7E" w14:textId="682A6BA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0.7%</w:t>
            </w:r>
          </w:p>
        </w:tc>
        <w:tc>
          <w:tcPr>
            <w:tcW w:w="575" w:type="dxa"/>
            <w:tcBorders>
              <w:top w:val="nil"/>
              <w:left w:val="nil"/>
              <w:bottom w:val="nil"/>
              <w:right w:val="nil"/>
            </w:tcBorders>
            <w:shd w:val="clear" w:color="auto" w:fill="auto"/>
            <w:noWrap/>
            <w:hideMark/>
          </w:tcPr>
          <w:p w14:paraId="7DF8D727" w14:textId="3517368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3.5%</w:t>
            </w:r>
          </w:p>
        </w:tc>
        <w:tc>
          <w:tcPr>
            <w:tcW w:w="851" w:type="dxa"/>
            <w:tcBorders>
              <w:top w:val="nil"/>
              <w:left w:val="nil"/>
              <w:bottom w:val="nil"/>
              <w:right w:val="nil"/>
            </w:tcBorders>
            <w:shd w:val="clear" w:color="auto" w:fill="auto"/>
            <w:noWrap/>
            <w:hideMark/>
          </w:tcPr>
          <w:p w14:paraId="4E62FC23" w14:textId="1BBE43A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115,411</w:t>
            </w:r>
          </w:p>
        </w:tc>
        <w:tc>
          <w:tcPr>
            <w:tcW w:w="708" w:type="dxa"/>
            <w:tcBorders>
              <w:top w:val="nil"/>
              <w:left w:val="nil"/>
              <w:bottom w:val="nil"/>
              <w:right w:val="nil"/>
            </w:tcBorders>
            <w:shd w:val="clear" w:color="auto" w:fill="auto"/>
            <w:noWrap/>
            <w:hideMark/>
          </w:tcPr>
          <w:p w14:paraId="466FA60D" w14:textId="387CA49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 </w:t>
            </w:r>
          </w:p>
        </w:tc>
        <w:tc>
          <w:tcPr>
            <w:tcW w:w="851" w:type="dxa"/>
            <w:tcBorders>
              <w:top w:val="nil"/>
              <w:left w:val="nil"/>
              <w:bottom w:val="nil"/>
              <w:right w:val="nil"/>
            </w:tcBorders>
            <w:shd w:val="clear" w:color="auto" w:fill="auto"/>
            <w:noWrap/>
            <w:hideMark/>
          </w:tcPr>
          <w:p w14:paraId="44422AAC" w14:textId="1EB7807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23,629 </w:t>
            </w:r>
          </w:p>
        </w:tc>
        <w:tc>
          <w:tcPr>
            <w:tcW w:w="662" w:type="dxa"/>
            <w:tcBorders>
              <w:top w:val="nil"/>
              <w:left w:val="nil"/>
              <w:bottom w:val="nil"/>
              <w:right w:val="nil"/>
            </w:tcBorders>
            <w:shd w:val="clear" w:color="auto" w:fill="auto"/>
            <w:noWrap/>
            <w:hideMark/>
          </w:tcPr>
          <w:p w14:paraId="396BDC2E" w14:textId="6EB312A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4.88</w:t>
            </w:r>
          </w:p>
        </w:tc>
      </w:tr>
      <w:tr w:rsidR="00EE0759" w:rsidRPr="00E4527E" w14:paraId="0F48356F" w14:textId="77777777" w:rsidTr="008C3232">
        <w:trPr>
          <w:trHeight w:val="312"/>
        </w:trPr>
        <w:tc>
          <w:tcPr>
            <w:tcW w:w="709" w:type="dxa"/>
            <w:tcBorders>
              <w:top w:val="nil"/>
              <w:left w:val="nil"/>
              <w:bottom w:val="nil"/>
              <w:right w:val="nil"/>
            </w:tcBorders>
            <w:shd w:val="clear" w:color="auto" w:fill="auto"/>
            <w:noWrap/>
            <w:hideMark/>
          </w:tcPr>
          <w:p w14:paraId="39FF9C02" w14:textId="54F4E6E9"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1E10CEAC" w14:textId="2EA550D9"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3</w:t>
            </w:r>
          </w:p>
        </w:tc>
        <w:tc>
          <w:tcPr>
            <w:tcW w:w="709" w:type="dxa"/>
            <w:tcBorders>
              <w:top w:val="nil"/>
              <w:left w:val="nil"/>
              <w:bottom w:val="nil"/>
              <w:right w:val="nil"/>
            </w:tcBorders>
            <w:shd w:val="clear" w:color="auto" w:fill="auto"/>
            <w:noWrap/>
            <w:hideMark/>
          </w:tcPr>
          <w:p w14:paraId="05D55D14" w14:textId="12FE67D3"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K11Z</w:t>
            </w:r>
          </w:p>
        </w:tc>
        <w:tc>
          <w:tcPr>
            <w:tcW w:w="3719" w:type="dxa"/>
            <w:tcBorders>
              <w:top w:val="nil"/>
              <w:left w:val="nil"/>
              <w:bottom w:val="nil"/>
              <w:right w:val="nil"/>
            </w:tcBorders>
            <w:shd w:val="clear" w:color="auto" w:fill="auto"/>
            <w:noWrap/>
            <w:hideMark/>
          </w:tcPr>
          <w:p w14:paraId="65606B68" w14:textId="218C1EE6"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Major Laparoscopic Bariatric Procedures</w:t>
            </w:r>
          </w:p>
        </w:tc>
        <w:tc>
          <w:tcPr>
            <w:tcW w:w="709" w:type="dxa"/>
            <w:tcBorders>
              <w:top w:val="nil"/>
              <w:left w:val="nil"/>
              <w:bottom w:val="nil"/>
              <w:right w:val="nil"/>
            </w:tcBorders>
            <w:shd w:val="clear" w:color="auto" w:fill="auto"/>
            <w:noWrap/>
            <w:hideMark/>
          </w:tcPr>
          <w:p w14:paraId="3F0555E4" w14:textId="278288A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2.65</w:t>
            </w:r>
          </w:p>
        </w:tc>
        <w:tc>
          <w:tcPr>
            <w:tcW w:w="850" w:type="dxa"/>
            <w:tcBorders>
              <w:top w:val="nil"/>
              <w:left w:val="nil"/>
              <w:bottom w:val="nil"/>
              <w:right w:val="nil"/>
            </w:tcBorders>
            <w:shd w:val="clear" w:color="auto" w:fill="auto"/>
            <w:noWrap/>
            <w:hideMark/>
          </w:tcPr>
          <w:p w14:paraId="4ABCCEE3" w14:textId="76576EB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21,042</w:t>
            </w:r>
          </w:p>
        </w:tc>
        <w:tc>
          <w:tcPr>
            <w:tcW w:w="851" w:type="dxa"/>
            <w:tcBorders>
              <w:top w:val="nil"/>
              <w:left w:val="nil"/>
              <w:bottom w:val="nil"/>
              <w:right w:val="nil"/>
            </w:tcBorders>
            <w:shd w:val="clear" w:color="auto" w:fill="auto"/>
            <w:noWrap/>
            <w:hideMark/>
          </w:tcPr>
          <w:p w14:paraId="4859CA1C" w14:textId="2BAFA1F5"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55,761</w:t>
            </w:r>
          </w:p>
        </w:tc>
        <w:tc>
          <w:tcPr>
            <w:tcW w:w="850" w:type="dxa"/>
            <w:tcBorders>
              <w:top w:val="nil"/>
              <w:left w:val="nil"/>
              <w:bottom w:val="nil"/>
              <w:right w:val="nil"/>
            </w:tcBorders>
            <w:shd w:val="clear" w:color="auto" w:fill="auto"/>
            <w:noWrap/>
            <w:hideMark/>
          </w:tcPr>
          <w:p w14:paraId="37AB6060" w14:textId="6ABEA6C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53,384</w:t>
            </w:r>
          </w:p>
        </w:tc>
        <w:tc>
          <w:tcPr>
            <w:tcW w:w="959" w:type="dxa"/>
            <w:tcBorders>
              <w:top w:val="nil"/>
              <w:left w:val="nil"/>
              <w:bottom w:val="nil"/>
              <w:right w:val="nil"/>
            </w:tcBorders>
            <w:shd w:val="clear" w:color="auto" w:fill="auto"/>
            <w:noWrap/>
            <w:hideMark/>
          </w:tcPr>
          <w:p w14:paraId="449D124D" w14:textId="1A3B826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2.5</w:t>
            </w:r>
          </w:p>
        </w:tc>
        <w:tc>
          <w:tcPr>
            <w:tcW w:w="567" w:type="dxa"/>
            <w:tcBorders>
              <w:top w:val="nil"/>
              <w:left w:val="nil"/>
              <w:bottom w:val="nil"/>
              <w:right w:val="nil"/>
            </w:tcBorders>
            <w:shd w:val="clear" w:color="auto" w:fill="auto"/>
            <w:noWrap/>
            <w:hideMark/>
          </w:tcPr>
          <w:p w14:paraId="58D3DC21" w14:textId="13EA8C6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52B0B4C1" w14:textId="61FD289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0.6%</w:t>
            </w:r>
          </w:p>
        </w:tc>
        <w:tc>
          <w:tcPr>
            <w:tcW w:w="575" w:type="dxa"/>
            <w:tcBorders>
              <w:top w:val="nil"/>
              <w:left w:val="nil"/>
              <w:bottom w:val="nil"/>
              <w:right w:val="nil"/>
            </w:tcBorders>
            <w:shd w:val="clear" w:color="auto" w:fill="auto"/>
            <w:noWrap/>
            <w:hideMark/>
          </w:tcPr>
          <w:p w14:paraId="601336FD" w14:textId="7F24BE7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1.7%</w:t>
            </w:r>
          </w:p>
        </w:tc>
        <w:tc>
          <w:tcPr>
            <w:tcW w:w="851" w:type="dxa"/>
            <w:tcBorders>
              <w:top w:val="nil"/>
              <w:left w:val="nil"/>
              <w:bottom w:val="nil"/>
              <w:right w:val="nil"/>
            </w:tcBorders>
            <w:shd w:val="clear" w:color="auto" w:fill="auto"/>
            <w:noWrap/>
            <w:hideMark/>
          </w:tcPr>
          <w:p w14:paraId="5C3170CF" w14:textId="4D22A0E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39,367</w:t>
            </w:r>
          </w:p>
        </w:tc>
        <w:tc>
          <w:tcPr>
            <w:tcW w:w="708" w:type="dxa"/>
            <w:tcBorders>
              <w:top w:val="nil"/>
              <w:left w:val="nil"/>
              <w:bottom w:val="nil"/>
              <w:right w:val="nil"/>
            </w:tcBorders>
            <w:shd w:val="clear" w:color="auto" w:fill="auto"/>
            <w:noWrap/>
            <w:hideMark/>
          </w:tcPr>
          <w:p w14:paraId="6FC19A6D" w14:textId="7E8B84E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9 </w:t>
            </w:r>
          </w:p>
        </w:tc>
        <w:tc>
          <w:tcPr>
            <w:tcW w:w="851" w:type="dxa"/>
            <w:tcBorders>
              <w:top w:val="nil"/>
              <w:left w:val="nil"/>
              <w:bottom w:val="nil"/>
              <w:right w:val="nil"/>
            </w:tcBorders>
            <w:shd w:val="clear" w:color="auto" w:fill="auto"/>
            <w:noWrap/>
            <w:hideMark/>
          </w:tcPr>
          <w:p w14:paraId="714E30A5" w14:textId="049A32F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14,681 </w:t>
            </w:r>
          </w:p>
        </w:tc>
        <w:tc>
          <w:tcPr>
            <w:tcW w:w="662" w:type="dxa"/>
            <w:tcBorders>
              <w:top w:val="nil"/>
              <w:left w:val="nil"/>
              <w:bottom w:val="nil"/>
              <w:right w:val="nil"/>
            </w:tcBorders>
            <w:shd w:val="clear" w:color="auto" w:fill="auto"/>
            <w:noWrap/>
            <w:hideMark/>
          </w:tcPr>
          <w:p w14:paraId="5FAD1D41" w14:textId="20AB100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2.68</w:t>
            </w:r>
          </w:p>
        </w:tc>
      </w:tr>
      <w:tr w:rsidR="00EE0759" w:rsidRPr="00E4527E" w14:paraId="4F09AD75" w14:textId="77777777" w:rsidTr="008C3232">
        <w:trPr>
          <w:trHeight w:val="312"/>
        </w:trPr>
        <w:tc>
          <w:tcPr>
            <w:tcW w:w="709" w:type="dxa"/>
            <w:tcBorders>
              <w:top w:val="nil"/>
              <w:left w:val="nil"/>
              <w:bottom w:val="nil"/>
              <w:right w:val="nil"/>
            </w:tcBorders>
            <w:shd w:val="clear" w:color="auto" w:fill="auto"/>
            <w:noWrap/>
            <w:hideMark/>
          </w:tcPr>
          <w:p w14:paraId="6036AF99" w14:textId="53A19293"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2CFB7D57" w14:textId="06C48491"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4</w:t>
            </w:r>
          </w:p>
        </w:tc>
        <w:tc>
          <w:tcPr>
            <w:tcW w:w="709" w:type="dxa"/>
            <w:tcBorders>
              <w:top w:val="nil"/>
              <w:left w:val="nil"/>
              <w:bottom w:val="nil"/>
              <w:right w:val="nil"/>
            </w:tcBorders>
            <w:shd w:val="clear" w:color="auto" w:fill="auto"/>
            <w:noWrap/>
            <w:hideMark/>
          </w:tcPr>
          <w:p w14:paraId="470436A4" w14:textId="75C1F72A"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F24B</w:t>
            </w:r>
          </w:p>
        </w:tc>
        <w:tc>
          <w:tcPr>
            <w:tcW w:w="3719" w:type="dxa"/>
            <w:tcBorders>
              <w:top w:val="nil"/>
              <w:left w:val="nil"/>
              <w:bottom w:val="nil"/>
              <w:right w:val="nil"/>
            </w:tcBorders>
            <w:shd w:val="clear" w:color="auto" w:fill="auto"/>
            <w:noWrap/>
            <w:hideMark/>
          </w:tcPr>
          <w:p w14:paraId="07B108B9" w14:textId="3CCF524F"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Interventional Coronary Procs, Not Adm for AMI, Minor Comp</w:t>
            </w:r>
          </w:p>
        </w:tc>
        <w:tc>
          <w:tcPr>
            <w:tcW w:w="709" w:type="dxa"/>
            <w:tcBorders>
              <w:top w:val="nil"/>
              <w:left w:val="nil"/>
              <w:bottom w:val="nil"/>
              <w:right w:val="nil"/>
            </w:tcBorders>
            <w:shd w:val="clear" w:color="auto" w:fill="auto"/>
            <w:noWrap/>
            <w:hideMark/>
          </w:tcPr>
          <w:p w14:paraId="2DA85E33" w14:textId="187F7DD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2.44</w:t>
            </w:r>
          </w:p>
        </w:tc>
        <w:tc>
          <w:tcPr>
            <w:tcW w:w="850" w:type="dxa"/>
            <w:tcBorders>
              <w:top w:val="nil"/>
              <w:left w:val="nil"/>
              <w:bottom w:val="nil"/>
              <w:right w:val="nil"/>
            </w:tcBorders>
            <w:shd w:val="clear" w:color="auto" w:fill="auto"/>
            <w:noWrap/>
            <w:hideMark/>
          </w:tcPr>
          <w:p w14:paraId="2F329ED3" w14:textId="3DDC2D4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20,973</w:t>
            </w:r>
          </w:p>
        </w:tc>
        <w:tc>
          <w:tcPr>
            <w:tcW w:w="851" w:type="dxa"/>
            <w:tcBorders>
              <w:top w:val="nil"/>
              <w:left w:val="nil"/>
              <w:bottom w:val="nil"/>
              <w:right w:val="nil"/>
            </w:tcBorders>
            <w:shd w:val="clear" w:color="auto" w:fill="auto"/>
            <w:noWrap/>
            <w:hideMark/>
          </w:tcPr>
          <w:p w14:paraId="4403C564" w14:textId="4FADC0AA"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51,174</w:t>
            </w:r>
          </w:p>
        </w:tc>
        <w:tc>
          <w:tcPr>
            <w:tcW w:w="850" w:type="dxa"/>
            <w:tcBorders>
              <w:top w:val="nil"/>
              <w:left w:val="nil"/>
              <w:bottom w:val="nil"/>
              <w:right w:val="nil"/>
            </w:tcBorders>
            <w:shd w:val="clear" w:color="auto" w:fill="auto"/>
            <w:noWrap/>
            <w:hideMark/>
          </w:tcPr>
          <w:p w14:paraId="5FB864C5" w14:textId="41B841C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34,070</w:t>
            </w:r>
          </w:p>
        </w:tc>
        <w:tc>
          <w:tcPr>
            <w:tcW w:w="959" w:type="dxa"/>
            <w:tcBorders>
              <w:top w:val="nil"/>
              <w:left w:val="nil"/>
              <w:bottom w:val="nil"/>
              <w:right w:val="nil"/>
            </w:tcBorders>
            <w:shd w:val="clear" w:color="auto" w:fill="auto"/>
            <w:noWrap/>
            <w:hideMark/>
          </w:tcPr>
          <w:p w14:paraId="3FFEB26F" w14:textId="79817EC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w:t>
            </w:r>
          </w:p>
        </w:tc>
        <w:tc>
          <w:tcPr>
            <w:tcW w:w="567" w:type="dxa"/>
            <w:tcBorders>
              <w:top w:val="nil"/>
              <w:left w:val="nil"/>
              <w:bottom w:val="nil"/>
              <w:right w:val="nil"/>
            </w:tcBorders>
            <w:shd w:val="clear" w:color="auto" w:fill="auto"/>
            <w:noWrap/>
            <w:hideMark/>
          </w:tcPr>
          <w:p w14:paraId="29101023" w14:textId="44D7295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6847D0F3" w14:textId="4934C60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0.6%</w:t>
            </w:r>
          </w:p>
        </w:tc>
        <w:tc>
          <w:tcPr>
            <w:tcW w:w="575" w:type="dxa"/>
            <w:tcBorders>
              <w:top w:val="nil"/>
              <w:left w:val="nil"/>
              <w:bottom w:val="nil"/>
              <w:right w:val="nil"/>
            </w:tcBorders>
            <w:shd w:val="clear" w:color="auto" w:fill="auto"/>
            <w:noWrap/>
            <w:hideMark/>
          </w:tcPr>
          <w:p w14:paraId="2627E9FF" w14:textId="325B240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w:t>
            </w:r>
          </w:p>
        </w:tc>
        <w:tc>
          <w:tcPr>
            <w:tcW w:w="851" w:type="dxa"/>
            <w:tcBorders>
              <w:top w:val="nil"/>
              <w:left w:val="nil"/>
              <w:bottom w:val="nil"/>
              <w:right w:val="nil"/>
            </w:tcBorders>
            <w:shd w:val="clear" w:color="auto" w:fill="auto"/>
            <w:noWrap/>
            <w:hideMark/>
          </w:tcPr>
          <w:p w14:paraId="6448AECE" w14:textId="242089F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49,955</w:t>
            </w:r>
          </w:p>
        </w:tc>
        <w:tc>
          <w:tcPr>
            <w:tcW w:w="708" w:type="dxa"/>
            <w:tcBorders>
              <w:top w:val="nil"/>
              <w:left w:val="nil"/>
              <w:bottom w:val="nil"/>
              <w:right w:val="nil"/>
            </w:tcBorders>
            <w:shd w:val="clear" w:color="auto" w:fill="auto"/>
            <w:noWrap/>
            <w:hideMark/>
          </w:tcPr>
          <w:p w14:paraId="53670680" w14:textId="2872156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4 </w:t>
            </w:r>
          </w:p>
        </w:tc>
        <w:tc>
          <w:tcPr>
            <w:tcW w:w="851" w:type="dxa"/>
            <w:tcBorders>
              <w:top w:val="nil"/>
              <w:left w:val="nil"/>
              <w:bottom w:val="nil"/>
              <w:right w:val="nil"/>
            </w:tcBorders>
            <w:shd w:val="clear" w:color="auto" w:fill="auto"/>
            <w:noWrap/>
            <w:hideMark/>
          </w:tcPr>
          <w:p w14:paraId="32714B65" w14:textId="2478CD9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18,661 </w:t>
            </w:r>
          </w:p>
        </w:tc>
        <w:tc>
          <w:tcPr>
            <w:tcW w:w="662" w:type="dxa"/>
            <w:tcBorders>
              <w:top w:val="nil"/>
              <w:left w:val="nil"/>
              <w:bottom w:val="nil"/>
              <w:right w:val="nil"/>
            </w:tcBorders>
            <w:shd w:val="clear" w:color="auto" w:fill="auto"/>
            <w:noWrap/>
            <w:hideMark/>
          </w:tcPr>
          <w:p w14:paraId="3F6634F0" w14:textId="2AA7DE0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2.68</w:t>
            </w:r>
          </w:p>
        </w:tc>
      </w:tr>
      <w:tr w:rsidR="00EE0759" w:rsidRPr="00E4527E" w14:paraId="4A79CCED" w14:textId="77777777" w:rsidTr="008C3232">
        <w:trPr>
          <w:trHeight w:val="312"/>
        </w:trPr>
        <w:tc>
          <w:tcPr>
            <w:tcW w:w="709" w:type="dxa"/>
            <w:tcBorders>
              <w:top w:val="nil"/>
              <w:left w:val="nil"/>
              <w:bottom w:val="nil"/>
              <w:right w:val="nil"/>
            </w:tcBorders>
            <w:shd w:val="clear" w:color="auto" w:fill="auto"/>
            <w:noWrap/>
            <w:hideMark/>
          </w:tcPr>
          <w:p w14:paraId="41504C47" w14:textId="1AC68A1A"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08B136A" w14:textId="7AD01042"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5</w:t>
            </w:r>
          </w:p>
        </w:tc>
        <w:tc>
          <w:tcPr>
            <w:tcW w:w="709" w:type="dxa"/>
            <w:tcBorders>
              <w:top w:val="nil"/>
              <w:left w:val="nil"/>
              <w:bottom w:val="nil"/>
              <w:right w:val="nil"/>
            </w:tcBorders>
            <w:shd w:val="clear" w:color="auto" w:fill="auto"/>
            <w:noWrap/>
            <w:hideMark/>
          </w:tcPr>
          <w:p w14:paraId="32749842" w14:textId="52604F56"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O01C</w:t>
            </w:r>
          </w:p>
        </w:tc>
        <w:tc>
          <w:tcPr>
            <w:tcW w:w="3719" w:type="dxa"/>
            <w:tcBorders>
              <w:top w:val="nil"/>
              <w:left w:val="nil"/>
              <w:bottom w:val="nil"/>
              <w:right w:val="nil"/>
            </w:tcBorders>
            <w:shd w:val="clear" w:color="auto" w:fill="auto"/>
            <w:noWrap/>
            <w:hideMark/>
          </w:tcPr>
          <w:p w14:paraId="3E01F225" w14:textId="7E040BD3"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Caesarean Delivery, Minor Complexity</w:t>
            </w:r>
          </w:p>
        </w:tc>
        <w:tc>
          <w:tcPr>
            <w:tcW w:w="709" w:type="dxa"/>
            <w:tcBorders>
              <w:top w:val="nil"/>
              <w:left w:val="nil"/>
              <w:bottom w:val="nil"/>
              <w:right w:val="nil"/>
            </w:tcBorders>
            <w:shd w:val="clear" w:color="auto" w:fill="auto"/>
            <w:noWrap/>
            <w:hideMark/>
          </w:tcPr>
          <w:p w14:paraId="6BB34AEF" w14:textId="3AAFDD1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2.01</w:t>
            </w:r>
          </w:p>
        </w:tc>
        <w:tc>
          <w:tcPr>
            <w:tcW w:w="850" w:type="dxa"/>
            <w:tcBorders>
              <w:top w:val="nil"/>
              <w:left w:val="nil"/>
              <w:bottom w:val="nil"/>
              <w:right w:val="nil"/>
            </w:tcBorders>
            <w:shd w:val="clear" w:color="auto" w:fill="auto"/>
            <w:noWrap/>
            <w:hideMark/>
          </w:tcPr>
          <w:p w14:paraId="584E9654" w14:textId="017DB26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25,426</w:t>
            </w:r>
          </w:p>
        </w:tc>
        <w:tc>
          <w:tcPr>
            <w:tcW w:w="851" w:type="dxa"/>
            <w:tcBorders>
              <w:top w:val="nil"/>
              <w:left w:val="nil"/>
              <w:bottom w:val="nil"/>
              <w:right w:val="nil"/>
            </w:tcBorders>
            <w:shd w:val="clear" w:color="auto" w:fill="auto"/>
            <w:noWrap/>
            <w:hideMark/>
          </w:tcPr>
          <w:p w14:paraId="59E9F6BF" w14:textId="418934C3"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51,106</w:t>
            </w:r>
          </w:p>
        </w:tc>
        <w:tc>
          <w:tcPr>
            <w:tcW w:w="850" w:type="dxa"/>
            <w:tcBorders>
              <w:top w:val="nil"/>
              <w:left w:val="nil"/>
              <w:bottom w:val="nil"/>
              <w:right w:val="nil"/>
            </w:tcBorders>
            <w:shd w:val="clear" w:color="auto" w:fill="auto"/>
            <w:noWrap/>
            <w:hideMark/>
          </w:tcPr>
          <w:p w14:paraId="7FABDC3E" w14:textId="445321B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115,675</w:t>
            </w:r>
          </w:p>
        </w:tc>
        <w:tc>
          <w:tcPr>
            <w:tcW w:w="959" w:type="dxa"/>
            <w:tcBorders>
              <w:top w:val="nil"/>
              <w:left w:val="nil"/>
              <w:bottom w:val="nil"/>
              <w:right w:val="nil"/>
            </w:tcBorders>
            <w:shd w:val="clear" w:color="auto" w:fill="auto"/>
            <w:noWrap/>
            <w:hideMark/>
          </w:tcPr>
          <w:p w14:paraId="7F2D3513" w14:textId="1C9FCED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4.5</w:t>
            </w:r>
          </w:p>
        </w:tc>
        <w:tc>
          <w:tcPr>
            <w:tcW w:w="567" w:type="dxa"/>
            <w:tcBorders>
              <w:top w:val="nil"/>
              <w:left w:val="nil"/>
              <w:bottom w:val="nil"/>
              <w:right w:val="nil"/>
            </w:tcBorders>
            <w:shd w:val="clear" w:color="auto" w:fill="auto"/>
            <w:noWrap/>
            <w:hideMark/>
          </w:tcPr>
          <w:p w14:paraId="045A122B" w14:textId="3989764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0E779D44" w14:textId="77DE2FF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0.8%</w:t>
            </w:r>
          </w:p>
        </w:tc>
        <w:tc>
          <w:tcPr>
            <w:tcW w:w="575" w:type="dxa"/>
            <w:tcBorders>
              <w:top w:val="nil"/>
              <w:left w:val="nil"/>
              <w:bottom w:val="nil"/>
              <w:right w:val="nil"/>
            </w:tcBorders>
            <w:shd w:val="clear" w:color="auto" w:fill="auto"/>
            <w:noWrap/>
            <w:hideMark/>
          </w:tcPr>
          <w:p w14:paraId="1DD90289" w14:textId="3B1747E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w:t>
            </w:r>
          </w:p>
        </w:tc>
        <w:tc>
          <w:tcPr>
            <w:tcW w:w="851" w:type="dxa"/>
            <w:tcBorders>
              <w:top w:val="nil"/>
              <w:left w:val="nil"/>
              <w:bottom w:val="nil"/>
              <w:right w:val="nil"/>
            </w:tcBorders>
            <w:shd w:val="clear" w:color="auto" w:fill="auto"/>
            <w:noWrap/>
            <w:hideMark/>
          </w:tcPr>
          <w:p w14:paraId="29430A87" w14:textId="2805A05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47,952</w:t>
            </w:r>
          </w:p>
        </w:tc>
        <w:tc>
          <w:tcPr>
            <w:tcW w:w="708" w:type="dxa"/>
            <w:tcBorders>
              <w:top w:val="nil"/>
              <w:left w:val="nil"/>
              <w:bottom w:val="nil"/>
              <w:right w:val="nil"/>
            </w:tcBorders>
            <w:shd w:val="clear" w:color="auto" w:fill="auto"/>
            <w:noWrap/>
            <w:hideMark/>
          </w:tcPr>
          <w:p w14:paraId="0BF79ED5" w14:textId="545F652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5 </w:t>
            </w:r>
          </w:p>
        </w:tc>
        <w:tc>
          <w:tcPr>
            <w:tcW w:w="851" w:type="dxa"/>
            <w:tcBorders>
              <w:top w:val="nil"/>
              <w:left w:val="nil"/>
              <w:bottom w:val="nil"/>
              <w:right w:val="nil"/>
            </w:tcBorders>
            <w:shd w:val="clear" w:color="auto" w:fill="auto"/>
            <w:noWrap/>
            <w:hideMark/>
          </w:tcPr>
          <w:p w14:paraId="3595174A" w14:textId="2327530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26,496 </w:t>
            </w:r>
          </w:p>
        </w:tc>
        <w:tc>
          <w:tcPr>
            <w:tcW w:w="662" w:type="dxa"/>
            <w:tcBorders>
              <w:top w:val="nil"/>
              <w:left w:val="nil"/>
              <w:bottom w:val="nil"/>
              <w:right w:val="nil"/>
            </w:tcBorders>
            <w:shd w:val="clear" w:color="auto" w:fill="auto"/>
            <w:noWrap/>
            <w:hideMark/>
          </w:tcPr>
          <w:p w14:paraId="33AB376B" w14:textId="07A548A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1.81</w:t>
            </w:r>
          </w:p>
        </w:tc>
      </w:tr>
      <w:tr w:rsidR="00EE0759" w:rsidRPr="00E4527E" w14:paraId="2A8D3903" w14:textId="77777777" w:rsidTr="008C3232">
        <w:trPr>
          <w:trHeight w:val="312"/>
        </w:trPr>
        <w:tc>
          <w:tcPr>
            <w:tcW w:w="709" w:type="dxa"/>
            <w:tcBorders>
              <w:top w:val="nil"/>
              <w:left w:val="nil"/>
              <w:bottom w:val="nil"/>
              <w:right w:val="nil"/>
            </w:tcBorders>
            <w:shd w:val="clear" w:color="auto" w:fill="auto"/>
            <w:noWrap/>
            <w:hideMark/>
          </w:tcPr>
          <w:p w14:paraId="3DB77DC2" w14:textId="4B0F33A3"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3605744" w14:textId="3640AF2C"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6</w:t>
            </w:r>
          </w:p>
        </w:tc>
        <w:tc>
          <w:tcPr>
            <w:tcW w:w="709" w:type="dxa"/>
            <w:tcBorders>
              <w:top w:val="nil"/>
              <w:left w:val="nil"/>
              <w:bottom w:val="nil"/>
              <w:right w:val="nil"/>
            </w:tcBorders>
            <w:shd w:val="clear" w:color="auto" w:fill="auto"/>
            <w:noWrap/>
            <w:hideMark/>
          </w:tcPr>
          <w:p w14:paraId="620092BC" w14:textId="3B6CCD73"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I09C</w:t>
            </w:r>
          </w:p>
        </w:tc>
        <w:tc>
          <w:tcPr>
            <w:tcW w:w="3719" w:type="dxa"/>
            <w:tcBorders>
              <w:top w:val="nil"/>
              <w:left w:val="nil"/>
              <w:bottom w:val="nil"/>
              <w:right w:val="nil"/>
            </w:tcBorders>
            <w:shd w:val="clear" w:color="auto" w:fill="auto"/>
            <w:noWrap/>
            <w:hideMark/>
          </w:tcPr>
          <w:p w14:paraId="4B0A17A1" w14:textId="5BD08B3D"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Spinal Fusion, Minor Complexity</w:t>
            </w:r>
          </w:p>
        </w:tc>
        <w:tc>
          <w:tcPr>
            <w:tcW w:w="709" w:type="dxa"/>
            <w:tcBorders>
              <w:top w:val="nil"/>
              <w:left w:val="nil"/>
              <w:bottom w:val="nil"/>
              <w:right w:val="nil"/>
            </w:tcBorders>
            <w:shd w:val="clear" w:color="auto" w:fill="auto"/>
            <w:noWrap/>
            <w:hideMark/>
          </w:tcPr>
          <w:p w14:paraId="5D395374" w14:textId="7CD7441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6.43</w:t>
            </w:r>
          </w:p>
        </w:tc>
        <w:tc>
          <w:tcPr>
            <w:tcW w:w="850" w:type="dxa"/>
            <w:tcBorders>
              <w:top w:val="nil"/>
              <w:left w:val="nil"/>
              <w:bottom w:val="nil"/>
              <w:right w:val="nil"/>
            </w:tcBorders>
            <w:shd w:val="clear" w:color="auto" w:fill="auto"/>
            <w:noWrap/>
            <w:hideMark/>
          </w:tcPr>
          <w:p w14:paraId="7B436C6B" w14:textId="1305E23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7,864</w:t>
            </w:r>
          </w:p>
        </w:tc>
        <w:tc>
          <w:tcPr>
            <w:tcW w:w="851" w:type="dxa"/>
            <w:tcBorders>
              <w:top w:val="nil"/>
              <w:left w:val="nil"/>
              <w:bottom w:val="nil"/>
              <w:right w:val="nil"/>
            </w:tcBorders>
            <w:shd w:val="clear" w:color="auto" w:fill="auto"/>
            <w:noWrap/>
            <w:hideMark/>
          </w:tcPr>
          <w:p w14:paraId="64A3388F" w14:textId="2166626A"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50,566</w:t>
            </w:r>
          </w:p>
        </w:tc>
        <w:tc>
          <w:tcPr>
            <w:tcW w:w="850" w:type="dxa"/>
            <w:tcBorders>
              <w:top w:val="nil"/>
              <w:left w:val="nil"/>
              <w:bottom w:val="nil"/>
              <w:right w:val="nil"/>
            </w:tcBorders>
            <w:shd w:val="clear" w:color="auto" w:fill="auto"/>
            <w:noWrap/>
            <w:hideMark/>
          </w:tcPr>
          <w:p w14:paraId="64BDB12B" w14:textId="2507535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39,221</w:t>
            </w:r>
          </w:p>
        </w:tc>
        <w:tc>
          <w:tcPr>
            <w:tcW w:w="959" w:type="dxa"/>
            <w:tcBorders>
              <w:top w:val="nil"/>
              <w:left w:val="nil"/>
              <w:bottom w:val="nil"/>
              <w:right w:val="nil"/>
            </w:tcBorders>
            <w:shd w:val="clear" w:color="auto" w:fill="auto"/>
            <w:noWrap/>
            <w:hideMark/>
          </w:tcPr>
          <w:p w14:paraId="5C42BC0D" w14:textId="1C900E5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5.0</w:t>
            </w:r>
          </w:p>
        </w:tc>
        <w:tc>
          <w:tcPr>
            <w:tcW w:w="567" w:type="dxa"/>
            <w:tcBorders>
              <w:top w:val="nil"/>
              <w:left w:val="nil"/>
              <w:bottom w:val="nil"/>
              <w:right w:val="nil"/>
            </w:tcBorders>
            <w:shd w:val="clear" w:color="auto" w:fill="auto"/>
            <w:noWrap/>
            <w:hideMark/>
          </w:tcPr>
          <w:p w14:paraId="07351B1D" w14:textId="6D8CA63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0.05</w:t>
            </w:r>
          </w:p>
        </w:tc>
        <w:tc>
          <w:tcPr>
            <w:tcW w:w="575" w:type="dxa"/>
            <w:tcBorders>
              <w:top w:val="nil"/>
              <w:left w:val="nil"/>
              <w:bottom w:val="nil"/>
              <w:right w:val="nil"/>
            </w:tcBorders>
            <w:shd w:val="clear" w:color="auto" w:fill="auto"/>
            <w:noWrap/>
            <w:hideMark/>
          </w:tcPr>
          <w:p w14:paraId="1B5DD997" w14:textId="6A16699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0.2%</w:t>
            </w:r>
          </w:p>
        </w:tc>
        <w:tc>
          <w:tcPr>
            <w:tcW w:w="575" w:type="dxa"/>
            <w:tcBorders>
              <w:top w:val="nil"/>
              <w:left w:val="nil"/>
              <w:bottom w:val="nil"/>
              <w:right w:val="nil"/>
            </w:tcBorders>
            <w:shd w:val="clear" w:color="auto" w:fill="auto"/>
            <w:noWrap/>
            <w:hideMark/>
          </w:tcPr>
          <w:p w14:paraId="7A713637" w14:textId="047927F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w:t>
            </w:r>
          </w:p>
        </w:tc>
        <w:tc>
          <w:tcPr>
            <w:tcW w:w="851" w:type="dxa"/>
            <w:tcBorders>
              <w:top w:val="nil"/>
              <w:left w:val="nil"/>
              <w:bottom w:val="nil"/>
              <w:right w:val="nil"/>
            </w:tcBorders>
            <w:shd w:val="clear" w:color="auto" w:fill="auto"/>
            <w:noWrap/>
            <w:hideMark/>
          </w:tcPr>
          <w:p w14:paraId="6439DD4E" w14:textId="0648654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58,050</w:t>
            </w:r>
          </w:p>
        </w:tc>
        <w:tc>
          <w:tcPr>
            <w:tcW w:w="708" w:type="dxa"/>
            <w:tcBorders>
              <w:top w:val="nil"/>
              <w:left w:val="nil"/>
              <w:bottom w:val="nil"/>
              <w:right w:val="nil"/>
            </w:tcBorders>
            <w:shd w:val="clear" w:color="auto" w:fill="auto"/>
            <w:noWrap/>
            <w:hideMark/>
          </w:tcPr>
          <w:p w14:paraId="1AEBE6F5" w14:textId="03FB174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3 </w:t>
            </w:r>
          </w:p>
        </w:tc>
        <w:tc>
          <w:tcPr>
            <w:tcW w:w="851" w:type="dxa"/>
            <w:tcBorders>
              <w:top w:val="nil"/>
              <w:left w:val="nil"/>
              <w:bottom w:val="nil"/>
              <w:right w:val="nil"/>
            </w:tcBorders>
            <w:shd w:val="clear" w:color="auto" w:fill="auto"/>
            <w:noWrap/>
            <w:hideMark/>
          </w:tcPr>
          <w:p w14:paraId="670814E0" w14:textId="3D2A289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9,564 </w:t>
            </w:r>
          </w:p>
        </w:tc>
        <w:tc>
          <w:tcPr>
            <w:tcW w:w="662" w:type="dxa"/>
            <w:tcBorders>
              <w:top w:val="nil"/>
              <w:left w:val="nil"/>
              <w:bottom w:val="nil"/>
              <w:right w:val="nil"/>
            </w:tcBorders>
            <w:shd w:val="clear" w:color="auto" w:fill="auto"/>
            <w:noWrap/>
            <w:hideMark/>
          </w:tcPr>
          <w:p w14:paraId="3C15C757" w14:textId="3DB8FF6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6.07</w:t>
            </w:r>
          </w:p>
        </w:tc>
      </w:tr>
      <w:tr w:rsidR="00EE0759" w:rsidRPr="00E4527E" w14:paraId="49E7A10D" w14:textId="77777777" w:rsidTr="008C3232">
        <w:trPr>
          <w:trHeight w:val="312"/>
        </w:trPr>
        <w:tc>
          <w:tcPr>
            <w:tcW w:w="709" w:type="dxa"/>
            <w:tcBorders>
              <w:top w:val="nil"/>
              <w:left w:val="nil"/>
              <w:bottom w:val="nil"/>
              <w:right w:val="nil"/>
            </w:tcBorders>
            <w:shd w:val="clear" w:color="auto" w:fill="auto"/>
            <w:noWrap/>
            <w:hideMark/>
          </w:tcPr>
          <w:p w14:paraId="06D0EADB" w14:textId="1F1C324C"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17CE80F8" w14:textId="13AC2AA1"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7</w:t>
            </w:r>
          </w:p>
        </w:tc>
        <w:tc>
          <w:tcPr>
            <w:tcW w:w="709" w:type="dxa"/>
            <w:tcBorders>
              <w:top w:val="nil"/>
              <w:left w:val="nil"/>
              <w:bottom w:val="nil"/>
              <w:right w:val="nil"/>
            </w:tcBorders>
            <w:shd w:val="clear" w:color="auto" w:fill="auto"/>
            <w:noWrap/>
            <w:hideMark/>
          </w:tcPr>
          <w:p w14:paraId="6836606A" w14:textId="55EA8A2C"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I16Z</w:t>
            </w:r>
          </w:p>
        </w:tc>
        <w:tc>
          <w:tcPr>
            <w:tcW w:w="3719" w:type="dxa"/>
            <w:tcBorders>
              <w:top w:val="nil"/>
              <w:left w:val="nil"/>
              <w:bottom w:val="nil"/>
              <w:right w:val="nil"/>
            </w:tcBorders>
            <w:shd w:val="clear" w:color="auto" w:fill="auto"/>
            <w:noWrap/>
            <w:hideMark/>
          </w:tcPr>
          <w:p w14:paraId="091DB6CD" w14:textId="687AC6C5"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Other Shoulder Procedures</w:t>
            </w:r>
          </w:p>
        </w:tc>
        <w:tc>
          <w:tcPr>
            <w:tcW w:w="709" w:type="dxa"/>
            <w:tcBorders>
              <w:top w:val="nil"/>
              <w:left w:val="nil"/>
              <w:bottom w:val="nil"/>
              <w:right w:val="nil"/>
            </w:tcBorders>
            <w:shd w:val="clear" w:color="auto" w:fill="auto"/>
            <w:noWrap/>
            <w:hideMark/>
          </w:tcPr>
          <w:p w14:paraId="53FA865A" w14:textId="2B8D10A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1.39</w:t>
            </w:r>
          </w:p>
        </w:tc>
        <w:tc>
          <w:tcPr>
            <w:tcW w:w="850" w:type="dxa"/>
            <w:tcBorders>
              <w:top w:val="nil"/>
              <w:left w:val="nil"/>
              <w:bottom w:val="nil"/>
              <w:right w:val="nil"/>
            </w:tcBorders>
            <w:shd w:val="clear" w:color="auto" w:fill="auto"/>
            <w:noWrap/>
            <w:hideMark/>
          </w:tcPr>
          <w:p w14:paraId="4D010728" w14:textId="7F86375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35,616</w:t>
            </w:r>
          </w:p>
        </w:tc>
        <w:tc>
          <w:tcPr>
            <w:tcW w:w="851" w:type="dxa"/>
            <w:tcBorders>
              <w:top w:val="nil"/>
              <w:left w:val="nil"/>
              <w:bottom w:val="nil"/>
              <w:right w:val="nil"/>
            </w:tcBorders>
            <w:shd w:val="clear" w:color="auto" w:fill="auto"/>
            <w:noWrap/>
            <w:hideMark/>
          </w:tcPr>
          <w:p w14:paraId="3B7C68EA" w14:textId="35EFE0F3"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49,506</w:t>
            </w:r>
          </w:p>
        </w:tc>
        <w:tc>
          <w:tcPr>
            <w:tcW w:w="850" w:type="dxa"/>
            <w:tcBorders>
              <w:top w:val="nil"/>
              <w:left w:val="nil"/>
              <w:bottom w:val="nil"/>
              <w:right w:val="nil"/>
            </w:tcBorders>
            <w:shd w:val="clear" w:color="auto" w:fill="auto"/>
            <w:noWrap/>
            <w:hideMark/>
          </w:tcPr>
          <w:p w14:paraId="2ED1BB9D" w14:textId="59E0717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42,500</w:t>
            </w:r>
          </w:p>
        </w:tc>
        <w:tc>
          <w:tcPr>
            <w:tcW w:w="959" w:type="dxa"/>
            <w:tcBorders>
              <w:top w:val="nil"/>
              <w:left w:val="nil"/>
              <w:bottom w:val="nil"/>
              <w:right w:val="nil"/>
            </w:tcBorders>
            <w:shd w:val="clear" w:color="auto" w:fill="auto"/>
            <w:noWrap/>
            <w:hideMark/>
          </w:tcPr>
          <w:p w14:paraId="3F175160" w14:textId="7B9A29D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567" w:type="dxa"/>
            <w:tcBorders>
              <w:top w:val="nil"/>
              <w:left w:val="nil"/>
              <w:bottom w:val="nil"/>
              <w:right w:val="nil"/>
            </w:tcBorders>
            <w:shd w:val="clear" w:color="auto" w:fill="auto"/>
            <w:noWrap/>
            <w:hideMark/>
          </w:tcPr>
          <w:p w14:paraId="7C999375" w14:textId="0A323C3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2ABAE990" w14:textId="189C818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575" w:type="dxa"/>
            <w:tcBorders>
              <w:top w:val="nil"/>
              <w:left w:val="nil"/>
              <w:bottom w:val="nil"/>
              <w:right w:val="nil"/>
            </w:tcBorders>
            <w:shd w:val="clear" w:color="auto" w:fill="auto"/>
            <w:noWrap/>
            <w:hideMark/>
          </w:tcPr>
          <w:p w14:paraId="5F9F0F1B" w14:textId="1D7D1E5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1.5%</w:t>
            </w:r>
          </w:p>
        </w:tc>
        <w:tc>
          <w:tcPr>
            <w:tcW w:w="851" w:type="dxa"/>
            <w:tcBorders>
              <w:top w:val="nil"/>
              <w:left w:val="nil"/>
              <w:bottom w:val="nil"/>
              <w:right w:val="nil"/>
            </w:tcBorders>
            <w:shd w:val="clear" w:color="auto" w:fill="auto"/>
            <w:noWrap/>
            <w:hideMark/>
          </w:tcPr>
          <w:p w14:paraId="741357D2" w14:textId="4C8FEC9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43,288</w:t>
            </w:r>
          </w:p>
        </w:tc>
        <w:tc>
          <w:tcPr>
            <w:tcW w:w="708" w:type="dxa"/>
            <w:tcBorders>
              <w:top w:val="nil"/>
              <w:left w:val="nil"/>
              <w:bottom w:val="nil"/>
              <w:right w:val="nil"/>
            </w:tcBorders>
            <w:shd w:val="clear" w:color="auto" w:fill="auto"/>
            <w:noWrap/>
            <w:hideMark/>
          </w:tcPr>
          <w:p w14:paraId="251D0B67" w14:textId="3439AD9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7 </w:t>
            </w:r>
          </w:p>
        </w:tc>
        <w:tc>
          <w:tcPr>
            <w:tcW w:w="851" w:type="dxa"/>
            <w:tcBorders>
              <w:top w:val="nil"/>
              <w:left w:val="nil"/>
              <w:bottom w:val="nil"/>
              <w:right w:val="nil"/>
            </w:tcBorders>
            <w:shd w:val="clear" w:color="auto" w:fill="auto"/>
            <w:noWrap/>
            <w:hideMark/>
          </w:tcPr>
          <w:p w14:paraId="664B287C" w14:textId="506E289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34,255 </w:t>
            </w:r>
          </w:p>
        </w:tc>
        <w:tc>
          <w:tcPr>
            <w:tcW w:w="662" w:type="dxa"/>
            <w:tcBorders>
              <w:top w:val="nil"/>
              <w:left w:val="nil"/>
              <w:bottom w:val="nil"/>
              <w:right w:val="nil"/>
            </w:tcBorders>
            <w:shd w:val="clear" w:color="auto" w:fill="auto"/>
            <w:noWrap/>
            <w:hideMark/>
          </w:tcPr>
          <w:p w14:paraId="6C5D147B" w14:textId="635E79D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1.26</w:t>
            </w:r>
          </w:p>
        </w:tc>
      </w:tr>
      <w:tr w:rsidR="00EE0759" w:rsidRPr="00E4527E" w14:paraId="0EB26D29" w14:textId="77777777" w:rsidTr="008C3232">
        <w:trPr>
          <w:trHeight w:val="312"/>
        </w:trPr>
        <w:tc>
          <w:tcPr>
            <w:tcW w:w="709" w:type="dxa"/>
            <w:tcBorders>
              <w:top w:val="nil"/>
              <w:left w:val="nil"/>
              <w:bottom w:val="nil"/>
              <w:right w:val="nil"/>
            </w:tcBorders>
            <w:shd w:val="clear" w:color="auto" w:fill="auto"/>
            <w:noWrap/>
            <w:hideMark/>
          </w:tcPr>
          <w:p w14:paraId="561A5EFD" w14:textId="13A3F62E"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CBB05FF" w14:textId="5E5E271D"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8</w:t>
            </w:r>
          </w:p>
        </w:tc>
        <w:tc>
          <w:tcPr>
            <w:tcW w:w="709" w:type="dxa"/>
            <w:tcBorders>
              <w:top w:val="nil"/>
              <w:left w:val="nil"/>
              <w:bottom w:val="nil"/>
              <w:right w:val="nil"/>
            </w:tcBorders>
            <w:shd w:val="clear" w:color="auto" w:fill="auto"/>
            <w:noWrap/>
            <w:hideMark/>
          </w:tcPr>
          <w:p w14:paraId="3DE1EBAB" w14:textId="33C5834B"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G48B</w:t>
            </w:r>
          </w:p>
        </w:tc>
        <w:tc>
          <w:tcPr>
            <w:tcW w:w="3719" w:type="dxa"/>
            <w:tcBorders>
              <w:top w:val="nil"/>
              <w:left w:val="nil"/>
              <w:bottom w:val="nil"/>
              <w:right w:val="nil"/>
            </w:tcBorders>
            <w:shd w:val="clear" w:color="auto" w:fill="auto"/>
            <w:noWrap/>
            <w:hideMark/>
          </w:tcPr>
          <w:p w14:paraId="1F1AC568" w14:textId="3C10A7A3"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Colonoscopy, Minor Complexity</w:t>
            </w:r>
          </w:p>
        </w:tc>
        <w:tc>
          <w:tcPr>
            <w:tcW w:w="709" w:type="dxa"/>
            <w:tcBorders>
              <w:top w:val="nil"/>
              <w:left w:val="nil"/>
              <w:bottom w:val="nil"/>
              <w:right w:val="nil"/>
            </w:tcBorders>
            <w:shd w:val="clear" w:color="auto" w:fill="auto"/>
            <w:noWrap/>
            <w:hideMark/>
          </w:tcPr>
          <w:p w14:paraId="6113E8CB" w14:textId="0D7EF4E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0.29</w:t>
            </w:r>
          </w:p>
        </w:tc>
        <w:tc>
          <w:tcPr>
            <w:tcW w:w="850" w:type="dxa"/>
            <w:tcBorders>
              <w:top w:val="nil"/>
              <w:left w:val="nil"/>
              <w:bottom w:val="nil"/>
              <w:right w:val="nil"/>
            </w:tcBorders>
            <w:shd w:val="clear" w:color="auto" w:fill="auto"/>
            <w:noWrap/>
            <w:hideMark/>
          </w:tcPr>
          <w:p w14:paraId="53D68E8F" w14:textId="4F7195A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166,005</w:t>
            </w:r>
          </w:p>
        </w:tc>
        <w:tc>
          <w:tcPr>
            <w:tcW w:w="851" w:type="dxa"/>
            <w:tcBorders>
              <w:top w:val="nil"/>
              <w:left w:val="nil"/>
              <w:bottom w:val="nil"/>
              <w:right w:val="nil"/>
            </w:tcBorders>
            <w:shd w:val="clear" w:color="auto" w:fill="auto"/>
            <w:noWrap/>
            <w:hideMark/>
          </w:tcPr>
          <w:p w14:paraId="6927E37B" w14:textId="187B1110"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48,141</w:t>
            </w:r>
          </w:p>
        </w:tc>
        <w:tc>
          <w:tcPr>
            <w:tcW w:w="850" w:type="dxa"/>
            <w:tcBorders>
              <w:top w:val="nil"/>
              <w:left w:val="nil"/>
              <w:bottom w:val="nil"/>
              <w:right w:val="nil"/>
            </w:tcBorders>
            <w:shd w:val="clear" w:color="auto" w:fill="auto"/>
            <w:noWrap/>
            <w:hideMark/>
          </w:tcPr>
          <w:p w14:paraId="3A4ED63A" w14:textId="713DADA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172,047</w:t>
            </w:r>
          </w:p>
        </w:tc>
        <w:tc>
          <w:tcPr>
            <w:tcW w:w="959" w:type="dxa"/>
            <w:tcBorders>
              <w:top w:val="nil"/>
              <w:left w:val="nil"/>
              <w:bottom w:val="nil"/>
              <w:right w:val="nil"/>
            </w:tcBorders>
            <w:shd w:val="clear" w:color="auto" w:fill="auto"/>
            <w:noWrap/>
            <w:hideMark/>
          </w:tcPr>
          <w:p w14:paraId="7D7D422A" w14:textId="7D1A092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567" w:type="dxa"/>
            <w:tcBorders>
              <w:top w:val="nil"/>
              <w:left w:val="nil"/>
              <w:bottom w:val="nil"/>
              <w:right w:val="nil"/>
            </w:tcBorders>
            <w:shd w:val="clear" w:color="auto" w:fill="auto"/>
            <w:noWrap/>
            <w:hideMark/>
          </w:tcPr>
          <w:p w14:paraId="49602FF5" w14:textId="12263BF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0A1C96A9" w14:textId="03C3C59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5.1%</w:t>
            </w:r>
          </w:p>
        </w:tc>
        <w:tc>
          <w:tcPr>
            <w:tcW w:w="575" w:type="dxa"/>
            <w:tcBorders>
              <w:top w:val="nil"/>
              <w:left w:val="nil"/>
              <w:bottom w:val="nil"/>
              <w:right w:val="nil"/>
            </w:tcBorders>
            <w:shd w:val="clear" w:color="auto" w:fill="auto"/>
            <w:noWrap/>
            <w:hideMark/>
          </w:tcPr>
          <w:p w14:paraId="05CC7DE8" w14:textId="07C232D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1.5%</w:t>
            </w:r>
          </w:p>
        </w:tc>
        <w:tc>
          <w:tcPr>
            <w:tcW w:w="851" w:type="dxa"/>
            <w:tcBorders>
              <w:top w:val="nil"/>
              <w:left w:val="nil"/>
              <w:bottom w:val="nil"/>
              <w:right w:val="nil"/>
            </w:tcBorders>
            <w:shd w:val="clear" w:color="auto" w:fill="auto"/>
            <w:noWrap/>
            <w:hideMark/>
          </w:tcPr>
          <w:p w14:paraId="1106DCB7" w14:textId="0F7F93C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38,771</w:t>
            </w:r>
          </w:p>
        </w:tc>
        <w:tc>
          <w:tcPr>
            <w:tcW w:w="708" w:type="dxa"/>
            <w:tcBorders>
              <w:top w:val="nil"/>
              <w:left w:val="nil"/>
              <w:bottom w:val="nil"/>
              <w:right w:val="nil"/>
            </w:tcBorders>
            <w:shd w:val="clear" w:color="auto" w:fill="auto"/>
            <w:noWrap/>
            <w:hideMark/>
          </w:tcPr>
          <w:p w14:paraId="4F4E0B22" w14:textId="2C5FF99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10 </w:t>
            </w:r>
          </w:p>
        </w:tc>
        <w:tc>
          <w:tcPr>
            <w:tcW w:w="851" w:type="dxa"/>
            <w:tcBorders>
              <w:top w:val="nil"/>
              <w:left w:val="nil"/>
              <w:bottom w:val="nil"/>
              <w:right w:val="nil"/>
            </w:tcBorders>
            <w:shd w:val="clear" w:color="auto" w:fill="auto"/>
            <w:noWrap/>
            <w:hideMark/>
          </w:tcPr>
          <w:p w14:paraId="000DE91A" w14:textId="5B978D3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148,776 </w:t>
            </w:r>
          </w:p>
        </w:tc>
        <w:tc>
          <w:tcPr>
            <w:tcW w:w="662" w:type="dxa"/>
            <w:tcBorders>
              <w:top w:val="nil"/>
              <w:left w:val="nil"/>
              <w:bottom w:val="nil"/>
              <w:right w:val="nil"/>
            </w:tcBorders>
            <w:shd w:val="clear" w:color="auto" w:fill="auto"/>
            <w:noWrap/>
            <w:hideMark/>
          </w:tcPr>
          <w:p w14:paraId="30B44471" w14:textId="1025FEB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0.26</w:t>
            </w:r>
          </w:p>
        </w:tc>
      </w:tr>
      <w:tr w:rsidR="00EE0759" w:rsidRPr="00E4527E" w14:paraId="62D6D8C3" w14:textId="77777777" w:rsidTr="008C3232">
        <w:trPr>
          <w:trHeight w:val="312"/>
        </w:trPr>
        <w:tc>
          <w:tcPr>
            <w:tcW w:w="709" w:type="dxa"/>
            <w:tcBorders>
              <w:top w:val="nil"/>
              <w:left w:val="nil"/>
              <w:bottom w:val="nil"/>
              <w:right w:val="nil"/>
            </w:tcBorders>
            <w:shd w:val="clear" w:color="auto" w:fill="auto"/>
            <w:noWrap/>
            <w:hideMark/>
          </w:tcPr>
          <w:p w14:paraId="6E12714B" w14:textId="0A14E61F"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54913B50" w14:textId="7407C5FD"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9</w:t>
            </w:r>
          </w:p>
        </w:tc>
        <w:tc>
          <w:tcPr>
            <w:tcW w:w="709" w:type="dxa"/>
            <w:tcBorders>
              <w:top w:val="nil"/>
              <w:left w:val="nil"/>
              <w:bottom w:val="nil"/>
              <w:right w:val="nil"/>
            </w:tcBorders>
            <w:shd w:val="clear" w:color="auto" w:fill="auto"/>
            <w:noWrap/>
            <w:hideMark/>
          </w:tcPr>
          <w:p w14:paraId="629D49A5" w14:textId="58E8C68B"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I10B</w:t>
            </w:r>
          </w:p>
        </w:tc>
        <w:tc>
          <w:tcPr>
            <w:tcW w:w="3719" w:type="dxa"/>
            <w:tcBorders>
              <w:top w:val="nil"/>
              <w:left w:val="nil"/>
              <w:bottom w:val="nil"/>
              <w:right w:val="nil"/>
            </w:tcBorders>
            <w:shd w:val="clear" w:color="auto" w:fill="auto"/>
            <w:noWrap/>
            <w:hideMark/>
          </w:tcPr>
          <w:p w14:paraId="471F3A20" w14:textId="5D850E16"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Other Back and Neck Procedures, Minor Complexity</w:t>
            </w:r>
          </w:p>
        </w:tc>
        <w:tc>
          <w:tcPr>
            <w:tcW w:w="709" w:type="dxa"/>
            <w:tcBorders>
              <w:top w:val="nil"/>
              <w:left w:val="nil"/>
              <w:bottom w:val="nil"/>
              <w:right w:val="nil"/>
            </w:tcBorders>
            <w:shd w:val="clear" w:color="auto" w:fill="auto"/>
            <w:noWrap/>
            <w:hideMark/>
          </w:tcPr>
          <w:p w14:paraId="1405A8C8" w14:textId="74C878D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2.33</w:t>
            </w:r>
          </w:p>
        </w:tc>
        <w:tc>
          <w:tcPr>
            <w:tcW w:w="850" w:type="dxa"/>
            <w:tcBorders>
              <w:top w:val="nil"/>
              <w:left w:val="nil"/>
              <w:bottom w:val="nil"/>
              <w:right w:val="nil"/>
            </w:tcBorders>
            <w:shd w:val="clear" w:color="auto" w:fill="auto"/>
            <w:noWrap/>
            <w:hideMark/>
          </w:tcPr>
          <w:p w14:paraId="3828BB40" w14:textId="61E9DF2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18,423</w:t>
            </w:r>
          </w:p>
        </w:tc>
        <w:tc>
          <w:tcPr>
            <w:tcW w:w="851" w:type="dxa"/>
            <w:tcBorders>
              <w:top w:val="nil"/>
              <w:left w:val="nil"/>
              <w:bottom w:val="nil"/>
              <w:right w:val="nil"/>
            </w:tcBorders>
            <w:shd w:val="clear" w:color="auto" w:fill="auto"/>
            <w:noWrap/>
            <w:hideMark/>
          </w:tcPr>
          <w:p w14:paraId="0DA461BE" w14:textId="02B1AE0B"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42,926</w:t>
            </w:r>
          </w:p>
        </w:tc>
        <w:tc>
          <w:tcPr>
            <w:tcW w:w="850" w:type="dxa"/>
            <w:tcBorders>
              <w:top w:val="nil"/>
              <w:left w:val="nil"/>
              <w:bottom w:val="nil"/>
              <w:right w:val="nil"/>
            </w:tcBorders>
            <w:shd w:val="clear" w:color="auto" w:fill="auto"/>
            <w:noWrap/>
            <w:hideMark/>
          </w:tcPr>
          <w:p w14:paraId="7646612E" w14:textId="2ACE25C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58,645</w:t>
            </w:r>
          </w:p>
        </w:tc>
        <w:tc>
          <w:tcPr>
            <w:tcW w:w="959" w:type="dxa"/>
            <w:tcBorders>
              <w:top w:val="nil"/>
              <w:left w:val="nil"/>
              <w:bottom w:val="nil"/>
              <w:right w:val="nil"/>
            </w:tcBorders>
            <w:shd w:val="clear" w:color="auto" w:fill="auto"/>
            <w:noWrap/>
            <w:hideMark/>
          </w:tcPr>
          <w:p w14:paraId="050B1388" w14:textId="56C2886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3.2</w:t>
            </w:r>
          </w:p>
        </w:tc>
        <w:tc>
          <w:tcPr>
            <w:tcW w:w="567" w:type="dxa"/>
            <w:tcBorders>
              <w:top w:val="nil"/>
              <w:left w:val="nil"/>
              <w:bottom w:val="nil"/>
              <w:right w:val="nil"/>
            </w:tcBorders>
            <w:shd w:val="clear" w:color="auto" w:fill="auto"/>
            <w:noWrap/>
            <w:hideMark/>
          </w:tcPr>
          <w:p w14:paraId="14F8F897" w14:textId="4F90D5D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0.02</w:t>
            </w:r>
          </w:p>
        </w:tc>
        <w:tc>
          <w:tcPr>
            <w:tcW w:w="575" w:type="dxa"/>
            <w:tcBorders>
              <w:top w:val="nil"/>
              <w:left w:val="nil"/>
              <w:bottom w:val="nil"/>
              <w:right w:val="nil"/>
            </w:tcBorders>
            <w:shd w:val="clear" w:color="auto" w:fill="auto"/>
            <w:noWrap/>
            <w:hideMark/>
          </w:tcPr>
          <w:p w14:paraId="2E656477" w14:textId="60A8BB2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0.6%</w:t>
            </w:r>
          </w:p>
        </w:tc>
        <w:tc>
          <w:tcPr>
            <w:tcW w:w="575" w:type="dxa"/>
            <w:tcBorders>
              <w:top w:val="nil"/>
              <w:left w:val="nil"/>
              <w:bottom w:val="nil"/>
              <w:right w:val="nil"/>
            </w:tcBorders>
            <w:shd w:val="clear" w:color="auto" w:fill="auto"/>
            <w:noWrap/>
            <w:hideMark/>
          </w:tcPr>
          <w:p w14:paraId="02CBF822" w14:textId="221E329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1.3%</w:t>
            </w:r>
          </w:p>
        </w:tc>
        <w:tc>
          <w:tcPr>
            <w:tcW w:w="851" w:type="dxa"/>
            <w:tcBorders>
              <w:top w:val="nil"/>
              <w:left w:val="nil"/>
              <w:bottom w:val="nil"/>
              <w:right w:val="nil"/>
            </w:tcBorders>
            <w:shd w:val="clear" w:color="auto" w:fill="auto"/>
            <w:noWrap/>
            <w:hideMark/>
          </w:tcPr>
          <w:p w14:paraId="65FAEE17" w14:textId="0EB75FC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45,636</w:t>
            </w:r>
          </w:p>
        </w:tc>
        <w:tc>
          <w:tcPr>
            <w:tcW w:w="708" w:type="dxa"/>
            <w:tcBorders>
              <w:top w:val="nil"/>
              <w:left w:val="nil"/>
              <w:bottom w:val="nil"/>
              <w:right w:val="nil"/>
            </w:tcBorders>
            <w:shd w:val="clear" w:color="auto" w:fill="auto"/>
            <w:noWrap/>
            <w:hideMark/>
          </w:tcPr>
          <w:p w14:paraId="668CDBF8" w14:textId="0877430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6 </w:t>
            </w:r>
          </w:p>
        </w:tc>
        <w:tc>
          <w:tcPr>
            <w:tcW w:w="851" w:type="dxa"/>
            <w:tcBorders>
              <w:top w:val="nil"/>
              <w:left w:val="nil"/>
              <w:bottom w:val="nil"/>
              <w:right w:val="nil"/>
            </w:tcBorders>
            <w:shd w:val="clear" w:color="auto" w:fill="auto"/>
            <w:noWrap/>
            <w:hideMark/>
          </w:tcPr>
          <w:p w14:paraId="44DFB45A" w14:textId="3D7DFC7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20,753 </w:t>
            </w:r>
          </w:p>
        </w:tc>
        <w:tc>
          <w:tcPr>
            <w:tcW w:w="662" w:type="dxa"/>
            <w:tcBorders>
              <w:top w:val="nil"/>
              <w:left w:val="nil"/>
              <w:bottom w:val="nil"/>
              <w:right w:val="nil"/>
            </w:tcBorders>
            <w:shd w:val="clear" w:color="auto" w:fill="auto"/>
            <w:noWrap/>
            <w:hideMark/>
          </w:tcPr>
          <w:p w14:paraId="5516B2D1" w14:textId="4A2D0F0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2.20</w:t>
            </w:r>
          </w:p>
        </w:tc>
      </w:tr>
      <w:tr w:rsidR="00EE0759" w:rsidRPr="00E4527E" w14:paraId="22C9D38A" w14:textId="77777777" w:rsidTr="008C3232">
        <w:trPr>
          <w:trHeight w:val="312"/>
        </w:trPr>
        <w:tc>
          <w:tcPr>
            <w:tcW w:w="709" w:type="dxa"/>
            <w:tcBorders>
              <w:top w:val="nil"/>
              <w:left w:val="nil"/>
              <w:bottom w:val="nil"/>
              <w:right w:val="nil"/>
            </w:tcBorders>
            <w:shd w:val="clear" w:color="auto" w:fill="auto"/>
            <w:noWrap/>
            <w:hideMark/>
          </w:tcPr>
          <w:p w14:paraId="67468CB3" w14:textId="38FB02FD"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1890A365" w14:textId="10014D19"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10</w:t>
            </w:r>
          </w:p>
        </w:tc>
        <w:tc>
          <w:tcPr>
            <w:tcW w:w="709" w:type="dxa"/>
            <w:tcBorders>
              <w:top w:val="nil"/>
              <w:left w:val="nil"/>
              <w:bottom w:val="nil"/>
              <w:right w:val="nil"/>
            </w:tcBorders>
            <w:shd w:val="clear" w:color="auto" w:fill="auto"/>
            <w:noWrap/>
            <w:hideMark/>
          </w:tcPr>
          <w:p w14:paraId="7FD91089" w14:textId="5DDCFC7A"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G46B</w:t>
            </w:r>
          </w:p>
        </w:tc>
        <w:tc>
          <w:tcPr>
            <w:tcW w:w="3719" w:type="dxa"/>
            <w:tcBorders>
              <w:top w:val="nil"/>
              <w:left w:val="nil"/>
              <w:bottom w:val="nil"/>
              <w:right w:val="nil"/>
            </w:tcBorders>
            <w:shd w:val="clear" w:color="auto" w:fill="auto"/>
            <w:noWrap/>
            <w:hideMark/>
          </w:tcPr>
          <w:p w14:paraId="455C5679" w14:textId="7499C2EC"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Complex Endoscopy, Minor Complexity</w:t>
            </w:r>
          </w:p>
        </w:tc>
        <w:tc>
          <w:tcPr>
            <w:tcW w:w="709" w:type="dxa"/>
            <w:tcBorders>
              <w:top w:val="nil"/>
              <w:left w:val="nil"/>
              <w:bottom w:val="nil"/>
              <w:right w:val="nil"/>
            </w:tcBorders>
            <w:shd w:val="clear" w:color="auto" w:fill="auto"/>
            <w:noWrap/>
            <w:hideMark/>
          </w:tcPr>
          <w:p w14:paraId="026E3FCB" w14:textId="750EA2B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0.35</w:t>
            </w:r>
          </w:p>
        </w:tc>
        <w:tc>
          <w:tcPr>
            <w:tcW w:w="850" w:type="dxa"/>
            <w:tcBorders>
              <w:top w:val="nil"/>
              <w:left w:val="nil"/>
              <w:bottom w:val="nil"/>
              <w:right w:val="nil"/>
            </w:tcBorders>
            <w:shd w:val="clear" w:color="auto" w:fill="auto"/>
            <w:noWrap/>
            <w:hideMark/>
          </w:tcPr>
          <w:p w14:paraId="5A920E6F" w14:textId="6988714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109,420</w:t>
            </w:r>
          </w:p>
        </w:tc>
        <w:tc>
          <w:tcPr>
            <w:tcW w:w="851" w:type="dxa"/>
            <w:tcBorders>
              <w:top w:val="nil"/>
              <w:left w:val="nil"/>
              <w:bottom w:val="nil"/>
              <w:right w:val="nil"/>
            </w:tcBorders>
            <w:shd w:val="clear" w:color="auto" w:fill="auto"/>
            <w:noWrap/>
            <w:hideMark/>
          </w:tcPr>
          <w:p w14:paraId="3040A14D" w14:textId="49BCE54A"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38,297</w:t>
            </w:r>
          </w:p>
        </w:tc>
        <w:tc>
          <w:tcPr>
            <w:tcW w:w="850" w:type="dxa"/>
            <w:tcBorders>
              <w:top w:val="nil"/>
              <w:left w:val="nil"/>
              <w:bottom w:val="nil"/>
              <w:right w:val="nil"/>
            </w:tcBorders>
            <w:shd w:val="clear" w:color="auto" w:fill="auto"/>
            <w:noWrap/>
            <w:hideMark/>
          </w:tcPr>
          <w:p w14:paraId="3A78E3CF" w14:textId="374E573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115,684</w:t>
            </w:r>
          </w:p>
        </w:tc>
        <w:tc>
          <w:tcPr>
            <w:tcW w:w="959" w:type="dxa"/>
            <w:tcBorders>
              <w:top w:val="nil"/>
              <w:left w:val="nil"/>
              <w:bottom w:val="nil"/>
              <w:right w:val="nil"/>
            </w:tcBorders>
            <w:shd w:val="clear" w:color="auto" w:fill="auto"/>
            <w:noWrap/>
            <w:hideMark/>
          </w:tcPr>
          <w:p w14:paraId="4AC85810" w14:textId="2301B63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567" w:type="dxa"/>
            <w:tcBorders>
              <w:top w:val="nil"/>
              <w:left w:val="nil"/>
              <w:bottom w:val="nil"/>
              <w:right w:val="nil"/>
            </w:tcBorders>
            <w:shd w:val="clear" w:color="auto" w:fill="auto"/>
            <w:noWrap/>
            <w:hideMark/>
          </w:tcPr>
          <w:p w14:paraId="02E72BD1" w14:textId="4362106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7988A7C5" w14:textId="6D006E9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3.4%</w:t>
            </w:r>
          </w:p>
        </w:tc>
        <w:tc>
          <w:tcPr>
            <w:tcW w:w="575" w:type="dxa"/>
            <w:tcBorders>
              <w:top w:val="nil"/>
              <w:left w:val="nil"/>
              <w:bottom w:val="nil"/>
              <w:right w:val="nil"/>
            </w:tcBorders>
            <w:shd w:val="clear" w:color="auto" w:fill="auto"/>
            <w:noWrap/>
            <w:hideMark/>
          </w:tcPr>
          <w:p w14:paraId="0A992F47" w14:textId="141A5A5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851" w:type="dxa"/>
            <w:tcBorders>
              <w:top w:val="nil"/>
              <w:left w:val="nil"/>
              <w:bottom w:val="nil"/>
              <w:right w:val="nil"/>
            </w:tcBorders>
            <w:shd w:val="clear" w:color="auto" w:fill="auto"/>
            <w:noWrap/>
            <w:hideMark/>
          </w:tcPr>
          <w:p w14:paraId="31B760D4" w14:textId="25784E6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29,182</w:t>
            </w:r>
          </w:p>
        </w:tc>
        <w:tc>
          <w:tcPr>
            <w:tcW w:w="708" w:type="dxa"/>
            <w:tcBorders>
              <w:top w:val="nil"/>
              <w:left w:val="nil"/>
              <w:bottom w:val="nil"/>
              <w:right w:val="nil"/>
            </w:tcBorders>
            <w:shd w:val="clear" w:color="auto" w:fill="auto"/>
            <w:noWrap/>
            <w:hideMark/>
          </w:tcPr>
          <w:p w14:paraId="630A7B08" w14:textId="7943666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19 </w:t>
            </w:r>
          </w:p>
        </w:tc>
        <w:tc>
          <w:tcPr>
            <w:tcW w:w="851" w:type="dxa"/>
            <w:tcBorders>
              <w:top w:val="nil"/>
              <w:left w:val="nil"/>
              <w:bottom w:val="nil"/>
              <w:right w:val="nil"/>
            </w:tcBorders>
            <w:shd w:val="clear" w:color="auto" w:fill="auto"/>
            <w:noWrap/>
            <w:hideMark/>
          </w:tcPr>
          <w:p w14:paraId="241ECFD4" w14:textId="6E914C8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95,336 </w:t>
            </w:r>
          </w:p>
        </w:tc>
        <w:tc>
          <w:tcPr>
            <w:tcW w:w="662" w:type="dxa"/>
            <w:tcBorders>
              <w:top w:val="nil"/>
              <w:left w:val="nil"/>
              <w:bottom w:val="nil"/>
              <w:right w:val="nil"/>
            </w:tcBorders>
            <w:shd w:val="clear" w:color="auto" w:fill="auto"/>
            <w:noWrap/>
            <w:hideMark/>
          </w:tcPr>
          <w:p w14:paraId="4D17BD66" w14:textId="48534FB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0.31</w:t>
            </w:r>
          </w:p>
        </w:tc>
      </w:tr>
      <w:tr w:rsidR="00EE0759" w:rsidRPr="00E4527E" w14:paraId="738AB800" w14:textId="77777777" w:rsidTr="008C3232">
        <w:trPr>
          <w:trHeight w:val="312"/>
        </w:trPr>
        <w:tc>
          <w:tcPr>
            <w:tcW w:w="709" w:type="dxa"/>
            <w:tcBorders>
              <w:top w:val="nil"/>
              <w:left w:val="nil"/>
              <w:bottom w:val="nil"/>
              <w:right w:val="nil"/>
            </w:tcBorders>
            <w:shd w:val="clear" w:color="auto" w:fill="auto"/>
            <w:noWrap/>
            <w:hideMark/>
          </w:tcPr>
          <w:p w14:paraId="33C514AC" w14:textId="48D90512"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No</w:t>
            </w:r>
          </w:p>
        </w:tc>
        <w:tc>
          <w:tcPr>
            <w:tcW w:w="709" w:type="dxa"/>
            <w:tcBorders>
              <w:top w:val="nil"/>
              <w:left w:val="nil"/>
              <w:bottom w:val="nil"/>
              <w:right w:val="nil"/>
            </w:tcBorders>
            <w:shd w:val="clear" w:color="auto" w:fill="auto"/>
            <w:noWrap/>
            <w:hideMark/>
          </w:tcPr>
          <w:p w14:paraId="2AB6E586" w14:textId="66626F9B"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11</w:t>
            </w:r>
          </w:p>
        </w:tc>
        <w:tc>
          <w:tcPr>
            <w:tcW w:w="709" w:type="dxa"/>
            <w:tcBorders>
              <w:top w:val="nil"/>
              <w:left w:val="nil"/>
              <w:bottom w:val="nil"/>
              <w:right w:val="nil"/>
            </w:tcBorders>
            <w:shd w:val="clear" w:color="auto" w:fill="auto"/>
            <w:noWrap/>
            <w:hideMark/>
          </w:tcPr>
          <w:p w14:paraId="459013C1" w14:textId="33170655"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C16Z</w:t>
            </w:r>
          </w:p>
        </w:tc>
        <w:tc>
          <w:tcPr>
            <w:tcW w:w="3719" w:type="dxa"/>
            <w:tcBorders>
              <w:top w:val="nil"/>
              <w:left w:val="nil"/>
              <w:bottom w:val="nil"/>
              <w:right w:val="nil"/>
            </w:tcBorders>
            <w:shd w:val="clear" w:color="auto" w:fill="auto"/>
            <w:noWrap/>
            <w:hideMark/>
          </w:tcPr>
          <w:p w14:paraId="4352B74B" w14:textId="51BEAC1E"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Lens Procedures</w:t>
            </w:r>
          </w:p>
        </w:tc>
        <w:tc>
          <w:tcPr>
            <w:tcW w:w="709" w:type="dxa"/>
            <w:tcBorders>
              <w:top w:val="nil"/>
              <w:left w:val="nil"/>
              <w:bottom w:val="nil"/>
              <w:right w:val="nil"/>
            </w:tcBorders>
            <w:shd w:val="clear" w:color="auto" w:fill="auto"/>
            <w:noWrap/>
            <w:hideMark/>
          </w:tcPr>
          <w:p w14:paraId="574E8C77" w14:textId="4A59D24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0.59</w:t>
            </w:r>
          </w:p>
        </w:tc>
        <w:tc>
          <w:tcPr>
            <w:tcW w:w="850" w:type="dxa"/>
            <w:tcBorders>
              <w:top w:val="nil"/>
              <w:left w:val="nil"/>
              <w:bottom w:val="nil"/>
              <w:right w:val="nil"/>
            </w:tcBorders>
            <w:shd w:val="clear" w:color="auto" w:fill="auto"/>
            <w:noWrap/>
            <w:hideMark/>
          </w:tcPr>
          <w:p w14:paraId="7B6F915C" w14:textId="6088EBA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64,268</w:t>
            </w:r>
          </w:p>
        </w:tc>
        <w:tc>
          <w:tcPr>
            <w:tcW w:w="851" w:type="dxa"/>
            <w:tcBorders>
              <w:top w:val="nil"/>
              <w:left w:val="nil"/>
              <w:bottom w:val="nil"/>
              <w:right w:val="nil"/>
            </w:tcBorders>
            <w:shd w:val="clear" w:color="auto" w:fill="auto"/>
            <w:noWrap/>
            <w:hideMark/>
          </w:tcPr>
          <w:p w14:paraId="0228785A" w14:textId="73AB740D"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37,918</w:t>
            </w:r>
          </w:p>
        </w:tc>
        <w:tc>
          <w:tcPr>
            <w:tcW w:w="850" w:type="dxa"/>
            <w:tcBorders>
              <w:top w:val="nil"/>
              <w:left w:val="nil"/>
              <w:bottom w:val="nil"/>
              <w:right w:val="nil"/>
            </w:tcBorders>
            <w:shd w:val="clear" w:color="auto" w:fill="auto"/>
            <w:noWrap/>
            <w:hideMark/>
          </w:tcPr>
          <w:p w14:paraId="659DC6F8" w14:textId="15E400D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64,465</w:t>
            </w:r>
          </w:p>
        </w:tc>
        <w:tc>
          <w:tcPr>
            <w:tcW w:w="959" w:type="dxa"/>
            <w:tcBorders>
              <w:top w:val="nil"/>
              <w:left w:val="nil"/>
              <w:bottom w:val="nil"/>
              <w:right w:val="nil"/>
            </w:tcBorders>
            <w:shd w:val="clear" w:color="auto" w:fill="auto"/>
            <w:noWrap/>
            <w:hideMark/>
          </w:tcPr>
          <w:p w14:paraId="70E713BA" w14:textId="3DC7398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567" w:type="dxa"/>
            <w:tcBorders>
              <w:top w:val="nil"/>
              <w:left w:val="nil"/>
              <w:bottom w:val="nil"/>
              <w:right w:val="nil"/>
            </w:tcBorders>
            <w:shd w:val="clear" w:color="auto" w:fill="auto"/>
            <w:noWrap/>
            <w:hideMark/>
          </w:tcPr>
          <w:p w14:paraId="6BECAC2C" w14:textId="284B1E5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7195F982" w14:textId="491AE0C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2.0%</w:t>
            </w:r>
          </w:p>
        </w:tc>
        <w:tc>
          <w:tcPr>
            <w:tcW w:w="575" w:type="dxa"/>
            <w:tcBorders>
              <w:top w:val="nil"/>
              <w:left w:val="nil"/>
              <w:bottom w:val="nil"/>
              <w:right w:val="nil"/>
            </w:tcBorders>
            <w:shd w:val="clear" w:color="auto" w:fill="auto"/>
            <w:noWrap/>
            <w:hideMark/>
          </w:tcPr>
          <w:p w14:paraId="2191F53A" w14:textId="15982EC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851" w:type="dxa"/>
            <w:tcBorders>
              <w:top w:val="nil"/>
              <w:left w:val="nil"/>
              <w:bottom w:val="nil"/>
              <w:right w:val="nil"/>
            </w:tcBorders>
            <w:shd w:val="clear" w:color="auto" w:fill="auto"/>
            <w:noWrap/>
            <w:hideMark/>
          </w:tcPr>
          <w:p w14:paraId="7779756E" w14:textId="4C5EB93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24,874</w:t>
            </w:r>
          </w:p>
        </w:tc>
        <w:tc>
          <w:tcPr>
            <w:tcW w:w="708" w:type="dxa"/>
            <w:tcBorders>
              <w:top w:val="nil"/>
              <w:left w:val="nil"/>
              <w:bottom w:val="nil"/>
              <w:right w:val="nil"/>
            </w:tcBorders>
            <w:shd w:val="clear" w:color="auto" w:fill="auto"/>
            <w:noWrap/>
            <w:hideMark/>
          </w:tcPr>
          <w:p w14:paraId="099AE21E" w14:textId="6B512AF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21 </w:t>
            </w:r>
          </w:p>
        </w:tc>
        <w:tc>
          <w:tcPr>
            <w:tcW w:w="851" w:type="dxa"/>
            <w:tcBorders>
              <w:top w:val="nil"/>
              <w:left w:val="nil"/>
              <w:bottom w:val="nil"/>
              <w:right w:val="nil"/>
            </w:tcBorders>
            <w:shd w:val="clear" w:color="auto" w:fill="auto"/>
            <w:noWrap/>
            <w:hideMark/>
          </w:tcPr>
          <w:p w14:paraId="15E154C5" w14:textId="171DF4C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52,810 </w:t>
            </w:r>
          </w:p>
        </w:tc>
        <w:tc>
          <w:tcPr>
            <w:tcW w:w="662" w:type="dxa"/>
            <w:tcBorders>
              <w:top w:val="nil"/>
              <w:left w:val="nil"/>
              <w:bottom w:val="nil"/>
              <w:right w:val="nil"/>
            </w:tcBorders>
            <w:shd w:val="clear" w:color="auto" w:fill="auto"/>
            <w:noWrap/>
            <w:hideMark/>
          </w:tcPr>
          <w:p w14:paraId="007DC211" w14:textId="79C943E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0.47</w:t>
            </w:r>
          </w:p>
        </w:tc>
      </w:tr>
      <w:tr w:rsidR="00EE0759" w:rsidRPr="00E4527E" w14:paraId="6ACEF838" w14:textId="77777777" w:rsidTr="008C3232">
        <w:trPr>
          <w:trHeight w:val="312"/>
        </w:trPr>
        <w:tc>
          <w:tcPr>
            <w:tcW w:w="709" w:type="dxa"/>
            <w:tcBorders>
              <w:top w:val="nil"/>
              <w:left w:val="nil"/>
              <w:bottom w:val="nil"/>
              <w:right w:val="nil"/>
            </w:tcBorders>
            <w:shd w:val="clear" w:color="auto" w:fill="auto"/>
            <w:noWrap/>
            <w:hideMark/>
          </w:tcPr>
          <w:p w14:paraId="2BC1D030" w14:textId="2C829080"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55C8DF0" w14:textId="7DB733A9"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12</w:t>
            </w:r>
          </w:p>
        </w:tc>
        <w:tc>
          <w:tcPr>
            <w:tcW w:w="709" w:type="dxa"/>
            <w:tcBorders>
              <w:top w:val="nil"/>
              <w:left w:val="nil"/>
              <w:bottom w:val="nil"/>
              <w:right w:val="nil"/>
            </w:tcBorders>
            <w:shd w:val="clear" w:color="auto" w:fill="auto"/>
            <w:noWrap/>
            <w:hideMark/>
          </w:tcPr>
          <w:p w14:paraId="0ABE1B7D" w14:textId="2CA8FCD8"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R63Z</w:t>
            </w:r>
          </w:p>
        </w:tc>
        <w:tc>
          <w:tcPr>
            <w:tcW w:w="3719" w:type="dxa"/>
            <w:tcBorders>
              <w:top w:val="nil"/>
              <w:left w:val="nil"/>
              <w:bottom w:val="nil"/>
              <w:right w:val="nil"/>
            </w:tcBorders>
            <w:shd w:val="clear" w:color="auto" w:fill="auto"/>
            <w:noWrap/>
            <w:hideMark/>
          </w:tcPr>
          <w:p w14:paraId="3A314215" w14:textId="03628C7C"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Chemotherapy</w:t>
            </w:r>
          </w:p>
        </w:tc>
        <w:tc>
          <w:tcPr>
            <w:tcW w:w="709" w:type="dxa"/>
            <w:tcBorders>
              <w:top w:val="nil"/>
              <w:left w:val="nil"/>
              <w:bottom w:val="nil"/>
              <w:right w:val="nil"/>
            </w:tcBorders>
            <w:shd w:val="clear" w:color="auto" w:fill="auto"/>
            <w:noWrap/>
            <w:hideMark/>
          </w:tcPr>
          <w:p w14:paraId="0EC0F7E6" w14:textId="779F3DB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0.15</w:t>
            </w:r>
          </w:p>
        </w:tc>
        <w:tc>
          <w:tcPr>
            <w:tcW w:w="850" w:type="dxa"/>
            <w:tcBorders>
              <w:top w:val="nil"/>
              <w:left w:val="nil"/>
              <w:bottom w:val="nil"/>
              <w:right w:val="nil"/>
            </w:tcBorders>
            <w:shd w:val="clear" w:color="auto" w:fill="auto"/>
            <w:noWrap/>
            <w:hideMark/>
          </w:tcPr>
          <w:p w14:paraId="1BF2E4FC" w14:textId="70EC7D0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256,062</w:t>
            </w:r>
          </w:p>
        </w:tc>
        <w:tc>
          <w:tcPr>
            <w:tcW w:w="851" w:type="dxa"/>
            <w:tcBorders>
              <w:top w:val="nil"/>
              <w:left w:val="nil"/>
              <w:bottom w:val="nil"/>
              <w:right w:val="nil"/>
            </w:tcBorders>
            <w:shd w:val="clear" w:color="auto" w:fill="auto"/>
            <w:noWrap/>
            <w:hideMark/>
          </w:tcPr>
          <w:p w14:paraId="50475463" w14:textId="79EBCB87"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38,409</w:t>
            </w:r>
          </w:p>
        </w:tc>
        <w:tc>
          <w:tcPr>
            <w:tcW w:w="850" w:type="dxa"/>
            <w:tcBorders>
              <w:top w:val="nil"/>
              <w:left w:val="nil"/>
              <w:bottom w:val="nil"/>
              <w:right w:val="nil"/>
            </w:tcBorders>
            <w:shd w:val="clear" w:color="auto" w:fill="auto"/>
            <w:noWrap/>
            <w:hideMark/>
          </w:tcPr>
          <w:p w14:paraId="5B7D46AF" w14:textId="2A92A1B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256,216</w:t>
            </w:r>
          </w:p>
        </w:tc>
        <w:tc>
          <w:tcPr>
            <w:tcW w:w="959" w:type="dxa"/>
            <w:tcBorders>
              <w:top w:val="nil"/>
              <w:left w:val="nil"/>
              <w:bottom w:val="nil"/>
              <w:right w:val="nil"/>
            </w:tcBorders>
            <w:shd w:val="clear" w:color="auto" w:fill="auto"/>
            <w:noWrap/>
            <w:hideMark/>
          </w:tcPr>
          <w:p w14:paraId="700D96EA" w14:textId="2696386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567" w:type="dxa"/>
            <w:tcBorders>
              <w:top w:val="nil"/>
              <w:left w:val="nil"/>
              <w:bottom w:val="nil"/>
              <w:right w:val="nil"/>
            </w:tcBorders>
            <w:shd w:val="clear" w:color="auto" w:fill="auto"/>
            <w:noWrap/>
            <w:hideMark/>
          </w:tcPr>
          <w:p w14:paraId="54638C10" w14:textId="3A64FF5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0A0121CD" w14:textId="4F31D17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7.9%</w:t>
            </w:r>
          </w:p>
        </w:tc>
        <w:tc>
          <w:tcPr>
            <w:tcW w:w="575" w:type="dxa"/>
            <w:tcBorders>
              <w:top w:val="nil"/>
              <w:left w:val="nil"/>
              <w:bottom w:val="nil"/>
              <w:right w:val="nil"/>
            </w:tcBorders>
            <w:shd w:val="clear" w:color="auto" w:fill="auto"/>
            <w:noWrap/>
            <w:hideMark/>
          </w:tcPr>
          <w:p w14:paraId="687A5CBC" w14:textId="511E731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851" w:type="dxa"/>
            <w:tcBorders>
              <w:top w:val="nil"/>
              <w:left w:val="nil"/>
              <w:bottom w:val="nil"/>
              <w:right w:val="nil"/>
            </w:tcBorders>
            <w:shd w:val="clear" w:color="auto" w:fill="auto"/>
            <w:noWrap/>
            <w:hideMark/>
          </w:tcPr>
          <w:p w14:paraId="39447908" w14:textId="025A220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39,452</w:t>
            </w:r>
          </w:p>
        </w:tc>
        <w:tc>
          <w:tcPr>
            <w:tcW w:w="708" w:type="dxa"/>
            <w:tcBorders>
              <w:top w:val="nil"/>
              <w:left w:val="nil"/>
              <w:bottom w:val="nil"/>
              <w:right w:val="nil"/>
            </w:tcBorders>
            <w:shd w:val="clear" w:color="auto" w:fill="auto"/>
            <w:noWrap/>
            <w:hideMark/>
          </w:tcPr>
          <w:p w14:paraId="12E3EE7E" w14:textId="2C876EF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8 </w:t>
            </w:r>
          </w:p>
        </w:tc>
        <w:tc>
          <w:tcPr>
            <w:tcW w:w="851" w:type="dxa"/>
            <w:tcBorders>
              <w:top w:val="nil"/>
              <w:left w:val="nil"/>
              <w:bottom w:val="nil"/>
              <w:right w:val="nil"/>
            </w:tcBorders>
            <w:shd w:val="clear" w:color="auto" w:fill="auto"/>
            <w:noWrap/>
            <w:hideMark/>
          </w:tcPr>
          <w:p w14:paraId="4D410F4B" w14:textId="7903B12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268,018 </w:t>
            </w:r>
          </w:p>
        </w:tc>
        <w:tc>
          <w:tcPr>
            <w:tcW w:w="662" w:type="dxa"/>
            <w:tcBorders>
              <w:top w:val="nil"/>
              <w:left w:val="nil"/>
              <w:bottom w:val="nil"/>
              <w:right w:val="nil"/>
            </w:tcBorders>
            <w:shd w:val="clear" w:color="auto" w:fill="auto"/>
            <w:noWrap/>
            <w:hideMark/>
          </w:tcPr>
          <w:p w14:paraId="53F4A0F0" w14:textId="5DC357F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0.15</w:t>
            </w:r>
          </w:p>
        </w:tc>
      </w:tr>
      <w:tr w:rsidR="00EE0759" w:rsidRPr="00E4527E" w14:paraId="224EC3EC" w14:textId="77777777" w:rsidTr="008C3232">
        <w:trPr>
          <w:trHeight w:val="312"/>
        </w:trPr>
        <w:tc>
          <w:tcPr>
            <w:tcW w:w="709" w:type="dxa"/>
            <w:tcBorders>
              <w:top w:val="nil"/>
              <w:left w:val="nil"/>
              <w:bottom w:val="nil"/>
              <w:right w:val="nil"/>
            </w:tcBorders>
            <w:shd w:val="clear" w:color="auto" w:fill="auto"/>
            <w:noWrap/>
            <w:hideMark/>
          </w:tcPr>
          <w:p w14:paraId="21155ECD" w14:textId="00A26710"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BE2AC06" w14:textId="6B5C421D"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13</w:t>
            </w:r>
          </w:p>
        </w:tc>
        <w:tc>
          <w:tcPr>
            <w:tcW w:w="709" w:type="dxa"/>
            <w:tcBorders>
              <w:top w:val="nil"/>
              <w:left w:val="nil"/>
              <w:bottom w:val="nil"/>
              <w:right w:val="nil"/>
            </w:tcBorders>
            <w:shd w:val="clear" w:color="auto" w:fill="auto"/>
            <w:noWrap/>
            <w:hideMark/>
          </w:tcPr>
          <w:p w14:paraId="51EE3BF1" w14:textId="292BB45C"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G10B</w:t>
            </w:r>
          </w:p>
        </w:tc>
        <w:tc>
          <w:tcPr>
            <w:tcW w:w="3719" w:type="dxa"/>
            <w:tcBorders>
              <w:top w:val="nil"/>
              <w:left w:val="nil"/>
              <w:bottom w:val="nil"/>
              <w:right w:val="nil"/>
            </w:tcBorders>
            <w:shd w:val="clear" w:color="auto" w:fill="auto"/>
            <w:noWrap/>
            <w:hideMark/>
          </w:tcPr>
          <w:p w14:paraId="3B7E7D9E" w14:textId="460E81DB"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Hernia Procedures, Minor Complexity</w:t>
            </w:r>
          </w:p>
        </w:tc>
        <w:tc>
          <w:tcPr>
            <w:tcW w:w="709" w:type="dxa"/>
            <w:tcBorders>
              <w:top w:val="nil"/>
              <w:left w:val="nil"/>
              <w:bottom w:val="nil"/>
              <w:right w:val="nil"/>
            </w:tcBorders>
            <w:shd w:val="clear" w:color="auto" w:fill="auto"/>
            <w:noWrap/>
            <w:hideMark/>
          </w:tcPr>
          <w:p w14:paraId="7EA5F3E8" w14:textId="36EF2BA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0.98</w:t>
            </w:r>
          </w:p>
        </w:tc>
        <w:tc>
          <w:tcPr>
            <w:tcW w:w="850" w:type="dxa"/>
            <w:tcBorders>
              <w:top w:val="nil"/>
              <w:left w:val="nil"/>
              <w:bottom w:val="nil"/>
              <w:right w:val="nil"/>
            </w:tcBorders>
            <w:shd w:val="clear" w:color="auto" w:fill="auto"/>
            <w:noWrap/>
            <w:hideMark/>
          </w:tcPr>
          <w:p w14:paraId="3F8AFF7F" w14:textId="5D37F79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38,455</w:t>
            </w:r>
          </w:p>
        </w:tc>
        <w:tc>
          <w:tcPr>
            <w:tcW w:w="851" w:type="dxa"/>
            <w:tcBorders>
              <w:top w:val="nil"/>
              <w:left w:val="nil"/>
              <w:bottom w:val="nil"/>
              <w:right w:val="nil"/>
            </w:tcBorders>
            <w:shd w:val="clear" w:color="auto" w:fill="auto"/>
            <w:noWrap/>
            <w:hideMark/>
          </w:tcPr>
          <w:p w14:paraId="52787A7C" w14:textId="17811AE5"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37,686</w:t>
            </w:r>
          </w:p>
        </w:tc>
        <w:tc>
          <w:tcPr>
            <w:tcW w:w="850" w:type="dxa"/>
            <w:tcBorders>
              <w:top w:val="nil"/>
              <w:left w:val="nil"/>
              <w:bottom w:val="nil"/>
              <w:right w:val="nil"/>
            </w:tcBorders>
            <w:shd w:val="clear" w:color="auto" w:fill="auto"/>
            <w:noWrap/>
            <w:hideMark/>
          </w:tcPr>
          <w:p w14:paraId="72FFCE98" w14:textId="1F513C1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47,188</w:t>
            </w:r>
          </w:p>
        </w:tc>
        <w:tc>
          <w:tcPr>
            <w:tcW w:w="959" w:type="dxa"/>
            <w:tcBorders>
              <w:top w:val="nil"/>
              <w:left w:val="nil"/>
              <w:bottom w:val="nil"/>
              <w:right w:val="nil"/>
            </w:tcBorders>
            <w:shd w:val="clear" w:color="auto" w:fill="auto"/>
            <w:noWrap/>
            <w:hideMark/>
          </w:tcPr>
          <w:p w14:paraId="5AA59E78" w14:textId="1F3961A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567" w:type="dxa"/>
            <w:tcBorders>
              <w:top w:val="nil"/>
              <w:left w:val="nil"/>
              <w:bottom w:val="nil"/>
              <w:right w:val="nil"/>
            </w:tcBorders>
            <w:shd w:val="clear" w:color="auto" w:fill="auto"/>
            <w:noWrap/>
            <w:hideMark/>
          </w:tcPr>
          <w:p w14:paraId="1EBD482C" w14:textId="7B53913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5E868D02" w14:textId="350F62A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575" w:type="dxa"/>
            <w:tcBorders>
              <w:top w:val="nil"/>
              <w:left w:val="nil"/>
              <w:bottom w:val="nil"/>
              <w:right w:val="nil"/>
            </w:tcBorders>
            <w:shd w:val="clear" w:color="auto" w:fill="auto"/>
            <w:noWrap/>
            <w:hideMark/>
          </w:tcPr>
          <w:p w14:paraId="6ADC7B70" w14:textId="6815A71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851" w:type="dxa"/>
            <w:tcBorders>
              <w:top w:val="nil"/>
              <w:left w:val="nil"/>
              <w:bottom w:val="nil"/>
              <w:right w:val="nil"/>
            </w:tcBorders>
            <w:shd w:val="clear" w:color="auto" w:fill="auto"/>
            <w:noWrap/>
            <w:hideMark/>
          </w:tcPr>
          <w:p w14:paraId="27785F3E" w14:textId="3A79283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31,540</w:t>
            </w:r>
          </w:p>
        </w:tc>
        <w:tc>
          <w:tcPr>
            <w:tcW w:w="708" w:type="dxa"/>
            <w:tcBorders>
              <w:top w:val="nil"/>
              <w:left w:val="nil"/>
              <w:bottom w:val="nil"/>
              <w:right w:val="nil"/>
            </w:tcBorders>
            <w:shd w:val="clear" w:color="auto" w:fill="auto"/>
            <w:noWrap/>
            <w:hideMark/>
          </w:tcPr>
          <w:p w14:paraId="4FEA8233" w14:textId="31BDA0B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16 </w:t>
            </w:r>
          </w:p>
        </w:tc>
        <w:tc>
          <w:tcPr>
            <w:tcW w:w="851" w:type="dxa"/>
            <w:tcBorders>
              <w:top w:val="nil"/>
              <w:left w:val="nil"/>
              <w:bottom w:val="nil"/>
              <w:right w:val="nil"/>
            </w:tcBorders>
            <w:shd w:val="clear" w:color="auto" w:fill="auto"/>
            <w:noWrap/>
            <w:hideMark/>
          </w:tcPr>
          <w:p w14:paraId="7291AC9A" w14:textId="055FDC7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36,484 </w:t>
            </w:r>
          </w:p>
        </w:tc>
        <w:tc>
          <w:tcPr>
            <w:tcW w:w="662" w:type="dxa"/>
            <w:tcBorders>
              <w:top w:val="nil"/>
              <w:left w:val="nil"/>
              <w:bottom w:val="nil"/>
              <w:right w:val="nil"/>
            </w:tcBorders>
            <w:shd w:val="clear" w:color="auto" w:fill="auto"/>
            <w:noWrap/>
            <w:hideMark/>
          </w:tcPr>
          <w:p w14:paraId="59977420" w14:textId="45777BC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0.86</w:t>
            </w:r>
          </w:p>
        </w:tc>
      </w:tr>
      <w:tr w:rsidR="00EE0759" w:rsidRPr="00E4527E" w14:paraId="752F8780" w14:textId="77777777" w:rsidTr="008C3232">
        <w:trPr>
          <w:trHeight w:val="312"/>
        </w:trPr>
        <w:tc>
          <w:tcPr>
            <w:tcW w:w="709" w:type="dxa"/>
            <w:tcBorders>
              <w:top w:val="nil"/>
              <w:left w:val="nil"/>
              <w:bottom w:val="nil"/>
              <w:right w:val="nil"/>
            </w:tcBorders>
            <w:shd w:val="clear" w:color="auto" w:fill="auto"/>
            <w:noWrap/>
            <w:hideMark/>
          </w:tcPr>
          <w:p w14:paraId="42BEF579" w14:textId="558ACF95"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32DBFA66" w14:textId="464E7211"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14</w:t>
            </w:r>
          </w:p>
        </w:tc>
        <w:tc>
          <w:tcPr>
            <w:tcW w:w="709" w:type="dxa"/>
            <w:tcBorders>
              <w:top w:val="nil"/>
              <w:left w:val="nil"/>
              <w:bottom w:val="nil"/>
              <w:right w:val="nil"/>
            </w:tcBorders>
            <w:shd w:val="clear" w:color="auto" w:fill="auto"/>
            <w:noWrap/>
            <w:hideMark/>
          </w:tcPr>
          <w:p w14:paraId="3C21F3EC" w14:textId="64265FA6"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F12B</w:t>
            </w:r>
          </w:p>
        </w:tc>
        <w:tc>
          <w:tcPr>
            <w:tcW w:w="3719" w:type="dxa"/>
            <w:tcBorders>
              <w:top w:val="nil"/>
              <w:left w:val="nil"/>
              <w:bottom w:val="nil"/>
              <w:right w:val="nil"/>
            </w:tcBorders>
            <w:shd w:val="clear" w:color="auto" w:fill="auto"/>
            <w:noWrap/>
            <w:hideMark/>
          </w:tcPr>
          <w:p w14:paraId="7D97688B" w14:textId="6CF37494"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Implantation and Replacement of Pacemaker, Total System, Minor Complexity</w:t>
            </w:r>
          </w:p>
        </w:tc>
        <w:tc>
          <w:tcPr>
            <w:tcW w:w="709" w:type="dxa"/>
            <w:tcBorders>
              <w:top w:val="nil"/>
              <w:left w:val="nil"/>
              <w:bottom w:val="nil"/>
              <w:right w:val="nil"/>
            </w:tcBorders>
            <w:shd w:val="clear" w:color="auto" w:fill="auto"/>
            <w:noWrap/>
            <w:hideMark/>
          </w:tcPr>
          <w:p w14:paraId="34928519" w14:textId="028E52F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5.15</w:t>
            </w:r>
          </w:p>
        </w:tc>
        <w:tc>
          <w:tcPr>
            <w:tcW w:w="850" w:type="dxa"/>
            <w:tcBorders>
              <w:top w:val="nil"/>
              <w:left w:val="nil"/>
              <w:bottom w:val="nil"/>
              <w:right w:val="nil"/>
            </w:tcBorders>
            <w:shd w:val="clear" w:color="auto" w:fill="auto"/>
            <w:noWrap/>
            <w:hideMark/>
          </w:tcPr>
          <w:p w14:paraId="7408D96F" w14:textId="3F0FD56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7,298</w:t>
            </w:r>
          </w:p>
        </w:tc>
        <w:tc>
          <w:tcPr>
            <w:tcW w:w="851" w:type="dxa"/>
            <w:tcBorders>
              <w:top w:val="nil"/>
              <w:left w:val="nil"/>
              <w:bottom w:val="nil"/>
              <w:right w:val="nil"/>
            </w:tcBorders>
            <w:shd w:val="clear" w:color="auto" w:fill="auto"/>
            <w:noWrap/>
            <w:hideMark/>
          </w:tcPr>
          <w:p w14:paraId="128A70DC" w14:textId="6B29CA49"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37,585</w:t>
            </w:r>
          </w:p>
        </w:tc>
        <w:tc>
          <w:tcPr>
            <w:tcW w:w="850" w:type="dxa"/>
            <w:tcBorders>
              <w:top w:val="nil"/>
              <w:left w:val="nil"/>
              <w:bottom w:val="nil"/>
              <w:right w:val="nil"/>
            </w:tcBorders>
            <w:shd w:val="clear" w:color="auto" w:fill="auto"/>
            <w:noWrap/>
            <w:hideMark/>
          </w:tcPr>
          <w:p w14:paraId="6418735F" w14:textId="30AC402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16,707</w:t>
            </w:r>
          </w:p>
        </w:tc>
        <w:tc>
          <w:tcPr>
            <w:tcW w:w="959" w:type="dxa"/>
            <w:tcBorders>
              <w:top w:val="nil"/>
              <w:left w:val="nil"/>
              <w:bottom w:val="nil"/>
              <w:right w:val="nil"/>
            </w:tcBorders>
            <w:shd w:val="clear" w:color="auto" w:fill="auto"/>
            <w:noWrap/>
            <w:hideMark/>
          </w:tcPr>
          <w:p w14:paraId="190F0058" w14:textId="544A276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w:t>
            </w:r>
          </w:p>
        </w:tc>
        <w:tc>
          <w:tcPr>
            <w:tcW w:w="567" w:type="dxa"/>
            <w:tcBorders>
              <w:top w:val="nil"/>
              <w:left w:val="nil"/>
              <w:bottom w:val="nil"/>
              <w:right w:val="nil"/>
            </w:tcBorders>
            <w:shd w:val="clear" w:color="auto" w:fill="auto"/>
            <w:noWrap/>
            <w:hideMark/>
          </w:tcPr>
          <w:p w14:paraId="6F8CFAF8" w14:textId="0C75F2E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0.03</w:t>
            </w:r>
          </w:p>
        </w:tc>
        <w:tc>
          <w:tcPr>
            <w:tcW w:w="575" w:type="dxa"/>
            <w:tcBorders>
              <w:top w:val="nil"/>
              <w:left w:val="nil"/>
              <w:bottom w:val="nil"/>
              <w:right w:val="nil"/>
            </w:tcBorders>
            <w:shd w:val="clear" w:color="auto" w:fill="auto"/>
            <w:noWrap/>
            <w:hideMark/>
          </w:tcPr>
          <w:p w14:paraId="0E84F57B" w14:textId="6209316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0.2%</w:t>
            </w:r>
          </w:p>
        </w:tc>
        <w:tc>
          <w:tcPr>
            <w:tcW w:w="575" w:type="dxa"/>
            <w:tcBorders>
              <w:top w:val="nil"/>
              <w:left w:val="nil"/>
              <w:bottom w:val="nil"/>
              <w:right w:val="nil"/>
            </w:tcBorders>
            <w:shd w:val="clear" w:color="auto" w:fill="auto"/>
            <w:noWrap/>
            <w:hideMark/>
          </w:tcPr>
          <w:p w14:paraId="1DCA2D0D" w14:textId="11E9B00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851" w:type="dxa"/>
            <w:tcBorders>
              <w:top w:val="nil"/>
              <w:left w:val="nil"/>
              <w:bottom w:val="nil"/>
              <w:right w:val="nil"/>
            </w:tcBorders>
            <w:shd w:val="clear" w:color="auto" w:fill="auto"/>
            <w:noWrap/>
            <w:hideMark/>
          </w:tcPr>
          <w:p w14:paraId="702F1C7E" w14:textId="59CAB42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34,584</w:t>
            </w:r>
          </w:p>
        </w:tc>
        <w:tc>
          <w:tcPr>
            <w:tcW w:w="708" w:type="dxa"/>
            <w:tcBorders>
              <w:top w:val="nil"/>
              <w:left w:val="nil"/>
              <w:bottom w:val="nil"/>
              <w:right w:val="nil"/>
            </w:tcBorders>
            <w:shd w:val="clear" w:color="auto" w:fill="auto"/>
            <w:noWrap/>
            <w:hideMark/>
          </w:tcPr>
          <w:p w14:paraId="5A6506A2" w14:textId="05B1622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14 </w:t>
            </w:r>
          </w:p>
        </w:tc>
        <w:tc>
          <w:tcPr>
            <w:tcW w:w="851" w:type="dxa"/>
            <w:tcBorders>
              <w:top w:val="nil"/>
              <w:left w:val="nil"/>
              <w:bottom w:val="nil"/>
              <w:right w:val="nil"/>
            </w:tcBorders>
            <w:shd w:val="clear" w:color="auto" w:fill="auto"/>
            <w:noWrap/>
            <w:hideMark/>
          </w:tcPr>
          <w:p w14:paraId="70BC4E3D" w14:textId="2211946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6,587 </w:t>
            </w:r>
          </w:p>
        </w:tc>
        <w:tc>
          <w:tcPr>
            <w:tcW w:w="662" w:type="dxa"/>
            <w:tcBorders>
              <w:top w:val="nil"/>
              <w:left w:val="nil"/>
              <w:bottom w:val="nil"/>
              <w:right w:val="nil"/>
            </w:tcBorders>
            <w:shd w:val="clear" w:color="auto" w:fill="auto"/>
            <w:noWrap/>
            <w:hideMark/>
          </w:tcPr>
          <w:p w14:paraId="03126EC1" w14:textId="6429927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5.25</w:t>
            </w:r>
          </w:p>
        </w:tc>
      </w:tr>
      <w:tr w:rsidR="00EE0759" w:rsidRPr="00E4527E" w14:paraId="38A50C8C" w14:textId="77777777" w:rsidTr="008C3232">
        <w:trPr>
          <w:trHeight w:val="312"/>
        </w:trPr>
        <w:tc>
          <w:tcPr>
            <w:tcW w:w="709" w:type="dxa"/>
            <w:tcBorders>
              <w:top w:val="nil"/>
              <w:left w:val="nil"/>
              <w:bottom w:val="nil"/>
              <w:right w:val="nil"/>
            </w:tcBorders>
            <w:shd w:val="clear" w:color="auto" w:fill="auto"/>
            <w:noWrap/>
            <w:hideMark/>
          </w:tcPr>
          <w:p w14:paraId="3B6E2BD8" w14:textId="374D5983"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0C94CF12" w14:textId="31F88789"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15</w:t>
            </w:r>
          </w:p>
        </w:tc>
        <w:tc>
          <w:tcPr>
            <w:tcW w:w="709" w:type="dxa"/>
            <w:tcBorders>
              <w:top w:val="nil"/>
              <w:left w:val="nil"/>
              <w:bottom w:val="nil"/>
              <w:right w:val="nil"/>
            </w:tcBorders>
            <w:shd w:val="clear" w:color="auto" w:fill="auto"/>
            <w:noWrap/>
            <w:hideMark/>
          </w:tcPr>
          <w:p w14:paraId="43D89199" w14:textId="5A46BC0D"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F42B</w:t>
            </w:r>
          </w:p>
        </w:tc>
        <w:tc>
          <w:tcPr>
            <w:tcW w:w="3719" w:type="dxa"/>
            <w:tcBorders>
              <w:top w:val="nil"/>
              <w:left w:val="nil"/>
              <w:bottom w:val="nil"/>
              <w:right w:val="nil"/>
            </w:tcBorders>
            <w:shd w:val="clear" w:color="auto" w:fill="auto"/>
            <w:noWrap/>
            <w:hideMark/>
          </w:tcPr>
          <w:p w14:paraId="66566CED" w14:textId="02480528"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Circulatory Dsrds, Not Adm for AMI W Invasive Cardiac Inves Proc, Minor Comp</w:t>
            </w:r>
          </w:p>
        </w:tc>
        <w:tc>
          <w:tcPr>
            <w:tcW w:w="709" w:type="dxa"/>
            <w:tcBorders>
              <w:top w:val="nil"/>
              <w:left w:val="nil"/>
              <w:bottom w:val="nil"/>
              <w:right w:val="nil"/>
            </w:tcBorders>
            <w:shd w:val="clear" w:color="auto" w:fill="auto"/>
            <w:noWrap/>
            <w:hideMark/>
          </w:tcPr>
          <w:p w14:paraId="1C9DB1D7" w14:textId="6A975D5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0.92</w:t>
            </w:r>
          </w:p>
        </w:tc>
        <w:tc>
          <w:tcPr>
            <w:tcW w:w="850" w:type="dxa"/>
            <w:tcBorders>
              <w:top w:val="nil"/>
              <w:left w:val="nil"/>
              <w:bottom w:val="nil"/>
              <w:right w:val="nil"/>
            </w:tcBorders>
            <w:shd w:val="clear" w:color="auto" w:fill="auto"/>
            <w:noWrap/>
            <w:hideMark/>
          </w:tcPr>
          <w:p w14:paraId="68BC549A" w14:textId="27F618A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38,621</w:t>
            </w:r>
          </w:p>
        </w:tc>
        <w:tc>
          <w:tcPr>
            <w:tcW w:w="851" w:type="dxa"/>
            <w:tcBorders>
              <w:top w:val="nil"/>
              <w:left w:val="nil"/>
              <w:bottom w:val="nil"/>
              <w:right w:val="nil"/>
            </w:tcBorders>
            <w:shd w:val="clear" w:color="auto" w:fill="auto"/>
            <w:noWrap/>
            <w:hideMark/>
          </w:tcPr>
          <w:p w14:paraId="1C068D6F" w14:textId="0CA980B5"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35,531</w:t>
            </w:r>
          </w:p>
        </w:tc>
        <w:tc>
          <w:tcPr>
            <w:tcW w:w="850" w:type="dxa"/>
            <w:tcBorders>
              <w:top w:val="nil"/>
              <w:left w:val="nil"/>
              <w:bottom w:val="nil"/>
              <w:right w:val="nil"/>
            </w:tcBorders>
            <w:shd w:val="clear" w:color="auto" w:fill="auto"/>
            <w:noWrap/>
            <w:hideMark/>
          </w:tcPr>
          <w:p w14:paraId="426CADF8" w14:textId="76F06A8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54,856</w:t>
            </w:r>
          </w:p>
        </w:tc>
        <w:tc>
          <w:tcPr>
            <w:tcW w:w="959" w:type="dxa"/>
            <w:tcBorders>
              <w:top w:val="nil"/>
              <w:left w:val="nil"/>
              <w:bottom w:val="nil"/>
              <w:right w:val="nil"/>
            </w:tcBorders>
            <w:shd w:val="clear" w:color="auto" w:fill="auto"/>
            <w:noWrap/>
            <w:hideMark/>
          </w:tcPr>
          <w:p w14:paraId="5E5AEA58" w14:textId="6F4E6C7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1.4</w:t>
            </w:r>
          </w:p>
        </w:tc>
        <w:tc>
          <w:tcPr>
            <w:tcW w:w="567" w:type="dxa"/>
            <w:tcBorders>
              <w:top w:val="nil"/>
              <w:left w:val="nil"/>
              <w:bottom w:val="nil"/>
              <w:right w:val="nil"/>
            </w:tcBorders>
            <w:shd w:val="clear" w:color="auto" w:fill="auto"/>
            <w:noWrap/>
            <w:hideMark/>
          </w:tcPr>
          <w:p w14:paraId="60DD1758" w14:textId="6B2EA1F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1CD581F5" w14:textId="39EEACF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1.2%</w:t>
            </w:r>
          </w:p>
        </w:tc>
        <w:tc>
          <w:tcPr>
            <w:tcW w:w="575" w:type="dxa"/>
            <w:tcBorders>
              <w:top w:val="nil"/>
              <w:left w:val="nil"/>
              <w:bottom w:val="nil"/>
              <w:right w:val="nil"/>
            </w:tcBorders>
            <w:shd w:val="clear" w:color="auto" w:fill="auto"/>
            <w:noWrap/>
            <w:hideMark/>
          </w:tcPr>
          <w:p w14:paraId="45E75890" w14:textId="4D59BFA5"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851" w:type="dxa"/>
            <w:tcBorders>
              <w:top w:val="nil"/>
              <w:left w:val="nil"/>
              <w:bottom w:val="nil"/>
              <w:right w:val="nil"/>
            </w:tcBorders>
            <w:shd w:val="clear" w:color="auto" w:fill="auto"/>
            <w:noWrap/>
            <w:hideMark/>
          </w:tcPr>
          <w:p w14:paraId="573D6DDE" w14:textId="0AA16262"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32,696</w:t>
            </w:r>
          </w:p>
        </w:tc>
        <w:tc>
          <w:tcPr>
            <w:tcW w:w="708" w:type="dxa"/>
            <w:tcBorders>
              <w:top w:val="nil"/>
              <w:left w:val="nil"/>
              <w:bottom w:val="nil"/>
              <w:right w:val="nil"/>
            </w:tcBorders>
            <w:shd w:val="clear" w:color="auto" w:fill="auto"/>
            <w:noWrap/>
            <w:hideMark/>
          </w:tcPr>
          <w:p w14:paraId="6AACCA84" w14:textId="2109B6D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15 </w:t>
            </w:r>
          </w:p>
        </w:tc>
        <w:tc>
          <w:tcPr>
            <w:tcW w:w="851" w:type="dxa"/>
            <w:tcBorders>
              <w:top w:val="nil"/>
              <w:left w:val="nil"/>
              <w:bottom w:val="nil"/>
              <w:right w:val="nil"/>
            </w:tcBorders>
            <w:shd w:val="clear" w:color="auto" w:fill="auto"/>
            <w:noWrap/>
            <w:hideMark/>
          </w:tcPr>
          <w:p w14:paraId="01E2273D" w14:textId="07F6119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37,095 </w:t>
            </w:r>
          </w:p>
        </w:tc>
        <w:tc>
          <w:tcPr>
            <w:tcW w:w="662" w:type="dxa"/>
            <w:tcBorders>
              <w:top w:val="nil"/>
              <w:left w:val="nil"/>
              <w:bottom w:val="nil"/>
              <w:right w:val="nil"/>
            </w:tcBorders>
            <w:shd w:val="clear" w:color="auto" w:fill="auto"/>
            <w:noWrap/>
            <w:hideMark/>
          </w:tcPr>
          <w:p w14:paraId="5C07F73F" w14:textId="61A2D6A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0.88</w:t>
            </w:r>
          </w:p>
        </w:tc>
      </w:tr>
      <w:tr w:rsidR="00EE0759" w:rsidRPr="00E4527E" w14:paraId="4E8E66BF" w14:textId="77777777" w:rsidTr="008C3232">
        <w:trPr>
          <w:trHeight w:val="312"/>
        </w:trPr>
        <w:tc>
          <w:tcPr>
            <w:tcW w:w="709" w:type="dxa"/>
            <w:tcBorders>
              <w:top w:val="nil"/>
              <w:left w:val="nil"/>
              <w:bottom w:val="nil"/>
              <w:right w:val="nil"/>
            </w:tcBorders>
            <w:shd w:val="clear" w:color="auto" w:fill="auto"/>
            <w:noWrap/>
            <w:hideMark/>
          </w:tcPr>
          <w:p w14:paraId="2EDF2D7A" w14:textId="4B35D803"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42E07A43" w14:textId="611F4CB2"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16</w:t>
            </w:r>
          </w:p>
        </w:tc>
        <w:tc>
          <w:tcPr>
            <w:tcW w:w="709" w:type="dxa"/>
            <w:tcBorders>
              <w:top w:val="nil"/>
              <w:left w:val="nil"/>
              <w:bottom w:val="nil"/>
              <w:right w:val="nil"/>
            </w:tcBorders>
            <w:shd w:val="clear" w:color="auto" w:fill="auto"/>
            <w:noWrap/>
            <w:hideMark/>
          </w:tcPr>
          <w:p w14:paraId="38BF271E" w14:textId="6A3EDBCE"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O60B</w:t>
            </w:r>
          </w:p>
        </w:tc>
        <w:tc>
          <w:tcPr>
            <w:tcW w:w="3719" w:type="dxa"/>
            <w:tcBorders>
              <w:top w:val="nil"/>
              <w:left w:val="nil"/>
              <w:bottom w:val="nil"/>
              <w:right w:val="nil"/>
            </w:tcBorders>
            <w:shd w:val="clear" w:color="auto" w:fill="auto"/>
            <w:noWrap/>
            <w:hideMark/>
          </w:tcPr>
          <w:p w14:paraId="184C8E61" w14:textId="3224A9B5"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Vaginal Delivery, Intermediate Complexity</w:t>
            </w:r>
          </w:p>
        </w:tc>
        <w:tc>
          <w:tcPr>
            <w:tcW w:w="709" w:type="dxa"/>
            <w:tcBorders>
              <w:top w:val="nil"/>
              <w:left w:val="nil"/>
              <w:bottom w:val="nil"/>
              <w:right w:val="nil"/>
            </w:tcBorders>
            <w:shd w:val="clear" w:color="auto" w:fill="auto"/>
            <w:noWrap/>
            <w:hideMark/>
          </w:tcPr>
          <w:p w14:paraId="4BFEE8F8" w14:textId="6BA8DBD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1.51</w:t>
            </w:r>
          </w:p>
        </w:tc>
        <w:tc>
          <w:tcPr>
            <w:tcW w:w="850" w:type="dxa"/>
            <w:tcBorders>
              <w:top w:val="nil"/>
              <w:left w:val="nil"/>
              <w:bottom w:val="nil"/>
              <w:right w:val="nil"/>
            </w:tcBorders>
            <w:shd w:val="clear" w:color="auto" w:fill="auto"/>
            <w:noWrap/>
            <w:hideMark/>
          </w:tcPr>
          <w:p w14:paraId="0D3C41BF" w14:textId="5E62A73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22,626</w:t>
            </w:r>
          </w:p>
        </w:tc>
        <w:tc>
          <w:tcPr>
            <w:tcW w:w="851" w:type="dxa"/>
            <w:tcBorders>
              <w:top w:val="nil"/>
              <w:left w:val="nil"/>
              <w:bottom w:val="nil"/>
              <w:right w:val="nil"/>
            </w:tcBorders>
            <w:shd w:val="clear" w:color="auto" w:fill="auto"/>
            <w:noWrap/>
            <w:hideMark/>
          </w:tcPr>
          <w:p w14:paraId="5BB2F315" w14:textId="2AAA0693"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34,165</w:t>
            </w:r>
          </w:p>
        </w:tc>
        <w:tc>
          <w:tcPr>
            <w:tcW w:w="850" w:type="dxa"/>
            <w:tcBorders>
              <w:top w:val="nil"/>
              <w:left w:val="nil"/>
              <w:bottom w:val="nil"/>
              <w:right w:val="nil"/>
            </w:tcBorders>
            <w:shd w:val="clear" w:color="auto" w:fill="auto"/>
            <w:noWrap/>
            <w:hideMark/>
          </w:tcPr>
          <w:p w14:paraId="7B245D65" w14:textId="1FCD607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92,671</w:t>
            </w:r>
          </w:p>
        </w:tc>
        <w:tc>
          <w:tcPr>
            <w:tcW w:w="959" w:type="dxa"/>
            <w:tcBorders>
              <w:top w:val="nil"/>
              <w:left w:val="nil"/>
              <w:bottom w:val="nil"/>
              <w:right w:val="nil"/>
            </w:tcBorders>
            <w:shd w:val="clear" w:color="auto" w:fill="auto"/>
            <w:noWrap/>
            <w:hideMark/>
          </w:tcPr>
          <w:p w14:paraId="3D1FD3B1" w14:textId="40939A8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4.1</w:t>
            </w:r>
          </w:p>
        </w:tc>
        <w:tc>
          <w:tcPr>
            <w:tcW w:w="567" w:type="dxa"/>
            <w:tcBorders>
              <w:top w:val="nil"/>
              <w:left w:val="nil"/>
              <w:bottom w:val="nil"/>
              <w:right w:val="nil"/>
            </w:tcBorders>
            <w:shd w:val="clear" w:color="auto" w:fill="auto"/>
            <w:noWrap/>
            <w:hideMark/>
          </w:tcPr>
          <w:p w14:paraId="09090BA4" w14:textId="1D7D060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3B1039FE" w14:textId="0DFB13A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0.7%</w:t>
            </w:r>
          </w:p>
        </w:tc>
        <w:tc>
          <w:tcPr>
            <w:tcW w:w="575" w:type="dxa"/>
            <w:tcBorders>
              <w:top w:val="nil"/>
              <w:left w:val="nil"/>
              <w:bottom w:val="nil"/>
              <w:right w:val="nil"/>
            </w:tcBorders>
            <w:shd w:val="clear" w:color="auto" w:fill="auto"/>
            <w:noWrap/>
            <w:hideMark/>
          </w:tcPr>
          <w:p w14:paraId="788D8D93" w14:textId="26A8950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851" w:type="dxa"/>
            <w:tcBorders>
              <w:top w:val="nil"/>
              <w:left w:val="nil"/>
              <w:bottom w:val="nil"/>
              <w:right w:val="nil"/>
            </w:tcBorders>
            <w:shd w:val="clear" w:color="auto" w:fill="auto"/>
            <w:noWrap/>
            <w:hideMark/>
          </w:tcPr>
          <w:p w14:paraId="697D4B78" w14:textId="70C87E1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37,284</w:t>
            </w:r>
          </w:p>
        </w:tc>
        <w:tc>
          <w:tcPr>
            <w:tcW w:w="708" w:type="dxa"/>
            <w:tcBorders>
              <w:top w:val="nil"/>
              <w:left w:val="nil"/>
              <w:bottom w:val="nil"/>
              <w:right w:val="nil"/>
            </w:tcBorders>
            <w:shd w:val="clear" w:color="auto" w:fill="auto"/>
            <w:noWrap/>
            <w:hideMark/>
          </w:tcPr>
          <w:p w14:paraId="06C5193B" w14:textId="61763E2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11 </w:t>
            </w:r>
          </w:p>
        </w:tc>
        <w:tc>
          <w:tcPr>
            <w:tcW w:w="851" w:type="dxa"/>
            <w:tcBorders>
              <w:top w:val="nil"/>
              <w:left w:val="nil"/>
              <w:bottom w:val="nil"/>
              <w:right w:val="nil"/>
            </w:tcBorders>
            <w:shd w:val="clear" w:color="auto" w:fill="auto"/>
            <w:noWrap/>
            <w:hideMark/>
          </w:tcPr>
          <w:p w14:paraId="5265AFB8" w14:textId="4E4D2EF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25,382 </w:t>
            </w:r>
          </w:p>
        </w:tc>
        <w:tc>
          <w:tcPr>
            <w:tcW w:w="662" w:type="dxa"/>
            <w:tcBorders>
              <w:top w:val="nil"/>
              <w:left w:val="nil"/>
              <w:bottom w:val="nil"/>
              <w:right w:val="nil"/>
            </w:tcBorders>
            <w:shd w:val="clear" w:color="auto" w:fill="auto"/>
            <w:noWrap/>
            <w:hideMark/>
          </w:tcPr>
          <w:p w14:paraId="22130408" w14:textId="1AA8717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1.47</w:t>
            </w:r>
          </w:p>
        </w:tc>
      </w:tr>
      <w:tr w:rsidR="00EE0759" w:rsidRPr="00E4527E" w14:paraId="3CD2E030" w14:textId="77777777" w:rsidTr="008C3232">
        <w:trPr>
          <w:trHeight w:val="312"/>
        </w:trPr>
        <w:tc>
          <w:tcPr>
            <w:tcW w:w="709" w:type="dxa"/>
            <w:tcBorders>
              <w:top w:val="nil"/>
              <w:left w:val="nil"/>
              <w:bottom w:val="nil"/>
              <w:right w:val="nil"/>
            </w:tcBorders>
            <w:shd w:val="clear" w:color="auto" w:fill="auto"/>
            <w:noWrap/>
            <w:hideMark/>
          </w:tcPr>
          <w:p w14:paraId="48087DEF" w14:textId="36821453"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08D41DC8" w14:textId="7432658C"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17</w:t>
            </w:r>
          </w:p>
        </w:tc>
        <w:tc>
          <w:tcPr>
            <w:tcW w:w="709" w:type="dxa"/>
            <w:tcBorders>
              <w:top w:val="nil"/>
              <w:left w:val="nil"/>
              <w:bottom w:val="nil"/>
              <w:right w:val="nil"/>
            </w:tcBorders>
            <w:shd w:val="clear" w:color="auto" w:fill="auto"/>
            <w:noWrap/>
            <w:hideMark/>
          </w:tcPr>
          <w:p w14:paraId="4C8740F8" w14:textId="4BA0C102"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O01B</w:t>
            </w:r>
          </w:p>
        </w:tc>
        <w:tc>
          <w:tcPr>
            <w:tcW w:w="3719" w:type="dxa"/>
            <w:tcBorders>
              <w:top w:val="nil"/>
              <w:left w:val="nil"/>
              <w:bottom w:val="nil"/>
              <w:right w:val="nil"/>
            </w:tcBorders>
            <w:shd w:val="clear" w:color="auto" w:fill="auto"/>
            <w:noWrap/>
            <w:hideMark/>
          </w:tcPr>
          <w:p w14:paraId="7BD45696" w14:textId="7338ECB6"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Caesarean Delivery, Intermediate Complexity</w:t>
            </w:r>
          </w:p>
        </w:tc>
        <w:tc>
          <w:tcPr>
            <w:tcW w:w="709" w:type="dxa"/>
            <w:tcBorders>
              <w:top w:val="nil"/>
              <w:left w:val="nil"/>
              <w:bottom w:val="nil"/>
              <w:right w:val="nil"/>
            </w:tcBorders>
            <w:shd w:val="clear" w:color="auto" w:fill="auto"/>
            <w:noWrap/>
            <w:hideMark/>
          </w:tcPr>
          <w:p w14:paraId="1C0AB94C" w14:textId="062588D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2.37</w:t>
            </w:r>
          </w:p>
        </w:tc>
        <w:tc>
          <w:tcPr>
            <w:tcW w:w="850" w:type="dxa"/>
            <w:tcBorders>
              <w:top w:val="nil"/>
              <w:left w:val="nil"/>
              <w:bottom w:val="nil"/>
              <w:right w:val="nil"/>
            </w:tcBorders>
            <w:shd w:val="clear" w:color="auto" w:fill="auto"/>
            <w:noWrap/>
            <w:hideMark/>
          </w:tcPr>
          <w:p w14:paraId="62735560" w14:textId="4C6674F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14,355</w:t>
            </w:r>
          </w:p>
        </w:tc>
        <w:tc>
          <w:tcPr>
            <w:tcW w:w="851" w:type="dxa"/>
            <w:tcBorders>
              <w:top w:val="nil"/>
              <w:left w:val="nil"/>
              <w:bottom w:val="nil"/>
              <w:right w:val="nil"/>
            </w:tcBorders>
            <w:shd w:val="clear" w:color="auto" w:fill="auto"/>
            <w:noWrap/>
            <w:hideMark/>
          </w:tcPr>
          <w:p w14:paraId="7D9F29A0" w14:textId="0D1AC71F"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34,021</w:t>
            </w:r>
          </w:p>
        </w:tc>
        <w:tc>
          <w:tcPr>
            <w:tcW w:w="850" w:type="dxa"/>
            <w:tcBorders>
              <w:top w:val="nil"/>
              <w:left w:val="nil"/>
              <w:bottom w:val="nil"/>
              <w:right w:val="nil"/>
            </w:tcBorders>
            <w:shd w:val="clear" w:color="auto" w:fill="auto"/>
            <w:noWrap/>
            <w:hideMark/>
          </w:tcPr>
          <w:p w14:paraId="5E0CD297" w14:textId="0DF29EC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80,872</w:t>
            </w:r>
          </w:p>
        </w:tc>
        <w:tc>
          <w:tcPr>
            <w:tcW w:w="959" w:type="dxa"/>
            <w:tcBorders>
              <w:top w:val="nil"/>
              <w:left w:val="nil"/>
              <w:bottom w:val="nil"/>
              <w:right w:val="nil"/>
            </w:tcBorders>
            <w:shd w:val="clear" w:color="auto" w:fill="auto"/>
            <w:noWrap/>
            <w:hideMark/>
          </w:tcPr>
          <w:p w14:paraId="2CF7C140" w14:textId="1C6D531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5.6</w:t>
            </w:r>
          </w:p>
        </w:tc>
        <w:tc>
          <w:tcPr>
            <w:tcW w:w="567" w:type="dxa"/>
            <w:tcBorders>
              <w:top w:val="nil"/>
              <w:left w:val="nil"/>
              <w:bottom w:val="nil"/>
              <w:right w:val="nil"/>
            </w:tcBorders>
            <w:shd w:val="clear" w:color="auto" w:fill="auto"/>
            <w:noWrap/>
            <w:hideMark/>
          </w:tcPr>
          <w:p w14:paraId="37BD7849" w14:textId="63A1194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7ABC5FA8" w14:textId="618636E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0.4%</w:t>
            </w:r>
          </w:p>
        </w:tc>
        <w:tc>
          <w:tcPr>
            <w:tcW w:w="575" w:type="dxa"/>
            <w:tcBorders>
              <w:top w:val="nil"/>
              <w:left w:val="nil"/>
              <w:bottom w:val="nil"/>
              <w:right w:val="nil"/>
            </w:tcBorders>
            <w:shd w:val="clear" w:color="auto" w:fill="auto"/>
            <w:noWrap/>
            <w:hideMark/>
          </w:tcPr>
          <w:p w14:paraId="27AEB9C0" w14:textId="0CC6050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851" w:type="dxa"/>
            <w:tcBorders>
              <w:top w:val="nil"/>
              <w:left w:val="nil"/>
              <w:bottom w:val="nil"/>
              <w:right w:val="nil"/>
            </w:tcBorders>
            <w:shd w:val="clear" w:color="auto" w:fill="auto"/>
            <w:noWrap/>
            <w:hideMark/>
          </w:tcPr>
          <w:p w14:paraId="7518CF31" w14:textId="727A07A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31,332</w:t>
            </w:r>
          </w:p>
        </w:tc>
        <w:tc>
          <w:tcPr>
            <w:tcW w:w="708" w:type="dxa"/>
            <w:tcBorders>
              <w:top w:val="nil"/>
              <w:left w:val="nil"/>
              <w:bottom w:val="nil"/>
              <w:right w:val="nil"/>
            </w:tcBorders>
            <w:shd w:val="clear" w:color="auto" w:fill="auto"/>
            <w:noWrap/>
            <w:hideMark/>
          </w:tcPr>
          <w:p w14:paraId="53D17FD7" w14:textId="4BA6CEB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17 </w:t>
            </w:r>
          </w:p>
        </w:tc>
        <w:tc>
          <w:tcPr>
            <w:tcW w:w="851" w:type="dxa"/>
            <w:tcBorders>
              <w:top w:val="nil"/>
              <w:left w:val="nil"/>
              <w:bottom w:val="nil"/>
              <w:right w:val="nil"/>
            </w:tcBorders>
            <w:shd w:val="clear" w:color="auto" w:fill="auto"/>
            <w:noWrap/>
            <w:hideMark/>
          </w:tcPr>
          <w:p w14:paraId="27222A75" w14:textId="5E8C1CD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14,611 </w:t>
            </w:r>
          </w:p>
        </w:tc>
        <w:tc>
          <w:tcPr>
            <w:tcW w:w="662" w:type="dxa"/>
            <w:tcBorders>
              <w:top w:val="nil"/>
              <w:left w:val="nil"/>
              <w:bottom w:val="nil"/>
              <w:right w:val="nil"/>
            </w:tcBorders>
            <w:shd w:val="clear" w:color="auto" w:fill="auto"/>
            <w:noWrap/>
            <w:hideMark/>
          </w:tcPr>
          <w:p w14:paraId="64C38BB1" w14:textId="522ADC9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2.14</w:t>
            </w:r>
          </w:p>
        </w:tc>
      </w:tr>
      <w:tr w:rsidR="00EE0759" w:rsidRPr="00E4527E" w14:paraId="5BC17661" w14:textId="77777777" w:rsidTr="008C3232">
        <w:trPr>
          <w:trHeight w:val="312"/>
        </w:trPr>
        <w:tc>
          <w:tcPr>
            <w:tcW w:w="709" w:type="dxa"/>
            <w:tcBorders>
              <w:top w:val="nil"/>
              <w:left w:val="nil"/>
              <w:bottom w:val="nil"/>
              <w:right w:val="nil"/>
            </w:tcBorders>
            <w:shd w:val="clear" w:color="auto" w:fill="auto"/>
            <w:noWrap/>
            <w:hideMark/>
          </w:tcPr>
          <w:p w14:paraId="00EF77F2" w14:textId="79E585D8"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No</w:t>
            </w:r>
          </w:p>
        </w:tc>
        <w:tc>
          <w:tcPr>
            <w:tcW w:w="709" w:type="dxa"/>
            <w:tcBorders>
              <w:top w:val="nil"/>
              <w:left w:val="nil"/>
              <w:bottom w:val="nil"/>
              <w:right w:val="nil"/>
            </w:tcBorders>
            <w:shd w:val="clear" w:color="auto" w:fill="auto"/>
            <w:noWrap/>
            <w:hideMark/>
          </w:tcPr>
          <w:p w14:paraId="7DD91E9B" w14:textId="17196C8C"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18</w:t>
            </w:r>
          </w:p>
        </w:tc>
        <w:tc>
          <w:tcPr>
            <w:tcW w:w="709" w:type="dxa"/>
            <w:tcBorders>
              <w:top w:val="nil"/>
              <w:left w:val="nil"/>
              <w:bottom w:val="nil"/>
              <w:right w:val="nil"/>
            </w:tcBorders>
            <w:shd w:val="clear" w:color="auto" w:fill="auto"/>
            <w:noWrap/>
            <w:hideMark/>
          </w:tcPr>
          <w:p w14:paraId="0D781A26" w14:textId="71A2397F"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D40Z</w:t>
            </w:r>
          </w:p>
        </w:tc>
        <w:tc>
          <w:tcPr>
            <w:tcW w:w="3719" w:type="dxa"/>
            <w:tcBorders>
              <w:top w:val="nil"/>
              <w:left w:val="nil"/>
              <w:bottom w:val="nil"/>
              <w:right w:val="nil"/>
            </w:tcBorders>
            <w:shd w:val="clear" w:color="auto" w:fill="auto"/>
            <w:noWrap/>
            <w:hideMark/>
          </w:tcPr>
          <w:p w14:paraId="538FC9CB" w14:textId="3B29BB4D"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Dental Extractions and Restorations</w:t>
            </w:r>
          </w:p>
        </w:tc>
        <w:tc>
          <w:tcPr>
            <w:tcW w:w="709" w:type="dxa"/>
            <w:tcBorders>
              <w:top w:val="nil"/>
              <w:left w:val="nil"/>
              <w:bottom w:val="nil"/>
              <w:right w:val="nil"/>
            </w:tcBorders>
            <w:shd w:val="clear" w:color="auto" w:fill="auto"/>
            <w:noWrap/>
            <w:hideMark/>
          </w:tcPr>
          <w:p w14:paraId="4E3D4E1B" w14:textId="578D1E41"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0.45</w:t>
            </w:r>
          </w:p>
        </w:tc>
        <w:tc>
          <w:tcPr>
            <w:tcW w:w="850" w:type="dxa"/>
            <w:tcBorders>
              <w:top w:val="nil"/>
              <w:left w:val="nil"/>
              <w:bottom w:val="nil"/>
              <w:right w:val="nil"/>
            </w:tcBorders>
            <w:shd w:val="clear" w:color="auto" w:fill="auto"/>
            <w:noWrap/>
            <w:hideMark/>
          </w:tcPr>
          <w:p w14:paraId="20EA4817" w14:textId="1C50959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76,067</w:t>
            </w:r>
          </w:p>
        </w:tc>
        <w:tc>
          <w:tcPr>
            <w:tcW w:w="851" w:type="dxa"/>
            <w:tcBorders>
              <w:top w:val="nil"/>
              <w:left w:val="nil"/>
              <w:bottom w:val="nil"/>
              <w:right w:val="nil"/>
            </w:tcBorders>
            <w:shd w:val="clear" w:color="auto" w:fill="auto"/>
            <w:noWrap/>
            <w:hideMark/>
          </w:tcPr>
          <w:p w14:paraId="56DC4B82" w14:textId="0285DA3A"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34,230</w:t>
            </w:r>
          </w:p>
        </w:tc>
        <w:tc>
          <w:tcPr>
            <w:tcW w:w="850" w:type="dxa"/>
            <w:tcBorders>
              <w:top w:val="nil"/>
              <w:left w:val="nil"/>
              <w:bottom w:val="nil"/>
              <w:right w:val="nil"/>
            </w:tcBorders>
            <w:shd w:val="clear" w:color="auto" w:fill="auto"/>
            <w:noWrap/>
            <w:hideMark/>
          </w:tcPr>
          <w:p w14:paraId="5C499A0F" w14:textId="0EDDEC2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76,353</w:t>
            </w:r>
          </w:p>
        </w:tc>
        <w:tc>
          <w:tcPr>
            <w:tcW w:w="959" w:type="dxa"/>
            <w:tcBorders>
              <w:top w:val="nil"/>
              <w:left w:val="nil"/>
              <w:bottom w:val="nil"/>
              <w:right w:val="nil"/>
            </w:tcBorders>
            <w:shd w:val="clear" w:color="auto" w:fill="auto"/>
            <w:noWrap/>
            <w:hideMark/>
          </w:tcPr>
          <w:p w14:paraId="0EA81781" w14:textId="57778FE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567" w:type="dxa"/>
            <w:tcBorders>
              <w:top w:val="nil"/>
              <w:left w:val="nil"/>
              <w:bottom w:val="nil"/>
              <w:right w:val="nil"/>
            </w:tcBorders>
            <w:shd w:val="clear" w:color="auto" w:fill="auto"/>
            <w:noWrap/>
            <w:hideMark/>
          </w:tcPr>
          <w:p w14:paraId="619A7279" w14:textId="38063F0F"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0.00</w:t>
            </w:r>
          </w:p>
        </w:tc>
        <w:tc>
          <w:tcPr>
            <w:tcW w:w="575" w:type="dxa"/>
            <w:tcBorders>
              <w:top w:val="nil"/>
              <w:left w:val="nil"/>
              <w:bottom w:val="nil"/>
              <w:right w:val="nil"/>
            </w:tcBorders>
            <w:shd w:val="clear" w:color="auto" w:fill="auto"/>
            <w:noWrap/>
            <w:hideMark/>
          </w:tcPr>
          <w:p w14:paraId="7D267826" w14:textId="48D9A75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w:t>
            </w:r>
          </w:p>
        </w:tc>
        <w:tc>
          <w:tcPr>
            <w:tcW w:w="575" w:type="dxa"/>
            <w:tcBorders>
              <w:top w:val="nil"/>
              <w:left w:val="nil"/>
              <w:bottom w:val="nil"/>
              <w:right w:val="nil"/>
            </w:tcBorders>
            <w:shd w:val="clear" w:color="auto" w:fill="auto"/>
            <w:noWrap/>
            <w:hideMark/>
          </w:tcPr>
          <w:p w14:paraId="47DC5519" w14:textId="6A12EDB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1.1%</w:t>
            </w:r>
          </w:p>
        </w:tc>
        <w:tc>
          <w:tcPr>
            <w:tcW w:w="851" w:type="dxa"/>
            <w:tcBorders>
              <w:top w:val="nil"/>
              <w:left w:val="nil"/>
              <w:bottom w:val="nil"/>
              <w:right w:val="nil"/>
            </w:tcBorders>
            <w:shd w:val="clear" w:color="auto" w:fill="auto"/>
            <w:noWrap/>
            <w:hideMark/>
          </w:tcPr>
          <w:p w14:paraId="6AB96D55" w14:textId="1ABF85F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23,509</w:t>
            </w:r>
          </w:p>
        </w:tc>
        <w:tc>
          <w:tcPr>
            <w:tcW w:w="708" w:type="dxa"/>
            <w:tcBorders>
              <w:top w:val="nil"/>
              <w:left w:val="nil"/>
              <w:bottom w:val="nil"/>
              <w:right w:val="nil"/>
            </w:tcBorders>
            <w:shd w:val="clear" w:color="auto" w:fill="auto"/>
            <w:noWrap/>
            <w:hideMark/>
          </w:tcPr>
          <w:p w14:paraId="66A43A22" w14:textId="0A4F9BA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23 </w:t>
            </w:r>
          </w:p>
        </w:tc>
        <w:tc>
          <w:tcPr>
            <w:tcW w:w="851" w:type="dxa"/>
            <w:tcBorders>
              <w:top w:val="nil"/>
              <w:left w:val="nil"/>
              <w:bottom w:val="nil"/>
              <w:right w:val="nil"/>
            </w:tcBorders>
            <w:shd w:val="clear" w:color="auto" w:fill="auto"/>
            <w:noWrap/>
            <w:hideMark/>
          </w:tcPr>
          <w:p w14:paraId="4557058A" w14:textId="7D1FED4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61,622 </w:t>
            </w:r>
          </w:p>
        </w:tc>
        <w:tc>
          <w:tcPr>
            <w:tcW w:w="662" w:type="dxa"/>
            <w:tcBorders>
              <w:top w:val="nil"/>
              <w:left w:val="nil"/>
              <w:bottom w:val="nil"/>
              <w:right w:val="nil"/>
            </w:tcBorders>
            <w:shd w:val="clear" w:color="auto" w:fill="auto"/>
            <w:noWrap/>
            <w:hideMark/>
          </w:tcPr>
          <w:p w14:paraId="367C5B25" w14:textId="34510E7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0.38</w:t>
            </w:r>
          </w:p>
        </w:tc>
      </w:tr>
      <w:tr w:rsidR="00EE0759" w:rsidRPr="00E4527E" w14:paraId="2C59DF63" w14:textId="77777777" w:rsidTr="008C3232">
        <w:trPr>
          <w:trHeight w:val="312"/>
        </w:trPr>
        <w:tc>
          <w:tcPr>
            <w:tcW w:w="709" w:type="dxa"/>
            <w:tcBorders>
              <w:top w:val="nil"/>
              <w:left w:val="nil"/>
              <w:bottom w:val="nil"/>
              <w:right w:val="nil"/>
            </w:tcBorders>
            <w:shd w:val="clear" w:color="auto" w:fill="auto"/>
            <w:noWrap/>
            <w:hideMark/>
          </w:tcPr>
          <w:p w14:paraId="27E73C35" w14:textId="79D70D70"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6CFD9657" w14:textId="03F1A4AF"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19</w:t>
            </w:r>
          </w:p>
        </w:tc>
        <w:tc>
          <w:tcPr>
            <w:tcW w:w="709" w:type="dxa"/>
            <w:tcBorders>
              <w:top w:val="nil"/>
              <w:left w:val="nil"/>
              <w:bottom w:val="nil"/>
              <w:right w:val="nil"/>
            </w:tcBorders>
            <w:shd w:val="clear" w:color="auto" w:fill="auto"/>
            <w:noWrap/>
            <w:hideMark/>
          </w:tcPr>
          <w:p w14:paraId="577D86AF" w14:textId="186B55B4"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F01B</w:t>
            </w:r>
          </w:p>
        </w:tc>
        <w:tc>
          <w:tcPr>
            <w:tcW w:w="3719" w:type="dxa"/>
            <w:tcBorders>
              <w:top w:val="nil"/>
              <w:left w:val="nil"/>
              <w:bottom w:val="nil"/>
              <w:right w:val="nil"/>
            </w:tcBorders>
            <w:shd w:val="clear" w:color="auto" w:fill="auto"/>
            <w:noWrap/>
            <w:hideMark/>
          </w:tcPr>
          <w:p w14:paraId="05A4C3D1" w14:textId="304EB905"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Implantation and Replacement of AICD, Total System, Minor Complexity</w:t>
            </w:r>
          </w:p>
        </w:tc>
        <w:tc>
          <w:tcPr>
            <w:tcW w:w="709" w:type="dxa"/>
            <w:tcBorders>
              <w:top w:val="nil"/>
              <w:left w:val="nil"/>
              <w:bottom w:val="nil"/>
              <w:right w:val="nil"/>
            </w:tcBorders>
            <w:shd w:val="clear" w:color="auto" w:fill="auto"/>
            <w:noWrap/>
            <w:hideMark/>
          </w:tcPr>
          <w:p w14:paraId="1CF8CD0B" w14:textId="0772F1B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15.11</w:t>
            </w:r>
          </w:p>
        </w:tc>
        <w:tc>
          <w:tcPr>
            <w:tcW w:w="850" w:type="dxa"/>
            <w:tcBorders>
              <w:top w:val="nil"/>
              <w:left w:val="nil"/>
              <w:bottom w:val="nil"/>
              <w:right w:val="nil"/>
            </w:tcBorders>
            <w:shd w:val="clear" w:color="auto" w:fill="auto"/>
            <w:noWrap/>
            <w:hideMark/>
          </w:tcPr>
          <w:p w14:paraId="0FDEE79B" w14:textId="0B83B98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2,179</w:t>
            </w:r>
          </w:p>
        </w:tc>
        <w:tc>
          <w:tcPr>
            <w:tcW w:w="851" w:type="dxa"/>
            <w:tcBorders>
              <w:top w:val="nil"/>
              <w:left w:val="nil"/>
              <w:bottom w:val="nil"/>
              <w:right w:val="nil"/>
            </w:tcBorders>
            <w:shd w:val="clear" w:color="auto" w:fill="auto"/>
            <w:noWrap/>
            <w:hideMark/>
          </w:tcPr>
          <w:p w14:paraId="7567D928" w14:textId="4A2AA962"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32,925</w:t>
            </w:r>
          </w:p>
        </w:tc>
        <w:tc>
          <w:tcPr>
            <w:tcW w:w="850" w:type="dxa"/>
            <w:tcBorders>
              <w:top w:val="nil"/>
              <w:left w:val="nil"/>
              <w:bottom w:val="nil"/>
              <w:right w:val="nil"/>
            </w:tcBorders>
            <w:shd w:val="clear" w:color="auto" w:fill="auto"/>
            <w:noWrap/>
            <w:hideMark/>
          </w:tcPr>
          <w:p w14:paraId="2C02C80C" w14:textId="5D7B826B"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4,454</w:t>
            </w:r>
          </w:p>
        </w:tc>
        <w:tc>
          <w:tcPr>
            <w:tcW w:w="959" w:type="dxa"/>
            <w:tcBorders>
              <w:top w:val="nil"/>
              <w:left w:val="nil"/>
              <w:bottom w:val="nil"/>
              <w:right w:val="nil"/>
            </w:tcBorders>
            <w:shd w:val="clear" w:color="auto" w:fill="auto"/>
            <w:noWrap/>
            <w:hideMark/>
          </w:tcPr>
          <w:p w14:paraId="01C13939" w14:textId="51DA5BA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2.0</w:t>
            </w:r>
          </w:p>
        </w:tc>
        <w:tc>
          <w:tcPr>
            <w:tcW w:w="567" w:type="dxa"/>
            <w:tcBorders>
              <w:top w:val="nil"/>
              <w:left w:val="nil"/>
              <w:bottom w:val="nil"/>
              <w:right w:val="nil"/>
            </w:tcBorders>
            <w:shd w:val="clear" w:color="auto" w:fill="auto"/>
            <w:noWrap/>
            <w:hideMark/>
          </w:tcPr>
          <w:p w14:paraId="6CBCF068" w14:textId="65C8B7E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0.18</w:t>
            </w:r>
          </w:p>
        </w:tc>
        <w:tc>
          <w:tcPr>
            <w:tcW w:w="575" w:type="dxa"/>
            <w:tcBorders>
              <w:top w:val="nil"/>
              <w:left w:val="nil"/>
              <w:bottom w:val="nil"/>
              <w:right w:val="nil"/>
            </w:tcBorders>
            <w:shd w:val="clear" w:color="auto" w:fill="auto"/>
            <w:noWrap/>
            <w:hideMark/>
          </w:tcPr>
          <w:p w14:paraId="275FC889" w14:textId="5125A89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0.1%</w:t>
            </w:r>
          </w:p>
        </w:tc>
        <w:tc>
          <w:tcPr>
            <w:tcW w:w="575" w:type="dxa"/>
            <w:tcBorders>
              <w:top w:val="nil"/>
              <w:left w:val="nil"/>
              <w:bottom w:val="nil"/>
              <w:right w:val="nil"/>
            </w:tcBorders>
            <w:shd w:val="clear" w:color="auto" w:fill="auto"/>
            <w:noWrap/>
            <w:hideMark/>
          </w:tcPr>
          <w:p w14:paraId="209CF8D4" w14:textId="297D407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851" w:type="dxa"/>
            <w:tcBorders>
              <w:top w:val="nil"/>
              <w:left w:val="nil"/>
              <w:bottom w:val="nil"/>
              <w:right w:val="nil"/>
            </w:tcBorders>
            <w:shd w:val="clear" w:color="auto" w:fill="auto"/>
            <w:noWrap/>
            <w:hideMark/>
          </w:tcPr>
          <w:p w14:paraId="41029450" w14:textId="754CBB7E"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37,249</w:t>
            </w:r>
          </w:p>
        </w:tc>
        <w:tc>
          <w:tcPr>
            <w:tcW w:w="708" w:type="dxa"/>
            <w:tcBorders>
              <w:top w:val="nil"/>
              <w:left w:val="nil"/>
              <w:bottom w:val="nil"/>
              <w:right w:val="nil"/>
            </w:tcBorders>
            <w:shd w:val="clear" w:color="auto" w:fill="auto"/>
            <w:noWrap/>
            <w:hideMark/>
          </w:tcPr>
          <w:p w14:paraId="1B009CDA" w14:textId="722ADEA4"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12 </w:t>
            </w:r>
          </w:p>
        </w:tc>
        <w:tc>
          <w:tcPr>
            <w:tcW w:w="851" w:type="dxa"/>
            <w:tcBorders>
              <w:top w:val="nil"/>
              <w:left w:val="nil"/>
              <w:bottom w:val="nil"/>
              <w:right w:val="nil"/>
            </w:tcBorders>
            <w:shd w:val="clear" w:color="auto" w:fill="auto"/>
            <w:noWrap/>
            <w:hideMark/>
          </w:tcPr>
          <w:p w14:paraId="018E1E3B" w14:textId="755734D0"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2,291 </w:t>
            </w:r>
          </w:p>
        </w:tc>
        <w:tc>
          <w:tcPr>
            <w:tcW w:w="662" w:type="dxa"/>
            <w:tcBorders>
              <w:top w:val="nil"/>
              <w:left w:val="nil"/>
              <w:bottom w:val="nil"/>
              <w:right w:val="nil"/>
            </w:tcBorders>
            <w:shd w:val="clear" w:color="auto" w:fill="auto"/>
            <w:noWrap/>
            <w:hideMark/>
          </w:tcPr>
          <w:p w14:paraId="442A7867" w14:textId="57E69EC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16.26</w:t>
            </w:r>
          </w:p>
        </w:tc>
      </w:tr>
      <w:tr w:rsidR="00EE0759" w:rsidRPr="00E4527E" w14:paraId="372B6627" w14:textId="77777777" w:rsidTr="008C3232">
        <w:trPr>
          <w:trHeight w:val="312"/>
        </w:trPr>
        <w:tc>
          <w:tcPr>
            <w:tcW w:w="709" w:type="dxa"/>
            <w:tcBorders>
              <w:top w:val="nil"/>
              <w:left w:val="nil"/>
              <w:bottom w:val="nil"/>
              <w:right w:val="nil"/>
            </w:tcBorders>
            <w:shd w:val="clear" w:color="auto" w:fill="auto"/>
            <w:noWrap/>
            <w:hideMark/>
          </w:tcPr>
          <w:p w14:paraId="0EDBA159" w14:textId="77179C6D"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Yes</w:t>
            </w:r>
          </w:p>
        </w:tc>
        <w:tc>
          <w:tcPr>
            <w:tcW w:w="709" w:type="dxa"/>
            <w:tcBorders>
              <w:top w:val="nil"/>
              <w:left w:val="nil"/>
              <w:bottom w:val="nil"/>
              <w:right w:val="nil"/>
            </w:tcBorders>
            <w:shd w:val="clear" w:color="auto" w:fill="auto"/>
            <w:noWrap/>
            <w:hideMark/>
          </w:tcPr>
          <w:p w14:paraId="1AC998A5" w14:textId="22FBC916" w:rsidR="00EE0759" w:rsidRPr="00683054" w:rsidRDefault="00EE0759" w:rsidP="00ED3484">
            <w:pPr>
              <w:spacing w:before="20" w:after="20" w:line="240" w:lineRule="auto"/>
              <w:jc w:val="center"/>
              <w:rPr>
                <w:rFonts w:asciiTheme="minorHAnsi" w:hAnsiTheme="minorHAnsi" w:cstheme="minorHAnsi"/>
                <w:sz w:val="14"/>
                <w:szCs w:val="14"/>
                <w:lang w:val="en-US" w:eastAsia="en-US"/>
              </w:rPr>
            </w:pPr>
            <w:r w:rsidRPr="00683054">
              <w:rPr>
                <w:color w:val="000000"/>
                <w:sz w:val="14"/>
                <w:szCs w:val="14"/>
              </w:rPr>
              <w:t>20</w:t>
            </w:r>
          </w:p>
        </w:tc>
        <w:tc>
          <w:tcPr>
            <w:tcW w:w="709" w:type="dxa"/>
            <w:tcBorders>
              <w:top w:val="nil"/>
              <w:left w:val="nil"/>
              <w:bottom w:val="nil"/>
              <w:right w:val="nil"/>
            </w:tcBorders>
            <w:shd w:val="clear" w:color="auto" w:fill="auto"/>
            <w:noWrap/>
            <w:hideMark/>
          </w:tcPr>
          <w:p w14:paraId="42F1A617" w14:textId="2550B991"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J06B</w:t>
            </w:r>
          </w:p>
        </w:tc>
        <w:tc>
          <w:tcPr>
            <w:tcW w:w="3719" w:type="dxa"/>
            <w:tcBorders>
              <w:top w:val="nil"/>
              <w:left w:val="nil"/>
              <w:bottom w:val="nil"/>
              <w:right w:val="nil"/>
            </w:tcBorders>
            <w:shd w:val="clear" w:color="auto" w:fill="auto"/>
            <w:noWrap/>
            <w:hideMark/>
          </w:tcPr>
          <w:p w14:paraId="4B7DAA61" w14:textId="7EED4031" w:rsidR="00EE0759" w:rsidRPr="00683054" w:rsidRDefault="00EE0759"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Major Procedures for Breast Disorders, Minor Complexity</w:t>
            </w:r>
          </w:p>
        </w:tc>
        <w:tc>
          <w:tcPr>
            <w:tcW w:w="709" w:type="dxa"/>
            <w:tcBorders>
              <w:top w:val="nil"/>
              <w:left w:val="nil"/>
              <w:bottom w:val="nil"/>
              <w:right w:val="nil"/>
            </w:tcBorders>
            <w:shd w:val="clear" w:color="auto" w:fill="auto"/>
            <w:noWrap/>
            <w:hideMark/>
          </w:tcPr>
          <w:p w14:paraId="2EFE25E7" w14:textId="03E0748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1.75</w:t>
            </w:r>
          </w:p>
        </w:tc>
        <w:tc>
          <w:tcPr>
            <w:tcW w:w="850" w:type="dxa"/>
            <w:tcBorders>
              <w:top w:val="nil"/>
              <w:left w:val="nil"/>
              <w:bottom w:val="nil"/>
              <w:right w:val="nil"/>
            </w:tcBorders>
            <w:shd w:val="clear" w:color="auto" w:fill="auto"/>
            <w:noWrap/>
            <w:hideMark/>
          </w:tcPr>
          <w:p w14:paraId="6700E083" w14:textId="2963A64C"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18,302</w:t>
            </w:r>
          </w:p>
        </w:tc>
        <w:tc>
          <w:tcPr>
            <w:tcW w:w="851" w:type="dxa"/>
            <w:tcBorders>
              <w:top w:val="nil"/>
              <w:left w:val="nil"/>
              <w:bottom w:val="nil"/>
              <w:right w:val="nil"/>
            </w:tcBorders>
            <w:shd w:val="clear" w:color="auto" w:fill="auto"/>
            <w:noWrap/>
            <w:hideMark/>
          </w:tcPr>
          <w:p w14:paraId="27B1FA60" w14:textId="72F9F829" w:rsidR="00EE0759" w:rsidRPr="00683054" w:rsidRDefault="00EE0759" w:rsidP="00ED3484">
            <w:pPr>
              <w:spacing w:before="20" w:after="20" w:line="240" w:lineRule="auto"/>
              <w:jc w:val="right"/>
              <w:rPr>
                <w:rFonts w:asciiTheme="minorHAnsi" w:hAnsiTheme="minorHAnsi" w:cstheme="minorHAnsi"/>
                <w:b/>
                <w:sz w:val="14"/>
                <w:szCs w:val="14"/>
                <w:lang w:val="en-US" w:eastAsia="en-US"/>
              </w:rPr>
            </w:pPr>
            <w:r w:rsidRPr="00683054">
              <w:rPr>
                <w:b/>
                <w:bCs/>
                <w:color w:val="000000"/>
                <w:sz w:val="14"/>
                <w:szCs w:val="14"/>
              </w:rPr>
              <w:t>32,029</w:t>
            </w:r>
          </w:p>
        </w:tc>
        <w:tc>
          <w:tcPr>
            <w:tcW w:w="850" w:type="dxa"/>
            <w:tcBorders>
              <w:top w:val="nil"/>
              <w:left w:val="nil"/>
              <w:bottom w:val="nil"/>
              <w:right w:val="nil"/>
            </w:tcBorders>
            <w:shd w:val="clear" w:color="auto" w:fill="auto"/>
            <w:noWrap/>
            <w:hideMark/>
          </w:tcPr>
          <w:p w14:paraId="71DF0738" w14:textId="1ED3E86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41,259</w:t>
            </w:r>
          </w:p>
        </w:tc>
        <w:tc>
          <w:tcPr>
            <w:tcW w:w="959" w:type="dxa"/>
            <w:tcBorders>
              <w:top w:val="nil"/>
              <w:left w:val="nil"/>
              <w:bottom w:val="nil"/>
              <w:right w:val="nil"/>
            </w:tcBorders>
            <w:shd w:val="clear" w:color="auto" w:fill="auto"/>
            <w:noWrap/>
            <w:hideMark/>
          </w:tcPr>
          <w:p w14:paraId="1424E117" w14:textId="4DF775DA"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2.3</w:t>
            </w:r>
          </w:p>
        </w:tc>
        <w:tc>
          <w:tcPr>
            <w:tcW w:w="567" w:type="dxa"/>
            <w:tcBorders>
              <w:top w:val="nil"/>
              <w:left w:val="nil"/>
              <w:bottom w:val="nil"/>
              <w:right w:val="nil"/>
            </w:tcBorders>
            <w:shd w:val="clear" w:color="auto" w:fill="auto"/>
            <w:noWrap/>
            <w:hideMark/>
          </w:tcPr>
          <w:p w14:paraId="65DBD8A4" w14:textId="7359F266"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0.01</w:t>
            </w:r>
          </w:p>
        </w:tc>
        <w:tc>
          <w:tcPr>
            <w:tcW w:w="575" w:type="dxa"/>
            <w:tcBorders>
              <w:top w:val="nil"/>
              <w:left w:val="nil"/>
              <w:bottom w:val="nil"/>
              <w:right w:val="nil"/>
            </w:tcBorders>
            <w:shd w:val="clear" w:color="auto" w:fill="auto"/>
            <w:noWrap/>
            <w:hideMark/>
          </w:tcPr>
          <w:p w14:paraId="3E12E8A4" w14:textId="2E59BE4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0.6%</w:t>
            </w:r>
          </w:p>
        </w:tc>
        <w:tc>
          <w:tcPr>
            <w:tcW w:w="575" w:type="dxa"/>
            <w:tcBorders>
              <w:top w:val="nil"/>
              <w:left w:val="nil"/>
              <w:bottom w:val="nil"/>
              <w:right w:val="nil"/>
            </w:tcBorders>
            <w:shd w:val="clear" w:color="auto" w:fill="auto"/>
            <w:noWrap/>
            <w:hideMark/>
          </w:tcPr>
          <w:p w14:paraId="7673A5FB" w14:textId="53DB7359"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w:t>
            </w:r>
          </w:p>
        </w:tc>
        <w:tc>
          <w:tcPr>
            <w:tcW w:w="851" w:type="dxa"/>
            <w:tcBorders>
              <w:top w:val="nil"/>
              <w:left w:val="nil"/>
              <w:bottom w:val="nil"/>
              <w:right w:val="nil"/>
            </w:tcBorders>
            <w:shd w:val="clear" w:color="auto" w:fill="auto"/>
            <w:noWrap/>
            <w:hideMark/>
          </w:tcPr>
          <w:p w14:paraId="4DB3762F" w14:textId="7D729598"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30,065</w:t>
            </w:r>
          </w:p>
        </w:tc>
        <w:tc>
          <w:tcPr>
            <w:tcW w:w="708" w:type="dxa"/>
            <w:tcBorders>
              <w:top w:val="nil"/>
              <w:left w:val="nil"/>
              <w:bottom w:val="nil"/>
              <w:right w:val="nil"/>
            </w:tcBorders>
            <w:shd w:val="clear" w:color="auto" w:fill="auto"/>
            <w:noWrap/>
            <w:hideMark/>
          </w:tcPr>
          <w:p w14:paraId="78C9C768" w14:textId="08F7650D"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18 </w:t>
            </w:r>
          </w:p>
        </w:tc>
        <w:tc>
          <w:tcPr>
            <w:tcW w:w="851" w:type="dxa"/>
            <w:tcBorders>
              <w:top w:val="nil"/>
              <w:left w:val="nil"/>
              <w:bottom w:val="nil"/>
              <w:right w:val="nil"/>
            </w:tcBorders>
            <w:shd w:val="clear" w:color="auto" w:fill="auto"/>
            <w:noWrap/>
            <w:hideMark/>
          </w:tcPr>
          <w:p w14:paraId="6FF3D4EB" w14:textId="26F9AFC7"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 xml:space="preserve">18,403 </w:t>
            </w:r>
          </w:p>
        </w:tc>
        <w:tc>
          <w:tcPr>
            <w:tcW w:w="662" w:type="dxa"/>
            <w:tcBorders>
              <w:top w:val="nil"/>
              <w:left w:val="nil"/>
              <w:bottom w:val="nil"/>
              <w:right w:val="nil"/>
            </w:tcBorders>
            <w:shd w:val="clear" w:color="auto" w:fill="auto"/>
            <w:noWrap/>
            <w:hideMark/>
          </w:tcPr>
          <w:p w14:paraId="783C2A30" w14:textId="4F3B39D3" w:rsidR="00EE0759" w:rsidRPr="00683054" w:rsidRDefault="00EE0759"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1.63</w:t>
            </w:r>
          </w:p>
        </w:tc>
      </w:tr>
      <w:tr w:rsidR="00E96ECE" w:rsidRPr="00E4527E" w14:paraId="6ACFA168" w14:textId="77777777" w:rsidTr="008C3232">
        <w:trPr>
          <w:trHeight w:val="243"/>
        </w:trPr>
        <w:tc>
          <w:tcPr>
            <w:tcW w:w="709" w:type="dxa"/>
            <w:tcBorders>
              <w:top w:val="single" w:sz="4" w:space="0" w:color="auto"/>
              <w:left w:val="nil"/>
              <w:bottom w:val="nil"/>
              <w:right w:val="nil"/>
            </w:tcBorders>
            <w:shd w:val="clear" w:color="auto" w:fill="auto"/>
            <w:noWrap/>
            <w:hideMark/>
          </w:tcPr>
          <w:p w14:paraId="16FAC39B" w14:textId="040A4FF3" w:rsidR="00E96ECE" w:rsidRPr="00683054" w:rsidRDefault="00E96ECE" w:rsidP="00ED3484">
            <w:pPr>
              <w:spacing w:before="20" w:after="20" w:line="240" w:lineRule="auto"/>
              <w:jc w:val="center"/>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18</w:t>
            </w:r>
          </w:p>
        </w:tc>
        <w:tc>
          <w:tcPr>
            <w:tcW w:w="5137" w:type="dxa"/>
            <w:gridSpan w:val="3"/>
            <w:tcBorders>
              <w:top w:val="single" w:sz="4" w:space="0" w:color="auto"/>
              <w:left w:val="nil"/>
              <w:bottom w:val="nil"/>
              <w:right w:val="nil"/>
            </w:tcBorders>
            <w:shd w:val="clear" w:color="auto" w:fill="auto"/>
            <w:noWrap/>
            <w:hideMark/>
          </w:tcPr>
          <w:p w14:paraId="2D2ED831" w14:textId="1AFABF5B"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xml:space="preserve">Sub-total, top 20 highest </w:t>
            </w:r>
            <w:r w:rsidR="007E6F3B">
              <w:rPr>
                <w:rFonts w:asciiTheme="minorHAnsi" w:hAnsiTheme="minorHAnsi" w:cstheme="minorHAnsi"/>
                <w:b/>
                <w:bCs/>
                <w:sz w:val="14"/>
                <w:szCs w:val="14"/>
                <w:lang w:val="en-US" w:eastAsia="en-US"/>
              </w:rPr>
              <w:t>cost-</w:t>
            </w:r>
            <w:r w:rsidR="003D1557">
              <w:rPr>
                <w:rFonts w:asciiTheme="minorHAnsi" w:hAnsiTheme="minorHAnsi" w:cstheme="minorHAnsi"/>
                <w:b/>
                <w:bCs/>
                <w:sz w:val="14"/>
                <w:szCs w:val="14"/>
                <w:lang w:val="en-US" w:eastAsia="en-US"/>
              </w:rPr>
              <w:t>weighted</w:t>
            </w:r>
            <w:r w:rsidRPr="00683054">
              <w:rPr>
                <w:rFonts w:asciiTheme="minorHAnsi" w:hAnsiTheme="minorHAnsi" w:cstheme="minorHAnsi"/>
                <w:b/>
                <w:bCs/>
                <w:sz w:val="14"/>
                <w:szCs w:val="14"/>
                <w:lang w:val="en-US" w:eastAsia="en-US"/>
              </w:rPr>
              <w:t xml:space="preserve"> separations</w:t>
            </w:r>
          </w:p>
        </w:tc>
        <w:tc>
          <w:tcPr>
            <w:tcW w:w="709" w:type="dxa"/>
            <w:tcBorders>
              <w:top w:val="single" w:sz="4" w:space="0" w:color="auto"/>
              <w:left w:val="nil"/>
              <w:bottom w:val="nil"/>
              <w:right w:val="nil"/>
            </w:tcBorders>
            <w:shd w:val="clear" w:color="auto" w:fill="auto"/>
            <w:noWrap/>
            <w:hideMark/>
          </w:tcPr>
          <w:p w14:paraId="7928A331" w14:textId="0F461016"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1.01</w:t>
            </w:r>
          </w:p>
        </w:tc>
        <w:tc>
          <w:tcPr>
            <w:tcW w:w="850" w:type="dxa"/>
            <w:tcBorders>
              <w:top w:val="single" w:sz="4" w:space="0" w:color="auto"/>
              <w:left w:val="nil"/>
              <w:bottom w:val="nil"/>
              <w:right w:val="nil"/>
            </w:tcBorders>
            <w:shd w:val="clear" w:color="auto" w:fill="auto"/>
            <w:noWrap/>
            <w:hideMark/>
          </w:tcPr>
          <w:p w14:paraId="27099560" w14:textId="793624C6"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1,000,254</w:t>
            </w:r>
          </w:p>
        </w:tc>
        <w:tc>
          <w:tcPr>
            <w:tcW w:w="851" w:type="dxa"/>
            <w:tcBorders>
              <w:top w:val="single" w:sz="4" w:space="0" w:color="auto"/>
              <w:left w:val="nil"/>
              <w:bottom w:val="nil"/>
              <w:right w:val="nil"/>
            </w:tcBorders>
            <w:shd w:val="clear" w:color="auto" w:fill="auto"/>
            <w:noWrap/>
            <w:hideMark/>
          </w:tcPr>
          <w:p w14:paraId="35B4400B" w14:textId="4BAFD273"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1,006,245</w:t>
            </w:r>
          </w:p>
        </w:tc>
        <w:tc>
          <w:tcPr>
            <w:tcW w:w="850" w:type="dxa"/>
            <w:tcBorders>
              <w:top w:val="single" w:sz="4" w:space="0" w:color="auto"/>
              <w:left w:val="nil"/>
              <w:bottom w:val="nil"/>
              <w:right w:val="nil"/>
            </w:tcBorders>
            <w:shd w:val="clear" w:color="auto" w:fill="auto"/>
            <w:noWrap/>
            <w:hideMark/>
          </w:tcPr>
          <w:p w14:paraId="5F09BA5D" w14:textId="537736E4"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1,647,179</w:t>
            </w:r>
          </w:p>
        </w:tc>
        <w:tc>
          <w:tcPr>
            <w:tcW w:w="959" w:type="dxa"/>
            <w:tcBorders>
              <w:top w:val="single" w:sz="4" w:space="0" w:color="auto"/>
              <w:left w:val="nil"/>
              <w:bottom w:val="nil"/>
              <w:right w:val="nil"/>
            </w:tcBorders>
            <w:shd w:val="clear" w:color="auto" w:fill="auto"/>
            <w:noWrap/>
            <w:hideMark/>
          </w:tcPr>
          <w:p w14:paraId="133F6FDC" w14:textId="4CEB190A"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1.6</w:t>
            </w:r>
          </w:p>
        </w:tc>
        <w:tc>
          <w:tcPr>
            <w:tcW w:w="567" w:type="dxa"/>
            <w:tcBorders>
              <w:top w:val="single" w:sz="4" w:space="0" w:color="auto"/>
              <w:left w:val="nil"/>
              <w:bottom w:val="nil"/>
              <w:right w:val="nil"/>
            </w:tcBorders>
            <w:shd w:val="clear" w:color="auto" w:fill="auto"/>
            <w:noWrap/>
            <w:hideMark/>
          </w:tcPr>
          <w:p w14:paraId="03B2F7E2" w14:textId="2FF56E58"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 </w:t>
            </w:r>
          </w:p>
        </w:tc>
        <w:tc>
          <w:tcPr>
            <w:tcW w:w="575" w:type="dxa"/>
            <w:tcBorders>
              <w:top w:val="single" w:sz="4" w:space="0" w:color="auto"/>
              <w:left w:val="nil"/>
              <w:bottom w:val="nil"/>
              <w:right w:val="nil"/>
            </w:tcBorders>
            <w:shd w:val="clear" w:color="auto" w:fill="auto"/>
            <w:noWrap/>
            <w:hideMark/>
          </w:tcPr>
          <w:p w14:paraId="03DC4BFB" w14:textId="38FDE69E" w:rsidR="00E96ECE" w:rsidRPr="00683054" w:rsidRDefault="00E96ECE"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31%</w:t>
            </w:r>
          </w:p>
        </w:tc>
        <w:tc>
          <w:tcPr>
            <w:tcW w:w="575" w:type="dxa"/>
            <w:tcBorders>
              <w:top w:val="single" w:sz="4" w:space="0" w:color="auto"/>
              <w:left w:val="nil"/>
              <w:bottom w:val="nil"/>
              <w:right w:val="nil"/>
            </w:tcBorders>
            <w:shd w:val="clear" w:color="auto" w:fill="auto"/>
            <w:noWrap/>
            <w:hideMark/>
          </w:tcPr>
          <w:p w14:paraId="355B9C79" w14:textId="30728C7D" w:rsidR="00E96ECE" w:rsidRPr="00683054" w:rsidRDefault="00E96ECE"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31%</w:t>
            </w:r>
          </w:p>
        </w:tc>
        <w:tc>
          <w:tcPr>
            <w:tcW w:w="851" w:type="dxa"/>
            <w:tcBorders>
              <w:top w:val="single" w:sz="4" w:space="0" w:color="auto"/>
              <w:left w:val="nil"/>
              <w:bottom w:val="nil"/>
              <w:right w:val="nil"/>
            </w:tcBorders>
            <w:shd w:val="clear" w:color="auto" w:fill="auto"/>
            <w:noWrap/>
            <w:hideMark/>
          </w:tcPr>
          <w:p w14:paraId="168EA1F4"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c>
          <w:tcPr>
            <w:tcW w:w="708" w:type="dxa"/>
            <w:tcBorders>
              <w:top w:val="single" w:sz="4" w:space="0" w:color="auto"/>
              <w:left w:val="nil"/>
              <w:bottom w:val="nil"/>
              <w:right w:val="nil"/>
            </w:tcBorders>
            <w:shd w:val="clear" w:color="auto" w:fill="auto"/>
            <w:noWrap/>
            <w:hideMark/>
          </w:tcPr>
          <w:p w14:paraId="78E7D8DE"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c>
          <w:tcPr>
            <w:tcW w:w="851" w:type="dxa"/>
            <w:tcBorders>
              <w:top w:val="single" w:sz="4" w:space="0" w:color="auto"/>
              <w:left w:val="nil"/>
              <w:bottom w:val="nil"/>
              <w:right w:val="nil"/>
            </w:tcBorders>
            <w:shd w:val="clear" w:color="auto" w:fill="auto"/>
            <w:noWrap/>
            <w:hideMark/>
          </w:tcPr>
          <w:p w14:paraId="7177A492"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c>
          <w:tcPr>
            <w:tcW w:w="662" w:type="dxa"/>
            <w:tcBorders>
              <w:top w:val="single" w:sz="4" w:space="0" w:color="auto"/>
              <w:left w:val="nil"/>
              <w:bottom w:val="nil"/>
              <w:right w:val="nil"/>
            </w:tcBorders>
            <w:shd w:val="clear" w:color="auto" w:fill="auto"/>
            <w:noWrap/>
            <w:hideMark/>
          </w:tcPr>
          <w:p w14:paraId="15F172D9"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r>
      <w:tr w:rsidR="00E96ECE" w:rsidRPr="00E4527E" w14:paraId="17419D08" w14:textId="77777777" w:rsidTr="008C3232">
        <w:trPr>
          <w:trHeight w:val="243"/>
        </w:trPr>
        <w:tc>
          <w:tcPr>
            <w:tcW w:w="709" w:type="dxa"/>
            <w:tcBorders>
              <w:top w:val="nil"/>
              <w:left w:val="nil"/>
              <w:bottom w:val="nil"/>
              <w:right w:val="nil"/>
            </w:tcBorders>
            <w:shd w:val="clear" w:color="auto" w:fill="auto"/>
            <w:noWrap/>
            <w:hideMark/>
          </w:tcPr>
          <w:p w14:paraId="3A7003EC" w14:textId="77777777" w:rsidR="00E96ECE" w:rsidRPr="00683054" w:rsidRDefault="00E96ECE" w:rsidP="00ED3484">
            <w:pPr>
              <w:spacing w:before="20" w:after="20" w:line="240" w:lineRule="auto"/>
              <w:jc w:val="center"/>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 xml:space="preserve">in </w:t>
            </w:r>
          </w:p>
        </w:tc>
        <w:tc>
          <w:tcPr>
            <w:tcW w:w="5137" w:type="dxa"/>
            <w:gridSpan w:val="3"/>
            <w:tcBorders>
              <w:top w:val="nil"/>
              <w:left w:val="nil"/>
              <w:bottom w:val="nil"/>
              <w:right w:val="nil"/>
            </w:tcBorders>
            <w:shd w:val="clear" w:color="auto" w:fill="auto"/>
            <w:noWrap/>
            <w:hideMark/>
          </w:tcPr>
          <w:p w14:paraId="448855B2" w14:textId="02A294A4"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All DRGs</w:t>
            </w:r>
          </w:p>
        </w:tc>
        <w:tc>
          <w:tcPr>
            <w:tcW w:w="709" w:type="dxa"/>
            <w:tcBorders>
              <w:top w:val="nil"/>
              <w:left w:val="nil"/>
              <w:bottom w:val="nil"/>
              <w:right w:val="nil"/>
            </w:tcBorders>
            <w:shd w:val="clear" w:color="auto" w:fill="auto"/>
            <w:noWrap/>
            <w:hideMark/>
          </w:tcPr>
          <w:p w14:paraId="3D4C797D" w14:textId="31841DC1"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1.00</w:t>
            </w:r>
          </w:p>
        </w:tc>
        <w:tc>
          <w:tcPr>
            <w:tcW w:w="850" w:type="dxa"/>
            <w:tcBorders>
              <w:top w:val="nil"/>
              <w:left w:val="nil"/>
              <w:bottom w:val="nil"/>
              <w:right w:val="nil"/>
            </w:tcBorders>
            <w:shd w:val="clear" w:color="auto" w:fill="auto"/>
            <w:noWrap/>
            <w:hideMark/>
          </w:tcPr>
          <w:p w14:paraId="39DD727F" w14:textId="3A2CF366"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3,242,411</w:t>
            </w:r>
          </w:p>
        </w:tc>
        <w:tc>
          <w:tcPr>
            <w:tcW w:w="851" w:type="dxa"/>
            <w:tcBorders>
              <w:top w:val="nil"/>
              <w:left w:val="nil"/>
              <w:bottom w:val="nil"/>
              <w:right w:val="nil"/>
            </w:tcBorders>
            <w:shd w:val="clear" w:color="auto" w:fill="auto"/>
            <w:noWrap/>
            <w:hideMark/>
          </w:tcPr>
          <w:p w14:paraId="7F7E53EA" w14:textId="4A9B4E12"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3,242,411</w:t>
            </w:r>
          </w:p>
        </w:tc>
        <w:tc>
          <w:tcPr>
            <w:tcW w:w="850" w:type="dxa"/>
            <w:tcBorders>
              <w:top w:val="nil"/>
              <w:left w:val="nil"/>
              <w:bottom w:val="nil"/>
              <w:right w:val="nil"/>
            </w:tcBorders>
            <w:shd w:val="clear" w:color="auto" w:fill="auto"/>
            <w:noWrap/>
            <w:hideMark/>
          </w:tcPr>
          <w:p w14:paraId="2C6639C9" w14:textId="2DE42B57"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7,331,450</w:t>
            </w:r>
          </w:p>
        </w:tc>
        <w:tc>
          <w:tcPr>
            <w:tcW w:w="959" w:type="dxa"/>
            <w:tcBorders>
              <w:top w:val="nil"/>
              <w:left w:val="nil"/>
              <w:bottom w:val="nil"/>
              <w:right w:val="nil"/>
            </w:tcBorders>
            <w:shd w:val="clear" w:color="auto" w:fill="auto"/>
            <w:noWrap/>
            <w:hideMark/>
          </w:tcPr>
          <w:p w14:paraId="68C39E92" w14:textId="5C559E7F"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2.3</w:t>
            </w:r>
          </w:p>
        </w:tc>
        <w:tc>
          <w:tcPr>
            <w:tcW w:w="567" w:type="dxa"/>
            <w:tcBorders>
              <w:top w:val="nil"/>
              <w:left w:val="nil"/>
              <w:bottom w:val="nil"/>
              <w:right w:val="nil"/>
            </w:tcBorders>
            <w:shd w:val="clear" w:color="auto" w:fill="auto"/>
            <w:noWrap/>
            <w:hideMark/>
          </w:tcPr>
          <w:p w14:paraId="33A73CFA" w14:textId="77777777"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p>
        </w:tc>
        <w:tc>
          <w:tcPr>
            <w:tcW w:w="575" w:type="dxa"/>
            <w:tcBorders>
              <w:top w:val="nil"/>
              <w:left w:val="nil"/>
              <w:bottom w:val="nil"/>
              <w:right w:val="nil"/>
            </w:tcBorders>
            <w:shd w:val="clear" w:color="auto" w:fill="auto"/>
            <w:noWrap/>
            <w:hideMark/>
          </w:tcPr>
          <w:p w14:paraId="31DB18EA" w14:textId="4CE01BE2" w:rsidR="00E96ECE" w:rsidRPr="00683054" w:rsidRDefault="00E96ECE"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100%</w:t>
            </w:r>
          </w:p>
        </w:tc>
        <w:tc>
          <w:tcPr>
            <w:tcW w:w="575" w:type="dxa"/>
            <w:tcBorders>
              <w:top w:val="nil"/>
              <w:left w:val="nil"/>
              <w:bottom w:val="nil"/>
              <w:right w:val="nil"/>
            </w:tcBorders>
            <w:shd w:val="clear" w:color="auto" w:fill="auto"/>
            <w:noWrap/>
            <w:hideMark/>
          </w:tcPr>
          <w:p w14:paraId="3D579788" w14:textId="5E0CAAAC" w:rsidR="00E96ECE" w:rsidRPr="00683054" w:rsidRDefault="00E96ECE" w:rsidP="00ED3484">
            <w:pPr>
              <w:spacing w:before="20" w:after="20" w:line="240" w:lineRule="auto"/>
              <w:jc w:val="right"/>
              <w:rPr>
                <w:rFonts w:asciiTheme="minorHAnsi" w:hAnsiTheme="minorHAnsi" w:cstheme="minorHAnsi"/>
                <w:sz w:val="14"/>
                <w:szCs w:val="14"/>
                <w:lang w:val="en-US" w:eastAsia="en-US"/>
              </w:rPr>
            </w:pPr>
            <w:r w:rsidRPr="00683054">
              <w:rPr>
                <w:color w:val="000000"/>
                <w:sz w:val="14"/>
                <w:szCs w:val="14"/>
              </w:rPr>
              <w:t>100%</w:t>
            </w:r>
          </w:p>
        </w:tc>
        <w:tc>
          <w:tcPr>
            <w:tcW w:w="851" w:type="dxa"/>
            <w:tcBorders>
              <w:top w:val="nil"/>
              <w:left w:val="nil"/>
              <w:bottom w:val="nil"/>
              <w:right w:val="nil"/>
            </w:tcBorders>
            <w:shd w:val="clear" w:color="auto" w:fill="auto"/>
            <w:noWrap/>
            <w:hideMark/>
          </w:tcPr>
          <w:p w14:paraId="645D2408" w14:textId="77777777" w:rsidR="00E96ECE" w:rsidRPr="00683054" w:rsidRDefault="00E96ECE" w:rsidP="00ED3484">
            <w:pPr>
              <w:spacing w:before="20" w:after="20" w:line="240" w:lineRule="auto"/>
              <w:jc w:val="right"/>
              <w:rPr>
                <w:rFonts w:asciiTheme="minorHAnsi" w:hAnsiTheme="minorHAnsi" w:cstheme="minorHAnsi"/>
                <w:sz w:val="14"/>
                <w:szCs w:val="14"/>
                <w:lang w:val="en-US" w:eastAsia="en-US"/>
              </w:rPr>
            </w:pPr>
          </w:p>
        </w:tc>
        <w:tc>
          <w:tcPr>
            <w:tcW w:w="708" w:type="dxa"/>
            <w:tcBorders>
              <w:top w:val="nil"/>
              <w:left w:val="nil"/>
              <w:bottom w:val="nil"/>
              <w:right w:val="nil"/>
            </w:tcBorders>
            <w:shd w:val="clear" w:color="auto" w:fill="auto"/>
            <w:noWrap/>
            <w:hideMark/>
          </w:tcPr>
          <w:p w14:paraId="643C28C3" w14:textId="77777777" w:rsidR="00E96ECE" w:rsidRPr="00683054" w:rsidRDefault="00E96ECE" w:rsidP="00ED3484">
            <w:pPr>
              <w:spacing w:before="20" w:after="20" w:line="240" w:lineRule="auto"/>
              <w:rPr>
                <w:rFonts w:asciiTheme="minorHAnsi" w:hAnsiTheme="minorHAnsi" w:cstheme="minorHAnsi"/>
                <w:sz w:val="20"/>
                <w:lang w:val="en-US" w:eastAsia="en-US"/>
              </w:rPr>
            </w:pPr>
          </w:p>
        </w:tc>
        <w:tc>
          <w:tcPr>
            <w:tcW w:w="851" w:type="dxa"/>
            <w:tcBorders>
              <w:top w:val="nil"/>
              <w:left w:val="nil"/>
              <w:bottom w:val="nil"/>
              <w:right w:val="nil"/>
            </w:tcBorders>
            <w:shd w:val="clear" w:color="auto" w:fill="auto"/>
            <w:noWrap/>
            <w:hideMark/>
          </w:tcPr>
          <w:p w14:paraId="72F4A338"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c>
          <w:tcPr>
            <w:tcW w:w="662" w:type="dxa"/>
            <w:tcBorders>
              <w:top w:val="nil"/>
              <w:left w:val="nil"/>
              <w:bottom w:val="nil"/>
              <w:right w:val="nil"/>
            </w:tcBorders>
            <w:shd w:val="clear" w:color="auto" w:fill="auto"/>
            <w:noWrap/>
            <w:hideMark/>
          </w:tcPr>
          <w:p w14:paraId="2E268824" w14:textId="77777777"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w:t>
            </w:r>
          </w:p>
        </w:tc>
      </w:tr>
      <w:tr w:rsidR="00E96ECE" w:rsidRPr="00E4527E" w14:paraId="6F040668" w14:textId="77777777" w:rsidTr="008C3232">
        <w:trPr>
          <w:trHeight w:val="243"/>
        </w:trPr>
        <w:tc>
          <w:tcPr>
            <w:tcW w:w="709" w:type="dxa"/>
            <w:tcBorders>
              <w:top w:val="nil"/>
              <w:left w:val="nil"/>
              <w:bottom w:val="single" w:sz="4" w:space="0" w:color="auto"/>
              <w:right w:val="nil"/>
            </w:tcBorders>
            <w:shd w:val="clear" w:color="auto" w:fill="auto"/>
            <w:noWrap/>
            <w:hideMark/>
          </w:tcPr>
          <w:p w14:paraId="4B31E81D" w14:textId="77777777" w:rsidR="00E96ECE" w:rsidRPr="00683054" w:rsidRDefault="00E96ECE" w:rsidP="00ED3484">
            <w:pPr>
              <w:spacing w:before="20" w:after="20" w:line="240" w:lineRule="auto"/>
              <w:jc w:val="center"/>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Top 20</w:t>
            </w:r>
          </w:p>
        </w:tc>
        <w:tc>
          <w:tcPr>
            <w:tcW w:w="5137" w:type="dxa"/>
            <w:gridSpan w:val="3"/>
            <w:tcBorders>
              <w:top w:val="nil"/>
              <w:left w:val="nil"/>
              <w:bottom w:val="single" w:sz="4" w:space="0" w:color="auto"/>
              <w:right w:val="nil"/>
            </w:tcBorders>
            <w:shd w:val="clear" w:color="auto" w:fill="auto"/>
            <w:noWrap/>
            <w:hideMark/>
          </w:tcPr>
          <w:p w14:paraId="54A280D1" w14:textId="68803913"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rFonts w:asciiTheme="minorHAnsi" w:hAnsiTheme="minorHAnsi" w:cstheme="minorHAnsi"/>
                <w:b/>
                <w:bCs/>
                <w:sz w:val="14"/>
                <w:szCs w:val="14"/>
                <w:lang w:val="en-US" w:eastAsia="en-US"/>
              </w:rPr>
              <w:t xml:space="preserve">Top 20 </w:t>
            </w:r>
            <w:r w:rsidR="007E6F3B">
              <w:rPr>
                <w:rFonts w:asciiTheme="minorHAnsi" w:hAnsiTheme="minorHAnsi" w:cstheme="minorHAnsi"/>
                <w:b/>
                <w:bCs/>
                <w:sz w:val="14"/>
                <w:szCs w:val="14"/>
                <w:lang w:val="en-US" w:eastAsia="en-US"/>
              </w:rPr>
              <w:t>cost-</w:t>
            </w:r>
            <w:r w:rsidR="003D1557">
              <w:rPr>
                <w:rFonts w:asciiTheme="minorHAnsi" w:hAnsiTheme="minorHAnsi" w:cstheme="minorHAnsi"/>
                <w:b/>
                <w:bCs/>
                <w:sz w:val="14"/>
                <w:szCs w:val="14"/>
                <w:lang w:val="en-US" w:eastAsia="en-US"/>
              </w:rPr>
              <w:t>weighted</w:t>
            </w:r>
            <w:r w:rsidRPr="00683054">
              <w:rPr>
                <w:rFonts w:asciiTheme="minorHAnsi" w:hAnsiTheme="minorHAnsi" w:cstheme="minorHAnsi"/>
                <w:b/>
                <w:bCs/>
                <w:sz w:val="14"/>
                <w:szCs w:val="14"/>
                <w:lang w:val="en-US" w:eastAsia="en-US"/>
              </w:rPr>
              <w:t xml:space="preserve"> separations, % of all DRGs</w:t>
            </w:r>
          </w:p>
        </w:tc>
        <w:tc>
          <w:tcPr>
            <w:tcW w:w="709" w:type="dxa"/>
            <w:tcBorders>
              <w:top w:val="nil"/>
              <w:left w:val="nil"/>
              <w:bottom w:val="single" w:sz="4" w:space="0" w:color="auto"/>
              <w:right w:val="nil"/>
            </w:tcBorders>
            <w:shd w:val="clear" w:color="auto" w:fill="auto"/>
            <w:noWrap/>
            <w:hideMark/>
          </w:tcPr>
          <w:p w14:paraId="7934BB6C" w14:textId="3C409138" w:rsidR="00E96ECE" w:rsidRPr="00683054" w:rsidRDefault="00E96ECE" w:rsidP="00ED3484">
            <w:pPr>
              <w:spacing w:before="20" w:after="20" w:line="240" w:lineRule="auto"/>
              <w:rPr>
                <w:rFonts w:asciiTheme="minorHAnsi" w:hAnsiTheme="minorHAnsi" w:cstheme="minorHAnsi"/>
                <w:b/>
                <w:bCs/>
                <w:sz w:val="14"/>
                <w:szCs w:val="14"/>
                <w:lang w:val="en-US" w:eastAsia="en-US"/>
              </w:rPr>
            </w:pPr>
            <w:r w:rsidRPr="00683054">
              <w:rPr>
                <w:b/>
                <w:bCs/>
                <w:color w:val="000000"/>
                <w:sz w:val="14"/>
                <w:szCs w:val="14"/>
              </w:rPr>
              <w:t> </w:t>
            </w:r>
          </w:p>
        </w:tc>
        <w:tc>
          <w:tcPr>
            <w:tcW w:w="850" w:type="dxa"/>
            <w:tcBorders>
              <w:top w:val="nil"/>
              <w:left w:val="nil"/>
              <w:bottom w:val="single" w:sz="4" w:space="0" w:color="auto"/>
              <w:right w:val="nil"/>
            </w:tcBorders>
            <w:shd w:val="clear" w:color="auto" w:fill="auto"/>
            <w:noWrap/>
            <w:hideMark/>
          </w:tcPr>
          <w:p w14:paraId="770714D8" w14:textId="42C6AFD9"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31%</w:t>
            </w:r>
          </w:p>
        </w:tc>
        <w:tc>
          <w:tcPr>
            <w:tcW w:w="851" w:type="dxa"/>
            <w:tcBorders>
              <w:top w:val="nil"/>
              <w:left w:val="nil"/>
              <w:bottom w:val="single" w:sz="4" w:space="0" w:color="auto"/>
              <w:right w:val="nil"/>
            </w:tcBorders>
            <w:shd w:val="clear" w:color="auto" w:fill="auto"/>
            <w:noWrap/>
            <w:hideMark/>
          </w:tcPr>
          <w:p w14:paraId="65B790FC" w14:textId="65635E2C"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31%</w:t>
            </w:r>
          </w:p>
        </w:tc>
        <w:tc>
          <w:tcPr>
            <w:tcW w:w="850" w:type="dxa"/>
            <w:tcBorders>
              <w:top w:val="nil"/>
              <w:left w:val="nil"/>
              <w:bottom w:val="single" w:sz="4" w:space="0" w:color="auto"/>
              <w:right w:val="nil"/>
            </w:tcBorders>
            <w:shd w:val="clear" w:color="auto" w:fill="auto"/>
            <w:noWrap/>
            <w:hideMark/>
          </w:tcPr>
          <w:p w14:paraId="4E4210C0" w14:textId="6E813EE8" w:rsidR="00E96ECE" w:rsidRPr="00683054" w:rsidRDefault="00E96ECE" w:rsidP="00ED3484">
            <w:pPr>
              <w:spacing w:before="20" w:after="20" w:line="240" w:lineRule="auto"/>
              <w:jc w:val="right"/>
              <w:rPr>
                <w:rFonts w:asciiTheme="minorHAnsi" w:hAnsiTheme="minorHAnsi" w:cstheme="minorHAnsi"/>
                <w:b/>
                <w:bCs/>
                <w:sz w:val="14"/>
                <w:szCs w:val="14"/>
                <w:lang w:val="en-US" w:eastAsia="en-US"/>
              </w:rPr>
            </w:pPr>
            <w:r w:rsidRPr="00683054">
              <w:rPr>
                <w:b/>
                <w:bCs/>
                <w:color w:val="000000"/>
                <w:sz w:val="14"/>
                <w:szCs w:val="14"/>
              </w:rPr>
              <w:t>22%</w:t>
            </w:r>
          </w:p>
        </w:tc>
        <w:tc>
          <w:tcPr>
            <w:tcW w:w="959" w:type="dxa"/>
            <w:tcBorders>
              <w:top w:val="nil"/>
              <w:left w:val="nil"/>
              <w:bottom w:val="single" w:sz="4" w:space="0" w:color="auto"/>
              <w:right w:val="nil"/>
            </w:tcBorders>
            <w:shd w:val="clear" w:color="auto" w:fill="auto"/>
            <w:noWrap/>
            <w:hideMark/>
          </w:tcPr>
          <w:p w14:paraId="57898398" w14:textId="00F41E44"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 </w:t>
            </w:r>
          </w:p>
        </w:tc>
        <w:tc>
          <w:tcPr>
            <w:tcW w:w="567" w:type="dxa"/>
            <w:tcBorders>
              <w:top w:val="nil"/>
              <w:left w:val="nil"/>
              <w:bottom w:val="single" w:sz="4" w:space="0" w:color="auto"/>
              <w:right w:val="nil"/>
            </w:tcBorders>
            <w:shd w:val="clear" w:color="auto" w:fill="auto"/>
            <w:noWrap/>
            <w:hideMark/>
          </w:tcPr>
          <w:p w14:paraId="518A42FF" w14:textId="3413D820"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 </w:t>
            </w:r>
          </w:p>
        </w:tc>
        <w:tc>
          <w:tcPr>
            <w:tcW w:w="575" w:type="dxa"/>
            <w:tcBorders>
              <w:top w:val="nil"/>
              <w:left w:val="nil"/>
              <w:bottom w:val="single" w:sz="4" w:space="0" w:color="auto"/>
              <w:right w:val="nil"/>
            </w:tcBorders>
            <w:shd w:val="clear" w:color="auto" w:fill="auto"/>
            <w:noWrap/>
            <w:hideMark/>
          </w:tcPr>
          <w:p w14:paraId="4039163D" w14:textId="417DFB0E"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 </w:t>
            </w:r>
          </w:p>
        </w:tc>
        <w:tc>
          <w:tcPr>
            <w:tcW w:w="575" w:type="dxa"/>
            <w:tcBorders>
              <w:top w:val="nil"/>
              <w:left w:val="nil"/>
              <w:bottom w:val="single" w:sz="4" w:space="0" w:color="auto"/>
              <w:right w:val="nil"/>
            </w:tcBorders>
            <w:shd w:val="clear" w:color="auto" w:fill="auto"/>
            <w:noWrap/>
            <w:hideMark/>
          </w:tcPr>
          <w:p w14:paraId="691707B0" w14:textId="57A9F676"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color w:val="000000"/>
                <w:sz w:val="14"/>
                <w:szCs w:val="14"/>
              </w:rPr>
              <w:t> </w:t>
            </w:r>
          </w:p>
        </w:tc>
        <w:tc>
          <w:tcPr>
            <w:tcW w:w="851" w:type="dxa"/>
            <w:tcBorders>
              <w:top w:val="nil"/>
              <w:left w:val="nil"/>
              <w:bottom w:val="single" w:sz="4" w:space="0" w:color="auto"/>
              <w:right w:val="nil"/>
            </w:tcBorders>
            <w:shd w:val="clear" w:color="auto" w:fill="auto"/>
            <w:noWrap/>
            <w:hideMark/>
          </w:tcPr>
          <w:p w14:paraId="338EC980" w14:textId="77777777"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 </w:t>
            </w:r>
          </w:p>
        </w:tc>
        <w:tc>
          <w:tcPr>
            <w:tcW w:w="708" w:type="dxa"/>
            <w:tcBorders>
              <w:top w:val="nil"/>
              <w:left w:val="nil"/>
              <w:bottom w:val="single" w:sz="4" w:space="0" w:color="auto"/>
              <w:right w:val="nil"/>
            </w:tcBorders>
            <w:shd w:val="clear" w:color="auto" w:fill="auto"/>
            <w:noWrap/>
            <w:hideMark/>
          </w:tcPr>
          <w:p w14:paraId="07D4EFD2" w14:textId="77777777"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 </w:t>
            </w:r>
          </w:p>
        </w:tc>
        <w:tc>
          <w:tcPr>
            <w:tcW w:w="851" w:type="dxa"/>
            <w:tcBorders>
              <w:top w:val="nil"/>
              <w:left w:val="nil"/>
              <w:bottom w:val="single" w:sz="4" w:space="0" w:color="auto"/>
              <w:right w:val="nil"/>
            </w:tcBorders>
            <w:shd w:val="clear" w:color="auto" w:fill="auto"/>
            <w:noWrap/>
            <w:hideMark/>
          </w:tcPr>
          <w:p w14:paraId="0F01073C" w14:textId="77777777"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 </w:t>
            </w:r>
          </w:p>
        </w:tc>
        <w:tc>
          <w:tcPr>
            <w:tcW w:w="662" w:type="dxa"/>
            <w:tcBorders>
              <w:top w:val="nil"/>
              <w:left w:val="nil"/>
              <w:bottom w:val="single" w:sz="4" w:space="0" w:color="auto"/>
              <w:right w:val="nil"/>
            </w:tcBorders>
            <w:shd w:val="clear" w:color="auto" w:fill="auto"/>
            <w:noWrap/>
            <w:hideMark/>
          </w:tcPr>
          <w:p w14:paraId="357F4843" w14:textId="77777777" w:rsidR="00E96ECE" w:rsidRPr="00683054" w:rsidRDefault="00E96ECE" w:rsidP="00ED3484">
            <w:pPr>
              <w:spacing w:before="20" w:after="20" w:line="240" w:lineRule="auto"/>
              <w:rPr>
                <w:rFonts w:asciiTheme="minorHAnsi" w:hAnsiTheme="minorHAnsi" w:cstheme="minorHAnsi"/>
                <w:sz w:val="14"/>
                <w:szCs w:val="14"/>
                <w:lang w:val="en-US" w:eastAsia="en-US"/>
              </w:rPr>
            </w:pPr>
            <w:r w:rsidRPr="00683054">
              <w:rPr>
                <w:rFonts w:asciiTheme="minorHAnsi" w:hAnsiTheme="minorHAnsi" w:cstheme="minorHAnsi"/>
                <w:sz w:val="14"/>
                <w:szCs w:val="14"/>
                <w:lang w:val="en-US" w:eastAsia="en-US"/>
              </w:rPr>
              <w:t> </w:t>
            </w:r>
          </w:p>
        </w:tc>
      </w:tr>
    </w:tbl>
    <w:p w14:paraId="6D0C0523" w14:textId="6CB44085" w:rsidR="00B95C7E" w:rsidRPr="00F039A3" w:rsidRDefault="00B95C7E" w:rsidP="006923CA">
      <w:pPr>
        <w:spacing w:before="60" w:after="0" w:line="240" w:lineRule="auto"/>
        <w:rPr>
          <w:rFonts w:asciiTheme="minorHAnsi" w:hAnsiTheme="minorHAnsi" w:cstheme="minorHAnsi"/>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sz w:val="14"/>
        </w:rPr>
        <w:tab/>
      </w:r>
      <w:r w:rsidRPr="00F039A3">
        <w:rPr>
          <w:rFonts w:asciiTheme="minorHAnsi" w:hAnsiTheme="minorHAnsi" w:cstheme="minorHAnsi"/>
          <w:sz w:val="14"/>
        </w:rPr>
        <w:tab/>
      </w:r>
    </w:p>
    <w:p w14:paraId="012DEF1A" w14:textId="7D7D7C68" w:rsidR="00B95C7E" w:rsidRPr="00DF0CF9" w:rsidRDefault="00B95C7E" w:rsidP="006923CA">
      <w:pPr>
        <w:spacing w:after="0" w:line="240" w:lineRule="auto"/>
        <w:rPr>
          <w:rFonts w:asciiTheme="minorHAnsi" w:hAnsiTheme="minorHAnsi" w:cstheme="minorHAnsi"/>
          <w:sz w:val="14"/>
        </w:rPr>
      </w:pPr>
      <w:r w:rsidRPr="00DF0CF9">
        <w:rPr>
          <w:rFonts w:asciiTheme="minorHAnsi" w:hAnsiTheme="minorHAnsi" w:cstheme="minorHAnsi"/>
          <w:sz w:val="14"/>
        </w:rPr>
        <w:lastRenderedPageBreak/>
        <w:t>(a) For cost weight (cost bucket specific) calculations please refer to</w:t>
      </w:r>
      <w:r w:rsidR="00544B40" w:rsidRPr="00DF0CF9">
        <w:rPr>
          <w:rFonts w:asciiTheme="minorHAnsi" w:hAnsiTheme="minorHAnsi" w:cstheme="minorHAnsi"/>
          <w:sz w:val="14"/>
        </w:rPr>
        <w:t xml:space="preserve"> </w:t>
      </w:r>
      <w:r w:rsidR="00544B40" w:rsidRPr="00DF0CF9">
        <w:rPr>
          <w:rFonts w:asciiTheme="minorHAnsi" w:hAnsiTheme="minorHAnsi" w:cstheme="minorHAnsi"/>
          <w:sz w:val="14"/>
        </w:rPr>
        <w:fldChar w:fldCharType="begin"/>
      </w:r>
      <w:r w:rsidR="00544B40" w:rsidRPr="00DF0CF9">
        <w:rPr>
          <w:rFonts w:asciiTheme="minorHAnsi" w:hAnsiTheme="minorHAnsi" w:cstheme="minorHAnsi"/>
          <w:sz w:val="14"/>
        </w:rPr>
        <w:instrText xml:space="preserve"> REF _Ref497335615 \h  \* MERGEFORMAT </w:instrText>
      </w:r>
      <w:r w:rsidR="00544B40" w:rsidRPr="00DF0CF9">
        <w:rPr>
          <w:rFonts w:asciiTheme="minorHAnsi" w:hAnsiTheme="minorHAnsi" w:cstheme="minorHAnsi"/>
          <w:sz w:val="14"/>
        </w:rPr>
      </w:r>
      <w:r w:rsidR="00544B40" w:rsidRPr="00DF0CF9">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00544B40" w:rsidRPr="00DF0CF9">
        <w:rPr>
          <w:rFonts w:asciiTheme="minorHAnsi" w:hAnsiTheme="minorHAnsi" w:cstheme="minorHAnsi"/>
          <w:sz w:val="14"/>
        </w:rPr>
        <w:fldChar w:fldCharType="end"/>
      </w:r>
      <w:r w:rsidR="00544B40" w:rsidRPr="00DF0CF9">
        <w:rPr>
          <w:rFonts w:asciiTheme="minorHAnsi" w:hAnsiTheme="minorHAnsi" w:cstheme="minorHAnsi"/>
          <w:sz w:val="14"/>
        </w:rPr>
        <w:tab/>
      </w:r>
      <w:r w:rsidRPr="00DF0CF9">
        <w:rPr>
          <w:rFonts w:asciiTheme="minorHAnsi" w:hAnsiTheme="minorHAnsi" w:cstheme="minorHAnsi"/>
          <w:sz w:val="14"/>
        </w:rPr>
        <w:tab/>
      </w:r>
    </w:p>
    <w:p w14:paraId="70D5AB1B" w14:textId="7B966592" w:rsidR="005D7320" w:rsidRPr="00F039A3" w:rsidRDefault="00B95C7E" w:rsidP="006923CA">
      <w:pPr>
        <w:spacing w:after="0" w:line="240" w:lineRule="auto"/>
        <w:rPr>
          <w:rFonts w:asciiTheme="majorHAnsi" w:hAnsiTheme="majorHAnsi"/>
          <w:b/>
          <w:bCs/>
          <w:color w:val="333132" w:themeColor="text2"/>
          <w:sz w:val="18"/>
          <w:lang w:val="en-GB" w:eastAsia="en-US"/>
        </w:rPr>
      </w:pPr>
      <w:r w:rsidRPr="00F039A3">
        <w:rPr>
          <w:rFonts w:asciiTheme="minorHAnsi" w:hAnsiTheme="minorHAnsi" w:cstheme="minorHAnsi"/>
          <w:sz w:val="14"/>
        </w:rPr>
        <w:t>(b) Separa</w:t>
      </w:r>
      <w:r w:rsidR="00ED3484">
        <w:rPr>
          <w:rFonts w:asciiTheme="minorHAnsi" w:hAnsiTheme="minorHAnsi" w:cstheme="minorHAnsi"/>
          <w:sz w:val="14"/>
        </w:rPr>
        <w:t xml:space="preserve">tions shown are strata weighted    </w:t>
      </w:r>
      <w:r w:rsidRPr="00F039A3">
        <w:rPr>
          <w:rFonts w:asciiTheme="minorHAnsi" w:hAnsiTheme="minorHAnsi" w:cstheme="minorHAnsi"/>
          <w:sz w:val="14"/>
        </w:rPr>
        <w:t xml:space="preserve">(e) ALoS means </w:t>
      </w:r>
      <w:r w:rsidR="008C3232">
        <w:rPr>
          <w:rFonts w:asciiTheme="minorHAnsi" w:hAnsiTheme="minorHAnsi" w:cstheme="minorHAnsi"/>
          <w:sz w:val="14"/>
        </w:rPr>
        <w:t>A</w:t>
      </w:r>
      <w:r w:rsidRPr="00F039A3">
        <w:rPr>
          <w:rFonts w:asciiTheme="minorHAnsi" w:hAnsiTheme="minorHAnsi" w:cstheme="minorHAnsi"/>
          <w:sz w:val="14"/>
        </w:rPr>
        <w:t xml:space="preserve">verage </w:t>
      </w:r>
      <w:r w:rsidR="008C3232">
        <w:rPr>
          <w:rFonts w:asciiTheme="minorHAnsi" w:hAnsiTheme="minorHAnsi" w:cstheme="minorHAnsi"/>
          <w:sz w:val="14"/>
        </w:rPr>
        <w:t>L</w:t>
      </w:r>
      <w:r w:rsidRPr="00F039A3">
        <w:rPr>
          <w:rFonts w:asciiTheme="minorHAnsi" w:hAnsiTheme="minorHAnsi" w:cstheme="minorHAnsi"/>
          <w:sz w:val="14"/>
        </w:rPr>
        <w:t xml:space="preserve">ength of </w:t>
      </w:r>
      <w:r w:rsidR="008C3232">
        <w:rPr>
          <w:rFonts w:asciiTheme="minorHAnsi" w:hAnsiTheme="minorHAnsi" w:cstheme="minorHAnsi"/>
          <w:sz w:val="14"/>
        </w:rPr>
        <w:t>S</w:t>
      </w:r>
      <w:r w:rsidRPr="00F039A3">
        <w:rPr>
          <w:rFonts w:asciiTheme="minorHAnsi" w:hAnsiTheme="minorHAnsi" w:cstheme="minorHAnsi"/>
          <w:sz w:val="14"/>
        </w:rPr>
        <w:t>tay</w:t>
      </w:r>
      <w:r w:rsidRPr="00F039A3">
        <w:rPr>
          <w:rFonts w:asciiTheme="minorHAnsi" w:hAnsiTheme="minorHAnsi" w:cstheme="minorHAnsi"/>
          <w:sz w:val="14"/>
        </w:rPr>
        <w:tab/>
      </w:r>
      <w:r w:rsidR="005D7320" w:rsidRPr="00F039A3">
        <w:rPr>
          <w:sz w:val="20"/>
        </w:rPr>
        <w:br w:type="page"/>
      </w:r>
    </w:p>
    <w:p w14:paraId="73DD3DB1" w14:textId="77777777" w:rsidR="002D6B6A" w:rsidRPr="00683054" w:rsidRDefault="002D6B6A" w:rsidP="006200A2">
      <w:pPr>
        <w:pStyle w:val="Figureheadings"/>
        <w:sectPr w:rsidR="002D6B6A" w:rsidRPr="00683054" w:rsidSect="00384647">
          <w:pgSz w:w="16840" w:h="11907" w:orient="landscape" w:code="9"/>
          <w:pgMar w:top="1843" w:right="1440" w:bottom="1021" w:left="1021" w:header="680" w:footer="510" w:gutter="0"/>
          <w:cols w:space="708"/>
          <w:docGrid w:linePitch="360"/>
        </w:sectPr>
      </w:pPr>
    </w:p>
    <w:p w14:paraId="6DF17748" w14:textId="6C8BCB1B" w:rsidR="005D7320" w:rsidRPr="007F5108" w:rsidRDefault="005D7320" w:rsidP="00302DDA">
      <w:pPr>
        <w:pStyle w:val="Heading3"/>
        <w:rPr>
          <w:rFonts w:ascii="Georgia" w:hAnsi="Georgia"/>
          <w:sz w:val="20"/>
          <w:szCs w:val="20"/>
        </w:rPr>
      </w:pPr>
      <w:bookmarkStart w:id="164" w:name="_Ref433278909"/>
      <w:bookmarkStart w:id="165" w:name="_Toc496857581"/>
      <w:r w:rsidRPr="007F5108">
        <w:lastRenderedPageBreak/>
        <w:t xml:space="preserve">Top 20 DRGs ranked by </w:t>
      </w:r>
      <w:bookmarkEnd w:id="164"/>
      <w:bookmarkEnd w:id="165"/>
      <w:r w:rsidR="008C3232">
        <w:t>A</w:t>
      </w:r>
      <w:r w:rsidR="003D1557">
        <w:t xml:space="preserve">verage </w:t>
      </w:r>
      <w:r w:rsidR="008C3232">
        <w:t>L</w:t>
      </w:r>
      <w:r w:rsidR="003D1557">
        <w:t xml:space="preserve">ength of </w:t>
      </w:r>
      <w:r w:rsidR="008C3232">
        <w:t>S</w:t>
      </w:r>
      <w:r w:rsidR="003D1557">
        <w:t>tay</w:t>
      </w:r>
    </w:p>
    <w:p w14:paraId="637A03A2" w14:textId="354C347A" w:rsidR="005D7320" w:rsidRPr="007F5108" w:rsidRDefault="005D7320" w:rsidP="005D7320">
      <w:pPr>
        <w:pStyle w:val="Intro"/>
      </w:pPr>
      <w:r w:rsidRPr="007F5108">
        <w:t>Key findings</w:t>
      </w:r>
    </w:p>
    <w:p w14:paraId="0E4463FC" w14:textId="214F583A" w:rsidR="00E7439E" w:rsidRPr="00E4527E" w:rsidRDefault="006654BA" w:rsidP="005D7320">
      <w:pPr>
        <w:rPr>
          <w:highlight w:val="yellow"/>
        </w:rPr>
      </w:pPr>
      <w:r w:rsidRPr="00DF0CF9">
        <w:rPr>
          <w:szCs w:val="22"/>
        </w:rPr>
        <w:t>Table 8</w:t>
      </w:r>
      <w:r w:rsidR="005D7320" w:rsidRPr="00DF0CF9">
        <w:rPr>
          <w:szCs w:val="22"/>
        </w:rPr>
        <w:t xml:space="preserve"> sho</w:t>
      </w:r>
      <w:r w:rsidR="005D7320" w:rsidRPr="007F5108">
        <w:rPr>
          <w:szCs w:val="22"/>
        </w:rPr>
        <w:t xml:space="preserve">ws that the DRG with the highest </w:t>
      </w:r>
      <w:r w:rsidR="00DC6E07">
        <w:rPr>
          <w:szCs w:val="22"/>
        </w:rPr>
        <w:t>A</w:t>
      </w:r>
      <w:r w:rsidR="003D1557">
        <w:rPr>
          <w:szCs w:val="22"/>
        </w:rPr>
        <w:t xml:space="preserve">verage </w:t>
      </w:r>
      <w:r w:rsidR="00DC6E07">
        <w:rPr>
          <w:szCs w:val="22"/>
        </w:rPr>
        <w:t>L</w:t>
      </w:r>
      <w:r w:rsidR="003D1557">
        <w:rPr>
          <w:szCs w:val="22"/>
        </w:rPr>
        <w:t xml:space="preserve">ength of </w:t>
      </w:r>
      <w:r w:rsidR="00DC6E07">
        <w:rPr>
          <w:szCs w:val="22"/>
        </w:rPr>
        <w:t>S</w:t>
      </w:r>
      <w:r w:rsidR="003D1557">
        <w:rPr>
          <w:szCs w:val="22"/>
        </w:rPr>
        <w:t>tay</w:t>
      </w:r>
      <w:r w:rsidR="005D7320" w:rsidRPr="007F5108">
        <w:rPr>
          <w:szCs w:val="22"/>
        </w:rPr>
        <w:t xml:space="preserve"> </w:t>
      </w:r>
      <w:r w:rsidR="00685F64" w:rsidRPr="007F5108">
        <w:rPr>
          <w:szCs w:val="22"/>
        </w:rPr>
        <w:t xml:space="preserve">is </w:t>
      </w:r>
      <w:r w:rsidR="007F5108" w:rsidRPr="007F5108">
        <w:rPr>
          <w:szCs w:val="22"/>
        </w:rPr>
        <w:t>A13A</w:t>
      </w:r>
      <w:r w:rsidR="00685F64" w:rsidRPr="007F5108">
        <w:rPr>
          <w:szCs w:val="22"/>
        </w:rPr>
        <w:t xml:space="preserve"> </w:t>
      </w:r>
      <w:r w:rsidR="003D1557">
        <w:rPr>
          <w:szCs w:val="22"/>
        </w:rPr>
        <w:t>(</w:t>
      </w:r>
      <w:r w:rsidR="007F5108" w:rsidRPr="007F5108">
        <w:rPr>
          <w:color w:val="000000"/>
          <w:szCs w:val="22"/>
        </w:rPr>
        <w:t xml:space="preserve">Ventilation &gt;=336hours, Major </w:t>
      </w:r>
      <w:r w:rsidR="007F5108" w:rsidRPr="00352398">
        <w:rPr>
          <w:color w:val="000000"/>
          <w:szCs w:val="22"/>
        </w:rPr>
        <w:t>Complexity</w:t>
      </w:r>
      <w:r w:rsidR="003D1557">
        <w:rPr>
          <w:color w:val="000000"/>
          <w:szCs w:val="22"/>
        </w:rPr>
        <w:t>)</w:t>
      </w:r>
      <w:r w:rsidR="00161056" w:rsidRPr="00352398">
        <w:t xml:space="preserve"> with a</w:t>
      </w:r>
      <w:r w:rsidR="003D1557">
        <w:t xml:space="preserve">n </w:t>
      </w:r>
      <w:r w:rsidR="00DC6E07">
        <w:t>A</w:t>
      </w:r>
      <w:r w:rsidR="003D1557">
        <w:t xml:space="preserve">verage </w:t>
      </w:r>
      <w:r w:rsidR="00DC6E07">
        <w:t>L</w:t>
      </w:r>
      <w:r w:rsidR="003D1557">
        <w:t xml:space="preserve">ength of </w:t>
      </w:r>
      <w:r w:rsidR="00DC6E07">
        <w:t>S</w:t>
      </w:r>
      <w:r w:rsidR="003D1557">
        <w:t xml:space="preserve">tay </w:t>
      </w:r>
      <w:r w:rsidR="00161056" w:rsidRPr="00352398">
        <w:t>of 5</w:t>
      </w:r>
      <w:r w:rsidR="007F5108" w:rsidRPr="00352398">
        <w:t>6</w:t>
      </w:r>
      <w:r w:rsidR="00161056" w:rsidRPr="00352398">
        <w:t>.</w:t>
      </w:r>
      <w:r w:rsidR="007F5108" w:rsidRPr="00352398">
        <w:t>7</w:t>
      </w:r>
      <w:r w:rsidR="00161056" w:rsidRPr="00352398">
        <w:t xml:space="preserve"> days</w:t>
      </w:r>
      <w:r w:rsidR="007F5108" w:rsidRPr="00352398">
        <w:t xml:space="preserve">. This DRG was also ranked number one in Round 20, </w:t>
      </w:r>
      <w:r w:rsidR="006512A0">
        <w:t>and wa</w:t>
      </w:r>
      <w:r w:rsidR="00352398" w:rsidRPr="00352398">
        <w:t xml:space="preserve">s also ranked as the DRG with the highest cost weight. DRGs with a high cost weight are expected to have a high </w:t>
      </w:r>
      <w:r w:rsidR="00DC6E07">
        <w:t>A</w:t>
      </w:r>
      <w:r w:rsidR="003D1557">
        <w:t xml:space="preserve">verage </w:t>
      </w:r>
      <w:r w:rsidR="00DC6E07">
        <w:t>L</w:t>
      </w:r>
      <w:r w:rsidR="003D1557">
        <w:t xml:space="preserve">ength of </w:t>
      </w:r>
      <w:r w:rsidR="00DC6E07">
        <w:t>S</w:t>
      </w:r>
      <w:r w:rsidR="003D1557">
        <w:t>tay</w:t>
      </w:r>
      <w:r w:rsidR="00352398" w:rsidRPr="00352398">
        <w:t>, and vice versa.</w:t>
      </w:r>
    </w:p>
    <w:p w14:paraId="70BC7D15" w14:textId="3C906982" w:rsidR="00E7439E" w:rsidRPr="00A344E0" w:rsidRDefault="00A344E0" w:rsidP="005D7320">
      <w:r w:rsidRPr="00A344E0">
        <w:t>T</w:t>
      </w:r>
      <w:r w:rsidR="005D7320" w:rsidRPr="00A344E0">
        <w:t xml:space="preserve">he DRGs listed in the top 20 </w:t>
      </w:r>
      <w:r w:rsidR="003D1557">
        <w:t xml:space="preserve">for Round 21 </w:t>
      </w:r>
      <w:r w:rsidR="005D7320" w:rsidRPr="00A344E0">
        <w:t>are expected to be within this ranking given</w:t>
      </w:r>
      <w:r w:rsidRPr="00A344E0">
        <w:t xml:space="preserve"> </w:t>
      </w:r>
      <w:r>
        <w:t>their complex nature</w:t>
      </w:r>
      <w:r w:rsidR="003D1557">
        <w:t>. With the exception of A13B (</w:t>
      </w:r>
      <w:r w:rsidR="003D1557" w:rsidRPr="003D1557">
        <w:t>Ventilation &gt;=336hours, Minor Complexity</w:t>
      </w:r>
      <w:r w:rsidR="003D1557">
        <w:t xml:space="preserve">) all DRGs within the top 20 are either intermediate or major complexity DRGs which have long length of stays. </w:t>
      </w:r>
    </w:p>
    <w:p w14:paraId="0A1773DC" w14:textId="78D4FC33" w:rsidR="00E7439E" w:rsidRPr="00A344E0" w:rsidRDefault="00A344E0" w:rsidP="005D7320">
      <w:r w:rsidRPr="00DF0CF9">
        <w:t>As shown in Table 8, t</w:t>
      </w:r>
      <w:r w:rsidR="00E73E50">
        <w:t xml:space="preserve">hese DRGs </w:t>
      </w:r>
      <w:r w:rsidR="00D61C39" w:rsidRPr="00DF0CF9">
        <w:t>represent</w:t>
      </w:r>
      <w:r w:rsidR="00D61C39" w:rsidRPr="00A344E0">
        <w:t xml:space="preserve"> 0.1 </w:t>
      </w:r>
      <w:r w:rsidR="00F74337">
        <w:t>percent</w:t>
      </w:r>
      <w:r w:rsidR="005D7320" w:rsidRPr="00A344E0">
        <w:t xml:space="preserve"> (3,</w:t>
      </w:r>
      <w:r w:rsidRPr="00A344E0">
        <w:t>328</w:t>
      </w:r>
      <w:r w:rsidR="005D7320" w:rsidRPr="00A344E0">
        <w:t xml:space="preserve"> population-adjusted separations) of the total </w:t>
      </w:r>
      <w:r w:rsidR="000C66AE" w:rsidRPr="000C66AE">
        <w:t>3,242,411</w:t>
      </w:r>
      <w:r w:rsidR="000C66AE">
        <w:t xml:space="preserve"> </w:t>
      </w:r>
      <w:r w:rsidR="005D7320" w:rsidRPr="00A344E0">
        <w:t>populat</w:t>
      </w:r>
      <w:r w:rsidR="000C66AE">
        <w:t>ion-adjusted separations</w:t>
      </w:r>
      <w:r w:rsidR="005D7320" w:rsidRPr="00A344E0">
        <w:t xml:space="preserve">. </w:t>
      </w:r>
      <w:r w:rsidR="00E73E50">
        <w:t xml:space="preserve">They also </w:t>
      </w:r>
      <w:r w:rsidR="005D7320" w:rsidRPr="00A344E0">
        <w:t>represent</w:t>
      </w:r>
      <w:r w:rsidR="00A3433C">
        <w:t>ed</w:t>
      </w:r>
      <w:r w:rsidR="005D7320" w:rsidRPr="00A344E0">
        <w:t xml:space="preserve"> 1.</w:t>
      </w:r>
      <w:r w:rsidRPr="00A344E0">
        <w:t>3</w:t>
      </w:r>
      <w:r w:rsidR="00D61C39" w:rsidRPr="00A344E0">
        <w:t xml:space="preserve"> </w:t>
      </w:r>
      <w:r w:rsidR="00F74337">
        <w:t>percent</w:t>
      </w:r>
      <w:r w:rsidR="005D7320" w:rsidRPr="00A344E0">
        <w:t xml:space="preserve"> (</w:t>
      </w:r>
      <w:r w:rsidR="00161056" w:rsidRPr="00A344E0">
        <w:t>4</w:t>
      </w:r>
      <w:r w:rsidRPr="00A344E0">
        <w:t>0</w:t>
      </w:r>
      <w:r w:rsidR="00161056" w:rsidRPr="00A344E0">
        <w:t>,</w:t>
      </w:r>
      <w:r w:rsidRPr="00A344E0">
        <w:t>717</w:t>
      </w:r>
      <w:r w:rsidR="005D7320" w:rsidRPr="00A344E0">
        <w:t xml:space="preserve"> </w:t>
      </w:r>
      <w:r w:rsidR="007E6F3B">
        <w:t>cost-</w:t>
      </w:r>
      <w:r w:rsidR="003D1557">
        <w:t>weighted</w:t>
      </w:r>
      <w:r w:rsidR="005D7320" w:rsidRPr="00A344E0">
        <w:t xml:space="preserve"> separations) of the total population </w:t>
      </w:r>
      <w:r w:rsidR="003D1557">
        <w:t>cost</w:t>
      </w:r>
      <w:r w:rsidR="007E6F3B">
        <w:t>-</w:t>
      </w:r>
      <w:r w:rsidR="003D1557">
        <w:t>weighted</w:t>
      </w:r>
      <w:r w:rsidR="005D7320" w:rsidRPr="00A344E0">
        <w:t xml:space="preserve"> separations.</w:t>
      </w:r>
    </w:p>
    <w:p w14:paraId="563178B8" w14:textId="4CF7A684" w:rsidR="005D7320" w:rsidRPr="00E23A3E" w:rsidRDefault="00162614" w:rsidP="005D7320">
      <w:pPr>
        <w:pStyle w:val="Intro"/>
      </w:pPr>
      <w:r>
        <w:t>Consistencies between Round 21 and Round 20</w:t>
      </w:r>
    </w:p>
    <w:p w14:paraId="40C481AF" w14:textId="12591ED9" w:rsidR="00E7439E" w:rsidRPr="00E4527E" w:rsidRDefault="00D61C39" w:rsidP="005D7320">
      <w:pPr>
        <w:rPr>
          <w:highlight w:val="yellow"/>
        </w:rPr>
      </w:pPr>
      <w:r w:rsidRPr="00E23A3E">
        <w:t xml:space="preserve">70 </w:t>
      </w:r>
      <w:r w:rsidR="00F74337">
        <w:t>percent</w:t>
      </w:r>
      <w:r w:rsidR="005D7320" w:rsidRPr="00E23A3E">
        <w:t xml:space="preserve"> (14 out of 20) of this Round</w:t>
      </w:r>
      <w:r w:rsidR="00E23A3E" w:rsidRPr="00E23A3E">
        <w:t>’</w:t>
      </w:r>
      <w:r w:rsidR="005D7320" w:rsidRPr="00E23A3E">
        <w:t xml:space="preserve">s top 20 </w:t>
      </w:r>
      <w:r w:rsidR="00161056" w:rsidRPr="00E23A3E">
        <w:t>DRGs were in</w:t>
      </w:r>
      <w:r w:rsidR="000C66AE">
        <w:t xml:space="preserve"> the top 20 in</w:t>
      </w:r>
      <w:r w:rsidR="00161056" w:rsidRPr="00E23A3E">
        <w:t xml:space="preserve"> Round </w:t>
      </w:r>
      <w:r w:rsidR="00E23A3E" w:rsidRPr="00E23A3E">
        <w:t>20</w:t>
      </w:r>
      <w:r w:rsidR="005D7320" w:rsidRPr="00E23A3E">
        <w:t xml:space="preserve">.  </w:t>
      </w:r>
      <w:r w:rsidR="00E23A3E" w:rsidRPr="00E23A3E">
        <w:t>The top DRG</w:t>
      </w:r>
      <w:r w:rsidR="00161056" w:rsidRPr="00E23A3E">
        <w:t xml:space="preserve"> </w:t>
      </w:r>
      <w:r w:rsidR="00FE4117" w:rsidRPr="00E23A3E">
        <w:t>in Round 20</w:t>
      </w:r>
      <w:r w:rsidR="00E23A3E" w:rsidRPr="00E23A3E">
        <w:t xml:space="preserve"> has remained the top DRG in Round 21, with the </w:t>
      </w:r>
      <w:r w:rsidR="00DC6E07">
        <w:t>A</w:t>
      </w:r>
      <w:r w:rsidR="000C66AE">
        <w:t xml:space="preserve">verage </w:t>
      </w:r>
      <w:r w:rsidR="00DC6E07">
        <w:t>L</w:t>
      </w:r>
      <w:r w:rsidR="000C66AE">
        <w:t xml:space="preserve">ength of </w:t>
      </w:r>
      <w:r w:rsidR="00DC6E07">
        <w:t>S</w:t>
      </w:r>
      <w:r w:rsidR="000C66AE">
        <w:t>tay for this DRG</w:t>
      </w:r>
      <w:r w:rsidR="00E23A3E" w:rsidRPr="00E23A3E">
        <w:t xml:space="preserve"> remaining largely the same between rounds (54.8 in Round 20 vs 56.7 in Round 21).</w:t>
      </w:r>
      <w:r w:rsidR="005F7730" w:rsidRPr="00E4527E">
        <w:rPr>
          <w:highlight w:val="yellow"/>
        </w:rPr>
        <w:t xml:space="preserve"> </w:t>
      </w:r>
    </w:p>
    <w:p w14:paraId="03BF1EE1" w14:textId="3984126F" w:rsidR="00BF794D" w:rsidRPr="00E23A3E" w:rsidRDefault="00162614" w:rsidP="00BF794D">
      <w:pPr>
        <w:pStyle w:val="Intro"/>
      </w:pPr>
      <w:r>
        <w:t>Differences between Round 21 and Round 20</w:t>
      </w:r>
    </w:p>
    <w:p w14:paraId="23C88533" w14:textId="5AA189E2" w:rsidR="00E51273" w:rsidRPr="00E51273" w:rsidRDefault="00E51273" w:rsidP="005D7320">
      <w:pPr>
        <w:rPr>
          <w:szCs w:val="22"/>
        </w:rPr>
      </w:pPr>
      <w:r w:rsidRPr="00E51273">
        <w:rPr>
          <w:szCs w:val="22"/>
        </w:rPr>
        <w:t xml:space="preserve">There </w:t>
      </w:r>
      <w:r w:rsidR="006512A0">
        <w:rPr>
          <w:szCs w:val="22"/>
        </w:rPr>
        <w:t>were</w:t>
      </w:r>
      <w:r w:rsidRPr="00E51273">
        <w:rPr>
          <w:szCs w:val="22"/>
        </w:rPr>
        <w:t xml:space="preserve"> a number of differences between the top 20 </w:t>
      </w:r>
      <w:r w:rsidR="000C66AE">
        <w:rPr>
          <w:szCs w:val="22"/>
        </w:rPr>
        <w:t>rankings</w:t>
      </w:r>
      <w:r w:rsidRPr="00E51273">
        <w:rPr>
          <w:szCs w:val="22"/>
        </w:rPr>
        <w:t xml:space="preserve"> in Round 20 and Round 21. This </w:t>
      </w:r>
      <w:r w:rsidR="006512A0">
        <w:rPr>
          <w:szCs w:val="22"/>
        </w:rPr>
        <w:t>was</w:t>
      </w:r>
      <w:r w:rsidRPr="00E51273">
        <w:rPr>
          <w:szCs w:val="22"/>
        </w:rPr>
        <w:t xml:space="preserve"> largely due to the nature of the DRGs with a high</w:t>
      </w:r>
      <w:r w:rsidR="000C66AE">
        <w:rPr>
          <w:szCs w:val="22"/>
        </w:rPr>
        <w:t xml:space="preserve"> </w:t>
      </w:r>
      <w:r w:rsidR="00DC6E07">
        <w:rPr>
          <w:szCs w:val="22"/>
        </w:rPr>
        <w:t>A</w:t>
      </w:r>
      <w:r w:rsidR="000C66AE">
        <w:rPr>
          <w:szCs w:val="22"/>
        </w:rPr>
        <w:t xml:space="preserve">verage </w:t>
      </w:r>
      <w:r w:rsidR="00DC6E07">
        <w:rPr>
          <w:szCs w:val="22"/>
        </w:rPr>
        <w:t>L</w:t>
      </w:r>
      <w:r w:rsidR="000C66AE">
        <w:rPr>
          <w:szCs w:val="22"/>
        </w:rPr>
        <w:t xml:space="preserve">ength of </w:t>
      </w:r>
      <w:r w:rsidR="00DC6E07">
        <w:rPr>
          <w:szCs w:val="22"/>
        </w:rPr>
        <w:t>S</w:t>
      </w:r>
      <w:r w:rsidR="000C66AE">
        <w:rPr>
          <w:szCs w:val="22"/>
        </w:rPr>
        <w:t xml:space="preserve">tay </w:t>
      </w:r>
      <w:r w:rsidRPr="00E51273">
        <w:rPr>
          <w:szCs w:val="22"/>
        </w:rPr>
        <w:t>– the length of stay tends to have a very broad range for these DRGs, and can vary from very short (including same</w:t>
      </w:r>
      <w:r w:rsidR="00A64042">
        <w:rPr>
          <w:szCs w:val="22"/>
        </w:rPr>
        <w:t>-</w:t>
      </w:r>
      <w:r w:rsidRPr="00E51273">
        <w:rPr>
          <w:szCs w:val="22"/>
        </w:rPr>
        <w:t>day separations) to very long (several months). These DRGs also tend to be low in volume, which leads to more volatile results</w:t>
      </w:r>
      <w:r w:rsidR="000C66AE">
        <w:rPr>
          <w:szCs w:val="22"/>
        </w:rPr>
        <w:t>.</w:t>
      </w:r>
    </w:p>
    <w:p w14:paraId="57A19966" w14:textId="25DD8777" w:rsidR="00E51273" w:rsidRDefault="00E51273" w:rsidP="005D7320">
      <w:pPr>
        <w:rPr>
          <w:color w:val="000000"/>
          <w:szCs w:val="22"/>
        </w:rPr>
      </w:pPr>
      <w:r w:rsidRPr="00864042">
        <w:rPr>
          <w:szCs w:val="22"/>
        </w:rPr>
        <w:t>DRG B83A</w:t>
      </w:r>
      <w:r w:rsidR="000C66AE">
        <w:rPr>
          <w:szCs w:val="22"/>
        </w:rPr>
        <w:t xml:space="preserve"> (</w:t>
      </w:r>
      <w:r w:rsidRPr="00864042">
        <w:rPr>
          <w:color w:val="000000"/>
          <w:szCs w:val="22"/>
        </w:rPr>
        <w:t>Acute Paraplegi</w:t>
      </w:r>
      <w:r w:rsidRPr="00E51273">
        <w:rPr>
          <w:color w:val="000000"/>
          <w:szCs w:val="22"/>
        </w:rPr>
        <w:t>a and Quadriplegia and Spinal Cord Conditions, Major Complexity</w:t>
      </w:r>
      <w:r w:rsidR="000C66AE">
        <w:rPr>
          <w:color w:val="000000"/>
          <w:szCs w:val="22"/>
        </w:rPr>
        <w:t>)</w:t>
      </w:r>
      <w:r w:rsidRPr="00E51273">
        <w:rPr>
          <w:color w:val="000000"/>
          <w:szCs w:val="22"/>
        </w:rPr>
        <w:t xml:space="preserve"> </w:t>
      </w:r>
      <w:r w:rsidR="006512A0">
        <w:rPr>
          <w:color w:val="000000"/>
          <w:szCs w:val="22"/>
        </w:rPr>
        <w:t>was</w:t>
      </w:r>
      <w:r w:rsidRPr="00E51273">
        <w:rPr>
          <w:color w:val="000000"/>
          <w:szCs w:val="22"/>
        </w:rPr>
        <w:t xml:space="preserve"> a n</w:t>
      </w:r>
      <w:r>
        <w:rPr>
          <w:color w:val="000000"/>
          <w:szCs w:val="22"/>
        </w:rPr>
        <w:t>ew entry to the top 20</w:t>
      </w:r>
      <w:r w:rsidR="000C66AE">
        <w:rPr>
          <w:color w:val="000000"/>
          <w:szCs w:val="22"/>
        </w:rPr>
        <w:t>. Now ranked number 8, it was ranked 121</w:t>
      </w:r>
      <w:r>
        <w:rPr>
          <w:color w:val="000000"/>
          <w:szCs w:val="22"/>
        </w:rPr>
        <w:t xml:space="preserve"> in Round 20. It </w:t>
      </w:r>
      <w:r w:rsidR="006512A0">
        <w:rPr>
          <w:color w:val="000000"/>
          <w:szCs w:val="22"/>
        </w:rPr>
        <w:t>had</w:t>
      </w:r>
      <w:r>
        <w:rPr>
          <w:color w:val="000000"/>
          <w:szCs w:val="22"/>
        </w:rPr>
        <w:t xml:space="preserve"> an </w:t>
      </w:r>
      <w:r w:rsidR="00DC6E07">
        <w:rPr>
          <w:color w:val="000000"/>
          <w:szCs w:val="22"/>
        </w:rPr>
        <w:t>A</w:t>
      </w:r>
      <w:r w:rsidR="000C66AE">
        <w:rPr>
          <w:color w:val="000000"/>
          <w:szCs w:val="22"/>
        </w:rPr>
        <w:t xml:space="preserve">verage </w:t>
      </w:r>
      <w:r w:rsidR="00DC6E07">
        <w:rPr>
          <w:color w:val="000000"/>
          <w:szCs w:val="22"/>
        </w:rPr>
        <w:t>L</w:t>
      </w:r>
      <w:r w:rsidR="000C66AE">
        <w:rPr>
          <w:color w:val="000000"/>
          <w:szCs w:val="22"/>
        </w:rPr>
        <w:t xml:space="preserve">ength of </w:t>
      </w:r>
      <w:r w:rsidR="00DC6E07">
        <w:rPr>
          <w:color w:val="000000"/>
          <w:szCs w:val="22"/>
        </w:rPr>
        <w:t>S</w:t>
      </w:r>
      <w:r w:rsidR="000C66AE">
        <w:rPr>
          <w:color w:val="000000"/>
          <w:szCs w:val="22"/>
        </w:rPr>
        <w:t>tay</w:t>
      </w:r>
      <w:r>
        <w:rPr>
          <w:color w:val="000000"/>
          <w:szCs w:val="22"/>
        </w:rPr>
        <w:t xml:space="preserve"> of 34.1 days in Round 21 compared to only 13.8 days in Round 20. The range of length of stay </w:t>
      </w:r>
      <w:r w:rsidR="006512A0">
        <w:rPr>
          <w:color w:val="000000"/>
          <w:szCs w:val="22"/>
        </w:rPr>
        <w:t>was</w:t>
      </w:r>
      <w:r>
        <w:rPr>
          <w:color w:val="000000"/>
          <w:szCs w:val="22"/>
        </w:rPr>
        <w:t xml:space="preserve"> </w:t>
      </w:r>
      <w:r w:rsidR="00864042">
        <w:rPr>
          <w:color w:val="000000"/>
          <w:szCs w:val="22"/>
        </w:rPr>
        <w:t>the widest of all DRGs in the top 20</w:t>
      </w:r>
      <w:r w:rsidR="000C66AE">
        <w:rPr>
          <w:color w:val="000000"/>
          <w:szCs w:val="22"/>
        </w:rPr>
        <w:t xml:space="preserve"> (in Round 21)</w:t>
      </w:r>
      <w:r>
        <w:rPr>
          <w:color w:val="000000"/>
          <w:szCs w:val="22"/>
        </w:rPr>
        <w:t>, with the smallest being a same</w:t>
      </w:r>
      <w:r w:rsidR="00A64042">
        <w:rPr>
          <w:color w:val="000000"/>
          <w:szCs w:val="22"/>
        </w:rPr>
        <w:t>-</w:t>
      </w:r>
      <w:r>
        <w:rPr>
          <w:color w:val="000000"/>
          <w:szCs w:val="22"/>
        </w:rPr>
        <w:t>day separation, and the longest being a stay of over one year (383 days).</w:t>
      </w:r>
    </w:p>
    <w:p w14:paraId="555F0E4A" w14:textId="1E444808" w:rsidR="00864042" w:rsidRPr="00E4527E" w:rsidRDefault="00864042" w:rsidP="00E73E50">
      <w:r w:rsidRPr="00864042">
        <w:rPr>
          <w:color w:val="000000"/>
          <w:szCs w:val="22"/>
        </w:rPr>
        <w:t>DRGs I02A (Microvascular Tissue Transfers or Skin Grafts, Excluding Hand, Major Complexity) and P64A (Neonate, AdmWt 1250-1499g W/O Significant GI/Vent&gt;=96hrs, Major Complexity</w:t>
      </w:r>
      <w:r>
        <w:rPr>
          <w:color w:val="000000"/>
          <w:szCs w:val="22"/>
        </w:rPr>
        <w:t xml:space="preserve">) were ranked 2 and 3 respectively in Round 20, and have fallen to ranks 7 and 6 in Round 21. This </w:t>
      </w:r>
      <w:r w:rsidR="006512A0">
        <w:rPr>
          <w:color w:val="000000"/>
          <w:szCs w:val="22"/>
        </w:rPr>
        <w:t>was</w:t>
      </w:r>
      <w:r>
        <w:rPr>
          <w:color w:val="000000"/>
          <w:szCs w:val="22"/>
        </w:rPr>
        <w:t xml:space="preserve"> most likely due to the small number of population-weighted separations (59 and 16, respectively) leading to volatility.</w:t>
      </w:r>
    </w:p>
    <w:p w14:paraId="6B48F4EC" w14:textId="48DD31D1" w:rsidR="000E57F0" w:rsidRPr="008356A1" w:rsidRDefault="006654BA" w:rsidP="005319AA">
      <w:pPr>
        <w:pStyle w:val="Tableoffigures3"/>
      </w:pPr>
      <w:bookmarkStart w:id="166" w:name="_Toc162095"/>
      <w:r w:rsidRPr="005319AA">
        <w:rPr>
          <w:color w:val="004200" w:themeColor="accent1"/>
          <w:sz w:val="18"/>
        </w:rPr>
        <w:lastRenderedPageBreak/>
        <w:t>Figure 4</w:t>
      </w:r>
      <w:r w:rsidR="00D331D3" w:rsidRPr="005319AA">
        <w:rPr>
          <w:color w:val="004200" w:themeColor="accent1"/>
          <w:sz w:val="18"/>
        </w:rPr>
        <w:t>.</w:t>
      </w:r>
      <w:r w:rsidR="00A23161" w:rsidRPr="005319AA">
        <w:rPr>
          <w:color w:val="004200" w:themeColor="accent1"/>
          <w:sz w:val="18"/>
        </w:rPr>
        <w:t xml:space="preserve"> Comparison of top 20 DRGs by </w:t>
      </w:r>
      <w:r w:rsidR="00DC6E07" w:rsidRPr="005319AA">
        <w:rPr>
          <w:color w:val="004200" w:themeColor="accent1"/>
          <w:sz w:val="18"/>
        </w:rPr>
        <w:t>A</w:t>
      </w:r>
      <w:r w:rsidR="00D331D3" w:rsidRPr="005319AA">
        <w:rPr>
          <w:color w:val="004200" w:themeColor="accent1"/>
          <w:sz w:val="18"/>
        </w:rPr>
        <w:t xml:space="preserve">verage </w:t>
      </w:r>
      <w:r w:rsidR="00DC6E07" w:rsidRPr="005319AA">
        <w:rPr>
          <w:color w:val="004200" w:themeColor="accent1"/>
          <w:sz w:val="18"/>
        </w:rPr>
        <w:t>L</w:t>
      </w:r>
      <w:r w:rsidR="00D331D3" w:rsidRPr="005319AA">
        <w:rPr>
          <w:color w:val="004200" w:themeColor="accent1"/>
          <w:sz w:val="18"/>
        </w:rPr>
        <w:t xml:space="preserve">ength of </w:t>
      </w:r>
      <w:r w:rsidR="00DC6E07" w:rsidRPr="005319AA">
        <w:rPr>
          <w:color w:val="004200" w:themeColor="accent1"/>
          <w:sz w:val="18"/>
        </w:rPr>
        <w:t>S</w:t>
      </w:r>
      <w:r w:rsidR="00D331D3" w:rsidRPr="005319AA">
        <w:rPr>
          <w:color w:val="004200" w:themeColor="accent1"/>
          <w:sz w:val="18"/>
        </w:rPr>
        <w:t>tay</w:t>
      </w:r>
      <w:bookmarkEnd w:id="166"/>
    </w:p>
    <w:p w14:paraId="7E5BB92D" w14:textId="12AE3730" w:rsidR="00B95C7E" w:rsidRPr="00E4527E" w:rsidRDefault="00F207B5" w:rsidP="00E73E50">
      <w:pPr>
        <w:rPr>
          <w:highlight w:val="yellow"/>
          <w:lang w:eastAsia="en-US"/>
        </w:rPr>
        <w:sectPr w:rsidR="00B95C7E" w:rsidRPr="00E4527E" w:rsidSect="00384647">
          <w:pgSz w:w="11907" w:h="16840" w:code="9"/>
          <w:pgMar w:top="1843" w:right="1440" w:bottom="1021" w:left="1021" w:header="680" w:footer="510" w:gutter="0"/>
          <w:cols w:space="708"/>
          <w:docGrid w:linePitch="360"/>
        </w:sectPr>
      </w:pPr>
      <w:r w:rsidRPr="005319AA">
        <w:rPr>
          <w:noProof/>
          <w:color w:val="004200" w:themeColor="accent1"/>
          <w:sz w:val="18"/>
        </w:rPr>
        <w:drawing>
          <wp:inline distT="0" distB="0" distL="0" distR="0" wp14:anchorId="4087E8E8" wp14:editId="77FE3703">
            <wp:extent cx="5998210" cy="203327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8210" cy="2033270"/>
                    </a:xfrm>
                    <a:prstGeom prst="rect">
                      <a:avLst/>
                    </a:prstGeom>
                    <a:noFill/>
                    <a:ln>
                      <a:noFill/>
                    </a:ln>
                  </pic:spPr>
                </pic:pic>
              </a:graphicData>
            </a:graphic>
          </wp:inline>
        </w:drawing>
      </w:r>
    </w:p>
    <w:p w14:paraId="4224D817" w14:textId="3EE94A15" w:rsidR="00B95C7E" w:rsidRPr="00434928" w:rsidRDefault="006654BA" w:rsidP="00E763E2">
      <w:pPr>
        <w:pStyle w:val="TableHeadings3"/>
      </w:pPr>
      <w:bookmarkStart w:id="167" w:name="_Toc497488034"/>
      <w:bookmarkStart w:id="168" w:name="_Toc161998"/>
      <w:r w:rsidRPr="00434928">
        <w:lastRenderedPageBreak/>
        <w:t>Table 8</w:t>
      </w:r>
      <w:r w:rsidR="00A23161" w:rsidRPr="00434928">
        <w:t>.</w:t>
      </w:r>
      <w:r w:rsidR="005D7320" w:rsidRPr="00434928">
        <w:t xml:space="preserve"> Top 20 DRGs ranked by A</w:t>
      </w:r>
      <w:r w:rsidR="00387025">
        <w:t xml:space="preserve">verage </w:t>
      </w:r>
      <w:r w:rsidR="005D7320" w:rsidRPr="00434928">
        <w:t>L</w:t>
      </w:r>
      <w:r w:rsidR="00387025">
        <w:t xml:space="preserve">ength </w:t>
      </w:r>
      <w:r w:rsidR="005D7320" w:rsidRPr="00434928">
        <w:t>o</w:t>
      </w:r>
      <w:r w:rsidR="00387025">
        <w:t xml:space="preserve">f </w:t>
      </w:r>
      <w:r w:rsidR="005D7320" w:rsidRPr="00434928">
        <w:t>S</w:t>
      </w:r>
      <w:bookmarkEnd w:id="167"/>
      <w:r w:rsidR="00387025">
        <w:t>tay</w:t>
      </w:r>
      <w:bookmarkEnd w:id="168"/>
    </w:p>
    <w:tbl>
      <w:tblPr>
        <w:tblW w:w="15380" w:type="dxa"/>
        <w:tblInd w:w="134" w:type="dxa"/>
        <w:tblLook w:val="04A0" w:firstRow="1" w:lastRow="0" w:firstColumn="1" w:lastColumn="0" w:noHBand="0" w:noVBand="1"/>
      </w:tblPr>
      <w:tblGrid>
        <w:gridCol w:w="709"/>
        <w:gridCol w:w="691"/>
        <w:gridCol w:w="600"/>
        <w:gridCol w:w="4637"/>
        <w:gridCol w:w="349"/>
        <w:gridCol w:w="613"/>
        <w:gridCol w:w="64"/>
        <w:gridCol w:w="436"/>
        <w:gridCol w:w="34"/>
        <w:gridCol w:w="619"/>
        <w:gridCol w:w="34"/>
        <w:gridCol w:w="657"/>
        <w:gridCol w:w="34"/>
        <w:gridCol w:w="805"/>
        <w:gridCol w:w="34"/>
        <w:gridCol w:w="850"/>
        <w:gridCol w:w="34"/>
        <w:gridCol w:w="619"/>
        <w:gridCol w:w="34"/>
        <w:gridCol w:w="619"/>
        <w:gridCol w:w="34"/>
        <w:gridCol w:w="619"/>
        <w:gridCol w:w="34"/>
        <w:gridCol w:w="657"/>
        <w:gridCol w:w="34"/>
        <w:gridCol w:w="657"/>
        <w:gridCol w:w="34"/>
        <w:gridCol w:w="805"/>
        <w:gridCol w:w="34"/>
      </w:tblGrid>
      <w:tr w:rsidR="00B95C7E" w:rsidRPr="00E4527E" w14:paraId="1FC08547" w14:textId="77777777" w:rsidTr="00E73E50">
        <w:trPr>
          <w:gridAfter w:val="1"/>
          <w:wAfter w:w="34" w:type="dxa"/>
          <w:trHeight w:val="161"/>
        </w:trPr>
        <w:tc>
          <w:tcPr>
            <w:tcW w:w="709" w:type="dxa"/>
            <w:tcBorders>
              <w:top w:val="single" w:sz="4" w:space="0" w:color="auto"/>
              <w:left w:val="nil"/>
              <w:bottom w:val="single" w:sz="4" w:space="0" w:color="000000"/>
              <w:right w:val="nil"/>
            </w:tcBorders>
            <w:shd w:val="clear" w:color="auto" w:fill="auto"/>
            <w:hideMark/>
          </w:tcPr>
          <w:p w14:paraId="4FD250CF" w14:textId="11766C45"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 xml:space="preserve">Top 20 Round </w:t>
            </w:r>
            <w:r w:rsidR="00434928" w:rsidRPr="00434928">
              <w:rPr>
                <w:b/>
                <w:bCs/>
                <w:sz w:val="14"/>
                <w:szCs w:val="14"/>
                <w:lang w:val="en-US" w:eastAsia="en-US"/>
              </w:rPr>
              <w:t>20</w:t>
            </w:r>
          </w:p>
        </w:tc>
        <w:tc>
          <w:tcPr>
            <w:tcW w:w="691" w:type="dxa"/>
            <w:tcBorders>
              <w:top w:val="single" w:sz="4" w:space="0" w:color="auto"/>
              <w:left w:val="nil"/>
              <w:bottom w:val="single" w:sz="4" w:space="0" w:color="000000"/>
              <w:right w:val="nil"/>
            </w:tcBorders>
            <w:shd w:val="clear" w:color="auto" w:fill="auto"/>
            <w:hideMark/>
          </w:tcPr>
          <w:p w14:paraId="5272EA78" w14:textId="6ABF0481"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Rank Round 2</w:t>
            </w:r>
            <w:r w:rsidR="00434928" w:rsidRPr="00434928">
              <w:rPr>
                <w:b/>
                <w:bCs/>
                <w:sz w:val="14"/>
                <w:szCs w:val="14"/>
                <w:lang w:val="en-US" w:eastAsia="en-US"/>
              </w:rPr>
              <w:t>1</w:t>
            </w:r>
          </w:p>
        </w:tc>
        <w:tc>
          <w:tcPr>
            <w:tcW w:w="600" w:type="dxa"/>
            <w:tcBorders>
              <w:top w:val="single" w:sz="4" w:space="0" w:color="auto"/>
              <w:left w:val="nil"/>
              <w:bottom w:val="single" w:sz="4" w:space="0" w:color="000000"/>
              <w:right w:val="nil"/>
            </w:tcBorders>
            <w:shd w:val="clear" w:color="auto" w:fill="auto"/>
            <w:hideMark/>
          </w:tcPr>
          <w:p w14:paraId="1D99CC32" w14:textId="167D8848" w:rsidR="00B95C7E" w:rsidRPr="00434928" w:rsidRDefault="00B95C7E" w:rsidP="000F6DC7">
            <w:pPr>
              <w:spacing w:before="20" w:after="20" w:line="240" w:lineRule="auto"/>
              <w:rPr>
                <w:b/>
                <w:bCs/>
                <w:sz w:val="14"/>
                <w:szCs w:val="14"/>
                <w:lang w:val="en-US" w:eastAsia="en-US"/>
              </w:rPr>
            </w:pPr>
            <w:r w:rsidRPr="00434928">
              <w:rPr>
                <w:b/>
                <w:bCs/>
                <w:sz w:val="14"/>
                <w:szCs w:val="14"/>
                <w:lang w:val="en-US" w:eastAsia="en-US"/>
              </w:rPr>
              <w:t>DRG</w:t>
            </w:r>
          </w:p>
        </w:tc>
        <w:tc>
          <w:tcPr>
            <w:tcW w:w="4637" w:type="dxa"/>
            <w:tcBorders>
              <w:top w:val="single" w:sz="4" w:space="0" w:color="auto"/>
              <w:left w:val="nil"/>
              <w:bottom w:val="single" w:sz="4" w:space="0" w:color="000000"/>
              <w:right w:val="nil"/>
            </w:tcBorders>
            <w:shd w:val="clear" w:color="auto" w:fill="auto"/>
            <w:noWrap/>
            <w:hideMark/>
          </w:tcPr>
          <w:p w14:paraId="303B6265" w14:textId="68E1F810"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DRG Description</w:t>
            </w:r>
          </w:p>
        </w:tc>
        <w:tc>
          <w:tcPr>
            <w:tcW w:w="962" w:type="dxa"/>
            <w:gridSpan w:val="2"/>
            <w:tcBorders>
              <w:top w:val="single" w:sz="4" w:space="0" w:color="auto"/>
              <w:left w:val="nil"/>
              <w:bottom w:val="single" w:sz="4" w:space="0" w:color="000000"/>
              <w:right w:val="nil"/>
            </w:tcBorders>
            <w:shd w:val="clear" w:color="auto" w:fill="auto"/>
            <w:hideMark/>
          </w:tcPr>
          <w:p w14:paraId="713A9A6D" w14:textId="3DFDD996"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ALoS (days)</w:t>
            </w:r>
            <w:r w:rsidRPr="00434928">
              <w:rPr>
                <w:b/>
                <w:bCs/>
                <w:sz w:val="14"/>
                <w:szCs w:val="14"/>
                <w:lang w:val="en-US" w:eastAsia="en-US"/>
              </w:rPr>
              <w:br/>
              <w:t>(a)</w:t>
            </w:r>
          </w:p>
        </w:tc>
        <w:tc>
          <w:tcPr>
            <w:tcW w:w="500" w:type="dxa"/>
            <w:gridSpan w:val="2"/>
            <w:tcBorders>
              <w:top w:val="single" w:sz="4" w:space="0" w:color="auto"/>
              <w:left w:val="nil"/>
              <w:bottom w:val="single" w:sz="4" w:space="0" w:color="000000"/>
              <w:right w:val="nil"/>
            </w:tcBorders>
            <w:shd w:val="clear" w:color="auto" w:fill="auto"/>
            <w:hideMark/>
          </w:tcPr>
          <w:p w14:paraId="70432A5A"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Min LoS</w:t>
            </w:r>
          </w:p>
        </w:tc>
        <w:tc>
          <w:tcPr>
            <w:tcW w:w="653" w:type="dxa"/>
            <w:gridSpan w:val="2"/>
            <w:tcBorders>
              <w:top w:val="single" w:sz="4" w:space="0" w:color="auto"/>
              <w:left w:val="nil"/>
              <w:bottom w:val="single" w:sz="4" w:space="0" w:color="000000"/>
              <w:right w:val="nil"/>
            </w:tcBorders>
            <w:shd w:val="clear" w:color="auto" w:fill="auto"/>
            <w:hideMark/>
          </w:tcPr>
          <w:p w14:paraId="5BBCA81E"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Max LoS</w:t>
            </w:r>
          </w:p>
        </w:tc>
        <w:tc>
          <w:tcPr>
            <w:tcW w:w="691" w:type="dxa"/>
            <w:gridSpan w:val="2"/>
            <w:tcBorders>
              <w:top w:val="single" w:sz="4" w:space="0" w:color="auto"/>
              <w:left w:val="nil"/>
              <w:bottom w:val="single" w:sz="4" w:space="0" w:color="000000"/>
              <w:right w:val="nil"/>
            </w:tcBorders>
            <w:shd w:val="clear" w:color="auto" w:fill="auto"/>
            <w:hideMark/>
          </w:tcPr>
          <w:p w14:paraId="6F8A769D"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Cost weight</w:t>
            </w:r>
          </w:p>
        </w:tc>
        <w:tc>
          <w:tcPr>
            <w:tcW w:w="839" w:type="dxa"/>
            <w:gridSpan w:val="2"/>
            <w:tcBorders>
              <w:top w:val="single" w:sz="4" w:space="0" w:color="auto"/>
              <w:left w:val="nil"/>
              <w:bottom w:val="single" w:sz="4" w:space="0" w:color="000000"/>
              <w:right w:val="nil"/>
            </w:tcBorders>
            <w:shd w:val="clear" w:color="auto" w:fill="auto"/>
            <w:hideMark/>
          </w:tcPr>
          <w:p w14:paraId="2DF55E92" w14:textId="414BEAE3"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No. of weighted seps</w:t>
            </w:r>
            <w:r w:rsidR="00965341" w:rsidRPr="00434928">
              <w:rPr>
                <w:b/>
                <w:bCs/>
                <w:sz w:val="14"/>
                <w:szCs w:val="14"/>
                <w:lang w:val="en-US" w:eastAsia="en-US"/>
              </w:rPr>
              <w:t xml:space="preserve"> </w:t>
            </w:r>
            <w:r w:rsidRPr="00434928">
              <w:rPr>
                <w:b/>
                <w:bCs/>
                <w:sz w:val="14"/>
                <w:szCs w:val="14"/>
                <w:lang w:val="en-US" w:eastAsia="en-US"/>
              </w:rPr>
              <w:t>(b)</w:t>
            </w:r>
          </w:p>
        </w:tc>
        <w:tc>
          <w:tcPr>
            <w:tcW w:w="884" w:type="dxa"/>
            <w:gridSpan w:val="2"/>
            <w:tcBorders>
              <w:top w:val="single" w:sz="4" w:space="0" w:color="auto"/>
              <w:left w:val="nil"/>
              <w:bottom w:val="single" w:sz="4" w:space="0" w:color="000000"/>
              <w:right w:val="nil"/>
            </w:tcBorders>
            <w:shd w:val="clear" w:color="auto" w:fill="auto"/>
            <w:hideMark/>
          </w:tcPr>
          <w:p w14:paraId="3939D27E" w14:textId="10C0A697" w:rsidR="00B95C7E" w:rsidRPr="00434928" w:rsidRDefault="007E6F3B" w:rsidP="000F6DC7">
            <w:pPr>
              <w:spacing w:before="20" w:after="20" w:line="240" w:lineRule="auto"/>
              <w:jc w:val="center"/>
              <w:rPr>
                <w:b/>
                <w:bCs/>
                <w:sz w:val="14"/>
                <w:szCs w:val="14"/>
                <w:lang w:val="en-US" w:eastAsia="en-US"/>
              </w:rPr>
            </w:pPr>
            <w:r>
              <w:rPr>
                <w:b/>
                <w:bCs/>
                <w:sz w:val="14"/>
                <w:szCs w:val="14"/>
                <w:lang w:val="en-US" w:eastAsia="en-US"/>
              </w:rPr>
              <w:t>Cost-</w:t>
            </w:r>
            <w:r w:rsidR="00B95C7E" w:rsidRPr="00434928">
              <w:rPr>
                <w:b/>
                <w:bCs/>
                <w:sz w:val="14"/>
                <w:szCs w:val="14"/>
                <w:lang w:val="en-US" w:eastAsia="en-US"/>
              </w:rPr>
              <w:t>weighted seps</w:t>
            </w:r>
          </w:p>
        </w:tc>
        <w:tc>
          <w:tcPr>
            <w:tcW w:w="653" w:type="dxa"/>
            <w:gridSpan w:val="2"/>
            <w:tcBorders>
              <w:top w:val="single" w:sz="4" w:space="0" w:color="auto"/>
              <w:left w:val="nil"/>
              <w:bottom w:val="single" w:sz="4" w:space="0" w:color="000000"/>
              <w:right w:val="nil"/>
            </w:tcBorders>
            <w:shd w:val="clear" w:color="auto" w:fill="auto"/>
            <w:hideMark/>
          </w:tcPr>
          <w:p w14:paraId="7A4D023D"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Std error</w:t>
            </w:r>
          </w:p>
        </w:tc>
        <w:tc>
          <w:tcPr>
            <w:tcW w:w="653" w:type="dxa"/>
            <w:gridSpan w:val="2"/>
            <w:tcBorders>
              <w:top w:val="single" w:sz="4" w:space="0" w:color="auto"/>
              <w:left w:val="nil"/>
              <w:bottom w:val="single" w:sz="4" w:space="0" w:color="000000"/>
              <w:right w:val="nil"/>
            </w:tcBorders>
            <w:shd w:val="clear" w:color="auto" w:fill="auto"/>
            <w:hideMark/>
          </w:tcPr>
          <w:p w14:paraId="775BCF86"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 of total seps</w:t>
            </w:r>
          </w:p>
        </w:tc>
        <w:tc>
          <w:tcPr>
            <w:tcW w:w="653" w:type="dxa"/>
            <w:gridSpan w:val="2"/>
            <w:tcBorders>
              <w:top w:val="single" w:sz="4" w:space="0" w:color="auto"/>
              <w:left w:val="nil"/>
              <w:bottom w:val="single" w:sz="4" w:space="0" w:color="000000"/>
              <w:right w:val="nil"/>
            </w:tcBorders>
            <w:shd w:val="clear" w:color="auto" w:fill="auto"/>
            <w:hideMark/>
          </w:tcPr>
          <w:p w14:paraId="18354124"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 of CW seps</w:t>
            </w:r>
          </w:p>
        </w:tc>
        <w:tc>
          <w:tcPr>
            <w:tcW w:w="691" w:type="dxa"/>
            <w:gridSpan w:val="2"/>
            <w:tcBorders>
              <w:top w:val="single" w:sz="4" w:space="0" w:color="auto"/>
              <w:left w:val="nil"/>
              <w:bottom w:val="single" w:sz="4" w:space="0" w:color="000000"/>
              <w:right w:val="nil"/>
            </w:tcBorders>
            <w:shd w:val="clear" w:color="auto" w:fill="auto"/>
            <w:hideMark/>
          </w:tcPr>
          <w:p w14:paraId="4E10C67D" w14:textId="5097265F"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ALoS</w:t>
            </w:r>
            <w:r w:rsidR="00A330F5" w:rsidRPr="00434928">
              <w:rPr>
                <w:b/>
                <w:bCs/>
                <w:sz w:val="14"/>
                <w:szCs w:val="14"/>
                <w:lang w:val="en-US" w:eastAsia="en-US"/>
              </w:rPr>
              <w:t xml:space="preserve"> Round 20</w:t>
            </w:r>
          </w:p>
        </w:tc>
        <w:tc>
          <w:tcPr>
            <w:tcW w:w="691" w:type="dxa"/>
            <w:gridSpan w:val="2"/>
            <w:tcBorders>
              <w:top w:val="single" w:sz="4" w:space="0" w:color="auto"/>
              <w:left w:val="nil"/>
              <w:bottom w:val="single" w:sz="4" w:space="0" w:color="000000"/>
              <w:right w:val="nil"/>
            </w:tcBorders>
            <w:shd w:val="clear" w:color="auto" w:fill="auto"/>
            <w:hideMark/>
          </w:tcPr>
          <w:p w14:paraId="749B7D07" w14:textId="5F5725EE"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 xml:space="preserve">Rank Round </w:t>
            </w:r>
            <w:r w:rsidR="00434928" w:rsidRPr="00434928">
              <w:rPr>
                <w:b/>
                <w:bCs/>
                <w:sz w:val="14"/>
                <w:szCs w:val="14"/>
                <w:lang w:val="en-US" w:eastAsia="en-US"/>
              </w:rPr>
              <w:t>20</w:t>
            </w:r>
          </w:p>
        </w:tc>
        <w:tc>
          <w:tcPr>
            <w:tcW w:w="839" w:type="dxa"/>
            <w:gridSpan w:val="2"/>
            <w:tcBorders>
              <w:top w:val="single" w:sz="4" w:space="0" w:color="auto"/>
              <w:left w:val="nil"/>
              <w:bottom w:val="single" w:sz="4" w:space="0" w:color="000000"/>
              <w:right w:val="nil"/>
            </w:tcBorders>
            <w:shd w:val="clear" w:color="auto" w:fill="auto"/>
            <w:hideMark/>
          </w:tcPr>
          <w:p w14:paraId="0C186AA9" w14:textId="77777777" w:rsidR="00B95C7E" w:rsidRPr="00434928" w:rsidRDefault="00B95C7E" w:rsidP="000F6DC7">
            <w:pPr>
              <w:spacing w:before="20" w:after="20" w:line="240" w:lineRule="auto"/>
              <w:jc w:val="center"/>
              <w:rPr>
                <w:b/>
                <w:bCs/>
                <w:sz w:val="14"/>
                <w:szCs w:val="14"/>
                <w:lang w:val="en-US" w:eastAsia="en-US"/>
              </w:rPr>
            </w:pPr>
            <w:r w:rsidRPr="00434928">
              <w:rPr>
                <w:b/>
                <w:bCs/>
                <w:sz w:val="14"/>
                <w:szCs w:val="14"/>
                <w:lang w:val="en-US" w:eastAsia="en-US"/>
              </w:rPr>
              <w:t>Number of days</w:t>
            </w:r>
          </w:p>
        </w:tc>
      </w:tr>
      <w:tr w:rsidR="00434928" w:rsidRPr="00E4527E" w14:paraId="5C8C57F7"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37AB1732" w14:textId="68305B0D"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39A5AAC3" w14:textId="0C71A121"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w:t>
            </w:r>
          </w:p>
        </w:tc>
        <w:tc>
          <w:tcPr>
            <w:tcW w:w="600" w:type="dxa"/>
            <w:tcBorders>
              <w:top w:val="nil"/>
              <w:left w:val="nil"/>
              <w:bottom w:val="nil"/>
              <w:right w:val="nil"/>
            </w:tcBorders>
            <w:shd w:val="clear" w:color="auto" w:fill="auto"/>
            <w:noWrap/>
            <w:hideMark/>
          </w:tcPr>
          <w:p w14:paraId="2394CD43" w14:textId="5698A6B9" w:rsidR="00434928" w:rsidRPr="00E4527E" w:rsidRDefault="00434928" w:rsidP="000F6DC7">
            <w:pPr>
              <w:spacing w:before="20" w:after="20" w:line="240" w:lineRule="auto"/>
              <w:rPr>
                <w:sz w:val="14"/>
                <w:szCs w:val="14"/>
                <w:highlight w:val="yellow"/>
                <w:lang w:val="en-US" w:eastAsia="en-US"/>
              </w:rPr>
            </w:pPr>
            <w:r>
              <w:rPr>
                <w:color w:val="000000"/>
                <w:sz w:val="14"/>
                <w:szCs w:val="14"/>
              </w:rPr>
              <w:t>A13A</w:t>
            </w:r>
          </w:p>
        </w:tc>
        <w:tc>
          <w:tcPr>
            <w:tcW w:w="4637" w:type="dxa"/>
            <w:tcBorders>
              <w:top w:val="nil"/>
              <w:left w:val="nil"/>
              <w:bottom w:val="nil"/>
              <w:right w:val="nil"/>
            </w:tcBorders>
            <w:shd w:val="clear" w:color="auto" w:fill="auto"/>
            <w:noWrap/>
            <w:hideMark/>
          </w:tcPr>
          <w:p w14:paraId="1E9355B0" w14:textId="0803A6AD" w:rsidR="00434928" w:rsidRPr="00E4527E" w:rsidRDefault="00434928" w:rsidP="000F6DC7">
            <w:pPr>
              <w:spacing w:before="20" w:after="20" w:line="240" w:lineRule="auto"/>
              <w:rPr>
                <w:sz w:val="14"/>
                <w:szCs w:val="14"/>
                <w:highlight w:val="yellow"/>
                <w:lang w:val="en-US" w:eastAsia="en-US"/>
              </w:rPr>
            </w:pPr>
            <w:r>
              <w:rPr>
                <w:color w:val="000000"/>
                <w:sz w:val="14"/>
                <w:szCs w:val="14"/>
              </w:rPr>
              <w:t>Ventilation &gt;=336hours, Major Complexity</w:t>
            </w:r>
          </w:p>
        </w:tc>
        <w:tc>
          <w:tcPr>
            <w:tcW w:w="962" w:type="dxa"/>
            <w:gridSpan w:val="2"/>
            <w:tcBorders>
              <w:top w:val="nil"/>
              <w:left w:val="nil"/>
              <w:bottom w:val="nil"/>
              <w:right w:val="nil"/>
            </w:tcBorders>
            <w:shd w:val="clear" w:color="auto" w:fill="auto"/>
            <w:noWrap/>
            <w:hideMark/>
          </w:tcPr>
          <w:p w14:paraId="154B0C51" w14:textId="0852CE97"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56.7</w:t>
            </w:r>
          </w:p>
        </w:tc>
        <w:tc>
          <w:tcPr>
            <w:tcW w:w="500" w:type="dxa"/>
            <w:gridSpan w:val="2"/>
            <w:tcBorders>
              <w:top w:val="nil"/>
              <w:left w:val="nil"/>
              <w:bottom w:val="nil"/>
              <w:right w:val="nil"/>
            </w:tcBorders>
            <w:shd w:val="clear" w:color="auto" w:fill="auto"/>
            <w:noWrap/>
            <w:hideMark/>
          </w:tcPr>
          <w:p w14:paraId="7B244EEC" w14:textId="11E5978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17</w:t>
            </w:r>
          </w:p>
        </w:tc>
        <w:tc>
          <w:tcPr>
            <w:tcW w:w="653" w:type="dxa"/>
            <w:gridSpan w:val="2"/>
            <w:tcBorders>
              <w:top w:val="nil"/>
              <w:left w:val="nil"/>
              <w:bottom w:val="nil"/>
              <w:right w:val="nil"/>
            </w:tcBorders>
            <w:shd w:val="clear" w:color="auto" w:fill="auto"/>
            <w:noWrap/>
            <w:hideMark/>
          </w:tcPr>
          <w:p w14:paraId="3AF4A939" w14:textId="20328C5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171</w:t>
            </w:r>
          </w:p>
        </w:tc>
        <w:tc>
          <w:tcPr>
            <w:tcW w:w="691" w:type="dxa"/>
            <w:gridSpan w:val="2"/>
            <w:tcBorders>
              <w:top w:val="nil"/>
              <w:left w:val="nil"/>
              <w:bottom w:val="nil"/>
              <w:right w:val="nil"/>
            </w:tcBorders>
            <w:shd w:val="clear" w:color="auto" w:fill="auto"/>
            <w:noWrap/>
            <w:hideMark/>
          </w:tcPr>
          <w:p w14:paraId="570CC25A" w14:textId="2DA974C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46.60</w:t>
            </w:r>
          </w:p>
        </w:tc>
        <w:tc>
          <w:tcPr>
            <w:tcW w:w="839" w:type="dxa"/>
            <w:gridSpan w:val="2"/>
            <w:tcBorders>
              <w:top w:val="nil"/>
              <w:left w:val="nil"/>
              <w:bottom w:val="nil"/>
              <w:right w:val="nil"/>
            </w:tcBorders>
            <w:shd w:val="clear" w:color="auto" w:fill="auto"/>
            <w:noWrap/>
            <w:hideMark/>
          </w:tcPr>
          <w:p w14:paraId="1F88DDF3" w14:textId="24F1678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98</w:t>
            </w:r>
          </w:p>
        </w:tc>
        <w:tc>
          <w:tcPr>
            <w:tcW w:w="884" w:type="dxa"/>
            <w:gridSpan w:val="2"/>
            <w:tcBorders>
              <w:top w:val="nil"/>
              <w:left w:val="nil"/>
              <w:bottom w:val="nil"/>
              <w:right w:val="nil"/>
            </w:tcBorders>
            <w:shd w:val="clear" w:color="auto" w:fill="auto"/>
            <w:noWrap/>
            <w:hideMark/>
          </w:tcPr>
          <w:p w14:paraId="60B7724A" w14:textId="77FB568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4,567</w:t>
            </w:r>
          </w:p>
        </w:tc>
        <w:tc>
          <w:tcPr>
            <w:tcW w:w="653" w:type="dxa"/>
            <w:gridSpan w:val="2"/>
            <w:tcBorders>
              <w:top w:val="nil"/>
              <w:left w:val="nil"/>
              <w:bottom w:val="nil"/>
              <w:right w:val="nil"/>
            </w:tcBorders>
            <w:shd w:val="clear" w:color="auto" w:fill="auto"/>
            <w:noWrap/>
            <w:hideMark/>
          </w:tcPr>
          <w:p w14:paraId="78A877DE" w14:textId="2ED9499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4.85</w:t>
            </w:r>
          </w:p>
        </w:tc>
        <w:tc>
          <w:tcPr>
            <w:tcW w:w="653" w:type="dxa"/>
            <w:gridSpan w:val="2"/>
            <w:tcBorders>
              <w:top w:val="nil"/>
              <w:left w:val="nil"/>
              <w:bottom w:val="nil"/>
              <w:right w:val="nil"/>
            </w:tcBorders>
            <w:shd w:val="clear" w:color="auto" w:fill="auto"/>
            <w:noWrap/>
            <w:hideMark/>
          </w:tcPr>
          <w:p w14:paraId="720B6A92" w14:textId="549D93E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3B0444AC" w14:textId="03CB717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w:t>
            </w:r>
          </w:p>
        </w:tc>
        <w:tc>
          <w:tcPr>
            <w:tcW w:w="691" w:type="dxa"/>
            <w:gridSpan w:val="2"/>
            <w:tcBorders>
              <w:top w:val="nil"/>
              <w:left w:val="nil"/>
              <w:bottom w:val="nil"/>
              <w:right w:val="nil"/>
            </w:tcBorders>
            <w:shd w:val="clear" w:color="auto" w:fill="auto"/>
            <w:noWrap/>
            <w:hideMark/>
          </w:tcPr>
          <w:p w14:paraId="2DCB4809" w14:textId="207A729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54.8</w:t>
            </w:r>
          </w:p>
        </w:tc>
        <w:tc>
          <w:tcPr>
            <w:tcW w:w="691" w:type="dxa"/>
            <w:gridSpan w:val="2"/>
            <w:tcBorders>
              <w:top w:val="nil"/>
              <w:left w:val="nil"/>
              <w:bottom w:val="nil"/>
              <w:right w:val="nil"/>
            </w:tcBorders>
            <w:shd w:val="clear" w:color="auto" w:fill="auto"/>
            <w:noWrap/>
            <w:hideMark/>
          </w:tcPr>
          <w:p w14:paraId="6A975B08" w14:textId="12A17E5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 </w:t>
            </w:r>
          </w:p>
        </w:tc>
        <w:tc>
          <w:tcPr>
            <w:tcW w:w="839" w:type="dxa"/>
            <w:gridSpan w:val="2"/>
            <w:tcBorders>
              <w:top w:val="nil"/>
              <w:left w:val="nil"/>
              <w:bottom w:val="nil"/>
              <w:right w:val="nil"/>
            </w:tcBorders>
            <w:shd w:val="clear" w:color="auto" w:fill="auto"/>
            <w:noWrap/>
            <w:hideMark/>
          </w:tcPr>
          <w:p w14:paraId="4B8C32F9" w14:textId="040C8A9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5,575</w:t>
            </w:r>
          </w:p>
        </w:tc>
      </w:tr>
      <w:tr w:rsidR="00434928" w:rsidRPr="00E4527E" w14:paraId="3327DBDC"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0F1792F3" w14:textId="0B7780F7"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166D1D31" w14:textId="16BBC846"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2</w:t>
            </w:r>
          </w:p>
        </w:tc>
        <w:tc>
          <w:tcPr>
            <w:tcW w:w="600" w:type="dxa"/>
            <w:tcBorders>
              <w:top w:val="nil"/>
              <w:left w:val="nil"/>
              <w:bottom w:val="nil"/>
              <w:right w:val="nil"/>
            </w:tcBorders>
            <w:shd w:val="clear" w:color="auto" w:fill="auto"/>
            <w:noWrap/>
            <w:hideMark/>
          </w:tcPr>
          <w:p w14:paraId="73059B04" w14:textId="1B2CBE6B" w:rsidR="00434928" w:rsidRPr="00E4527E" w:rsidRDefault="00434928" w:rsidP="000F6DC7">
            <w:pPr>
              <w:spacing w:before="20" w:after="20" w:line="240" w:lineRule="auto"/>
              <w:rPr>
                <w:sz w:val="14"/>
                <w:szCs w:val="14"/>
                <w:highlight w:val="yellow"/>
                <w:lang w:val="en-US" w:eastAsia="en-US"/>
              </w:rPr>
            </w:pPr>
            <w:r>
              <w:rPr>
                <w:color w:val="000000"/>
                <w:sz w:val="14"/>
                <w:szCs w:val="14"/>
              </w:rPr>
              <w:t>A14A</w:t>
            </w:r>
          </w:p>
        </w:tc>
        <w:tc>
          <w:tcPr>
            <w:tcW w:w="4637" w:type="dxa"/>
            <w:tcBorders>
              <w:top w:val="nil"/>
              <w:left w:val="nil"/>
              <w:bottom w:val="nil"/>
              <w:right w:val="nil"/>
            </w:tcBorders>
            <w:shd w:val="clear" w:color="auto" w:fill="auto"/>
            <w:noWrap/>
            <w:hideMark/>
          </w:tcPr>
          <w:p w14:paraId="3918EDD4" w14:textId="5D1B10FD" w:rsidR="00434928" w:rsidRPr="00E4527E" w:rsidRDefault="00434928" w:rsidP="000F6DC7">
            <w:pPr>
              <w:spacing w:before="20" w:after="20" w:line="240" w:lineRule="auto"/>
              <w:rPr>
                <w:sz w:val="14"/>
                <w:szCs w:val="14"/>
                <w:highlight w:val="yellow"/>
                <w:lang w:val="en-US" w:eastAsia="en-US"/>
              </w:rPr>
            </w:pPr>
            <w:r>
              <w:rPr>
                <w:color w:val="000000"/>
                <w:sz w:val="14"/>
                <w:szCs w:val="14"/>
              </w:rPr>
              <w:t>Ventilation &gt;=96hours &amp; &lt;336hours, Major Complexity</w:t>
            </w:r>
          </w:p>
        </w:tc>
        <w:tc>
          <w:tcPr>
            <w:tcW w:w="962" w:type="dxa"/>
            <w:gridSpan w:val="2"/>
            <w:tcBorders>
              <w:top w:val="nil"/>
              <w:left w:val="nil"/>
              <w:bottom w:val="nil"/>
              <w:right w:val="nil"/>
            </w:tcBorders>
            <w:shd w:val="clear" w:color="auto" w:fill="auto"/>
            <w:noWrap/>
            <w:hideMark/>
          </w:tcPr>
          <w:p w14:paraId="0C689DC8" w14:textId="0C314C31"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51.2</w:t>
            </w:r>
          </w:p>
        </w:tc>
        <w:tc>
          <w:tcPr>
            <w:tcW w:w="500" w:type="dxa"/>
            <w:gridSpan w:val="2"/>
            <w:tcBorders>
              <w:top w:val="nil"/>
              <w:left w:val="nil"/>
              <w:bottom w:val="nil"/>
              <w:right w:val="nil"/>
            </w:tcBorders>
            <w:shd w:val="clear" w:color="auto" w:fill="auto"/>
            <w:noWrap/>
            <w:hideMark/>
          </w:tcPr>
          <w:p w14:paraId="2479CB3D" w14:textId="15EC2AD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w:t>
            </w:r>
          </w:p>
        </w:tc>
        <w:tc>
          <w:tcPr>
            <w:tcW w:w="653" w:type="dxa"/>
            <w:gridSpan w:val="2"/>
            <w:tcBorders>
              <w:top w:val="nil"/>
              <w:left w:val="nil"/>
              <w:bottom w:val="nil"/>
              <w:right w:val="nil"/>
            </w:tcBorders>
            <w:shd w:val="clear" w:color="auto" w:fill="auto"/>
            <w:noWrap/>
            <w:hideMark/>
          </w:tcPr>
          <w:p w14:paraId="6F76A4DF" w14:textId="67DFE7C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163</w:t>
            </w:r>
          </w:p>
        </w:tc>
        <w:tc>
          <w:tcPr>
            <w:tcW w:w="691" w:type="dxa"/>
            <w:gridSpan w:val="2"/>
            <w:tcBorders>
              <w:top w:val="nil"/>
              <w:left w:val="nil"/>
              <w:bottom w:val="nil"/>
              <w:right w:val="nil"/>
            </w:tcBorders>
            <w:shd w:val="clear" w:color="auto" w:fill="auto"/>
            <w:noWrap/>
            <w:hideMark/>
          </w:tcPr>
          <w:p w14:paraId="359FE451" w14:textId="73100D3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38.79</w:t>
            </w:r>
          </w:p>
        </w:tc>
        <w:tc>
          <w:tcPr>
            <w:tcW w:w="839" w:type="dxa"/>
            <w:gridSpan w:val="2"/>
            <w:tcBorders>
              <w:top w:val="nil"/>
              <w:left w:val="nil"/>
              <w:bottom w:val="nil"/>
              <w:right w:val="nil"/>
            </w:tcBorders>
            <w:shd w:val="clear" w:color="auto" w:fill="auto"/>
            <w:noWrap/>
            <w:hideMark/>
          </w:tcPr>
          <w:p w14:paraId="5206C114" w14:textId="7ECAC57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165</w:t>
            </w:r>
          </w:p>
        </w:tc>
        <w:tc>
          <w:tcPr>
            <w:tcW w:w="884" w:type="dxa"/>
            <w:gridSpan w:val="2"/>
            <w:tcBorders>
              <w:top w:val="nil"/>
              <w:left w:val="nil"/>
              <w:bottom w:val="nil"/>
              <w:right w:val="nil"/>
            </w:tcBorders>
            <w:shd w:val="clear" w:color="auto" w:fill="auto"/>
            <w:noWrap/>
            <w:hideMark/>
          </w:tcPr>
          <w:p w14:paraId="682A0B4F" w14:textId="32D9AE3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6,400</w:t>
            </w:r>
          </w:p>
        </w:tc>
        <w:tc>
          <w:tcPr>
            <w:tcW w:w="653" w:type="dxa"/>
            <w:gridSpan w:val="2"/>
            <w:tcBorders>
              <w:top w:val="nil"/>
              <w:left w:val="nil"/>
              <w:bottom w:val="nil"/>
              <w:right w:val="nil"/>
            </w:tcBorders>
            <w:shd w:val="clear" w:color="auto" w:fill="auto"/>
            <w:noWrap/>
            <w:hideMark/>
          </w:tcPr>
          <w:p w14:paraId="3000B6E2" w14:textId="741E439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2.96</w:t>
            </w:r>
          </w:p>
        </w:tc>
        <w:tc>
          <w:tcPr>
            <w:tcW w:w="653" w:type="dxa"/>
            <w:gridSpan w:val="2"/>
            <w:tcBorders>
              <w:top w:val="nil"/>
              <w:left w:val="nil"/>
              <w:bottom w:val="nil"/>
              <w:right w:val="nil"/>
            </w:tcBorders>
            <w:shd w:val="clear" w:color="auto" w:fill="auto"/>
            <w:noWrap/>
            <w:hideMark/>
          </w:tcPr>
          <w:p w14:paraId="2674C622" w14:textId="4A35A07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68E1CB82" w14:textId="6CE33FE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0.2%</w:t>
            </w:r>
          </w:p>
        </w:tc>
        <w:tc>
          <w:tcPr>
            <w:tcW w:w="691" w:type="dxa"/>
            <w:gridSpan w:val="2"/>
            <w:tcBorders>
              <w:top w:val="nil"/>
              <w:left w:val="nil"/>
              <w:bottom w:val="nil"/>
              <w:right w:val="nil"/>
            </w:tcBorders>
            <w:shd w:val="clear" w:color="auto" w:fill="auto"/>
            <w:noWrap/>
            <w:hideMark/>
          </w:tcPr>
          <w:p w14:paraId="39492D2B" w14:textId="765F0E3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39.5</w:t>
            </w:r>
          </w:p>
        </w:tc>
        <w:tc>
          <w:tcPr>
            <w:tcW w:w="691" w:type="dxa"/>
            <w:gridSpan w:val="2"/>
            <w:tcBorders>
              <w:top w:val="nil"/>
              <w:left w:val="nil"/>
              <w:bottom w:val="nil"/>
              <w:right w:val="nil"/>
            </w:tcBorders>
            <w:shd w:val="clear" w:color="auto" w:fill="auto"/>
            <w:noWrap/>
            <w:hideMark/>
          </w:tcPr>
          <w:p w14:paraId="47569686" w14:textId="10299E9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5 </w:t>
            </w:r>
          </w:p>
        </w:tc>
        <w:tc>
          <w:tcPr>
            <w:tcW w:w="839" w:type="dxa"/>
            <w:gridSpan w:val="2"/>
            <w:tcBorders>
              <w:top w:val="nil"/>
              <w:left w:val="nil"/>
              <w:bottom w:val="nil"/>
              <w:right w:val="nil"/>
            </w:tcBorders>
            <w:shd w:val="clear" w:color="auto" w:fill="auto"/>
            <w:noWrap/>
            <w:hideMark/>
          </w:tcPr>
          <w:p w14:paraId="5FD96C98" w14:textId="74325C6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8,460</w:t>
            </w:r>
          </w:p>
        </w:tc>
      </w:tr>
      <w:tr w:rsidR="00434928" w:rsidRPr="00E4527E" w14:paraId="18AD767C"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1B2A5C31" w14:textId="2025C2EE"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431F9267" w14:textId="06DCF370"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3</w:t>
            </w:r>
          </w:p>
        </w:tc>
        <w:tc>
          <w:tcPr>
            <w:tcW w:w="600" w:type="dxa"/>
            <w:tcBorders>
              <w:top w:val="nil"/>
              <w:left w:val="nil"/>
              <w:bottom w:val="nil"/>
              <w:right w:val="nil"/>
            </w:tcBorders>
            <w:shd w:val="clear" w:color="auto" w:fill="auto"/>
            <w:noWrap/>
            <w:hideMark/>
          </w:tcPr>
          <w:p w14:paraId="2D4041A6" w14:textId="270FBD0A" w:rsidR="00434928" w:rsidRPr="00E4527E" w:rsidRDefault="00434928" w:rsidP="000F6DC7">
            <w:pPr>
              <w:spacing w:before="20" w:after="20" w:line="240" w:lineRule="auto"/>
              <w:rPr>
                <w:sz w:val="14"/>
                <w:szCs w:val="14"/>
                <w:highlight w:val="yellow"/>
                <w:lang w:val="en-US" w:eastAsia="en-US"/>
              </w:rPr>
            </w:pPr>
            <w:r>
              <w:rPr>
                <w:color w:val="000000"/>
                <w:sz w:val="14"/>
                <w:szCs w:val="14"/>
              </w:rPr>
              <w:t>F11A</w:t>
            </w:r>
          </w:p>
        </w:tc>
        <w:tc>
          <w:tcPr>
            <w:tcW w:w="4637" w:type="dxa"/>
            <w:tcBorders>
              <w:top w:val="nil"/>
              <w:left w:val="nil"/>
              <w:bottom w:val="nil"/>
              <w:right w:val="nil"/>
            </w:tcBorders>
            <w:shd w:val="clear" w:color="auto" w:fill="auto"/>
            <w:noWrap/>
            <w:hideMark/>
          </w:tcPr>
          <w:p w14:paraId="15235B0B" w14:textId="5D4A4F4F" w:rsidR="00434928" w:rsidRPr="00E4527E" w:rsidRDefault="00434928" w:rsidP="000F6DC7">
            <w:pPr>
              <w:spacing w:before="20" w:after="20" w:line="240" w:lineRule="auto"/>
              <w:rPr>
                <w:sz w:val="14"/>
                <w:szCs w:val="14"/>
                <w:highlight w:val="yellow"/>
                <w:lang w:val="en-US" w:eastAsia="en-US"/>
              </w:rPr>
            </w:pPr>
            <w:r>
              <w:rPr>
                <w:color w:val="000000"/>
                <w:sz w:val="14"/>
                <w:szCs w:val="14"/>
              </w:rPr>
              <w:t>Amputation, Except Upper Limb and Toe, for Circulatory Disorders, Major Comp</w:t>
            </w:r>
          </w:p>
        </w:tc>
        <w:tc>
          <w:tcPr>
            <w:tcW w:w="962" w:type="dxa"/>
            <w:gridSpan w:val="2"/>
            <w:tcBorders>
              <w:top w:val="nil"/>
              <w:left w:val="nil"/>
              <w:bottom w:val="nil"/>
              <w:right w:val="nil"/>
            </w:tcBorders>
            <w:shd w:val="clear" w:color="auto" w:fill="auto"/>
            <w:noWrap/>
            <w:hideMark/>
          </w:tcPr>
          <w:p w14:paraId="08687164" w14:textId="2C1ABD54"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46.5</w:t>
            </w:r>
          </w:p>
        </w:tc>
        <w:tc>
          <w:tcPr>
            <w:tcW w:w="500" w:type="dxa"/>
            <w:gridSpan w:val="2"/>
            <w:tcBorders>
              <w:top w:val="nil"/>
              <w:left w:val="nil"/>
              <w:bottom w:val="nil"/>
              <w:right w:val="nil"/>
            </w:tcBorders>
            <w:shd w:val="clear" w:color="auto" w:fill="auto"/>
            <w:noWrap/>
            <w:hideMark/>
          </w:tcPr>
          <w:p w14:paraId="29D2CC3E" w14:textId="1A7FB53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w:t>
            </w:r>
          </w:p>
        </w:tc>
        <w:tc>
          <w:tcPr>
            <w:tcW w:w="653" w:type="dxa"/>
            <w:gridSpan w:val="2"/>
            <w:tcBorders>
              <w:top w:val="nil"/>
              <w:left w:val="nil"/>
              <w:bottom w:val="nil"/>
              <w:right w:val="nil"/>
            </w:tcBorders>
            <w:shd w:val="clear" w:color="auto" w:fill="auto"/>
            <w:noWrap/>
            <w:hideMark/>
          </w:tcPr>
          <w:p w14:paraId="16F221DF" w14:textId="5ACBF05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129</w:t>
            </w:r>
          </w:p>
        </w:tc>
        <w:tc>
          <w:tcPr>
            <w:tcW w:w="691" w:type="dxa"/>
            <w:gridSpan w:val="2"/>
            <w:tcBorders>
              <w:top w:val="nil"/>
              <w:left w:val="nil"/>
              <w:bottom w:val="nil"/>
              <w:right w:val="nil"/>
            </w:tcBorders>
            <w:shd w:val="clear" w:color="auto" w:fill="auto"/>
            <w:noWrap/>
            <w:hideMark/>
          </w:tcPr>
          <w:p w14:paraId="620A1617" w14:textId="28E4FF9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15.16</w:t>
            </w:r>
          </w:p>
        </w:tc>
        <w:tc>
          <w:tcPr>
            <w:tcW w:w="839" w:type="dxa"/>
            <w:gridSpan w:val="2"/>
            <w:tcBorders>
              <w:top w:val="nil"/>
              <w:left w:val="nil"/>
              <w:bottom w:val="nil"/>
              <w:right w:val="nil"/>
            </w:tcBorders>
            <w:shd w:val="clear" w:color="auto" w:fill="auto"/>
            <w:noWrap/>
            <w:hideMark/>
          </w:tcPr>
          <w:p w14:paraId="37FE6565" w14:textId="160838B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62</w:t>
            </w:r>
          </w:p>
        </w:tc>
        <w:tc>
          <w:tcPr>
            <w:tcW w:w="884" w:type="dxa"/>
            <w:gridSpan w:val="2"/>
            <w:tcBorders>
              <w:top w:val="nil"/>
              <w:left w:val="nil"/>
              <w:bottom w:val="nil"/>
              <w:right w:val="nil"/>
            </w:tcBorders>
            <w:shd w:val="clear" w:color="auto" w:fill="auto"/>
            <w:noWrap/>
            <w:hideMark/>
          </w:tcPr>
          <w:p w14:paraId="3584A2E4" w14:textId="186087A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940</w:t>
            </w:r>
          </w:p>
        </w:tc>
        <w:tc>
          <w:tcPr>
            <w:tcW w:w="653" w:type="dxa"/>
            <w:gridSpan w:val="2"/>
            <w:tcBorders>
              <w:top w:val="nil"/>
              <w:left w:val="nil"/>
              <w:bottom w:val="nil"/>
              <w:right w:val="nil"/>
            </w:tcBorders>
            <w:shd w:val="clear" w:color="auto" w:fill="auto"/>
            <w:noWrap/>
            <w:hideMark/>
          </w:tcPr>
          <w:p w14:paraId="3C69DE71" w14:textId="4F6B597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1.64</w:t>
            </w:r>
          </w:p>
        </w:tc>
        <w:tc>
          <w:tcPr>
            <w:tcW w:w="653" w:type="dxa"/>
            <w:gridSpan w:val="2"/>
            <w:tcBorders>
              <w:top w:val="nil"/>
              <w:left w:val="nil"/>
              <w:bottom w:val="nil"/>
              <w:right w:val="nil"/>
            </w:tcBorders>
            <w:shd w:val="clear" w:color="auto" w:fill="auto"/>
            <w:noWrap/>
            <w:hideMark/>
          </w:tcPr>
          <w:p w14:paraId="4487782E" w14:textId="0C26336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1C1A6277" w14:textId="7C6C0BD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3B403C55" w14:textId="3CDFFBF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38.5</w:t>
            </w:r>
          </w:p>
        </w:tc>
        <w:tc>
          <w:tcPr>
            <w:tcW w:w="691" w:type="dxa"/>
            <w:gridSpan w:val="2"/>
            <w:tcBorders>
              <w:top w:val="nil"/>
              <w:left w:val="nil"/>
              <w:bottom w:val="nil"/>
              <w:right w:val="nil"/>
            </w:tcBorders>
            <w:shd w:val="clear" w:color="auto" w:fill="auto"/>
            <w:noWrap/>
            <w:hideMark/>
          </w:tcPr>
          <w:p w14:paraId="2A575F33" w14:textId="57EFD5D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6 </w:t>
            </w:r>
          </w:p>
        </w:tc>
        <w:tc>
          <w:tcPr>
            <w:tcW w:w="839" w:type="dxa"/>
            <w:gridSpan w:val="2"/>
            <w:tcBorders>
              <w:top w:val="nil"/>
              <w:left w:val="nil"/>
              <w:bottom w:val="nil"/>
              <w:right w:val="nil"/>
            </w:tcBorders>
            <w:shd w:val="clear" w:color="auto" w:fill="auto"/>
            <w:noWrap/>
            <w:hideMark/>
          </w:tcPr>
          <w:p w14:paraId="74EBE497" w14:textId="553DA59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2,884</w:t>
            </w:r>
          </w:p>
        </w:tc>
      </w:tr>
      <w:tr w:rsidR="00434928" w:rsidRPr="00E4527E" w14:paraId="27EE9160"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51A72FD0" w14:textId="7702AD18"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15E22451" w14:textId="62839489"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4</w:t>
            </w:r>
          </w:p>
        </w:tc>
        <w:tc>
          <w:tcPr>
            <w:tcW w:w="600" w:type="dxa"/>
            <w:tcBorders>
              <w:top w:val="nil"/>
              <w:left w:val="nil"/>
              <w:bottom w:val="nil"/>
              <w:right w:val="nil"/>
            </w:tcBorders>
            <w:shd w:val="clear" w:color="auto" w:fill="auto"/>
            <w:noWrap/>
            <w:hideMark/>
          </w:tcPr>
          <w:p w14:paraId="1F980488" w14:textId="551AF962" w:rsidR="00434928" w:rsidRPr="00E4527E" w:rsidRDefault="00434928" w:rsidP="000F6DC7">
            <w:pPr>
              <w:spacing w:before="20" w:after="20" w:line="240" w:lineRule="auto"/>
              <w:rPr>
                <w:sz w:val="14"/>
                <w:szCs w:val="14"/>
                <w:highlight w:val="yellow"/>
                <w:lang w:val="en-US" w:eastAsia="en-US"/>
              </w:rPr>
            </w:pPr>
            <w:r>
              <w:rPr>
                <w:color w:val="000000"/>
                <w:sz w:val="14"/>
                <w:szCs w:val="14"/>
              </w:rPr>
              <w:t>R03A</w:t>
            </w:r>
          </w:p>
        </w:tc>
        <w:tc>
          <w:tcPr>
            <w:tcW w:w="4637" w:type="dxa"/>
            <w:tcBorders>
              <w:top w:val="nil"/>
              <w:left w:val="nil"/>
              <w:bottom w:val="nil"/>
              <w:right w:val="nil"/>
            </w:tcBorders>
            <w:shd w:val="clear" w:color="auto" w:fill="auto"/>
            <w:noWrap/>
            <w:hideMark/>
          </w:tcPr>
          <w:p w14:paraId="25F2855D" w14:textId="1198D722" w:rsidR="00434928" w:rsidRPr="00E4527E" w:rsidRDefault="00434928" w:rsidP="000F6DC7">
            <w:pPr>
              <w:spacing w:before="20" w:after="20" w:line="240" w:lineRule="auto"/>
              <w:rPr>
                <w:sz w:val="14"/>
                <w:szCs w:val="14"/>
                <w:highlight w:val="yellow"/>
                <w:lang w:val="en-US" w:eastAsia="en-US"/>
              </w:rPr>
            </w:pPr>
            <w:r>
              <w:rPr>
                <w:color w:val="000000"/>
                <w:sz w:val="14"/>
                <w:szCs w:val="14"/>
              </w:rPr>
              <w:t>Lymphoma and Leukaemia W Other GIs, Major Complexity</w:t>
            </w:r>
          </w:p>
        </w:tc>
        <w:tc>
          <w:tcPr>
            <w:tcW w:w="962" w:type="dxa"/>
            <w:gridSpan w:val="2"/>
            <w:tcBorders>
              <w:top w:val="nil"/>
              <w:left w:val="nil"/>
              <w:bottom w:val="nil"/>
              <w:right w:val="nil"/>
            </w:tcBorders>
            <w:shd w:val="clear" w:color="auto" w:fill="auto"/>
            <w:noWrap/>
            <w:hideMark/>
          </w:tcPr>
          <w:p w14:paraId="63F2FDDA" w14:textId="2821C66D"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41.1</w:t>
            </w:r>
          </w:p>
        </w:tc>
        <w:tc>
          <w:tcPr>
            <w:tcW w:w="500" w:type="dxa"/>
            <w:gridSpan w:val="2"/>
            <w:tcBorders>
              <w:top w:val="nil"/>
              <w:left w:val="nil"/>
              <w:bottom w:val="nil"/>
              <w:right w:val="nil"/>
            </w:tcBorders>
            <w:shd w:val="clear" w:color="auto" w:fill="auto"/>
            <w:noWrap/>
            <w:hideMark/>
          </w:tcPr>
          <w:p w14:paraId="7C016F74" w14:textId="7489AD2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5E1DBE7C" w14:textId="23B37F7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201</w:t>
            </w:r>
          </w:p>
        </w:tc>
        <w:tc>
          <w:tcPr>
            <w:tcW w:w="691" w:type="dxa"/>
            <w:gridSpan w:val="2"/>
            <w:tcBorders>
              <w:top w:val="nil"/>
              <w:left w:val="nil"/>
              <w:bottom w:val="nil"/>
              <w:right w:val="nil"/>
            </w:tcBorders>
            <w:shd w:val="clear" w:color="auto" w:fill="auto"/>
            <w:noWrap/>
            <w:hideMark/>
          </w:tcPr>
          <w:p w14:paraId="362172F0" w14:textId="3E6E02B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12.86</w:t>
            </w:r>
          </w:p>
        </w:tc>
        <w:tc>
          <w:tcPr>
            <w:tcW w:w="839" w:type="dxa"/>
            <w:gridSpan w:val="2"/>
            <w:tcBorders>
              <w:top w:val="nil"/>
              <w:left w:val="nil"/>
              <w:bottom w:val="nil"/>
              <w:right w:val="nil"/>
            </w:tcBorders>
            <w:shd w:val="clear" w:color="auto" w:fill="auto"/>
            <w:noWrap/>
            <w:hideMark/>
          </w:tcPr>
          <w:p w14:paraId="3C433D80" w14:textId="0D3FA8C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78</w:t>
            </w:r>
          </w:p>
        </w:tc>
        <w:tc>
          <w:tcPr>
            <w:tcW w:w="884" w:type="dxa"/>
            <w:gridSpan w:val="2"/>
            <w:tcBorders>
              <w:top w:val="nil"/>
              <w:left w:val="nil"/>
              <w:bottom w:val="nil"/>
              <w:right w:val="nil"/>
            </w:tcBorders>
            <w:shd w:val="clear" w:color="auto" w:fill="auto"/>
            <w:noWrap/>
            <w:hideMark/>
          </w:tcPr>
          <w:p w14:paraId="7A9B28F2" w14:textId="37F9406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1,003</w:t>
            </w:r>
          </w:p>
        </w:tc>
        <w:tc>
          <w:tcPr>
            <w:tcW w:w="653" w:type="dxa"/>
            <w:gridSpan w:val="2"/>
            <w:tcBorders>
              <w:top w:val="nil"/>
              <w:left w:val="nil"/>
              <w:bottom w:val="nil"/>
              <w:right w:val="nil"/>
            </w:tcBorders>
            <w:shd w:val="clear" w:color="auto" w:fill="auto"/>
            <w:noWrap/>
            <w:hideMark/>
          </w:tcPr>
          <w:p w14:paraId="2D7EB6C3" w14:textId="46EB263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1.36</w:t>
            </w:r>
          </w:p>
        </w:tc>
        <w:tc>
          <w:tcPr>
            <w:tcW w:w="653" w:type="dxa"/>
            <w:gridSpan w:val="2"/>
            <w:tcBorders>
              <w:top w:val="nil"/>
              <w:left w:val="nil"/>
              <w:bottom w:val="nil"/>
              <w:right w:val="nil"/>
            </w:tcBorders>
            <w:shd w:val="clear" w:color="auto" w:fill="auto"/>
            <w:noWrap/>
            <w:hideMark/>
          </w:tcPr>
          <w:p w14:paraId="71363193" w14:textId="43D8263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4718D355" w14:textId="655D11E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1E703255" w14:textId="65547ED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29.9</w:t>
            </w:r>
          </w:p>
        </w:tc>
        <w:tc>
          <w:tcPr>
            <w:tcW w:w="691" w:type="dxa"/>
            <w:gridSpan w:val="2"/>
            <w:tcBorders>
              <w:top w:val="nil"/>
              <w:left w:val="nil"/>
              <w:bottom w:val="nil"/>
              <w:right w:val="nil"/>
            </w:tcBorders>
            <w:shd w:val="clear" w:color="auto" w:fill="auto"/>
            <w:noWrap/>
            <w:hideMark/>
          </w:tcPr>
          <w:p w14:paraId="5147A12C" w14:textId="0862A33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15 </w:t>
            </w:r>
          </w:p>
        </w:tc>
        <w:tc>
          <w:tcPr>
            <w:tcW w:w="839" w:type="dxa"/>
            <w:gridSpan w:val="2"/>
            <w:tcBorders>
              <w:top w:val="nil"/>
              <w:left w:val="nil"/>
              <w:bottom w:val="nil"/>
              <w:right w:val="nil"/>
            </w:tcBorders>
            <w:shd w:val="clear" w:color="auto" w:fill="auto"/>
            <w:noWrap/>
            <w:hideMark/>
          </w:tcPr>
          <w:p w14:paraId="43FEFAF6" w14:textId="040086A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3,211</w:t>
            </w:r>
          </w:p>
        </w:tc>
      </w:tr>
      <w:tr w:rsidR="00434928" w:rsidRPr="00E4527E" w14:paraId="1ACD0D09"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064BD9D5" w14:textId="3E95EBF8"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26F07E92" w14:textId="0C8CE45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5</w:t>
            </w:r>
          </w:p>
        </w:tc>
        <w:tc>
          <w:tcPr>
            <w:tcW w:w="600" w:type="dxa"/>
            <w:tcBorders>
              <w:top w:val="nil"/>
              <w:left w:val="nil"/>
              <w:bottom w:val="nil"/>
              <w:right w:val="nil"/>
            </w:tcBorders>
            <w:shd w:val="clear" w:color="auto" w:fill="auto"/>
            <w:noWrap/>
            <w:hideMark/>
          </w:tcPr>
          <w:p w14:paraId="733477BC" w14:textId="355863D1" w:rsidR="00434928" w:rsidRPr="00E4527E" w:rsidRDefault="00434928" w:rsidP="000F6DC7">
            <w:pPr>
              <w:spacing w:before="20" w:after="20" w:line="240" w:lineRule="auto"/>
              <w:rPr>
                <w:sz w:val="14"/>
                <w:szCs w:val="14"/>
                <w:highlight w:val="yellow"/>
                <w:lang w:val="en-US" w:eastAsia="en-US"/>
              </w:rPr>
            </w:pPr>
            <w:r>
              <w:rPr>
                <w:color w:val="000000"/>
                <w:sz w:val="14"/>
                <w:szCs w:val="14"/>
              </w:rPr>
              <w:t>P03B</w:t>
            </w:r>
          </w:p>
        </w:tc>
        <w:tc>
          <w:tcPr>
            <w:tcW w:w="4637" w:type="dxa"/>
            <w:tcBorders>
              <w:top w:val="nil"/>
              <w:left w:val="nil"/>
              <w:bottom w:val="nil"/>
              <w:right w:val="nil"/>
            </w:tcBorders>
            <w:shd w:val="clear" w:color="auto" w:fill="auto"/>
            <w:noWrap/>
            <w:hideMark/>
          </w:tcPr>
          <w:p w14:paraId="3EE25930" w14:textId="088A9116" w:rsidR="00434928" w:rsidRPr="00E4527E" w:rsidRDefault="00434928" w:rsidP="000F6DC7">
            <w:pPr>
              <w:spacing w:before="20" w:after="20" w:line="240" w:lineRule="auto"/>
              <w:rPr>
                <w:sz w:val="14"/>
                <w:szCs w:val="14"/>
                <w:highlight w:val="yellow"/>
                <w:lang w:val="en-US" w:eastAsia="en-US"/>
              </w:rPr>
            </w:pPr>
            <w:r>
              <w:rPr>
                <w:color w:val="000000"/>
                <w:sz w:val="14"/>
                <w:szCs w:val="14"/>
              </w:rPr>
              <w:t>Neonate, AdmWt 1000-1499g W Significant GI/Vent&gt;=96hrs, Minor Complexity</w:t>
            </w:r>
          </w:p>
        </w:tc>
        <w:tc>
          <w:tcPr>
            <w:tcW w:w="962" w:type="dxa"/>
            <w:gridSpan w:val="2"/>
            <w:tcBorders>
              <w:top w:val="nil"/>
              <w:left w:val="nil"/>
              <w:bottom w:val="nil"/>
              <w:right w:val="nil"/>
            </w:tcBorders>
            <w:shd w:val="clear" w:color="auto" w:fill="auto"/>
            <w:noWrap/>
            <w:hideMark/>
          </w:tcPr>
          <w:p w14:paraId="0C8463E0" w14:textId="0175FFB3"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35.6</w:t>
            </w:r>
          </w:p>
        </w:tc>
        <w:tc>
          <w:tcPr>
            <w:tcW w:w="500" w:type="dxa"/>
            <w:gridSpan w:val="2"/>
            <w:tcBorders>
              <w:top w:val="nil"/>
              <w:left w:val="nil"/>
              <w:bottom w:val="nil"/>
              <w:right w:val="nil"/>
            </w:tcBorders>
            <w:shd w:val="clear" w:color="auto" w:fill="auto"/>
            <w:noWrap/>
            <w:hideMark/>
          </w:tcPr>
          <w:p w14:paraId="4DF84F42" w14:textId="5A8188F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4A056A5F" w14:textId="75F8535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57</w:t>
            </w:r>
          </w:p>
        </w:tc>
        <w:tc>
          <w:tcPr>
            <w:tcW w:w="691" w:type="dxa"/>
            <w:gridSpan w:val="2"/>
            <w:tcBorders>
              <w:top w:val="nil"/>
              <w:left w:val="nil"/>
              <w:bottom w:val="nil"/>
              <w:right w:val="nil"/>
            </w:tcBorders>
            <w:shd w:val="clear" w:color="auto" w:fill="auto"/>
            <w:noWrap/>
            <w:hideMark/>
          </w:tcPr>
          <w:p w14:paraId="4CCE9EB8" w14:textId="4C80A3B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19.34</w:t>
            </w:r>
          </w:p>
        </w:tc>
        <w:tc>
          <w:tcPr>
            <w:tcW w:w="839" w:type="dxa"/>
            <w:gridSpan w:val="2"/>
            <w:tcBorders>
              <w:top w:val="nil"/>
              <w:left w:val="nil"/>
              <w:bottom w:val="nil"/>
              <w:right w:val="nil"/>
            </w:tcBorders>
            <w:shd w:val="clear" w:color="auto" w:fill="auto"/>
            <w:noWrap/>
            <w:hideMark/>
          </w:tcPr>
          <w:p w14:paraId="2DABDB60" w14:textId="09AEDA2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46</w:t>
            </w:r>
          </w:p>
        </w:tc>
        <w:tc>
          <w:tcPr>
            <w:tcW w:w="884" w:type="dxa"/>
            <w:gridSpan w:val="2"/>
            <w:tcBorders>
              <w:top w:val="nil"/>
              <w:left w:val="nil"/>
              <w:bottom w:val="nil"/>
              <w:right w:val="nil"/>
            </w:tcBorders>
            <w:shd w:val="clear" w:color="auto" w:fill="auto"/>
            <w:noWrap/>
            <w:hideMark/>
          </w:tcPr>
          <w:p w14:paraId="350BC63F" w14:textId="1F45713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890</w:t>
            </w:r>
          </w:p>
        </w:tc>
        <w:tc>
          <w:tcPr>
            <w:tcW w:w="653" w:type="dxa"/>
            <w:gridSpan w:val="2"/>
            <w:tcBorders>
              <w:top w:val="nil"/>
              <w:left w:val="nil"/>
              <w:bottom w:val="nil"/>
              <w:right w:val="nil"/>
            </w:tcBorders>
            <w:shd w:val="clear" w:color="auto" w:fill="auto"/>
            <w:noWrap/>
            <w:hideMark/>
          </w:tcPr>
          <w:p w14:paraId="1FC12698" w14:textId="09144E9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2.34</w:t>
            </w:r>
          </w:p>
        </w:tc>
        <w:tc>
          <w:tcPr>
            <w:tcW w:w="653" w:type="dxa"/>
            <w:gridSpan w:val="2"/>
            <w:tcBorders>
              <w:top w:val="nil"/>
              <w:left w:val="nil"/>
              <w:bottom w:val="nil"/>
              <w:right w:val="nil"/>
            </w:tcBorders>
            <w:shd w:val="clear" w:color="auto" w:fill="auto"/>
            <w:noWrap/>
            <w:hideMark/>
          </w:tcPr>
          <w:p w14:paraId="4FF2688A" w14:textId="71BDF91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21A14F60" w14:textId="20C9AAC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446ED62A" w14:textId="2E2D91C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34.5</w:t>
            </w:r>
          </w:p>
        </w:tc>
        <w:tc>
          <w:tcPr>
            <w:tcW w:w="691" w:type="dxa"/>
            <w:gridSpan w:val="2"/>
            <w:tcBorders>
              <w:top w:val="nil"/>
              <w:left w:val="nil"/>
              <w:bottom w:val="nil"/>
              <w:right w:val="nil"/>
            </w:tcBorders>
            <w:shd w:val="clear" w:color="auto" w:fill="auto"/>
            <w:noWrap/>
            <w:hideMark/>
          </w:tcPr>
          <w:p w14:paraId="6B1ADD40" w14:textId="0E7C94E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10 </w:t>
            </w:r>
          </w:p>
        </w:tc>
        <w:tc>
          <w:tcPr>
            <w:tcW w:w="839" w:type="dxa"/>
            <w:gridSpan w:val="2"/>
            <w:tcBorders>
              <w:top w:val="nil"/>
              <w:left w:val="nil"/>
              <w:bottom w:val="nil"/>
              <w:right w:val="nil"/>
            </w:tcBorders>
            <w:shd w:val="clear" w:color="auto" w:fill="auto"/>
            <w:noWrap/>
            <w:hideMark/>
          </w:tcPr>
          <w:p w14:paraId="00A6D1D8" w14:textId="28D8E9C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1,654</w:t>
            </w:r>
          </w:p>
        </w:tc>
      </w:tr>
      <w:tr w:rsidR="00434928" w:rsidRPr="00E4527E" w14:paraId="438DFFD5"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4779C346" w14:textId="3297F8E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254531D4" w14:textId="6AA10DC1"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6</w:t>
            </w:r>
          </w:p>
        </w:tc>
        <w:tc>
          <w:tcPr>
            <w:tcW w:w="600" w:type="dxa"/>
            <w:tcBorders>
              <w:top w:val="nil"/>
              <w:left w:val="nil"/>
              <w:bottom w:val="nil"/>
              <w:right w:val="nil"/>
            </w:tcBorders>
            <w:shd w:val="clear" w:color="auto" w:fill="auto"/>
            <w:noWrap/>
            <w:hideMark/>
          </w:tcPr>
          <w:p w14:paraId="6A9568A1" w14:textId="027F3C16" w:rsidR="00434928" w:rsidRPr="00E4527E" w:rsidRDefault="00434928" w:rsidP="000F6DC7">
            <w:pPr>
              <w:spacing w:before="20" w:after="20" w:line="240" w:lineRule="auto"/>
              <w:rPr>
                <w:sz w:val="14"/>
                <w:szCs w:val="14"/>
                <w:highlight w:val="yellow"/>
                <w:lang w:val="en-US" w:eastAsia="en-US"/>
              </w:rPr>
            </w:pPr>
            <w:r>
              <w:rPr>
                <w:color w:val="000000"/>
                <w:sz w:val="14"/>
                <w:szCs w:val="14"/>
              </w:rPr>
              <w:t>P64A</w:t>
            </w:r>
          </w:p>
        </w:tc>
        <w:tc>
          <w:tcPr>
            <w:tcW w:w="4637" w:type="dxa"/>
            <w:tcBorders>
              <w:top w:val="nil"/>
              <w:left w:val="nil"/>
              <w:bottom w:val="nil"/>
              <w:right w:val="nil"/>
            </w:tcBorders>
            <w:shd w:val="clear" w:color="auto" w:fill="auto"/>
            <w:noWrap/>
            <w:hideMark/>
          </w:tcPr>
          <w:p w14:paraId="00DBE7CC" w14:textId="7A6A7BB6" w:rsidR="00434928" w:rsidRPr="00E4527E" w:rsidRDefault="00434928" w:rsidP="000F6DC7">
            <w:pPr>
              <w:spacing w:before="20" w:after="20" w:line="240" w:lineRule="auto"/>
              <w:rPr>
                <w:sz w:val="14"/>
                <w:szCs w:val="14"/>
                <w:highlight w:val="yellow"/>
                <w:lang w:val="en-US" w:eastAsia="en-US"/>
              </w:rPr>
            </w:pPr>
            <w:r>
              <w:rPr>
                <w:color w:val="000000"/>
                <w:sz w:val="14"/>
                <w:szCs w:val="14"/>
              </w:rPr>
              <w:t>Neonate, AdmWt 1250-1499g W/O Significant GI/Vent&gt;=96hrs, Major Complexity</w:t>
            </w:r>
          </w:p>
        </w:tc>
        <w:tc>
          <w:tcPr>
            <w:tcW w:w="962" w:type="dxa"/>
            <w:gridSpan w:val="2"/>
            <w:tcBorders>
              <w:top w:val="nil"/>
              <w:left w:val="nil"/>
              <w:bottom w:val="nil"/>
              <w:right w:val="nil"/>
            </w:tcBorders>
            <w:shd w:val="clear" w:color="auto" w:fill="auto"/>
            <w:noWrap/>
            <w:hideMark/>
          </w:tcPr>
          <w:p w14:paraId="0F582187" w14:textId="71998731"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35.3</w:t>
            </w:r>
          </w:p>
        </w:tc>
        <w:tc>
          <w:tcPr>
            <w:tcW w:w="500" w:type="dxa"/>
            <w:gridSpan w:val="2"/>
            <w:tcBorders>
              <w:top w:val="nil"/>
              <w:left w:val="nil"/>
              <w:bottom w:val="nil"/>
              <w:right w:val="nil"/>
            </w:tcBorders>
            <w:shd w:val="clear" w:color="auto" w:fill="auto"/>
            <w:noWrap/>
            <w:hideMark/>
          </w:tcPr>
          <w:p w14:paraId="430AF629" w14:textId="392A158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w:t>
            </w:r>
          </w:p>
        </w:tc>
        <w:tc>
          <w:tcPr>
            <w:tcW w:w="653" w:type="dxa"/>
            <w:gridSpan w:val="2"/>
            <w:tcBorders>
              <w:top w:val="nil"/>
              <w:left w:val="nil"/>
              <w:bottom w:val="nil"/>
              <w:right w:val="nil"/>
            </w:tcBorders>
            <w:shd w:val="clear" w:color="auto" w:fill="auto"/>
            <w:noWrap/>
            <w:hideMark/>
          </w:tcPr>
          <w:p w14:paraId="16925821" w14:textId="75C06C7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58</w:t>
            </w:r>
          </w:p>
        </w:tc>
        <w:tc>
          <w:tcPr>
            <w:tcW w:w="691" w:type="dxa"/>
            <w:gridSpan w:val="2"/>
            <w:tcBorders>
              <w:top w:val="nil"/>
              <w:left w:val="nil"/>
              <w:bottom w:val="nil"/>
              <w:right w:val="nil"/>
            </w:tcBorders>
            <w:shd w:val="clear" w:color="auto" w:fill="auto"/>
            <w:noWrap/>
            <w:hideMark/>
          </w:tcPr>
          <w:p w14:paraId="074BA1E3" w14:textId="1BDD394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16.93</w:t>
            </w:r>
          </w:p>
        </w:tc>
        <w:tc>
          <w:tcPr>
            <w:tcW w:w="839" w:type="dxa"/>
            <w:gridSpan w:val="2"/>
            <w:tcBorders>
              <w:top w:val="nil"/>
              <w:left w:val="nil"/>
              <w:bottom w:val="nil"/>
              <w:right w:val="nil"/>
            </w:tcBorders>
            <w:shd w:val="clear" w:color="auto" w:fill="auto"/>
            <w:noWrap/>
            <w:hideMark/>
          </w:tcPr>
          <w:p w14:paraId="7B8E4845" w14:textId="05E5E27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w:t>
            </w:r>
          </w:p>
        </w:tc>
        <w:tc>
          <w:tcPr>
            <w:tcW w:w="884" w:type="dxa"/>
            <w:gridSpan w:val="2"/>
            <w:tcBorders>
              <w:top w:val="nil"/>
              <w:left w:val="nil"/>
              <w:bottom w:val="nil"/>
              <w:right w:val="nil"/>
            </w:tcBorders>
            <w:shd w:val="clear" w:color="auto" w:fill="auto"/>
            <w:noWrap/>
            <w:hideMark/>
          </w:tcPr>
          <w:p w14:paraId="1C7771DC" w14:textId="4F2A3CA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271</w:t>
            </w:r>
          </w:p>
        </w:tc>
        <w:tc>
          <w:tcPr>
            <w:tcW w:w="653" w:type="dxa"/>
            <w:gridSpan w:val="2"/>
            <w:tcBorders>
              <w:top w:val="nil"/>
              <w:left w:val="nil"/>
              <w:bottom w:val="nil"/>
              <w:right w:val="nil"/>
            </w:tcBorders>
            <w:shd w:val="clear" w:color="auto" w:fill="auto"/>
            <w:noWrap/>
            <w:hideMark/>
          </w:tcPr>
          <w:p w14:paraId="2D57C2E4" w14:textId="47BC49D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3.32</w:t>
            </w:r>
          </w:p>
        </w:tc>
        <w:tc>
          <w:tcPr>
            <w:tcW w:w="653" w:type="dxa"/>
            <w:gridSpan w:val="2"/>
            <w:tcBorders>
              <w:top w:val="nil"/>
              <w:left w:val="nil"/>
              <w:bottom w:val="nil"/>
              <w:right w:val="nil"/>
            </w:tcBorders>
            <w:shd w:val="clear" w:color="auto" w:fill="auto"/>
            <w:noWrap/>
            <w:hideMark/>
          </w:tcPr>
          <w:p w14:paraId="1ADC60A0" w14:textId="1FEEF9F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13738BA8" w14:textId="564384D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52C161FB" w14:textId="54437E6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42.5</w:t>
            </w:r>
          </w:p>
        </w:tc>
        <w:tc>
          <w:tcPr>
            <w:tcW w:w="691" w:type="dxa"/>
            <w:gridSpan w:val="2"/>
            <w:tcBorders>
              <w:top w:val="nil"/>
              <w:left w:val="nil"/>
              <w:bottom w:val="nil"/>
              <w:right w:val="nil"/>
            </w:tcBorders>
            <w:shd w:val="clear" w:color="auto" w:fill="auto"/>
            <w:noWrap/>
            <w:hideMark/>
          </w:tcPr>
          <w:p w14:paraId="5FD8ABA1" w14:textId="4E69D9A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3 </w:t>
            </w:r>
          </w:p>
        </w:tc>
        <w:tc>
          <w:tcPr>
            <w:tcW w:w="839" w:type="dxa"/>
            <w:gridSpan w:val="2"/>
            <w:tcBorders>
              <w:top w:val="nil"/>
              <w:left w:val="nil"/>
              <w:bottom w:val="nil"/>
              <w:right w:val="nil"/>
            </w:tcBorders>
            <w:shd w:val="clear" w:color="auto" w:fill="auto"/>
            <w:noWrap/>
            <w:hideMark/>
          </w:tcPr>
          <w:p w14:paraId="163D2A57" w14:textId="4259ADC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553</w:t>
            </w:r>
          </w:p>
        </w:tc>
      </w:tr>
      <w:tr w:rsidR="00434928" w:rsidRPr="00E4527E" w14:paraId="09AE1F71"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399C5902" w14:textId="463B322A"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3E0F7845" w14:textId="6ED60487"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7</w:t>
            </w:r>
          </w:p>
        </w:tc>
        <w:tc>
          <w:tcPr>
            <w:tcW w:w="600" w:type="dxa"/>
            <w:tcBorders>
              <w:top w:val="nil"/>
              <w:left w:val="nil"/>
              <w:bottom w:val="nil"/>
              <w:right w:val="nil"/>
            </w:tcBorders>
            <w:shd w:val="clear" w:color="auto" w:fill="auto"/>
            <w:noWrap/>
            <w:hideMark/>
          </w:tcPr>
          <w:p w14:paraId="7285C109" w14:textId="65CB6DF2" w:rsidR="00434928" w:rsidRPr="00E4527E" w:rsidRDefault="00434928" w:rsidP="000F6DC7">
            <w:pPr>
              <w:spacing w:before="20" w:after="20" w:line="240" w:lineRule="auto"/>
              <w:rPr>
                <w:sz w:val="14"/>
                <w:szCs w:val="14"/>
                <w:highlight w:val="yellow"/>
                <w:lang w:val="en-US" w:eastAsia="en-US"/>
              </w:rPr>
            </w:pPr>
            <w:r>
              <w:rPr>
                <w:color w:val="000000"/>
                <w:sz w:val="14"/>
                <w:szCs w:val="14"/>
              </w:rPr>
              <w:t>I02A</w:t>
            </w:r>
          </w:p>
        </w:tc>
        <w:tc>
          <w:tcPr>
            <w:tcW w:w="4637" w:type="dxa"/>
            <w:tcBorders>
              <w:top w:val="nil"/>
              <w:left w:val="nil"/>
              <w:bottom w:val="nil"/>
              <w:right w:val="nil"/>
            </w:tcBorders>
            <w:shd w:val="clear" w:color="auto" w:fill="auto"/>
            <w:noWrap/>
            <w:hideMark/>
          </w:tcPr>
          <w:p w14:paraId="104B6B89" w14:textId="379A639A" w:rsidR="00434928" w:rsidRPr="00E4527E" w:rsidRDefault="00434928" w:rsidP="000F6DC7">
            <w:pPr>
              <w:spacing w:before="20" w:after="20" w:line="240" w:lineRule="auto"/>
              <w:rPr>
                <w:sz w:val="14"/>
                <w:szCs w:val="14"/>
                <w:highlight w:val="yellow"/>
                <w:lang w:val="en-US" w:eastAsia="en-US"/>
              </w:rPr>
            </w:pPr>
            <w:r>
              <w:rPr>
                <w:color w:val="000000"/>
                <w:sz w:val="14"/>
                <w:szCs w:val="14"/>
              </w:rPr>
              <w:t>Microvascular Tissue Transfers or Skin Grafts, Excluding Hand, Major Complexity</w:t>
            </w:r>
          </w:p>
        </w:tc>
        <w:tc>
          <w:tcPr>
            <w:tcW w:w="962" w:type="dxa"/>
            <w:gridSpan w:val="2"/>
            <w:tcBorders>
              <w:top w:val="nil"/>
              <w:left w:val="nil"/>
              <w:bottom w:val="nil"/>
              <w:right w:val="nil"/>
            </w:tcBorders>
            <w:shd w:val="clear" w:color="auto" w:fill="auto"/>
            <w:noWrap/>
            <w:hideMark/>
          </w:tcPr>
          <w:p w14:paraId="38692496" w14:textId="4C222B49"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34.3</w:t>
            </w:r>
          </w:p>
        </w:tc>
        <w:tc>
          <w:tcPr>
            <w:tcW w:w="500" w:type="dxa"/>
            <w:gridSpan w:val="2"/>
            <w:tcBorders>
              <w:top w:val="nil"/>
              <w:left w:val="nil"/>
              <w:bottom w:val="nil"/>
              <w:right w:val="nil"/>
            </w:tcBorders>
            <w:shd w:val="clear" w:color="auto" w:fill="auto"/>
            <w:noWrap/>
            <w:hideMark/>
          </w:tcPr>
          <w:p w14:paraId="34AD62B6" w14:textId="12FCC13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w:t>
            </w:r>
          </w:p>
        </w:tc>
        <w:tc>
          <w:tcPr>
            <w:tcW w:w="653" w:type="dxa"/>
            <w:gridSpan w:val="2"/>
            <w:tcBorders>
              <w:top w:val="nil"/>
              <w:left w:val="nil"/>
              <w:bottom w:val="nil"/>
              <w:right w:val="nil"/>
            </w:tcBorders>
            <w:shd w:val="clear" w:color="auto" w:fill="auto"/>
            <w:noWrap/>
            <w:hideMark/>
          </w:tcPr>
          <w:p w14:paraId="7AB0C03F" w14:textId="69010AD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99</w:t>
            </w:r>
          </w:p>
        </w:tc>
        <w:tc>
          <w:tcPr>
            <w:tcW w:w="691" w:type="dxa"/>
            <w:gridSpan w:val="2"/>
            <w:tcBorders>
              <w:top w:val="nil"/>
              <w:left w:val="nil"/>
              <w:bottom w:val="nil"/>
              <w:right w:val="nil"/>
            </w:tcBorders>
            <w:shd w:val="clear" w:color="auto" w:fill="auto"/>
            <w:noWrap/>
            <w:hideMark/>
          </w:tcPr>
          <w:p w14:paraId="69CC32CF" w14:textId="724485D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15.04</w:t>
            </w:r>
          </w:p>
        </w:tc>
        <w:tc>
          <w:tcPr>
            <w:tcW w:w="839" w:type="dxa"/>
            <w:gridSpan w:val="2"/>
            <w:tcBorders>
              <w:top w:val="nil"/>
              <w:left w:val="nil"/>
              <w:bottom w:val="nil"/>
              <w:right w:val="nil"/>
            </w:tcBorders>
            <w:shd w:val="clear" w:color="auto" w:fill="auto"/>
            <w:noWrap/>
            <w:hideMark/>
          </w:tcPr>
          <w:p w14:paraId="59C62E34" w14:textId="10BDA69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59</w:t>
            </w:r>
          </w:p>
        </w:tc>
        <w:tc>
          <w:tcPr>
            <w:tcW w:w="884" w:type="dxa"/>
            <w:gridSpan w:val="2"/>
            <w:tcBorders>
              <w:top w:val="nil"/>
              <w:left w:val="nil"/>
              <w:bottom w:val="nil"/>
              <w:right w:val="nil"/>
            </w:tcBorders>
            <w:shd w:val="clear" w:color="auto" w:fill="auto"/>
            <w:noWrap/>
            <w:hideMark/>
          </w:tcPr>
          <w:p w14:paraId="22E75629" w14:textId="26DF4C3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887</w:t>
            </w:r>
          </w:p>
        </w:tc>
        <w:tc>
          <w:tcPr>
            <w:tcW w:w="653" w:type="dxa"/>
            <w:gridSpan w:val="2"/>
            <w:tcBorders>
              <w:top w:val="nil"/>
              <w:left w:val="nil"/>
              <w:bottom w:val="nil"/>
              <w:right w:val="nil"/>
            </w:tcBorders>
            <w:shd w:val="clear" w:color="auto" w:fill="auto"/>
            <w:noWrap/>
            <w:hideMark/>
          </w:tcPr>
          <w:p w14:paraId="1FE1317F" w14:textId="3067CC7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1.31</w:t>
            </w:r>
          </w:p>
        </w:tc>
        <w:tc>
          <w:tcPr>
            <w:tcW w:w="653" w:type="dxa"/>
            <w:gridSpan w:val="2"/>
            <w:tcBorders>
              <w:top w:val="nil"/>
              <w:left w:val="nil"/>
              <w:bottom w:val="nil"/>
              <w:right w:val="nil"/>
            </w:tcBorders>
            <w:shd w:val="clear" w:color="auto" w:fill="auto"/>
            <w:noWrap/>
            <w:hideMark/>
          </w:tcPr>
          <w:p w14:paraId="1D349D5F" w14:textId="68C93C4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0685FCE3" w14:textId="640CB8B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5D434CDB" w14:textId="392794E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51.5</w:t>
            </w:r>
          </w:p>
        </w:tc>
        <w:tc>
          <w:tcPr>
            <w:tcW w:w="691" w:type="dxa"/>
            <w:gridSpan w:val="2"/>
            <w:tcBorders>
              <w:top w:val="nil"/>
              <w:left w:val="nil"/>
              <w:bottom w:val="nil"/>
              <w:right w:val="nil"/>
            </w:tcBorders>
            <w:shd w:val="clear" w:color="auto" w:fill="auto"/>
            <w:noWrap/>
            <w:hideMark/>
          </w:tcPr>
          <w:p w14:paraId="79E856D4" w14:textId="6FEF6F9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2 </w:t>
            </w:r>
          </w:p>
        </w:tc>
        <w:tc>
          <w:tcPr>
            <w:tcW w:w="839" w:type="dxa"/>
            <w:gridSpan w:val="2"/>
            <w:tcBorders>
              <w:top w:val="nil"/>
              <w:left w:val="nil"/>
              <w:bottom w:val="nil"/>
              <w:right w:val="nil"/>
            </w:tcBorders>
            <w:shd w:val="clear" w:color="auto" w:fill="auto"/>
            <w:noWrap/>
            <w:hideMark/>
          </w:tcPr>
          <w:p w14:paraId="61580B15" w14:textId="4FF9565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2,016</w:t>
            </w:r>
          </w:p>
        </w:tc>
      </w:tr>
      <w:tr w:rsidR="00434928" w:rsidRPr="00E4527E" w14:paraId="5DE4AD22"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77F8DA5C" w14:textId="004D0B5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20DDF0FD" w14:textId="0AF9BA3B"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8</w:t>
            </w:r>
          </w:p>
        </w:tc>
        <w:tc>
          <w:tcPr>
            <w:tcW w:w="600" w:type="dxa"/>
            <w:tcBorders>
              <w:top w:val="nil"/>
              <w:left w:val="nil"/>
              <w:bottom w:val="nil"/>
              <w:right w:val="nil"/>
            </w:tcBorders>
            <w:shd w:val="clear" w:color="auto" w:fill="auto"/>
            <w:noWrap/>
            <w:hideMark/>
          </w:tcPr>
          <w:p w14:paraId="7D72CD3C" w14:textId="654E9A8D" w:rsidR="00434928" w:rsidRPr="00E4527E" w:rsidRDefault="00434928" w:rsidP="000F6DC7">
            <w:pPr>
              <w:spacing w:before="20" w:after="20" w:line="240" w:lineRule="auto"/>
              <w:rPr>
                <w:sz w:val="14"/>
                <w:szCs w:val="14"/>
                <w:highlight w:val="yellow"/>
                <w:lang w:val="en-US" w:eastAsia="en-US"/>
              </w:rPr>
            </w:pPr>
            <w:r>
              <w:rPr>
                <w:color w:val="000000"/>
                <w:sz w:val="14"/>
                <w:szCs w:val="14"/>
              </w:rPr>
              <w:t>B83A</w:t>
            </w:r>
          </w:p>
        </w:tc>
        <w:tc>
          <w:tcPr>
            <w:tcW w:w="4637" w:type="dxa"/>
            <w:tcBorders>
              <w:top w:val="nil"/>
              <w:left w:val="nil"/>
              <w:bottom w:val="nil"/>
              <w:right w:val="nil"/>
            </w:tcBorders>
            <w:shd w:val="clear" w:color="auto" w:fill="auto"/>
            <w:noWrap/>
            <w:hideMark/>
          </w:tcPr>
          <w:p w14:paraId="383860E5" w14:textId="7AD8A78F" w:rsidR="00434928" w:rsidRPr="00E4527E" w:rsidRDefault="00434928" w:rsidP="000F6DC7">
            <w:pPr>
              <w:spacing w:before="20" w:after="20" w:line="240" w:lineRule="auto"/>
              <w:rPr>
                <w:sz w:val="14"/>
                <w:szCs w:val="14"/>
                <w:highlight w:val="yellow"/>
                <w:lang w:val="en-US" w:eastAsia="en-US"/>
              </w:rPr>
            </w:pPr>
            <w:r>
              <w:rPr>
                <w:color w:val="000000"/>
                <w:sz w:val="14"/>
                <w:szCs w:val="14"/>
              </w:rPr>
              <w:t>Acute Paraplegia and Quadriplegia and Spinal Cord Conditions, Major Complexity</w:t>
            </w:r>
          </w:p>
        </w:tc>
        <w:tc>
          <w:tcPr>
            <w:tcW w:w="962" w:type="dxa"/>
            <w:gridSpan w:val="2"/>
            <w:tcBorders>
              <w:top w:val="nil"/>
              <w:left w:val="nil"/>
              <w:bottom w:val="nil"/>
              <w:right w:val="nil"/>
            </w:tcBorders>
            <w:shd w:val="clear" w:color="auto" w:fill="auto"/>
            <w:noWrap/>
            <w:hideMark/>
          </w:tcPr>
          <w:p w14:paraId="65EA12D2" w14:textId="10DEFB0E"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34.1</w:t>
            </w:r>
          </w:p>
        </w:tc>
        <w:tc>
          <w:tcPr>
            <w:tcW w:w="500" w:type="dxa"/>
            <w:gridSpan w:val="2"/>
            <w:tcBorders>
              <w:top w:val="nil"/>
              <w:left w:val="nil"/>
              <w:bottom w:val="nil"/>
              <w:right w:val="nil"/>
            </w:tcBorders>
            <w:shd w:val="clear" w:color="auto" w:fill="auto"/>
            <w:noWrap/>
            <w:hideMark/>
          </w:tcPr>
          <w:p w14:paraId="5FE0F620" w14:textId="48FB092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544F22C8" w14:textId="030DDA2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383</w:t>
            </w:r>
          </w:p>
        </w:tc>
        <w:tc>
          <w:tcPr>
            <w:tcW w:w="691" w:type="dxa"/>
            <w:gridSpan w:val="2"/>
            <w:tcBorders>
              <w:top w:val="nil"/>
              <w:left w:val="nil"/>
              <w:bottom w:val="nil"/>
              <w:right w:val="nil"/>
            </w:tcBorders>
            <w:shd w:val="clear" w:color="auto" w:fill="auto"/>
            <w:noWrap/>
            <w:hideMark/>
          </w:tcPr>
          <w:p w14:paraId="7AF647D7" w14:textId="7A4A329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8.62</w:t>
            </w:r>
          </w:p>
        </w:tc>
        <w:tc>
          <w:tcPr>
            <w:tcW w:w="839" w:type="dxa"/>
            <w:gridSpan w:val="2"/>
            <w:tcBorders>
              <w:top w:val="nil"/>
              <w:left w:val="nil"/>
              <w:bottom w:val="nil"/>
              <w:right w:val="nil"/>
            </w:tcBorders>
            <w:shd w:val="clear" w:color="auto" w:fill="auto"/>
            <w:noWrap/>
            <w:hideMark/>
          </w:tcPr>
          <w:p w14:paraId="552F069B" w14:textId="677FB58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54</w:t>
            </w:r>
          </w:p>
        </w:tc>
        <w:tc>
          <w:tcPr>
            <w:tcW w:w="884" w:type="dxa"/>
            <w:gridSpan w:val="2"/>
            <w:tcBorders>
              <w:top w:val="nil"/>
              <w:left w:val="nil"/>
              <w:bottom w:val="nil"/>
              <w:right w:val="nil"/>
            </w:tcBorders>
            <w:shd w:val="clear" w:color="auto" w:fill="auto"/>
            <w:noWrap/>
            <w:hideMark/>
          </w:tcPr>
          <w:p w14:paraId="081D39C2" w14:textId="6E8E074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465</w:t>
            </w:r>
          </w:p>
        </w:tc>
        <w:tc>
          <w:tcPr>
            <w:tcW w:w="653" w:type="dxa"/>
            <w:gridSpan w:val="2"/>
            <w:tcBorders>
              <w:top w:val="nil"/>
              <w:left w:val="nil"/>
              <w:bottom w:val="nil"/>
              <w:right w:val="nil"/>
            </w:tcBorders>
            <w:shd w:val="clear" w:color="auto" w:fill="auto"/>
            <w:noWrap/>
            <w:hideMark/>
          </w:tcPr>
          <w:p w14:paraId="643D8BF6" w14:textId="6711615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2.51</w:t>
            </w:r>
          </w:p>
        </w:tc>
        <w:tc>
          <w:tcPr>
            <w:tcW w:w="653" w:type="dxa"/>
            <w:gridSpan w:val="2"/>
            <w:tcBorders>
              <w:top w:val="nil"/>
              <w:left w:val="nil"/>
              <w:bottom w:val="nil"/>
              <w:right w:val="nil"/>
            </w:tcBorders>
            <w:shd w:val="clear" w:color="auto" w:fill="auto"/>
            <w:noWrap/>
            <w:hideMark/>
          </w:tcPr>
          <w:p w14:paraId="282F36F5" w14:textId="0E3A16D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365C1FA2" w14:textId="092A916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07366066" w14:textId="61AC99F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13.8</w:t>
            </w:r>
          </w:p>
        </w:tc>
        <w:tc>
          <w:tcPr>
            <w:tcW w:w="691" w:type="dxa"/>
            <w:gridSpan w:val="2"/>
            <w:tcBorders>
              <w:top w:val="nil"/>
              <w:left w:val="nil"/>
              <w:bottom w:val="nil"/>
              <w:right w:val="nil"/>
            </w:tcBorders>
            <w:shd w:val="clear" w:color="auto" w:fill="auto"/>
            <w:noWrap/>
            <w:hideMark/>
          </w:tcPr>
          <w:p w14:paraId="4C1CD4AA" w14:textId="3A89A1C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121 </w:t>
            </w:r>
          </w:p>
        </w:tc>
        <w:tc>
          <w:tcPr>
            <w:tcW w:w="839" w:type="dxa"/>
            <w:gridSpan w:val="2"/>
            <w:tcBorders>
              <w:top w:val="nil"/>
              <w:left w:val="nil"/>
              <w:bottom w:val="nil"/>
              <w:right w:val="nil"/>
            </w:tcBorders>
            <w:shd w:val="clear" w:color="auto" w:fill="auto"/>
            <w:noWrap/>
            <w:hideMark/>
          </w:tcPr>
          <w:p w14:paraId="09174CA9" w14:textId="69BCEFB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1,827</w:t>
            </w:r>
          </w:p>
        </w:tc>
      </w:tr>
      <w:tr w:rsidR="00434928" w:rsidRPr="00E4527E" w14:paraId="510BC86B"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28D2E4F8" w14:textId="63ECB6C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3DA6BBFC" w14:textId="49B63832"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9</w:t>
            </w:r>
          </w:p>
        </w:tc>
        <w:tc>
          <w:tcPr>
            <w:tcW w:w="600" w:type="dxa"/>
            <w:tcBorders>
              <w:top w:val="nil"/>
              <w:left w:val="nil"/>
              <w:bottom w:val="nil"/>
              <w:right w:val="nil"/>
            </w:tcBorders>
            <w:shd w:val="clear" w:color="auto" w:fill="auto"/>
            <w:noWrap/>
            <w:hideMark/>
          </w:tcPr>
          <w:p w14:paraId="40868DBC" w14:textId="276936D6" w:rsidR="00434928" w:rsidRPr="00E4527E" w:rsidRDefault="00434928" w:rsidP="000F6DC7">
            <w:pPr>
              <w:spacing w:before="20" w:after="20" w:line="240" w:lineRule="auto"/>
              <w:rPr>
                <w:sz w:val="14"/>
                <w:szCs w:val="14"/>
                <w:highlight w:val="yellow"/>
                <w:lang w:val="en-US" w:eastAsia="en-US"/>
              </w:rPr>
            </w:pPr>
            <w:r>
              <w:rPr>
                <w:color w:val="000000"/>
                <w:sz w:val="14"/>
                <w:szCs w:val="14"/>
              </w:rPr>
              <w:t>G01A</w:t>
            </w:r>
          </w:p>
        </w:tc>
        <w:tc>
          <w:tcPr>
            <w:tcW w:w="4637" w:type="dxa"/>
            <w:tcBorders>
              <w:top w:val="nil"/>
              <w:left w:val="nil"/>
              <w:bottom w:val="nil"/>
              <w:right w:val="nil"/>
            </w:tcBorders>
            <w:shd w:val="clear" w:color="auto" w:fill="auto"/>
            <w:noWrap/>
            <w:hideMark/>
          </w:tcPr>
          <w:p w14:paraId="04F84150" w14:textId="0C1AFE76" w:rsidR="00434928" w:rsidRPr="00E4527E" w:rsidRDefault="00434928" w:rsidP="000F6DC7">
            <w:pPr>
              <w:spacing w:before="20" w:after="20" w:line="240" w:lineRule="auto"/>
              <w:rPr>
                <w:sz w:val="14"/>
                <w:szCs w:val="14"/>
                <w:highlight w:val="yellow"/>
                <w:lang w:val="en-US" w:eastAsia="en-US"/>
              </w:rPr>
            </w:pPr>
            <w:r>
              <w:rPr>
                <w:color w:val="000000"/>
                <w:sz w:val="14"/>
                <w:szCs w:val="14"/>
              </w:rPr>
              <w:t>Rectal Resection, Major Complexity</w:t>
            </w:r>
          </w:p>
        </w:tc>
        <w:tc>
          <w:tcPr>
            <w:tcW w:w="962" w:type="dxa"/>
            <w:gridSpan w:val="2"/>
            <w:tcBorders>
              <w:top w:val="nil"/>
              <w:left w:val="nil"/>
              <w:bottom w:val="nil"/>
              <w:right w:val="nil"/>
            </w:tcBorders>
            <w:shd w:val="clear" w:color="auto" w:fill="auto"/>
            <w:noWrap/>
            <w:hideMark/>
          </w:tcPr>
          <w:p w14:paraId="42EE4FA3" w14:textId="6A38B4B0"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32.1</w:t>
            </w:r>
          </w:p>
        </w:tc>
        <w:tc>
          <w:tcPr>
            <w:tcW w:w="500" w:type="dxa"/>
            <w:gridSpan w:val="2"/>
            <w:tcBorders>
              <w:top w:val="nil"/>
              <w:left w:val="nil"/>
              <w:bottom w:val="nil"/>
              <w:right w:val="nil"/>
            </w:tcBorders>
            <w:shd w:val="clear" w:color="auto" w:fill="auto"/>
            <w:noWrap/>
            <w:hideMark/>
          </w:tcPr>
          <w:p w14:paraId="4B71F52F" w14:textId="5DA81D2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w:t>
            </w:r>
          </w:p>
        </w:tc>
        <w:tc>
          <w:tcPr>
            <w:tcW w:w="653" w:type="dxa"/>
            <w:gridSpan w:val="2"/>
            <w:tcBorders>
              <w:top w:val="nil"/>
              <w:left w:val="nil"/>
              <w:bottom w:val="nil"/>
              <w:right w:val="nil"/>
            </w:tcBorders>
            <w:shd w:val="clear" w:color="auto" w:fill="auto"/>
            <w:noWrap/>
            <w:hideMark/>
          </w:tcPr>
          <w:p w14:paraId="6DD7E529" w14:textId="1AAFC1C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112</w:t>
            </w:r>
          </w:p>
        </w:tc>
        <w:tc>
          <w:tcPr>
            <w:tcW w:w="691" w:type="dxa"/>
            <w:gridSpan w:val="2"/>
            <w:tcBorders>
              <w:top w:val="nil"/>
              <w:left w:val="nil"/>
              <w:bottom w:val="nil"/>
              <w:right w:val="nil"/>
            </w:tcBorders>
            <w:shd w:val="clear" w:color="auto" w:fill="auto"/>
            <w:noWrap/>
            <w:hideMark/>
          </w:tcPr>
          <w:p w14:paraId="0E7F54FA" w14:textId="5BDED87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14.00</w:t>
            </w:r>
          </w:p>
        </w:tc>
        <w:tc>
          <w:tcPr>
            <w:tcW w:w="839" w:type="dxa"/>
            <w:gridSpan w:val="2"/>
            <w:tcBorders>
              <w:top w:val="nil"/>
              <w:left w:val="nil"/>
              <w:bottom w:val="nil"/>
              <w:right w:val="nil"/>
            </w:tcBorders>
            <w:shd w:val="clear" w:color="auto" w:fill="auto"/>
            <w:noWrap/>
            <w:hideMark/>
          </w:tcPr>
          <w:p w14:paraId="45EBB0B2" w14:textId="3B469C1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285</w:t>
            </w:r>
          </w:p>
        </w:tc>
        <w:tc>
          <w:tcPr>
            <w:tcW w:w="884" w:type="dxa"/>
            <w:gridSpan w:val="2"/>
            <w:tcBorders>
              <w:top w:val="nil"/>
              <w:left w:val="nil"/>
              <w:bottom w:val="nil"/>
              <w:right w:val="nil"/>
            </w:tcBorders>
            <w:shd w:val="clear" w:color="auto" w:fill="auto"/>
            <w:noWrap/>
            <w:hideMark/>
          </w:tcPr>
          <w:p w14:paraId="7DE66724" w14:textId="5B79B96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3,990</w:t>
            </w:r>
          </w:p>
        </w:tc>
        <w:tc>
          <w:tcPr>
            <w:tcW w:w="653" w:type="dxa"/>
            <w:gridSpan w:val="2"/>
            <w:tcBorders>
              <w:top w:val="nil"/>
              <w:left w:val="nil"/>
              <w:bottom w:val="nil"/>
              <w:right w:val="nil"/>
            </w:tcBorders>
            <w:shd w:val="clear" w:color="auto" w:fill="auto"/>
            <w:noWrap/>
            <w:hideMark/>
          </w:tcPr>
          <w:p w14:paraId="0B0FBF0D" w14:textId="5B5AFE2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0.66</w:t>
            </w:r>
          </w:p>
        </w:tc>
        <w:tc>
          <w:tcPr>
            <w:tcW w:w="653" w:type="dxa"/>
            <w:gridSpan w:val="2"/>
            <w:tcBorders>
              <w:top w:val="nil"/>
              <w:left w:val="nil"/>
              <w:bottom w:val="nil"/>
              <w:right w:val="nil"/>
            </w:tcBorders>
            <w:shd w:val="clear" w:color="auto" w:fill="auto"/>
            <w:noWrap/>
            <w:hideMark/>
          </w:tcPr>
          <w:p w14:paraId="762109A5" w14:textId="47939CC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6C7BFA6C" w14:textId="38BF881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w:t>
            </w:r>
          </w:p>
        </w:tc>
        <w:tc>
          <w:tcPr>
            <w:tcW w:w="691" w:type="dxa"/>
            <w:gridSpan w:val="2"/>
            <w:tcBorders>
              <w:top w:val="nil"/>
              <w:left w:val="nil"/>
              <w:bottom w:val="nil"/>
              <w:right w:val="nil"/>
            </w:tcBorders>
            <w:shd w:val="clear" w:color="auto" w:fill="auto"/>
            <w:noWrap/>
            <w:hideMark/>
          </w:tcPr>
          <w:p w14:paraId="6B42E842" w14:textId="44298C5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25.3</w:t>
            </w:r>
          </w:p>
        </w:tc>
        <w:tc>
          <w:tcPr>
            <w:tcW w:w="691" w:type="dxa"/>
            <w:gridSpan w:val="2"/>
            <w:tcBorders>
              <w:top w:val="nil"/>
              <w:left w:val="nil"/>
              <w:bottom w:val="nil"/>
              <w:right w:val="nil"/>
            </w:tcBorders>
            <w:shd w:val="clear" w:color="auto" w:fill="auto"/>
            <w:noWrap/>
            <w:hideMark/>
          </w:tcPr>
          <w:p w14:paraId="00D522E4" w14:textId="010CE7F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25 </w:t>
            </w:r>
          </w:p>
        </w:tc>
        <w:tc>
          <w:tcPr>
            <w:tcW w:w="839" w:type="dxa"/>
            <w:gridSpan w:val="2"/>
            <w:tcBorders>
              <w:top w:val="nil"/>
              <w:left w:val="nil"/>
              <w:bottom w:val="nil"/>
              <w:right w:val="nil"/>
            </w:tcBorders>
            <w:shd w:val="clear" w:color="auto" w:fill="auto"/>
            <w:noWrap/>
            <w:hideMark/>
          </w:tcPr>
          <w:p w14:paraId="0BA8427F" w14:textId="1A07492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9,161</w:t>
            </w:r>
          </w:p>
        </w:tc>
      </w:tr>
      <w:tr w:rsidR="00434928" w:rsidRPr="00E4527E" w14:paraId="79211039"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4C14A4BF" w14:textId="27F40054"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4F011CE3" w14:textId="3705E45C"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10</w:t>
            </w:r>
          </w:p>
        </w:tc>
        <w:tc>
          <w:tcPr>
            <w:tcW w:w="600" w:type="dxa"/>
            <w:tcBorders>
              <w:top w:val="nil"/>
              <w:left w:val="nil"/>
              <w:bottom w:val="nil"/>
              <w:right w:val="nil"/>
            </w:tcBorders>
            <w:shd w:val="clear" w:color="auto" w:fill="auto"/>
            <w:noWrap/>
            <w:hideMark/>
          </w:tcPr>
          <w:p w14:paraId="78BE00B6" w14:textId="0FFE619F" w:rsidR="00434928" w:rsidRPr="00E4527E" w:rsidRDefault="00434928" w:rsidP="000F6DC7">
            <w:pPr>
              <w:spacing w:before="20" w:after="20" w:line="240" w:lineRule="auto"/>
              <w:rPr>
                <w:sz w:val="14"/>
                <w:szCs w:val="14"/>
                <w:highlight w:val="yellow"/>
                <w:lang w:val="en-US" w:eastAsia="en-US"/>
              </w:rPr>
            </w:pPr>
            <w:r>
              <w:rPr>
                <w:color w:val="000000"/>
                <w:sz w:val="14"/>
                <w:szCs w:val="14"/>
              </w:rPr>
              <w:t>P64B</w:t>
            </w:r>
          </w:p>
        </w:tc>
        <w:tc>
          <w:tcPr>
            <w:tcW w:w="4637" w:type="dxa"/>
            <w:tcBorders>
              <w:top w:val="nil"/>
              <w:left w:val="nil"/>
              <w:bottom w:val="nil"/>
              <w:right w:val="nil"/>
            </w:tcBorders>
            <w:shd w:val="clear" w:color="auto" w:fill="auto"/>
            <w:noWrap/>
            <w:hideMark/>
          </w:tcPr>
          <w:p w14:paraId="2C2E3490" w14:textId="1D913749" w:rsidR="00434928" w:rsidRPr="00E4527E" w:rsidRDefault="00434928" w:rsidP="000F6DC7">
            <w:pPr>
              <w:spacing w:before="20" w:after="20" w:line="240" w:lineRule="auto"/>
              <w:rPr>
                <w:sz w:val="14"/>
                <w:szCs w:val="14"/>
                <w:highlight w:val="yellow"/>
                <w:lang w:val="en-US" w:eastAsia="en-US"/>
              </w:rPr>
            </w:pPr>
            <w:r>
              <w:rPr>
                <w:color w:val="000000"/>
                <w:sz w:val="14"/>
                <w:szCs w:val="14"/>
              </w:rPr>
              <w:t>Neonate, AdmWt 1250-1499g W/O Significant GI/Vent&gt;=96hrs, Minor Complexity</w:t>
            </w:r>
          </w:p>
        </w:tc>
        <w:tc>
          <w:tcPr>
            <w:tcW w:w="962" w:type="dxa"/>
            <w:gridSpan w:val="2"/>
            <w:tcBorders>
              <w:top w:val="nil"/>
              <w:left w:val="nil"/>
              <w:bottom w:val="nil"/>
              <w:right w:val="nil"/>
            </w:tcBorders>
            <w:shd w:val="clear" w:color="auto" w:fill="auto"/>
            <w:noWrap/>
            <w:hideMark/>
          </w:tcPr>
          <w:p w14:paraId="03A34844" w14:textId="6B8623B4"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31.3</w:t>
            </w:r>
          </w:p>
        </w:tc>
        <w:tc>
          <w:tcPr>
            <w:tcW w:w="500" w:type="dxa"/>
            <w:gridSpan w:val="2"/>
            <w:tcBorders>
              <w:top w:val="nil"/>
              <w:left w:val="nil"/>
              <w:bottom w:val="nil"/>
              <w:right w:val="nil"/>
            </w:tcBorders>
            <w:shd w:val="clear" w:color="auto" w:fill="auto"/>
            <w:noWrap/>
            <w:hideMark/>
          </w:tcPr>
          <w:p w14:paraId="2A1804EA" w14:textId="74103F4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15</w:t>
            </w:r>
          </w:p>
        </w:tc>
        <w:tc>
          <w:tcPr>
            <w:tcW w:w="653" w:type="dxa"/>
            <w:gridSpan w:val="2"/>
            <w:tcBorders>
              <w:top w:val="nil"/>
              <w:left w:val="nil"/>
              <w:bottom w:val="nil"/>
              <w:right w:val="nil"/>
            </w:tcBorders>
            <w:shd w:val="clear" w:color="auto" w:fill="auto"/>
            <w:noWrap/>
            <w:hideMark/>
          </w:tcPr>
          <w:p w14:paraId="76813EED" w14:textId="16E6437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56</w:t>
            </w:r>
          </w:p>
        </w:tc>
        <w:tc>
          <w:tcPr>
            <w:tcW w:w="691" w:type="dxa"/>
            <w:gridSpan w:val="2"/>
            <w:tcBorders>
              <w:top w:val="nil"/>
              <w:left w:val="nil"/>
              <w:bottom w:val="nil"/>
              <w:right w:val="nil"/>
            </w:tcBorders>
            <w:shd w:val="clear" w:color="auto" w:fill="auto"/>
            <w:noWrap/>
            <w:hideMark/>
          </w:tcPr>
          <w:p w14:paraId="5757F398" w14:textId="60EAF82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9.03</w:t>
            </w:r>
          </w:p>
        </w:tc>
        <w:tc>
          <w:tcPr>
            <w:tcW w:w="839" w:type="dxa"/>
            <w:gridSpan w:val="2"/>
            <w:tcBorders>
              <w:top w:val="nil"/>
              <w:left w:val="nil"/>
              <w:bottom w:val="nil"/>
              <w:right w:val="nil"/>
            </w:tcBorders>
            <w:shd w:val="clear" w:color="auto" w:fill="auto"/>
            <w:noWrap/>
            <w:hideMark/>
          </w:tcPr>
          <w:p w14:paraId="642904D4" w14:textId="68C04D1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50</w:t>
            </w:r>
          </w:p>
        </w:tc>
        <w:tc>
          <w:tcPr>
            <w:tcW w:w="884" w:type="dxa"/>
            <w:gridSpan w:val="2"/>
            <w:tcBorders>
              <w:top w:val="nil"/>
              <w:left w:val="nil"/>
              <w:bottom w:val="nil"/>
              <w:right w:val="nil"/>
            </w:tcBorders>
            <w:shd w:val="clear" w:color="auto" w:fill="auto"/>
            <w:noWrap/>
            <w:hideMark/>
          </w:tcPr>
          <w:p w14:paraId="14AB2777" w14:textId="5F85BD5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452</w:t>
            </w:r>
          </w:p>
        </w:tc>
        <w:tc>
          <w:tcPr>
            <w:tcW w:w="653" w:type="dxa"/>
            <w:gridSpan w:val="2"/>
            <w:tcBorders>
              <w:top w:val="nil"/>
              <w:left w:val="nil"/>
              <w:bottom w:val="nil"/>
              <w:right w:val="nil"/>
            </w:tcBorders>
            <w:shd w:val="clear" w:color="auto" w:fill="auto"/>
            <w:noWrap/>
            <w:hideMark/>
          </w:tcPr>
          <w:p w14:paraId="0515A9AB" w14:textId="7AA4DCA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0.48</w:t>
            </w:r>
          </w:p>
        </w:tc>
        <w:tc>
          <w:tcPr>
            <w:tcW w:w="653" w:type="dxa"/>
            <w:gridSpan w:val="2"/>
            <w:tcBorders>
              <w:top w:val="nil"/>
              <w:left w:val="nil"/>
              <w:bottom w:val="nil"/>
              <w:right w:val="nil"/>
            </w:tcBorders>
            <w:shd w:val="clear" w:color="auto" w:fill="auto"/>
            <w:noWrap/>
            <w:hideMark/>
          </w:tcPr>
          <w:p w14:paraId="2B1AC9C2" w14:textId="54CA770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3DBAD9A4" w14:textId="36CA7B9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443C2AF7" w14:textId="773A1EB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26.9</w:t>
            </w:r>
          </w:p>
        </w:tc>
        <w:tc>
          <w:tcPr>
            <w:tcW w:w="691" w:type="dxa"/>
            <w:gridSpan w:val="2"/>
            <w:tcBorders>
              <w:top w:val="nil"/>
              <w:left w:val="nil"/>
              <w:bottom w:val="nil"/>
              <w:right w:val="nil"/>
            </w:tcBorders>
            <w:shd w:val="clear" w:color="auto" w:fill="auto"/>
            <w:noWrap/>
            <w:hideMark/>
          </w:tcPr>
          <w:p w14:paraId="53491D05" w14:textId="56D83AB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19 </w:t>
            </w:r>
          </w:p>
        </w:tc>
        <w:tc>
          <w:tcPr>
            <w:tcW w:w="839" w:type="dxa"/>
            <w:gridSpan w:val="2"/>
            <w:tcBorders>
              <w:top w:val="nil"/>
              <w:left w:val="nil"/>
              <w:bottom w:val="nil"/>
              <w:right w:val="nil"/>
            </w:tcBorders>
            <w:shd w:val="clear" w:color="auto" w:fill="auto"/>
            <w:noWrap/>
            <w:hideMark/>
          </w:tcPr>
          <w:p w14:paraId="36EB3A1C" w14:textId="08325BF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1,555</w:t>
            </w:r>
          </w:p>
        </w:tc>
      </w:tr>
      <w:tr w:rsidR="00434928" w:rsidRPr="00E4527E" w14:paraId="51FA2AE9"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04784290" w14:textId="400BF5BC"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149E3880" w14:textId="7A3B2333"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11</w:t>
            </w:r>
          </w:p>
        </w:tc>
        <w:tc>
          <w:tcPr>
            <w:tcW w:w="600" w:type="dxa"/>
            <w:tcBorders>
              <w:top w:val="nil"/>
              <w:left w:val="nil"/>
              <w:bottom w:val="nil"/>
              <w:right w:val="nil"/>
            </w:tcBorders>
            <w:shd w:val="clear" w:color="auto" w:fill="auto"/>
            <w:noWrap/>
            <w:hideMark/>
          </w:tcPr>
          <w:p w14:paraId="14EA4418" w14:textId="3FB34D34" w:rsidR="00434928" w:rsidRPr="00E4527E" w:rsidRDefault="00434928" w:rsidP="000F6DC7">
            <w:pPr>
              <w:spacing w:before="20" w:after="20" w:line="240" w:lineRule="auto"/>
              <w:rPr>
                <w:sz w:val="14"/>
                <w:szCs w:val="14"/>
                <w:highlight w:val="yellow"/>
                <w:lang w:val="en-US" w:eastAsia="en-US"/>
              </w:rPr>
            </w:pPr>
            <w:r>
              <w:rPr>
                <w:color w:val="000000"/>
                <w:sz w:val="14"/>
                <w:szCs w:val="14"/>
              </w:rPr>
              <w:t>P65A</w:t>
            </w:r>
          </w:p>
        </w:tc>
        <w:tc>
          <w:tcPr>
            <w:tcW w:w="4637" w:type="dxa"/>
            <w:tcBorders>
              <w:top w:val="nil"/>
              <w:left w:val="nil"/>
              <w:bottom w:val="nil"/>
              <w:right w:val="nil"/>
            </w:tcBorders>
            <w:shd w:val="clear" w:color="auto" w:fill="auto"/>
            <w:noWrap/>
            <w:hideMark/>
          </w:tcPr>
          <w:p w14:paraId="7A430C08" w14:textId="559023E9" w:rsidR="00434928" w:rsidRPr="00E4527E" w:rsidRDefault="00434928" w:rsidP="000F6DC7">
            <w:pPr>
              <w:spacing w:before="20" w:after="20" w:line="240" w:lineRule="auto"/>
              <w:rPr>
                <w:sz w:val="14"/>
                <w:szCs w:val="14"/>
                <w:highlight w:val="yellow"/>
                <w:lang w:val="en-US" w:eastAsia="en-US"/>
              </w:rPr>
            </w:pPr>
            <w:r>
              <w:rPr>
                <w:color w:val="000000"/>
                <w:sz w:val="14"/>
                <w:szCs w:val="14"/>
              </w:rPr>
              <w:t>Neonate, AdmWt 1500-1999g W/O Significant GI/Vent&gt;=96hrs, Extreme Comp</w:t>
            </w:r>
          </w:p>
        </w:tc>
        <w:tc>
          <w:tcPr>
            <w:tcW w:w="962" w:type="dxa"/>
            <w:gridSpan w:val="2"/>
            <w:tcBorders>
              <w:top w:val="nil"/>
              <w:left w:val="nil"/>
              <w:bottom w:val="nil"/>
              <w:right w:val="nil"/>
            </w:tcBorders>
            <w:shd w:val="clear" w:color="auto" w:fill="auto"/>
            <w:noWrap/>
            <w:hideMark/>
          </w:tcPr>
          <w:p w14:paraId="79317B66" w14:textId="4962E0E6"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31.2</w:t>
            </w:r>
          </w:p>
        </w:tc>
        <w:tc>
          <w:tcPr>
            <w:tcW w:w="500" w:type="dxa"/>
            <w:gridSpan w:val="2"/>
            <w:tcBorders>
              <w:top w:val="nil"/>
              <w:left w:val="nil"/>
              <w:bottom w:val="nil"/>
              <w:right w:val="nil"/>
            </w:tcBorders>
            <w:shd w:val="clear" w:color="auto" w:fill="auto"/>
            <w:noWrap/>
            <w:hideMark/>
          </w:tcPr>
          <w:p w14:paraId="7A57F8DA" w14:textId="3D90F5A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w:t>
            </w:r>
          </w:p>
        </w:tc>
        <w:tc>
          <w:tcPr>
            <w:tcW w:w="653" w:type="dxa"/>
            <w:gridSpan w:val="2"/>
            <w:tcBorders>
              <w:top w:val="nil"/>
              <w:left w:val="nil"/>
              <w:bottom w:val="nil"/>
              <w:right w:val="nil"/>
            </w:tcBorders>
            <w:shd w:val="clear" w:color="auto" w:fill="auto"/>
            <w:noWrap/>
            <w:hideMark/>
          </w:tcPr>
          <w:p w14:paraId="1BF2CCB1" w14:textId="53FE4A9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65</w:t>
            </w:r>
          </w:p>
        </w:tc>
        <w:tc>
          <w:tcPr>
            <w:tcW w:w="691" w:type="dxa"/>
            <w:gridSpan w:val="2"/>
            <w:tcBorders>
              <w:top w:val="nil"/>
              <w:left w:val="nil"/>
              <w:bottom w:val="nil"/>
              <w:right w:val="nil"/>
            </w:tcBorders>
            <w:shd w:val="clear" w:color="auto" w:fill="auto"/>
            <w:noWrap/>
            <w:hideMark/>
          </w:tcPr>
          <w:p w14:paraId="4CA361C4" w14:textId="3CD3A36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10.10</w:t>
            </w:r>
          </w:p>
        </w:tc>
        <w:tc>
          <w:tcPr>
            <w:tcW w:w="839" w:type="dxa"/>
            <w:gridSpan w:val="2"/>
            <w:tcBorders>
              <w:top w:val="nil"/>
              <w:left w:val="nil"/>
              <w:bottom w:val="nil"/>
              <w:right w:val="nil"/>
            </w:tcBorders>
            <w:shd w:val="clear" w:color="auto" w:fill="auto"/>
            <w:noWrap/>
            <w:hideMark/>
          </w:tcPr>
          <w:p w14:paraId="32EA7046" w14:textId="42681BA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91</w:t>
            </w:r>
          </w:p>
        </w:tc>
        <w:tc>
          <w:tcPr>
            <w:tcW w:w="884" w:type="dxa"/>
            <w:gridSpan w:val="2"/>
            <w:tcBorders>
              <w:top w:val="nil"/>
              <w:left w:val="nil"/>
              <w:bottom w:val="nil"/>
              <w:right w:val="nil"/>
            </w:tcBorders>
            <w:shd w:val="clear" w:color="auto" w:fill="auto"/>
            <w:noWrap/>
            <w:hideMark/>
          </w:tcPr>
          <w:p w14:paraId="66E1FFA0" w14:textId="5615314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919</w:t>
            </w:r>
          </w:p>
        </w:tc>
        <w:tc>
          <w:tcPr>
            <w:tcW w:w="653" w:type="dxa"/>
            <w:gridSpan w:val="2"/>
            <w:tcBorders>
              <w:top w:val="nil"/>
              <w:left w:val="nil"/>
              <w:bottom w:val="nil"/>
              <w:right w:val="nil"/>
            </w:tcBorders>
            <w:shd w:val="clear" w:color="auto" w:fill="auto"/>
            <w:noWrap/>
            <w:hideMark/>
          </w:tcPr>
          <w:p w14:paraId="071880EF" w14:textId="37DE539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0.58</w:t>
            </w:r>
          </w:p>
        </w:tc>
        <w:tc>
          <w:tcPr>
            <w:tcW w:w="653" w:type="dxa"/>
            <w:gridSpan w:val="2"/>
            <w:tcBorders>
              <w:top w:val="nil"/>
              <w:left w:val="nil"/>
              <w:bottom w:val="nil"/>
              <w:right w:val="nil"/>
            </w:tcBorders>
            <w:shd w:val="clear" w:color="auto" w:fill="auto"/>
            <w:noWrap/>
            <w:hideMark/>
          </w:tcPr>
          <w:p w14:paraId="52170234" w14:textId="4A7E796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57BC5344" w14:textId="6FDD512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6ED33164" w14:textId="416D3FB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31.3</w:t>
            </w:r>
          </w:p>
        </w:tc>
        <w:tc>
          <w:tcPr>
            <w:tcW w:w="691" w:type="dxa"/>
            <w:gridSpan w:val="2"/>
            <w:tcBorders>
              <w:top w:val="nil"/>
              <w:left w:val="nil"/>
              <w:bottom w:val="nil"/>
              <w:right w:val="nil"/>
            </w:tcBorders>
            <w:shd w:val="clear" w:color="auto" w:fill="auto"/>
            <w:noWrap/>
            <w:hideMark/>
          </w:tcPr>
          <w:p w14:paraId="371AB36D" w14:textId="528E6B7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12 </w:t>
            </w:r>
          </w:p>
        </w:tc>
        <w:tc>
          <w:tcPr>
            <w:tcW w:w="839" w:type="dxa"/>
            <w:gridSpan w:val="2"/>
            <w:tcBorders>
              <w:top w:val="nil"/>
              <w:left w:val="nil"/>
              <w:bottom w:val="nil"/>
              <w:right w:val="nil"/>
            </w:tcBorders>
            <w:shd w:val="clear" w:color="auto" w:fill="auto"/>
            <w:noWrap/>
            <w:hideMark/>
          </w:tcPr>
          <w:p w14:paraId="16623E3B" w14:textId="28123A9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2,855</w:t>
            </w:r>
          </w:p>
        </w:tc>
      </w:tr>
      <w:tr w:rsidR="00434928" w:rsidRPr="00E4527E" w14:paraId="3A50C3D7"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054CFF72" w14:textId="6332E2F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75F060DF" w14:textId="6E7D9709"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12</w:t>
            </w:r>
          </w:p>
        </w:tc>
        <w:tc>
          <w:tcPr>
            <w:tcW w:w="600" w:type="dxa"/>
            <w:tcBorders>
              <w:top w:val="nil"/>
              <w:left w:val="nil"/>
              <w:bottom w:val="nil"/>
              <w:right w:val="nil"/>
            </w:tcBorders>
            <w:shd w:val="clear" w:color="auto" w:fill="auto"/>
            <w:noWrap/>
            <w:hideMark/>
          </w:tcPr>
          <w:p w14:paraId="21C14E83" w14:textId="32097EA2" w:rsidR="00434928" w:rsidRPr="00E4527E" w:rsidRDefault="00434928" w:rsidP="000F6DC7">
            <w:pPr>
              <w:spacing w:before="20" w:after="20" w:line="240" w:lineRule="auto"/>
              <w:rPr>
                <w:sz w:val="14"/>
                <w:szCs w:val="14"/>
                <w:highlight w:val="yellow"/>
                <w:lang w:val="en-US" w:eastAsia="en-US"/>
              </w:rPr>
            </w:pPr>
            <w:r>
              <w:rPr>
                <w:color w:val="000000"/>
                <w:sz w:val="14"/>
                <w:szCs w:val="14"/>
              </w:rPr>
              <w:t>A13B</w:t>
            </w:r>
          </w:p>
        </w:tc>
        <w:tc>
          <w:tcPr>
            <w:tcW w:w="4637" w:type="dxa"/>
            <w:tcBorders>
              <w:top w:val="nil"/>
              <w:left w:val="nil"/>
              <w:bottom w:val="nil"/>
              <w:right w:val="nil"/>
            </w:tcBorders>
            <w:shd w:val="clear" w:color="auto" w:fill="auto"/>
            <w:noWrap/>
            <w:hideMark/>
          </w:tcPr>
          <w:p w14:paraId="0FEDC90A" w14:textId="482002FF" w:rsidR="00434928" w:rsidRPr="00E4527E" w:rsidRDefault="00434928" w:rsidP="000F6DC7">
            <w:pPr>
              <w:spacing w:before="20" w:after="20" w:line="240" w:lineRule="auto"/>
              <w:rPr>
                <w:sz w:val="14"/>
                <w:szCs w:val="14"/>
                <w:highlight w:val="yellow"/>
                <w:lang w:val="en-US" w:eastAsia="en-US"/>
              </w:rPr>
            </w:pPr>
            <w:r>
              <w:rPr>
                <w:color w:val="000000"/>
                <w:sz w:val="14"/>
                <w:szCs w:val="14"/>
              </w:rPr>
              <w:t>Ventilation &gt;=336hours, Minor Complexity</w:t>
            </w:r>
          </w:p>
        </w:tc>
        <w:tc>
          <w:tcPr>
            <w:tcW w:w="962" w:type="dxa"/>
            <w:gridSpan w:val="2"/>
            <w:tcBorders>
              <w:top w:val="nil"/>
              <w:left w:val="nil"/>
              <w:bottom w:val="nil"/>
              <w:right w:val="nil"/>
            </w:tcBorders>
            <w:shd w:val="clear" w:color="auto" w:fill="auto"/>
            <w:noWrap/>
            <w:hideMark/>
          </w:tcPr>
          <w:p w14:paraId="3046491E" w14:textId="54A139B8"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30.6</w:t>
            </w:r>
          </w:p>
        </w:tc>
        <w:tc>
          <w:tcPr>
            <w:tcW w:w="500" w:type="dxa"/>
            <w:gridSpan w:val="2"/>
            <w:tcBorders>
              <w:top w:val="nil"/>
              <w:left w:val="nil"/>
              <w:bottom w:val="nil"/>
              <w:right w:val="nil"/>
            </w:tcBorders>
            <w:shd w:val="clear" w:color="auto" w:fill="auto"/>
            <w:noWrap/>
            <w:hideMark/>
          </w:tcPr>
          <w:p w14:paraId="136FDE7D" w14:textId="7C8885B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16</w:t>
            </w:r>
          </w:p>
        </w:tc>
        <w:tc>
          <w:tcPr>
            <w:tcW w:w="653" w:type="dxa"/>
            <w:gridSpan w:val="2"/>
            <w:tcBorders>
              <w:top w:val="nil"/>
              <w:left w:val="nil"/>
              <w:bottom w:val="nil"/>
              <w:right w:val="nil"/>
            </w:tcBorders>
            <w:shd w:val="clear" w:color="auto" w:fill="auto"/>
            <w:noWrap/>
            <w:hideMark/>
          </w:tcPr>
          <w:p w14:paraId="45B72C0A" w14:textId="4143422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39</w:t>
            </w:r>
          </w:p>
        </w:tc>
        <w:tc>
          <w:tcPr>
            <w:tcW w:w="691" w:type="dxa"/>
            <w:gridSpan w:val="2"/>
            <w:tcBorders>
              <w:top w:val="nil"/>
              <w:left w:val="nil"/>
              <w:bottom w:val="nil"/>
              <w:right w:val="nil"/>
            </w:tcBorders>
            <w:shd w:val="clear" w:color="auto" w:fill="auto"/>
            <w:noWrap/>
            <w:hideMark/>
          </w:tcPr>
          <w:p w14:paraId="1F21522D" w14:textId="6141700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21.63</w:t>
            </w:r>
          </w:p>
        </w:tc>
        <w:tc>
          <w:tcPr>
            <w:tcW w:w="839" w:type="dxa"/>
            <w:gridSpan w:val="2"/>
            <w:tcBorders>
              <w:top w:val="nil"/>
              <w:left w:val="nil"/>
              <w:bottom w:val="nil"/>
              <w:right w:val="nil"/>
            </w:tcBorders>
            <w:shd w:val="clear" w:color="auto" w:fill="auto"/>
            <w:noWrap/>
            <w:hideMark/>
          </w:tcPr>
          <w:p w14:paraId="5C5A5A51" w14:textId="48214C3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w:t>
            </w:r>
          </w:p>
        </w:tc>
        <w:tc>
          <w:tcPr>
            <w:tcW w:w="884" w:type="dxa"/>
            <w:gridSpan w:val="2"/>
            <w:tcBorders>
              <w:top w:val="nil"/>
              <w:left w:val="nil"/>
              <w:bottom w:val="nil"/>
              <w:right w:val="nil"/>
            </w:tcBorders>
            <w:shd w:val="clear" w:color="auto" w:fill="auto"/>
            <w:noWrap/>
            <w:hideMark/>
          </w:tcPr>
          <w:p w14:paraId="1147CAB1" w14:textId="14A1F21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173</w:t>
            </w:r>
          </w:p>
        </w:tc>
        <w:tc>
          <w:tcPr>
            <w:tcW w:w="653" w:type="dxa"/>
            <w:gridSpan w:val="2"/>
            <w:tcBorders>
              <w:top w:val="nil"/>
              <w:left w:val="nil"/>
              <w:bottom w:val="nil"/>
              <w:right w:val="nil"/>
            </w:tcBorders>
            <w:shd w:val="clear" w:color="auto" w:fill="auto"/>
            <w:noWrap/>
            <w:hideMark/>
          </w:tcPr>
          <w:p w14:paraId="0A37A60C" w14:textId="7F994E5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1.94</w:t>
            </w:r>
          </w:p>
        </w:tc>
        <w:tc>
          <w:tcPr>
            <w:tcW w:w="653" w:type="dxa"/>
            <w:gridSpan w:val="2"/>
            <w:tcBorders>
              <w:top w:val="nil"/>
              <w:left w:val="nil"/>
              <w:bottom w:val="nil"/>
              <w:right w:val="nil"/>
            </w:tcBorders>
            <w:shd w:val="clear" w:color="auto" w:fill="auto"/>
            <w:noWrap/>
            <w:hideMark/>
          </w:tcPr>
          <w:p w14:paraId="13E9C140" w14:textId="7072C72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09A77225" w14:textId="4752EF0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77D2AA43" w14:textId="62FA81A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34.6</w:t>
            </w:r>
          </w:p>
        </w:tc>
        <w:tc>
          <w:tcPr>
            <w:tcW w:w="691" w:type="dxa"/>
            <w:gridSpan w:val="2"/>
            <w:tcBorders>
              <w:top w:val="nil"/>
              <w:left w:val="nil"/>
              <w:bottom w:val="nil"/>
              <w:right w:val="nil"/>
            </w:tcBorders>
            <w:shd w:val="clear" w:color="auto" w:fill="auto"/>
            <w:noWrap/>
            <w:hideMark/>
          </w:tcPr>
          <w:p w14:paraId="67DACEB7" w14:textId="6A3A9A4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9 </w:t>
            </w:r>
          </w:p>
        </w:tc>
        <w:tc>
          <w:tcPr>
            <w:tcW w:w="839" w:type="dxa"/>
            <w:gridSpan w:val="2"/>
            <w:tcBorders>
              <w:top w:val="nil"/>
              <w:left w:val="nil"/>
              <w:bottom w:val="nil"/>
              <w:right w:val="nil"/>
            </w:tcBorders>
            <w:shd w:val="clear" w:color="auto" w:fill="auto"/>
            <w:noWrap/>
            <w:hideMark/>
          </w:tcPr>
          <w:p w14:paraId="50391E6B" w14:textId="106F390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256</w:t>
            </w:r>
          </w:p>
        </w:tc>
      </w:tr>
      <w:tr w:rsidR="00434928" w:rsidRPr="00E4527E" w14:paraId="286163BC"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4775E832" w14:textId="317D519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11599EE2" w14:textId="7E93F0DE"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13</w:t>
            </w:r>
          </w:p>
        </w:tc>
        <w:tc>
          <w:tcPr>
            <w:tcW w:w="600" w:type="dxa"/>
            <w:tcBorders>
              <w:top w:val="nil"/>
              <w:left w:val="nil"/>
              <w:bottom w:val="nil"/>
              <w:right w:val="nil"/>
            </w:tcBorders>
            <w:shd w:val="clear" w:color="auto" w:fill="auto"/>
            <w:noWrap/>
            <w:hideMark/>
          </w:tcPr>
          <w:p w14:paraId="3630F9FA" w14:textId="00ED7DA8" w:rsidR="00434928" w:rsidRPr="00E4527E" w:rsidRDefault="00434928" w:rsidP="000F6DC7">
            <w:pPr>
              <w:spacing w:before="20" w:after="20" w:line="240" w:lineRule="auto"/>
              <w:rPr>
                <w:sz w:val="14"/>
                <w:szCs w:val="14"/>
                <w:highlight w:val="yellow"/>
                <w:lang w:val="en-US" w:eastAsia="en-US"/>
              </w:rPr>
            </w:pPr>
            <w:r>
              <w:rPr>
                <w:color w:val="000000"/>
                <w:sz w:val="14"/>
                <w:szCs w:val="14"/>
              </w:rPr>
              <w:t>R06A</w:t>
            </w:r>
          </w:p>
        </w:tc>
        <w:tc>
          <w:tcPr>
            <w:tcW w:w="4637" w:type="dxa"/>
            <w:tcBorders>
              <w:top w:val="nil"/>
              <w:left w:val="nil"/>
              <w:bottom w:val="nil"/>
              <w:right w:val="nil"/>
            </w:tcBorders>
            <w:shd w:val="clear" w:color="auto" w:fill="auto"/>
            <w:noWrap/>
            <w:hideMark/>
          </w:tcPr>
          <w:p w14:paraId="0FF2B64D" w14:textId="69FCB0BC" w:rsidR="00434928" w:rsidRPr="00E4527E" w:rsidRDefault="00434928" w:rsidP="000F6DC7">
            <w:pPr>
              <w:spacing w:before="20" w:after="20" w:line="240" w:lineRule="auto"/>
              <w:rPr>
                <w:sz w:val="14"/>
                <w:szCs w:val="14"/>
                <w:highlight w:val="yellow"/>
                <w:lang w:val="en-US" w:eastAsia="en-US"/>
              </w:rPr>
            </w:pPr>
            <w:r>
              <w:rPr>
                <w:color w:val="000000"/>
                <w:sz w:val="14"/>
                <w:szCs w:val="14"/>
              </w:rPr>
              <w:t>Autologous Bone Marrow Transplant, Major Complexity</w:t>
            </w:r>
          </w:p>
        </w:tc>
        <w:tc>
          <w:tcPr>
            <w:tcW w:w="962" w:type="dxa"/>
            <w:gridSpan w:val="2"/>
            <w:tcBorders>
              <w:top w:val="nil"/>
              <w:left w:val="nil"/>
              <w:bottom w:val="nil"/>
              <w:right w:val="nil"/>
            </w:tcBorders>
            <w:shd w:val="clear" w:color="auto" w:fill="auto"/>
            <w:noWrap/>
            <w:hideMark/>
          </w:tcPr>
          <w:p w14:paraId="6D487093" w14:textId="270C4914"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30.1</w:t>
            </w:r>
          </w:p>
        </w:tc>
        <w:tc>
          <w:tcPr>
            <w:tcW w:w="500" w:type="dxa"/>
            <w:gridSpan w:val="2"/>
            <w:tcBorders>
              <w:top w:val="nil"/>
              <w:left w:val="nil"/>
              <w:bottom w:val="nil"/>
              <w:right w:val="nil"/>
            </w:tcBorders>
            <w:shd w:val="clear" w:color="auto" w:fill="auto"/>
            <w:noWrap/>
            <w:hideMark/>
          </w:tcPr>
          <w:p w14:paraId="0F13B7FC" w14:textId="7720B6B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0285E656" w14:textId="4CB519E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68</w:t>
            </w:r>
          </w:p>
        </w:tc>
        <w:tc>
          <w:tcPr>
            <w:tcW w:w="691" w:type="dxa"/>
            <w:gridSpan w:val="2"/>
            <w:tcBorders>
              <w:top w:val="nil"/>
              <w:left w:val="nil"/>
              <w:bottom w:val="nil"/>
              <w:right w:val="nil"/>
            </w:tcBorders>
            <w:shd w:val="clear" w:color="auto" w:fill="auto"/>
            <w:noWrap/>
            <w:hideMark/>
          </w:tcPr>
          <w:p w14:paraId="65E23606" w14:textId="226BD2F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11.65</w:t>
            </w:r>
          </w:p>
        </w:tc>
        <w:tc>
          <w:tcPr>
            <w:tcW w:w="839" w:type="dxa"/>
            <w:gridSpan w:val="2"/>
            <w:tcBorders>
              <w:top w:val="nil"/>
              <w:left w:val="nil"/>
              <w:bottom w:val="nil"/>
              <w:right w:val="nil"/>
            </w:tcBorders>
            <w:shd w:val="clear" w:color="auto" w:fill="auto"/>
            <w:noWrap/>
            <w:hideMark/>
          </w:tcPr>
          <w:p w14:paraId="323F7AA5" w14:textId="0E6F947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148</w:t>
            </w:r>
          </w:p>
        </w:tc>
        <w:tc>
          <w:tcPr>
            <w:tcW w:w="884" w:type="dxa"/>
            <w:gridSpan w:val="2"/>
            <w:tcBorders>
              <w:top w:val="nil"/>
              <w:left w:val="nil"/>
              <w:bottom w:val="nil"/>
              <w:right w:val="nil"/>
            </w:tcBorders>
            <w:shd w:val="clear" w:color="auto" w:fill="auto"/>
            <w:noWrap/>
            <w:hideMark/>
          </w:tcPr>
          <w:p w14:paraId="4850DD17" w14:textId="0195C3C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1,724</w:t>
            </w:r>
          </w:p>
        </w:tc>
        <w:tc>
          <w:tcPr>
            <w:tcW w:w="653" w:type="dxa"/>
            <w:gridSpan w:val="2"/>
            <w:tcBorders>
              <w:top w:val="nil"/>
              <w:left w:val="nil"/>
              <w:bottom w:val="nil"/>
              <w:right w:val="nil"/>
            </w:tcBorders>
            <w:shd w:val="clear" w:color="auto" w:fill="auto"/>
            <w:noWrap/>
            <w:hideMark/>
          </w:tcPr>
          <w:p w14:paraId="613E8A54" w14:textId="7554DA6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0.85</w:t>
            </w:r>
          </w:p>
        </w:tc>
        <w:tc>
          <w:tcPr>
            <w:tcW w:w="653" w:type="dxa"/>
            <w:gridSpan w:val="2"/>
            <w:tcBorders>
              <w:top w:val="nil"/>
              <w:left w:val="nil"/>
              <w:bottom w:val="nil"/>
              <w:right w:val="nil"/>
            </w:tcBorders>
            <w:shd w:val="clear" w:color="auto" w:fill="auto"/>
            <w:noWrap/>
            <w:hideMark/>
          </w:tcPr>
          <w:p w14:paraId="374DA397" w14:textId="228AE38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3889A0FC" w14:textId="4BFAACB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w:t>
            </w:r>
          </w:p>
        </w:tc>
        <w:tc>
          <w:tcPr>
            <w:tcW w:w="691" w:type="dxa"/>
            <w:gridSpan w:val="2"/>
            <w:tcBorders>
              <w:top w:val="nil"/>
              <w:left w:val="nil"/>
              <w:bottom w:val="nil"/>
              <w:right w:val="nil"/>
            </w:tcBorders>
            <w:shd w:val="clear" w:color="auto" w:fill="auto"/>
            <w:noWrap/>
            <w:hideMark/>
          </w:tcPr>
          <w:p w14:paraId="12F1C82E" w14:textId="7D08D6B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22.9</w:t>
            </w:r>
          </w:p>
        </w:tc>
        <w:tc>
          <w:tcPr>
            <w:tcW w:w="691" w:type="dxa"/>
            <w:gridSpan w:val="2"/>
            <w:tcBorders>
              <w:top w:val="nil"/>
              <w:left w:val="nil"/>
              <w:bottom w:val="nil"/>
              <w:right w:val="nil"/>
            </w:tcBorders>
            <w:shd w:val="clear" w:color="auto" w:fill="auto"/>
            <w:noWrap/>
            <w:hideMark/>
          </w:tcPr>
          <w:p w14:paraId="60993E03" w14:textId="35BA931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36 </w:t>
            </w:r>
          </w:p>
        </w:tc>
        <w:tc>
          <w:tcPr>
            <w:tcW w:w="839" w:type="dxa"/>
            <w:gridSpan w:val="2"/>
            <w:tcBorders>
              <w:top w:val="nil"/>
              <w:left w:val="nil"/>
              <w:bottom w:val="nil"/>
              <w:right w:val="nil"/>
            </w:tcBorders>
            <w:shd w:val="clear" w:color="auto" w:fill="auto"/>
            <w:noWrap/>
            <w:hideMark/>
          </w:tcPr>
          <w:p w14:paraId="71ECE6DB" w14:textId="7796E7F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4,450</w:t>
            </w:r>
          </w:p>
        </w:tc>
      </w:tr>
      <w:tr w:rsidR="00434928" w:rsidRPr="00E4527E" w14:paraId="7030D701"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3B3BE6A8" w14:textId="07FAD2E6"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040CA030" w14:textId="1AFE8068"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14</w:t>
            </w:r>
          </w:p>
        </w:tc>
        <w:tc>
          <w:tcPr>
            <w:tcW w:w="600" w:type="dxa"/>
            <w:tcBorders>
              <w:top w:val="nil"/>
              <w:left w:val="nil"/>
              <w:bottom w:val="nil"/>
              <w:right w:val="nil"/>
            </w:tcBorders>
            <w:shd w:val="clear" w:color="auto" w:fill="auto"/>
            <w:noWrap/>
            <w:hideMark/>
          </w:tcPr>
          <w:p w14:paraId="736A0D27" w14:textId="417F4CDE" w:rsidR="00434928" w:rsidRPr="00E4527E" w:rsidRDefault="00434928" w:rsidP="000F6DC7">
            <w:pPr>
              <w:spacing w:before="20" w:after="20" w:line="240" w:lineRule="auto"/>
              <w:rPr>
                <w:sz w:val="14"/>
                <w:szCs w:val="14"/>
                <w:highlight w:val="yellow"/>
                <w:lang w:val="en-US" w:eastAsia="en-US"/>
              </w:rPr>
            </w:pPr>
            <w:r>
              <w:rPr>
                <w:color w:val="000000"/>
                <w:sz w:val="14"/>
                <w:szCs w:val="14"/>
              </w:rPr>
              <w:t>F21A</w:t>
            </w:r>
          </w:p>
        </w:tc>
        <w:tc>
          <w:tcPr>
            <w:tcW w:w="4637" w:type="dxa"/>
            <w:tcBorders>
              <w:top w:val="nil"/>
              <w:left w:val="nil"/>
              <w:bottom w:val="nil"/>
              <w:right w:val="nil"/>
            </w:tcBorders>
            <w:shd w:val="clear" w:color="auto" w:fill="auto"/>
            <w:noWrap/>
            <w:hideMark/>
          </w:tcPr>
          <w:p w14:paraId="46878874" w14:textId="6F29A1AA" w:rsidR="00434928" w:rsidRPr="00E4527E" w:rsidRDefault="00434928" w:rsidP="000F6DC7">
            <w:pPr>
              <w:spacing w:before="20" w:after="20" w:line="240" w:lineRule="auto"/>
              <w:rPr>
                <w:sz w:val="14"/>
                <w:szCs w:val="14"/>
                <w:highlight w:val="yellow"/>
                <w:lang w:val="en-US" w:eastAsia="en-US"/>
              </w:rPr>
            </w:pPr>
            <w:r>
              <w:rPr>
                <w:color w:val="000000"/>
                <w:sz w:val="14"/>
                <w:szCs w:val="14"/>
              </w:rPr>
              <w:t>Other Circulatory System GIs, Major Complexity</w:t>
            </w:r>
          </w:p>
        </w:tc>
        <w:tc>
          <w:tcPr>
            <w:tcW w:w="962" w:type="dxa"/>
            <w:gridSpan w:val="2"/>
            <w:tcBorders>
              <w:top w:val="nil"/>
              <w:left w:val="nil"/>
              <w:bottom w:val="nil"/>
              <w:right w:val="nil"/>
            </w:tcBorders>
            <w:shd w:val="clear" w:color="auto" w:fill="auto"/>
            <w:noWrap/>
            <w:hideMark/>
          </w:tcPr>
          <w:p w14:paraId="588AAA92" w14:textId="5177440F"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29.7</w:t>
            </w:r>
          </w:p>
        </w:tc>
        <w:tc>
          <w:tcPr>
            <w:tcW w:w="500" w:type="dxa"/>
            <w:gridSpan w:val="2"/>
            <w:tcBorders>
              <w:top w:val="nil"/>
              <w:left w:val="nil"/>
              <w:bottom w:val="nil"/>
              <w:right w:val="nil"/>
            </w:tcBorders>
            <w:shd w:val="clear" w:color="auto" w:fill="auto"/>
            <w:noWrap/>
            <w:hideMark/>
          </w:tcPr>
          <w:p w14:paraId="5ABE9A79" w14:textId="70DF967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w:t>
            </w:r>
          </w:p>
        </w:tc>
        <w:tc>
          <w:tcPr>
            <w:tcW w:w="653" w:type="dxa"/>
            <w:gridSpan w:val="2"/>
            <w:tcBorders>
              <w:top w:val="nil"/>
              <w:left w:val="nil"/>
              <w:bottom w:val="nil"/>
              <w:right w:val="nil"/>
            </w:tcBorders>
            <w:shd w:val="clear" w:color="auto" w:fill="auto"/>
            <w:noWrap/>
            <w:hideMark/>
          </w:tcPr>
          <w:p w14:paraId="5D390253" w14:textId="423761B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77</w:t>
            </w:r>
          </w:p>
        </w:tc>
        <w:tc>
          <w:tcPr>
            <w:tcW w:w="691" w:type="dxa"/>
            <w:gridSpan w:val="2"/>
            <w:tcBorders>
              <w:top w:val="nil"/>
              <w:left w:val="nil"/>
              <w:bottom w:val="nil"/>
              <w:right w:val="nil"/>
            </w:tcBorders>
            <w:shd w:val="clear" w:color="auto" w:fill="auto"/>
            <w:noWrap/>
            <w:hideMark/>
          </w:tcPr>
          <w:p w14:paraId="6F1B1958" w14:textId="34AC362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8.57</w:t>
            </w:r>
          </w:p>
        </w:tc>
        <w:tc>
          <w:tcPr>
            <w:tcW w:w="839" w:type="dxa"/>
            <w:gridSpan w:val="2"/>
            <w:tcBorders>
              <w:top w:val="nil"/>
              <w:left w:val="nil"/>
              <w:bottom w:val="nil"/>
              <w:right w:val="nil"/>
            </w:tcBorders>
            <w:shd w:val="clear" w:color="auto" w:fill="auto"/>
            <w:noWrap/>
            <w:hideMark/>
          </w:tcPr>
          <w:p w14:paraId="7DA83415" w14:textId="6C02789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83</w:t>
            </w:r>
          </w:p>
        </w:tc>
        <w:tc>
          <w:tcPr>
            <w:tcW w:w="884" w:type="dxa"/>
            <w:gridSpan w:val="2"/>
            <w:tcBorders>
              <w:top w:val="nil"/>
              <w:left w:val="nil"/>
              <w:bottom w:val="nil"/>
              <w:right w:val="nil"/>
            </w:tcBorders>
            <w:shd w:val="clear" w:color="auto" w:fill="auto"/>
            <w:noWrap/>
            <w:hideMark/>
          </w:tcPr>
          <w:p w14:paraId="38E31838" w14:textId="7DB8FC9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711</w:t>
            </w:r>
          </w:p>
        </w:tc>
        <w:tc>
          <w:tcPr>
            <w:tcW w:w="653" w:type="dxa"/>
            <w:gridSpan w:val="2"/>
            <w:tcBorders>
              <w:top w:val="nil"/>
              <w:left w:val="nil"/>
              <w:bottom w:val="nil"/>
              <w:right w:val="nil"/>
            </w:tcBorders>
            <w:shd w:val="clear" w:color="auto" w:fill="auto"/>
            <w:noWrap/>
            <w:hideMark/>
          </w:tcPr>
          <w:p w14:paraId="7B24E94B" w14:textId="7793033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0.73</w:t>
            </w:r>
          </w:p>
        </w:tc>
        <w:tc>
          <w:tcPr>
            <w:tcW w:w="653" w:type="dxa"/>
            <w:gridSpan w:val="2"/>
            <w:tcBorders>
              <w:top w:val="nil"/>
              <w:left w:val="nil"/>
              <w:bottom w:val="nil"/>
              <w:right w:val="nil"/>
            </w:tcBorders>
            <w:shd w:val="clear" w:color="auto" w:fill="auto"/>
            <w:noWrap/>
            <w:hideMark/>
          </w:tcPr>
          <w:p w14:paraId="5216D0FD" w14:textId="482F928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505C65BB" w14:textId="6F7B178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03B79F63" w14:textId="599262B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34.7</w:t>
            </w:r>
          </w:p>
        </w:tc>
        <w:tc>
          <w:tcPr>
            <w:tcW w:w="691" w:type="dxa"/>
            <w:gridSpan w:val="2"/>
            <w:tcBorders>
              <w:top w:val="nil"/>
              <w:left w:val="nil"/>
              <w:bottom w:val="nil"/>
              <w:right w:val="nil"/>
            </w:tcBorders>
            <w:shd w:val="clear" w:color="auto" w:fill="auto"/>
            <w:noWrap/>
            <w:hideMark/>
          </w:tcPr>
          <w:p w14:paraId="366A5462" w14:textId="6F37F9B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8 </w:t>
            </w:r>
          </w:p>
        </w:tc>
        <w:tc>
          <w:tcPr>
            <w:tcW w:w="839" w:type="dxa"/>
            <w:gridSpan w:val="2"/>
            <w:tcBorders>
              <w:top w:val="nil"/>
              <w:left w:val="nil"/>
              <w:bottom w:val="nil"/>
              <w:right w:val="nil"/>
            </w:tcBorders>
            <w:shd w:val="clear" w:color="auto" w:fill="auto"/>
            <w:noWrap/>
            <w:hideMark/>
          </w:tcPr>
          <w:p w14:paraId="28340F04" w14:textId="041C496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2,462</w:t>
            </w:r>
          </w:p>
        </w:tc>
      </w:tr>
      <w:tr w:rsidR="00434928" w:rsidRPr="00E4527E" w14:paraId="2023E237"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1CB5374E" w14:textId="20BC5220"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6F175B36" w14:textId="770D7530"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15</w:t>
            </w:r>
          </w:p>
        </w:tc>
        <w:tc>
          <w:tcPr>
            <w:tcW w:w="600" w:type="dxa"/>
            <w:tcBorders>
              <w:top w:val="nil"/>
              <w:left w:val="nil"/>
              <w:bottom w:val="nil"/>
              <w:right w:val="nil"/>
            </w:tcBorders>
            <w:shd w:val="clear" w:color="auto" w:fill="auto"/>
            <w:noWrap/>
            <w:hideMark/>
          </w:tcPr>
          <w:p w14:paraId="6E132971" w14:textId="22B92617" w:rsidR="00434928" w:rsidRPr="00E4527E" w:rsidRDefault="00434928" w:rsidP="000F6DC7">
            <w:pPr>
              <w:spacing w:before="20" w:after="20" w:line="240" w:lineRule="auto"/>
              <w:rPr>
                <w:sz w:val="14"/>
                <w:szCs w:val="14"/>
                <w:highlight w:val="yellow"/>
                <w:lang w:val="en-US" w:eastAsia="en-US"/>
              </w:rPr>
            </w:pPr>
            <w:r>
              <w:rPr>
                <w:color w:val="000000"/>
                <w:sz w:val="14"/>
                <w:szCs w:val="14"/>
              </w:rPr>
              <w:t>K01A</w:t>
            </w:r>
          </w:p>
        </w:tc>
        <w:tc>
          <w:tcPr>
            <w:tcW w:w="4637" w:type="dxa"/>
            <w:tcBorders>
              <w:top w:val="nil"/>
              <w:left w:val="nil"/>
              <w:bottom w:val="nil"/>
              <w:right w:val="nil"/>
            </w:tcBorders>
            <w:shd w:val="clear" w:color="auto" w:fill="auto"/>
            <w:noWrap/>
            <w:hideMark/>
          </w:tcPr>
          <w:p w14:paraId="7029B395" w14:textId="24651F02" w:rsidR="00434928" w:rsidRPr="00E4527E" w:rsidRDefault="00434928" w:rsidP="000F6DC7">
            <w:pPr>
              <w:spacing w:before="20" w:after="20" w:line="240" w:lineRule="auto"/>
              <w:rPr>
                <w:sz w:val="14"/>
                <w:szCs w:val="14"/>
                <w:highlight w:val="yellow"/>
                <w:lang w:val="en-US" w:eastAsia="en-US"/>
              </w:rPr>
            </w:pPr>
            <w:r>
              <w:rPr>
                <w:color w:val="000000"/>
                <w:sz w:val="14"/>
                <w:szCs w:val="14"/>
              </w:rPr>
              <w:t>GIs for Diabetic Complications, Major Complexity</w:t>
            </w:r>
          </w:p>
        </w:tc>
        <w:tc>
          <w:tcPr>
            <w:tcW w:w="962" w:type="dxa"/>
            <w:gridSpan w:val="2"/>
            <w:tcBorders>
              <w:top w:val="nil"/>
              <w:left w:val="nil"/>
              <w:bottom w:val="nil"/>
              <w:right w:val="nil"/>
            </w:tcBorders>
            <w:shd w:val="clear" w:color="auto" w:fill="auto"/>
            <w:noWrap/>
            <w:hideMark/>
          </w:tcPr>
          <w:p w14:paraId="0ADB4BC0" w14:textId="3DAD9EAB"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28.6</w:t>
            </w:r>
          </w:p>
        </w:tc>
        <w:tc>
          <w:tcPr>
            <w:tcW w:w="500" w:type="dxa"/>
            <w:gridSpan w:val="2"/>
            <w:tcBorders>
              <w:top w:val="nil"/>
              <w:left w:val="nil"/>
              <w:bottom w:val="nil"/>
              <w:right w:val="nil"/>
            </w:tcBorders>
            <w:shd w:val="clear" w:color="auto" w:fill="auto"/>
            <w:noWrap/>
            <w:hideMark/>
          </w:tcPr>
          <w:p w14:paraId="19F5B887" w14:textId="2B664E8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w:t>
            </w:r>
          </w:p>
        </w:tc>
        <w:tc>
          <w:tcPr>
            <w:tcW w:w="653" w:type="dxa"/>
            <w:gridSpan w:val="2"/>
            <w:tcBorders>
              <w:top w:val="nil"/>
              <w:left w:val="nil"/>
              <w:bottom w:val="nil"/>
              <w:right w:val="nil"/>
            </w:tcBorders>
            <w:shd w:val="clear" w:color="auto" w:fill="auto"/>
            <w:noWrap/>
            <w:hideMark/>
          </w:tcPr>
          <w:p w14:paraId="02B4DA3B" w14:textId="495440E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72</w:t>
            </w:r>
          </w:p>
        </w:tc>
        <w:tc>
          <w:tcPr>
            <w:tcW w:w="691" w:type="dxa"/>
            <w:gridSpan w:val="2"/>
            <w:tcBorders>
              <w:top w:val="nil"/>
              <w:left w:val="nil"/>
              <w:bottom w:val="nil"/>
              <w:right w:val="nil"/>
            </w:tcBorders>
            <w:shd w:val="clear" w:color="auto" w:fill="auto"/>
            <w:noWrap/>
            <w:hideMark/>
          </w:tcPr>
          <w:p w14:paraId="6F24ABF9" w14:textId="6BDD023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10.09</w:t>
            </w:r>
          </w:p>
        </w:tc>
        <w:tc>
          <w:tcPr>
            <w:tcW w:w="839" w:type="dxa"/>
            <w:gridSpan w:val="2"/>
            <w:tcBorders>
              <w:top w:val="nil"/>
              <w:left w:val="nil"/>
              <w:bottom w:val="nil"/>
              <w:right w:val="nil"/>
            </w:tcBorders>
            <w:shd w:val="clear" w:color="auto" w:fill="auto"/>
            <w:noWrap/>
            <w:hideMark/>
          </w:tcPr>
          <w:p w14:paraId="6CE6658B" w14:textId="74E2B38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71</w:t>
            </w:r>
          </w:p>
        </w:tc>
        <w:tc>
          <w:tcPr>
            <w:tcW w:w="884" w:type="dxa"/>
            <w:gridSpan w:val="2"/>
            <w:tcBorders>
              <w:top w:val="nil"/>
              <w:left w:val="nil"/>
              <w:bottom w:val="nil"/>
              <w:right w:val="nil"/>
            </w:tcBorders>
            <w:shd w:val="clear" w:color="auto" w:fill="auto"/>
            <w:noWrap/>
            <w:hideMark/>
          </w:tcPr>
          <w:p w14:paraId="5DD2809A" w14:textId="75C250C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716</w:t>
            </w:r>
          </w:p>
        </w:tc>
        <w:tc>
          <w:tcPr>
            <w:tcW w:w="653" w:type="dxa"/>
            <w:gridSpan w:val="2"/>
            <w:tcBorders>
              <w:top w:val="nil"/>
              <w:left w:val="nil"/>
              <w:bottom w:val="nil"/>
              <w:right w:val="nil"/>
            </w:tcBorders>
            <w:shd w:val="clear" w:color="auto" w:fill="auto"/>
            <w:noWrap/>
            <w:hideMark/>
          </w:tcPr>
          <w:p w14:paraId="6F9C7E91" w14:textId="6C0E3B6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0.91</w:t>
            </w:r>
          </w:p>
        </w:tc>
        <w:tc>
          <w:tcPr>
            <w:tcW w:w="653" w:type="dxa"/>
            <w:gridSpan w:val="2"/>
            <w:tcBorders>
              <w:top w:val="nil"/>
              <w:left w:val="nil"/>
              <w:bottom w:val="nil"/>
              <w:right w:val="nil"/>
            </w:tcBorders>
            <w:shd w:val="clear" w:color="auto" w:fill="auto"/>
            <w:noWrap/>
            <w:hideMark/>
          </w:tcPr>
          <w:p w14:paraId="61B06CB8" w14:textId="0598262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4847CC59" w14:textId="60DD948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057755B1" w14:textId="4DA76C8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40.6</w:t>
            </w:r>
          </w:p>
        </w:tc>
        <w:tc>
          <w:tcPr>
            <w:tcW w:w="691" w:type="dxa"/>
            <w:gridSpan w:val="2"/>
            <w:tcBorders>
              <w:top w:val="nil"/>
              <w:left w:val="nil"/>
              <w:bottom w:val="nil"/>
              <w:right w:val="nil"/>
            </w:tcBorders>
            <w:shd w:val="clear" w:color="auto" w:fill="auto"/>
            <w:noWrap/>
            <w:hideMark/>
          </w:tcPr>
          <w:p w14:paraId="4E1F153B" w14:textId="05C5468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4 </w:t>
            </w:r>
          </w:p>
        </w:tc>
        <w:tc>
          <w:tcPr>
            <w:tcW w:w="839" w:type="dxa"/>
            <w:gridSpan w:val="2"/>
            <w:tcBorders>
              <w:top w:val="nil"/>
              <w:left w:val="nil"/>
              <w:bottom w:val="nil"/>
              <w:right w:val="nil"/>
            </w:tcBorders>
            <w:shd w:val="clear" w:color="auto" w:fill="auto"/>
            <w:noWrap/>
            <w:hideMark/>
          </w:tcPr>
          <w:p w14:paraId="197E5F8A" w14:textId="1B0C157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2,027</w:t>
            </w:r>
          </w:p>
        </w:tc>
      </w:tr>
      <w:tr w:rsidR="00434928" w:rsidRPr="00E4527E" w14:paraId="46F563B7"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1BAA0A7C" w14:textId="5E423718"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6560FADB" w14:textId="52546DF1"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16</w:t>
            </w:r>
          </w:p>
        </w:tc>
        <w:tc>
          <w:tcPr>
            <w:tcW w:w="600" w:type="dxa"/>
            <w:tcBorders>
              <w:top w:val="nil"/>
              <w:left w:val="nil"/>
              <w:bottom w:val="nil"/>
              <w:right w:val="nil"/>
            </w:tcBorders>
            <w:shd w:val="clear" w:color="auto" w:fill="auto"/>
            <w:noWrap/>
            <w:hideMark/>
          </w:tcPr>
          <w:p w14:paraId="54848C28" w14:textId="0F6B7A4F" w:rsidR="00434928" w:rsidRPr="00E4527E" w:rsidRDefault="00434928" w:rsidP="000F6DC7">
            <w:pPr>
              <w:spacing w:before="20" w:after="20" w:line="240" w:lineRule="auto"/>
              <w:rPr>
                <w:sz w:val="14"/>
                <w:szCs w:val="14"/>
                <w:highlight w:val="yellow"/>
                <w:lang w:val="en-US" w:eastAsia="en-US"/>
              </w:rPr>
            </w:pPr>
            <w:r>
              <w:rPr>
                <w:color w:val="000000"/>
                <w:sz w:val="14"/>
                <w:szCs w:val="14"/>
              </w:rPr>
              <w:t>X07A</w:t>
            </w:r>
          </w:p>
        </w:tc>
        <w:tc>
          <w:tcPr>
            <w:tcW w:w="4637" w:type="dxa"/>
            <w:tcBorders>
              <w:top w:val="nil"/>
              <w:left w:val="nil"/>
              <w:bottom w:val="nil"/>
              <w:right w:val="nil"/>
            </w:tcBorders>
            <w:shd w:val="clear" w:color="auto" w:fill="auto"/>
            <w:noWrap/>
            <w:hideMark/>
          </w:tcPr>
          <w:p w14:paraId="7C01CA3F" w14:textId="13E2A585" w:rsidR="00434928" w:rsidRPr="00E4527E" w:rsidRDefault="00434928" w:rsidP="000F6DC7">
            <w:pPr>
              <w:spacing w:before="20" w:after="20" w:line="240" w:lineRule="auto"/>
              <w:rPr>
                <w:sz w:val="14"/>
                <w:szCs w:val="14"/>
                <w:highlight w:val="yellow"/>
                <w:lang w:val="en-US" w:eastAsia="en-US"/>
              </w:rPr>
            </w:pPr>
            <w:r>
              <w:rPr>
                <w:color w:val="000000"/>
                <w:sz w:val="14"/>
                <w:szCs w:val="14"/>
              </w:rPr>
              <w:t>Skin Grafts for Injuries Excluding Hand, Major Complexity</w:t>
            </w:r>
          </w:p>
        </w:tc>
        <w:tc>
          <w:tcPr>
            <w:tcW w:w="962" w:type="dxa"/>
            <w:gridSpan w:val="2"/>
            <w:tcBorders>
              <w:top w:val="nil"/>
              <w:left w:val="nil"/>
              <w:bottom w:val="nil"/>
              <w:right w:val="nil"/>
            </w:tcBorders>
            <w:shd w:val="clear" w:color="auto" w:fill="auto"/>
            <w:noWrap/>
            <w:hideMark/>
          </w:tcPr>
          <w:p w14:paraId="6BB8CC6B" w14:textId="5B6533C2"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28.1</w:t>
            </w:r>
          </w:p>
        </w:tc>
        <w:tc>
          <w:tcPr>
            <w:tcW w:w="500" w:type="dxa"/>
            <w:gridSpan w:val="2"/>
            <w:tcBorders>
              <w:top w:val="nil"/>
              <w:left w:val="nil"/>
              <w:bottom w:val="nil"/>
              <w:right w:val="nil"/>
            </w:tcBorders>
            <w:shd w:val="clear" w:color="auto" w:fill="auto"/>
            <w:noWrap/>
            <w:hideMark/>
          </w:tcPr>
          <w:p w14:paraId="2B8716B0" w14:textId="3C49102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787E347A" w14:textId="47DF491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138</w:t>
            </w:r>
          </w:p>
        </w:tc>
        <w:tc>
          <w:tcPr>
            <w:tcW w:w="691" w:type="dxa"/>
            <w:gridSpan w:val="2"/>
            <w:tcBorders>
              <w:top w:val="nil"/>
              <w:left w:val="nil"/>
              <w:bottom w:val="nil"/>
              <w:right w:val="nil"/>
            </w:tcBorders>
            <w:shd w:val="clear" w:color="auto" w:fill="auto"/>
            <w:noWrap/>
            <w:hideMark/>
          </w:tcPr>
          <w:p w14:paraId="1CB024A8" w14:textId="49E80F2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8.38</w:t>
            </w:r>
          </w:p>
        </w:tc>
        <w:tc>
          <w:tcPr>
            <w:tcW w:w="839" w:type="dxa"/>
            <w:gridSpan w:val="2"/>
            <w:tcBorders>
              <w:top w:val="nil"/>
              <w:left w:val="nil"/>
              <w:bottom w:val="nil"/>
              <w:right w:val="nil"/>
            </w:tcBorders>
            <w:shd w:val="clear" w:color="auto" w:fill="auto"/>
            <w:noWrap/>
            <w:hideMark/>
          </w:tcPr>
          <w:p w14:paraId="2C7B1015" w14:textId="6F4C4BE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123</w:t>
            </w:r>
          </w:p>
        </w:tc>
        <w:tc>
          <w:tcPr>
            <w:tcW w:w="884" w:type="dxa"/>
            <w:gridSpan w:val="2"/>
            <w:tcBorders>
              <w:top w:val="nil"/>
              <w:left w:val="nil"/>
              <w:bottom w:val="nil"/>
              <w:right w:val="nil"/>
            </w:tcBorders>
            <w:shd w:val="clear" w:color="auto" w:fill="auto"/>
            <w:noWrap/>
            <w:hideMark/>
          </w:tcPr>
          <w:p w14:paraId="0824C14F" w14:textId="36F84CF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1,031</w:t>
            </w:r>
          </w:p>
        </w:tc>
        <w:tc>
          <w:tcPr>
            <w:tcW w:w="653" w:type="dxa"/>
            <w:gridSpan w:val="2"/>
            <w:tcBorders>
              <w:top w:val="nil"/>
              <w:left w:val="nil"/>
              <w:bottom w:val="nil"/>
              <w:right w:val="nil"/>
            </w:tcBorders>
            <w:shd w:val="clear" w:color="auto" w:fill="auto"/>
            <w:noWrap/>
            <w:hideMark/>
          </w:tcPr>
          <w:p w14:paraId="0518B8B6" w14:textId="6D1DDAD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0.91</w:t>
            </w:r>
          </w:p>
        </w:tc>
        <w:tc>
          <w:tcPr>
            <w:tcW w:w="653" w:type="dxa"/>
            <w:gridSpan w:val="2"/>
            <w:tcBorders>
              <w:top w:val="nil"/>
              <w:left w:val="nil"/>
              <w:bottom w:val="nil"/>
              <w:right w:val="nil"/>
            </w:tcBorders>
            <w:shd w:val="clear" w:color="auto" w:fill="auto"/>
            <w:noWrap/>
            <w:hideMark/>
          </w:tcPr>
          <w:p w14:paraId="2072DCC2" w14:textId="69B7035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718BD29E" w14:textId="58EECFE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1C1BF6EE" w14:textId="02D9D55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21.2</w:t>
            </w:r>
          </w:p>
        </w:tc>
        <w:tc>
          <w:tcPr>
            <w:tcW w:w="691" w:type="dxa"/>
            <w:gridSpan w:val="2"/>
            <w:tcBorders>
              <w:top w:val="nil"/>
              <w:left w:val="nil"/>
              <w:bottom w:val="nil"/>
              <w:right w:val="nil"/>
            </w:tcBorders>
            <w:shd w:val="clear" w:color="auto" w:fill="auto"/>
            <w:noWrap/>
            <w:hideMark/>
          </w:tcPr>
          <w:p w14:paraId="77DCC1EE" w14:textId="4CB3283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46 </w:t>
            </w:r>
          </w:p>
        </w:tc>
        <w:tc>
          <w:tcPr>
            <w:tcW w:w="839" w:type="dxa"/>
            <w:gridSpan w:val="2"/>
            <w:tcBorders>
              <w:top w:val="nil"/>
              <w:left w:val="nil"/>
              <w:bottom w:val="nil"/>
              <w:right w:val="nil"/>
            </w:tcBorders>
            <w:shd w:val="clear" w:color="auto" w:fill="auto"/>
            <w:noWrap/>
            <w:hideMark/>
          </w:tcPr>
          <w:p w14:paraId="6B08AD83" w14:textId="4466EC1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3,456</w:t>
            </w:r>
          </w:p>
        </w:tc>
      </w:tr>
      <w:tr w:rsidR="00434928" w:rsidRPr="00E4527E" w14:paraId="1326A895"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4EFF3753" w14:textId="2ABEBFD3"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2FFA4ECF" w14:textId="73D930BE"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17</w:t>
            </w:r>
          </w:p>
        </w:tc>
        <w:tc>
          <w:tcPr>
            <w:tcW w:w="600" w:type="dxa"/>
            <w:tcBorders>
              <w:top w:val="nil"/>
              <w:left w:val="nil"/>
              <w:bottom w:val="nil"/>
              <w:right w:val="nil"/>
            </w:tcBorders>
            <w:shd w:val="clear" w:color="auto" w:fill="auto"/>
            <w:noWrap/>
            <w:hideMark/>
          </w:tcPr>
          <w:p w14:paraId="30AE2501" w14:textId="3BE2CC8C" w:rsidR="00434928" w:rsidRPr="00E4527E" w:rsidRDefault="00434928" w:rsidP="000F6DC7">
            <w:pPr>
              <w:spacing w:before="20" w:after="20" w:line="240" w:lineRule="auto"/>
              <w:rPr>
                <w:sz w:val="14"/>
                <w:szCs w:val="14"/>
                <w:highlight w:val="yellow"/>
                <w:lang w:val="en-US" w:eastAsia="en-US"/>
              </w:rPr>
            </w:pPr>
            <w:r>
              <w:rPr>
                <w:color w:val="000000"/>
                <w:sz w:val="14"/>
                <w:szCs w:val="14"/>
              </w:rPr>
              <w:t>A14B</w:t>
            </w:r>
          </w:p>
        </w:tc>
        <w:tc>
          <w:tcPr>
            <w:tcW w:w="4637" w:type="dxa"/>
            <w:tcBorders>
              <w:top w:val="nil"/>
              <w:left w:val="nil"/>
              <w:bottom w:val="nil"/>
              <w:right w:val="nil"/>
            </w:tcBorders>
            <w:shd w:val="clear" w:color="auto" w:fill="auto"/>
            <w:noWrap/>
            <w:hideMark/>
          </w:tcPr>
          <w:p w14:paraId="23CE6DFC" w14:textId="23C069E9" w:rsidR="00434928" w:rsidRPr="00E4527E" w:rsidRDefault="00434928" w:rsidP="000F6DC7">
            <w:pPr>
              <w:spacing w:before="20" w:after="20" w:line="240" w:lineRule="auto"/>
              <w:rPr>
                <w:sz w:val="14"/>
                <w:szCs w:val="14"/>
                <w:highlight w:val="yellow"/>
                <w:lang w:val="en-US" w:eastAsia="en-US"/>
              </w:rPr>
            </w:pPr>
            <w:r>
              <w:rPr>
                <w:color w:val="000000"/>
                <w:sz w:val="14"/>
                <w:szCs w:val="14"/>
              </w:rPr>
              <w:t>Ventilation &gt;=96hours &amp; &lt;336hours, Intermediate Complexity</w:t>
            </w:r>
          </w:p>
        </w:tc>
        <w:tc>
          <w:tcPr>
            <w:tcW w:w="962" w:type="dxa"/>
            <w:gridSpan w:val="2"/>
            <w:tcBorders>
              <w:top w:val="nil"/>
              <w:left w:val="nil"/>
              <w:bottom w:val="nil"/>
              <w:right w:val="nil"/>
            </w:tcBorders>
            <w:shd w:val="clear" w:color="auto" w:fill="auto"/>
            <w:noWrap/>
            <w:hideMark/>
          </w:tcPr>
          <w:p w14:paraId="415E0F20" w14:textId="06E465D9"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27.8</w:t>
            </w:r>
          </w:p>
        </w:tc>
        <w:tc>
          <w:tcPr>
            <w:tcW w:w="500" w:type="dxa"/>
            <w:gridSpan w:val="2"/>
            <w:tcBorders>
              <w:top w:val="nil"/>
              <w:left w:val="nil"/>
              <w:bottom w:val="nil"/>
              <w:right w:val="nil"/>
            </w:tcBorders>
            <w:shd w:val="clear" w:color="auto" w:fill="auto"/>
            <w:noWrap/>
            <w:hideMark/>
          </w:tcPr>
          <w:p w14:paraId="50770967" w14:textId="11EE621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w:t>
            </w:r>
          </w:p>
        </w:tc>
        <w:tc>
          <w:tcPr>
            <w:tcW w:w="653" w:type="dxa"/>
            <w:gridSpan w:val="2"/>
            <w:tcBorders>
              <w:top w:val="nil"/>
              <w:left w:val="nil"/>
              <w:bottom w:val="nil"/>
              <w:right w:val="nil"/>
            </w:tcBorders>
            <w:shd w:val="clear" w:color="auto" w:fill="auto"/>
            <w:noWrap/>
            <w:hideMark/>
          </w:tcPr>
          <w:p w14:paraId="01B098E7" w14:textId="649178B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114</w:t>
            </w:r>
          </w:p>
        </w:tc>
        <w:tc>
          <w:tcPr>
            <w:tcW w:w="691" w:type="dxa"/>
            <w:gridSpan w:val="2"/>
            <w:tcBorders>
              <w:top w:val="nil"/>
              <w:left w:val="nil"/>
              <w:bottom w:val="nil"/>
              <w:right w:val="nil"/>
            </w:tcBorders>
            <w:shd w:val="clear" w:color="auto" w:fill="auto"/>
            <w:noWrap/>
            <w:hideMark/>
          </w:tcPr>
          <w:p w14:paraId="6EE67948" w14:textId="462A2E0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23.16</w:t>
            </w:r>
          </w:p>
        </w:tc>
        <w:tc>
          <w:tcPr>
            <w:tcW w:w="839" w:type="dxa"/>
            <w:gridSpan w:val="2"/>
            <w:tcBorders>
              <w:top w:val="nil"/>
              <w:left w:val="nil"/>
              <w:bottom w:val="nil"/>
              <w:right w:val="nil"/>
            </w:tcBorders>
            <w:shd w:val="clear" w:color="auto" w:fill="auto"/>
            <w:noWrap/>
            <w:hideMark/>
          </w:tcPr>
          <w:p w14:paraId="1AC7B52C" w14:textId="708D2DB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288</w:t>
            </w:r>
          </w:p>
        </w:tc>
        <w:tc>
          <w:tcPr>
            <w:tcW w:w="884" w:type="dxa"/>
            <w:gridSpan w:val="2"/>
            <w:tcBorders>
              <w:top w:val="nil"/>
              <w:left w:val="nil"/>
              <w:bottom w:val="nil"/>
              <w:right w:val="nil"/>
            </w:tcBorders>
            <w:shd w:val="clear" w:color="auto" w:fill="auto"/>
            <w:noWrap/>
            <w:hideMark/>
          </w:tcPr>
          <w:p w14:paraId="7A7E26AF" w14:textId="4876832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6,670</w:t>
            </w:r>
          </w:p>
        </w:tc>
        <w:tc>
          <w:tcPr>
            <w:tcW w:w="653" w:type="dxa"/>
            <w:gridSpan w:val="2"/>
            <w:tcBorders>
              <w:top w:val="nil"/>
              <w:left w:val="nil"/>
              <w:bottom w:val="nil"/>
              <w:right w:val="nil"/>
            </w:tcBorders>
            <w:shd w:val="clear" w:color="auto" w:fill="auto"/>
            <w:noWrap/>
            <w:hideMark/>
          </w:tcPr>
          <w:p w14:paraId="549EEF46" w14:textId="3CF25B5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1.12</w:t>
            </w:r>
          </w:p>
        </w:tc>
        <w:tc>
          <w:tcPr>
            <w:tcW w:w="653" w:type="dxa"/>
            <w:gridSpan w:val="2"/>
            <w:tcBorders>
              <w:top w:val="nil"/>
              <w:left w:val="nil"/>
              <w:bottom w:val="nil"/>
              <w:right w:val="nil"/>
            </w:tcBorders>
            <w:shd w:val="clear" w:color="auto" w:fill="auto"/>
            <w:noWrap/>
            <w:hideMark/>
          </w:tcPr>
          <w:p w14:paraId="704E3940" w14:textId="6CB48F90"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03F750E1" w14:textId="7144A198"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0.2%</w:t>
            </w:r>
          </w:p>
        </w:tc>
        <w:tc>
          <w:tcPr>
            <w:tcW w:w="691" w:type="dxa"/>
            <w:gridSpan w:val="2"/>
            <w:tcBorders>
              <w:top w:val="nil"/>
              <w:left w:val="nil"/>
              <w:bottom w:val="nil"/>
              <w:right w:val="nil"/>
            </w:tcBorders>
            <w:shd w:val="clear" w:color="auto" w:fill="auto"/>
            <w:noWrap/>
            <w:hideMark/>
          </w:tcPr>
          <w:p w14:paraId="41E66855" w14:textId="7D0CF01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24.9</w:t>
            </w:r>
          </w:p>
        </w:tc>
        <w:tc>
          <w:tcPr>
            <w:tcW w:w="691" w:type="dxa"/>
            <w:gridSpan w:val="2"/>
            <w:tcBorders>
              <w:top w:val="nil"/>
              <w:left w:val="nil"/>
              <w:bottom w:val="nil"/>
              <w:right w:val="nil"/>
            </w:tcBorders>
            <w:shd w:val="clear" w:color="auto" w:fill="auto"/>
            <w:noWrap/>
            <w:hideMark/>
          </w:tcPr>
          <w:p w14:paraId="3F3D5F3E" w14:textId="20C12B0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27 </w:t>
            </w:r>
          </w:p>
        </w:tc>
        <w:tc>
          <w:tcPr>
            <w:tcW w:w="839" w:type="dxa"/>
            <w:gridSpan w:val="2"/>
            <w:tcBorders>
              <w:top w:val="nil"/>
              <w:left w:val="nil"/>
              <w:bottom w:val="nil"/>
              <w:right w:val="nil"/>
            </w:tcBorders>
            <w:shd w:val="clear" w:color="auto" w:fill="auto"/>
            <w:noWrap/>
            <w:hideMark/>
          </w:tcPr>
          <w:p w14:paraId="307BA99D" w14:textId="1635463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8,022</w:t>
            </w:r>
          </w:p>
        </w:tc>
      </w:tr>
      <w:tr w:rsidR="00434928" w:rsidRPr="00E4527E" w14:paraId="7290A2B3"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4D1E069D" w14:textId="3E1BDC20"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No</w:t>
            </w:r>
          </w:p>
        </w:tc>
        <w:tc>
          <w:tcPr>
            <w:tcW w:w="691" w:type="dxa"/>
            <w:tcBorders>
              <w:top w:val="nil"/>
              <w:left w:val="nil"/>
              <w:bottom w:val="nil"/>
              <w:right w:val="nil"/>
            </w:tcBorders>
            <w:shd w:val="clear" w:color="auto" w:fill="auto"/>
            <w:noWrap/>
            <w:hideMark/>
          </w:tcPr>
          <w:p w14:paraId="13F08E81" w14:textId="066E69A2"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18</w:t>
            </w:r>
          </w:p>
        </w:tc>
        <w:tc>
          <w:tcPr>
            <w:tcW w:w="600" w:type="dxa"/>
            <w:tcBorders>
              <w:top w:val="nil"/>
              <w:left w:val="nil"/>
              <w:bottom w:val="nil"/>
              <w:right w:val="nil"/>
            </w:tcBorders>
            <w:shd w:val="clear" w:color="auto" w:fill="auto"/>
            <w:noWrap/>
            <w:hideMark/>
          </w:tcPr>
          <w:p w14:paraId="0E9799B2" w14:textId="5C0D68DC" w:rsidR="00434928" w:rsidRPr="00E4527E" w:rsidRDefault="00434928" w:rsidP="000F6DC7">
            <w:pPr>
              <w:spacing w:before="20" w:after="20" w:line="240" w:lineRule="auto"/>
              <w:rPr>
                <w:sz w:val="14"/>
                <w:szCs w:val="14"/>
                <w:highlight w:val="yellow"/>
                <w:lang w:val="en-US" w:eastAsia="en-US"/>
              </w:rPr>
            </w:pPr>
            <w:r>
              <w:rPr>
                <w:color w:val="000000"/>
                <w:sz w:val="14"/>
                <w:szCs w:val="14"/>
              </w:rPr>
              <w:t>R60A</w:t>
            </w:r>
          </w:p>
        </w:tc>
        <w:tc>
          <w:tcPr>
            <w:tcW w:w="4637" w:type="dxa"/>
            <w:tcBorders>
              <w:top w:val="nil"/>
              <w:left w:val="nil"/>
              <w:bottom w:val="nil"/>
              <w:right w:val="nil"/>
            </w:tcBorders>
            <w:shd w:val="clear" w:color="auto" w:fill="auto"/>
            <w:noWrap/>
            <w:hideMark/>
          </w:tcPr>
          <w:p w14:paraId="68F0094B" w14:textId="0C741BE5" w:rsidR="00434928" w:rsidRPr="00E4527E" w:rsidRDefault="00434928" w:rsidP="000F6DC7">
            <w:pPr>
              <w:spacing w:before="20" w:after="20" w:line="240" w:lineRule="auto"/>
              <w:rPr>
                <w:sz w:val="14"/>
                <w:szCs w:val="14"/>
                <w:highlight w:val="yellow"/>
                <w:lang w:val="en-US" w:eastAsia="en-US"/>
              </w:rPr>
            </w:pPr>
            <w:r>
              <w:rPr>
                <w:color w:val="000000"/>
                <w:sz w:val="14"/>
                <w:szCs w:val="14"/>
              </w:rPr>
              <w:t>Acute Leukaemia, Major Complexity</w:t>
            </w:r>
          </w:p>
        </w:tc>
        <w:tc>
          <w:tcPr>
            <w:tcW w:w="962" w:type="dxa"/>
            <w:gridSpan w:val="2"/>
            <w:tcBorders>
              <w:top w:val="nil"/>
              <w:left w:val="nil"/>
              <w:bottom w:val="nil"/>
              <w:right w:val="nil"/>
            </w:tcBorders>
            <w:shd w:val="clear" w:color="auto" w:fill="auto"/>
            <w:noWrap/>
            <w:hideMark/>
          </w:tcPr>
          <w:p w14:paraId="5BA174F6" w14:textId="19CE5A17"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27.0</w:t>
            </w:r>
          </w:p>
        </w:tc>
        <w:tc>
          <w:tcPr>
            <w:tcW w:w="500" w:type="dxa"/>
            <w:gridSpan w:val="2"/>
            <w:tcBorders>
              <w:top w:val="nil"/>
              <w:left w:val="nil"/>
              <w:bottom w:val="nil"/>
              <w:right w:val="nil"/>
            </w:tcBorders>
            <w:shd w:val="clear" w:color="auto" w:fill="auto"/>
            <w:noWrap/>
            <w:hideMark/>
          </w:tcPr>
          <w:p w14:paraId="5C10DEBA" w14:textId="175AD3E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0E3D6BDA" w14:textId="66D2E13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206</w:t>
            </w:r>
          </w:p>
        </w:tc>
        <w:tc>
          <w:tcPr>
            <w:tcW w:w="691" w:type="dxa"/>
            <w:gridSpan w:val="2"/>
            <w:tcBorders>
              <w:top w:val="nil"/>
              <w:left w:val="nil"/>
              <w:bottom w:val="nil"/>
              <w:right w:val="nil"/>
            </w:tcBorders>
            <w:shd w:val="clear" w:color="auto" w:fill="auto"/>
            <w:noWrap/>
            <w:hideMark/>
          </w:tcPr>
          <w:p w14:paraId="655F3B59" w14:textId="0FEC8E3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8.42</w:t>
            </w:r>
          </w:p>
        </w:tc>
        <w:tc>
          <w:tcPr>
            <w:tcW w:w="839" w:type="dxa"/>
            <w:gridSpan w:val="2"/>
            <w:tcBorders>
              <w:top w:val="nil"/>
              <w:left w:val="nil"/>
              <w:bottom w:val="nil"/>
              <w:right w:val="nil"/>
            </w:tcBorders>
            <w:shd w:val="clear" w:color="auto" w:fill="auto"/>
            <w:noWrap/>
            <w:hideMark/>
          </w:tcPr>
          <w:p w14:paraId="1174A52B" w14:textId="181C3A6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323</w:t>
            </w:r>
          </w:p>
        </w:tc>
        <w:tc>
          <w:tcPr>
            <w:tcW w:w="884" w:type="dxa"/>
            <w:gridSpan w:val="2"/>
            <w:tcBorders>
              <w:top w:val="nil"/>
              <w:left w:val="nil"/>
              <w:bottom w:val="nil"/>
              <w:right w:val="nil"/>
            </w:tcBorders>
            <w:shd w:val="clear" w:color="auto" w:fill="auto"/>
            <w:noWrap/>
            <w:hideMark/>
          </w:tcPr>
          <w:p w14:paraId="42F1224F" w14:textId="48E8CA6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2,720</w:t>
            </w:r>
          </w:p>
        </w:tc>
        <w:tc>
          <w:tcPr>
            <w:tcW w:w="653" w:type="dxa"/>
            <w:gridSpan w:val="2"/>
            <w:tcBorders>
              <w:top w:val="nil"/>
              <w:left w:val="nil"/>
              <w:bottom w:val="nil"/>
              <w:right w:val="nil"/>
            </w:tcBorders>
            <w:shd w:val="clear" w:color="auto" w:fill="auto"/>
            <w:noWrap/>
            <w:hideMark/>
          </w:tcPr>
          <w:p w14:paraId="37BE19AD" w14:textId="6D502C8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0.57</w:t>
            </w:r>
          </w:p>
        </w:tc>
        <w:tc>
          <w:tcPr>
            <w:tcW w:w="653" w:type="dxa"/>
            <w:gridSpan w:val="2"/>
            <w:tcBorders>
              <w:top w:val="nil"/>
              <w:left w:val="nil"/>
              <w:bottom w:val="nil"/>
              <w:right w:val="nil"/>
            </w:tcBorders>
            <w:shd w:val="clear" w:color="auto" w:fill="auto"/>
            <w:noWrap/>
            <w:hideMark/>
          </w:tcPr>
          <w:p w14:paraId="12EBC7AF" w14:textId="4E2B3BE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7A584323" w14:textId="5805417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w:t>
            </w:r>
          </w:p>
        </w:tc>
        <w:tc>
          <w:tcPr>
            <w:tcW w:w="691" w:type="dxa"/>
            <w:gridSpan w:val="2"/>
            <w:tcBorders>
              <w:top w:val="nil"/>
              <w:left w:val="nil"/>
              <w:bottom w:val="nil"/>
              <w:right w:val="nil"/>
            </w:tcBorders>
            <w:shd w:val="clear" w:color="auto" w:fill="auto"/>
            <w:noWrap/>
            <w:hideMark/>
          </w:tcPr>
          <w:p w14:paraId="27148942" w14:textId="000F976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24.2</w:t>
            </w:r>
          </w:p>
        </w:tc>
        <w:tc>
          <w:tcPr>
            <w:tcW w:w="691" w:type="dxa"/>
            <w:gridSpan w:val="2"/>
            <w:tcBorders>
              <w:top w:val="nil"/>
              <w:left w:val="nil"/>
              <w:bottom w:val="nil"/>
              <w:right w:val="nil"/>
            </w:tcBorders>
            <w:shd w:val="clear" w:color="auto" w:fill="auto"/>
            <w:noWrap/>
            <w:hideMark/>
          </w:tcPr>
          <w:p w14:paraId="59E2600C" w14:textId="741915B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29 </w:t>
            </w:r>
          </w:p>
        </w:tc>
        <w:tc>
          <w:tcPr>
            <w:tcW w:w="839" w:type="dxa"/>
            <w:gridSpan w:val="2"/>
            <w:tcBorders>
              <w:top w:val="nil"/>
              <w:left w:val="nil"/>
              <w:bottom w:val="nil"/>
              <w:right w:val="nil"/>
            </w:tcBorders>
            <w:shd w:val="clear" w:color="auto" w:fill="auto"/>
            <w:noWrap/>
            <w:hideMark/>
          </w:tcPr>
          <w:p w14:paraId="5C8B999A" w14:textId="711F479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8,730</w:t>
            </w:r>
          </w:p>
        </w:tc>
      </w:tr>
      <w:tr w:rsidR="00434928" w:rsidRPr="00E4527E" w14:paraId="3AB94BE7"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31BEB39A" w14:textId="16EB0265"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7BFCD71C" w14:textId="150C1B1D"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19</w:t>
            </w:r>
          </w:p>
        </w:tc>
        <w:tc>
          <w:tcPr>
            <w:tcW w:w="600" w:type="dxa"/>
            <w:tcBorders>
              <w:top w:val="nil"/>
              <w:left w:val="nil"/>
              <w:bottom w:val="nil"/>
              <w:right w:val="nil"/>
            </w:tcBorders>
            <w:shd w:val="clear" w:color="auto" w:fill="auto"/>
            <w:noWrap/>
            <w:hideMark/>
          </w:tcPr>
          <w:p w14:paraId="2DD547E8" w14:textId="12E43A5C" w:rsidR="00434928" w:rsidRPr="00E4527E" w:rsidRDefault="00434928" w:rsidP="000F6DC7">
            <w:pPr>
              <w:spacing w:before="20" w:after="20" w:line="240" w:lineRule="auto"/>
              <w:rPr>
                <w:sz w:val="14"/>
                <w:szCs w:val="14"/>
                <w:highlight w:val="yellow"/>
                <w:lang w:val="en-US" w:eastAsia="en-US"/>
              </w:rPr>
            </w:pPr>
            <w:r>
              <w:rPr>
                <w:color w:val="000000"/>
                <w:sz w:val="14"/>
                <w:szCs w:val="14"/>
              </w:rPr>
              <w:t>U63A</w:t>
            </w:r>
          </w:p>
        </w:tc>
        <w:tc>
          <w:tcPr>
            <w:tcW w:w="4637" w:type="dxa"/>
            <w:tcBorders>
              <w:top w:val="nil"/>
              <w:left w:val="nil"/>
              <w:bottom w:val="nil"/>
              <w:right w:val="nil"/>
            </w:tcBorders>
            <w:shd w:val="clear" w:color="auto" w:fill="auto"/>
            <w:noWrap/>
            <w:hideMark/>
          </w:tcPr>
          <w:p w14:paraId="6A345723" w14:textId="7EE8E050" w:rsidR="00434928" w:rsidRPr="00E4527E" w:rsidRDefault="00434928" w:rsidP="000F6DC7">
            <w:pPr>
              <w:spacing w:before="20" w:after="20" w:line="240" w:lineRule="auto"/>
              <w:rPr>
                <w:sz w:val="14"/>
                <w:szCs w:val="14"/>
                <w:highlight w:val="yellow"/>
                <w:lang w:val="en-US" w:eastAsia="en-US"/>
              </w:rPr>
            </w:pPr>
            <w:r>
              <w:rPr>
                <w:color w:val="000000"/>
                <w:sz w:val="14"/>
                <w:szCs w:val="14"/>
              </w:rPr>
              <w:t>Major Affective Disorders, Major Complexity</w:t>
            </w:r>
          </w:p>
        </w:tc>
        <w:tc>
          <w:tcPr>
            <w:tcW w:w="962" w:type="dxa"/>
            <w:gridSpan w:val="2"/>
            <w:tcBorders>
              <w:top w:val="nil"/>
              <w:left w:val="nil"/>
              <w:bottom w:val="nil"/>
              <w:right w:val="nil"/>
            </w:tcBorders>
            <w:shd w:val="clear" w:color="auto" w:fill="auto"/>
            <w:noWrap/>
            <w:hideMark/>
          </w:tcPr>
          <w:p w14:paraId="74FFBAF8" w14:textId="5CBF968D"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26.8</w:t>
            </w:r>
          </w:p>
        </w:tc>
        <w:tc>
          <w:tcPr>
            <w:tcW w:w="500" w:type="dxa"/>
            <w:gridSpan w:val="2"/>
            <w:tcBorders>
              <w:top w:val="nil"/>
              <w:left w:val="nil"/>
              <w:bottom w:val="nil"/>
              <w:right w:val="nil"/>
            </w:tcBorders>
            <w:shd w:val="clear" w:color="auto" w:fill="auto"/>
            <w:noWrap/>
            <w:hideMark/>
          </w:tcPr>
          <w:p w14:paraId="11B4B375" w14:textId="33D09E93"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5C55509D" w14:textId="38C250E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179</w:t>
            </w:r>
          </w:p>
        </w:tc>
        <w:tc>
          <w:tcPr>
            <w:tcW w:w="691" w:type="dxa"/>
            <w:gridSpan w:val="2"/>
            <w:tcBorders>
              <w:top w:val="nil"/>
              <w:left w:val="nil"/>
              <w:bottom w:val="nil"/>
              <w:right w:val="nil"/>
            </w:tcBorders>
            <w:shd w:val="clear" w:color="auto" w:fill="auto"/>
            <w:noWrap/>
            <w:hideMark/>
          </w:tcPr>
          <w:p w14:paraId="50029151" w14:textId="3175909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4.90</w:t>
            </w:r>
          </w:p>
        </w:tc>
        <w:tc>
          <w:tcPr>
            <w:tcW w:w="839" w:type="dxa"/>
            <w:gridSpan w:val="2"/>
            <w:tcBorders>
              <w:top w:val="nil"/>
              <w:left w:val="nil"/>
              <w:bottom w:val="nil"/>
              <w:right w:val="nil"/>
            </w:tcBorders>
            <w:shd w:val="clear" w:color="auto" w:fill="auto"/>
            <w:noWrap/>
            <w:hideMark/>
          </w:tcPr>
          <w:p w14:paraId="0D8DBB0D" w14:textId="5FFDD76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1,087</w:t>
            </w:r>
          </w:p>
        </w:tc>
        <w:tc>
          <w:tcPr>
            <w:tcW w:w="884" w:type="dxa"/>
            <w:gridSpan w:val="2"/>
            <w:tcBorders>
              <w:top w:val="nil"/>
              <w:left w:val="nil"/>
              <w:bottom w:val="nil"/>
              <w:right w:val="nil"/>
            </w:tcBorders>
            <w:shd w:val="clear" w:color="auto" w:fill="auto"/>
            <w:noWrap/>
            <w:hideMark/>
          </w:tcPr>
          <w:p w14:paraId="114DA769" w14:textId="703A7E4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5,326</w:t>
            </w:r>
          </w:p>
        </w:tc>
        <w:tc>
          <w:tcPr>
            <w:tcW w:w="653" w:type="dxa"/>
            <w:gridSpan w:val="2"/>
            <w:tcBorders>
              <w:top w:val="nil"/>
              <w:left w:val="nil"/>
              <w:bottom w:val="nil"/>
              <w:right w:val="nil"/>
            </w:tcBorders>
            <w:shd w:val="clear" w:color="auto" w:fill="auto"/>
            <w:noWrap/>
            <w:hideMark/>
          </w:tcPr>
          <w:p w14:paraId="6B1C17C5" w14:textId="2333064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0.15</w:t>
            </w:r>
          </w:p>
        </w:tc>
        <w:tc>
          <w:tcPr>
            <w:tcW w:w="653" w:type="dxa"/>
            <w:gridSpan w:val="2"/>
            <w:tcBorders>
              <w:top w:val="nil"/>
              <w:left w:val="nil"/>
              <w:bottom w:val="nil"/>
              <w:right w:val="nil"/>
            </w:tcBorders>
            <w:shd w:val="clear" w:color="auto" w:fill="auto"/>
            <w:noWrap/>
            <w:hideMark/>
          </w:tcPr>
          <w:p w14:paraId="2FC8DC59" w14:textId="4F6D468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47BA1EDE" w14:textId="12AD61A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0.2%</w:t>
            </w:r>
          </w:p>
        </w:tc>
        <w:tc>
          <w:tcPr>
            <w:tcW w:w="691" w:type="dxa"/>
            <w:gridSpan w:val="2"/>
            <w:tcBorders>
              <w:top w:val="nil"/>
              <w:left w:val="nil"/>
              <w:bottom w:val="nil"/>
              <w:right w:val="nil"/>
            </w:tcBorders>
            <w:shd w:val="clear" w:color="auto" w:fill="auto"/>
            <w:noWrap/>
            <w:hideMark/>
          </w:tcPr>
          <w:p w14:paraId="4A3F1100" w14:textId="41E3D9AE"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28.8</w:t>
            </w:r>
          </w:p>
        </w:tc>
        <w:tc>
          <w:tcPr>
            <w:tcW w:w="691" w:type="dxa"/>
            <w:gridSpan w:val="2"/>
            <w:tcBorders>
              <w:top w:val="nil"/>
              <w:left w:val="nil"/>
              <w:bottom w:val="nil"/>
              <w:right w:val="nil"/>
            </w:tcBorders>
            <w:shd w:val="clear" w:color="auto" w:fill="auto"/>
            <w:noWrap/>
            <w:hideMark/>
          </w:tcPr>
          <w:p w14:paraId="707C0B7B" w14:textId="1A727346"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18 </w:t>
            </w:r>
          </w:p>
        </w:tc>
        <w:tc>
          <w:tcPr>
            <w:tcW w:w="839" w:type="dxa"/>
            <w:gridSpan w:val="2"/>
            <w:tcBorders>
              <w:top w:val="nil"/>
              <w:left w:val="nil"/>
              <w:bottom w:val="nil"/>
              <w:right w:val="nil"/>
            </w:tcBorders>
            <w:shd w:val="clear" w:color="auto" w:fill="auto"/>
            <w:noWrap/>
            <w:hideMark/>
          </w:tcPr>
          <w:p w14:paraId="61D16FC2" w14:textId="77CF1F4A"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29,136</w:t>
            </w:r>
          </w:p>
        </w:tc>
      </w:tr>
      <w:tr w:rsidR="00434928" w:rsidRPr="00E4527E" w14:paraId="46ED6751" w14:textId="77777777" w:rsidTr="0093692C">
        <w:trPr>
          <w:gridAfter w:val="1"/>
          <w:wAfter w:w="34" w:type="dxa"/>
          <w:trHeight w:val="295"/>
        </w:trPr>
        <w:tc>
          <w:tcPr>
            <w:tcW w:w="709" w:type="dxa"/>
            <w:tcBorders>
              <w:top w:val="nil"/>
              <w:left w:val="nil"/>
              <w:bottom w:val="nil"/>
              <w:right w:val="nil"/>
            </w:tcBorders>
            <w:shd w:val="clear" w:color="auto" w:fill="auto"/>
            <w:noWrap/>
            <w:hideMark/>
          </w:tcPr>
          <w:p w14:paraId="71A1C25E" w14:textId="213BA112"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Yes</w:t>
            </w:r>
          </w:p>
        </w:tc>
        <w:tc>
          <w:tcPr>
            <w:tcW w:w="691" w:type="dxa"/>
            <w:tcBorders>
              <w:top w:val="nil"/>
              <w:left w:val="nil"/>
              <w:bottom w:val="nil"/>
              <w:right w:val="nil"/>
            </w:tcBorders>
            <w:shd w:val="clear" w:color="auto" w:fill="auto"/>
            <w:noWrap/>
            <w:hideMark/>
          </w:tcPr>
          <w:p w14:paraId="65AA8E1A" w14:textId="78B69CBF" w:rsidR="00434928" w:rsidRPr="00E4527E" w:rsidRDefault="00434928" w:rsidP="000F6DC7">
            <w:pPr>
              <w:spacing w:before="20" w:after="20" w:line="240" w:lineRule="auto"/>
              <w:jc w:val="center"/>
              <w:rPr>
                <w:sz w:val="14"/>
                <w:szCs w:val="14"/>
                <w:highlight w:val="yellow"/>
                <w:lang w:val="en-US" w:eastAsia="en-US"/>
              </w:rPr>
            </w:pPr>
            <w:r>
              <w:rPr>
                <w:color w:val="000000"/>
                <w:sz w:val="14"/>
                <w:szCs w:val="14"/>
              </w:rPr>
              <w:t>20</w:t>
            </w:r>
          </w:p>
        </w:tc>
        <w:tc>
          <w:tcPr>
            <w:tcW w:w="600" w:type="dxa"/>
            <w:tcBorders>
              <w:top w:val="nil"/>
              <w:left w:val="nil"/>
              <w:bottom w:val="nil"/>
              <w:right w:val="nil"/>
            </w:tcBorders>
            <w:shd w:val="clear" w:color="auto" w:fill="auto"/>
            <w:noWrap/>
            <w:hideMark/>
          </w:tcPr>
          <w:p w14:paraId="5B1A6252" w14:textId="2315556E" w:rsidR="00434928" w:rsidRPr="00E4527E" w:rsidRDefault="00434928" w:rsidP="000F6DC7">
            <w:pPr>
              <w:spacing w:before="20" w:after="20" w:line="240" w:lineRule="auto"/>
              <w:rPr>
                <w:sz w:val="14"/>
                <w:szCs w:val="14"/>
                <w:highlight w:val="yellow"/>
                <w:lang w:val="en-US" w:eastAsia="en-US"/>
              </w:rPr>
            </w:pPr>
            <w:r>
              <w:rPr>
                <w:color w:val="000000"/>
                <w:sz w:val="14"/>
                <w:szCs w:val="14"/>
              </w:rPr>
              <w:t>U61A</w:t>
            </w:r>
          </w:p>
        </w:tc>
        <w:tc>
          <w:tcPr>
            <w:tcW w:w="4637" w:type="dxa"/>
            <w:tcBorders>
              <w:top w:val="nil"/>
              <w:left w:val="nil"/>
              <w:bottom w:val="nil"/>
              <w:right w:val="nil"/>
            </w:tcBorders>
            <w:shd w:val="clear" w:color="auto" w:fill="auto"/>
            <w:noWrap/>
            <w:hideMark/>
          </w:tcPr>
          <w:p w14:paraId="1E3ACCB1" w14:textId="02E16B74" w:rsidR="00434928" w:rsidRPr="00E4527E" w:rsidRDefault="00434928" w:rsidP="000F6DC7">
            <w:pPr>
              <w:spacing w:before="20" w:after="20" w:line="240" w:lineRule="auto"/>
              <w:rPr>
                <w:sz w:val="14"/>
                <w:szCs w:val="14"/>
                <w:highlight w:val="yellow"/>
                <w:lang w:val="en-US" w:eastAsia="en-US"/>
              </w:rPr>
            </w:pPr>
            <w:r>
              <w:rPr>
                <w:color w:val="000000"/>
                <w:sz w:val="14"/>
                <w:szCs w:val="14"/>
              </w:rPr>
              <w:t>Schizophrenia Disorders, Major Complexity</w:t>
            </w:r>
          </w:p>
        </w:tc>
        <w:tc>
          <w:tcPr>
            <w:tcW w:w="962" w:type="dxa"/>
            <w:gridSpan w:val="2"/>
            <w:tcBorders>
              <w:top w:val="nil"/>
              <w:left w:val="nil"/>
              <w:bottom w:val="nil"/>
              <w:right w:val="nil"/>
            </w:tcBorders>
            <w:shd w:val="clear" w:color="auto" w:fill="auto"/>
            <w:noWrap/>
            <w:hideMark/>
          </w:tcPr>
          <w:p w14:paraId="50CB612A" w14:textId="71FAEE40" w:rsidR="00434928" w:rsidRPr="00E4527E" w:rsidRDefault="00434928" w:rsidP="000F6DC7">
            <w:pPr>
              <w:spacing w:before="20" w:after="20" w:line="240" w:lineRule="auto"/>
              <w:jc w:val="right"/>
              <w:rPr>
                <w:b/>
                <w:sz w:val="14"/>
                <w:szCs w:val="14"/>
                <w:highlight w:val="yellow"/>
                <w:lang w:val="en-US" w:eastAsia="en-US"/>
              </w:rPr>
            </w:pPr>
            <w:r>
              <w:rPr>
                <w:b/>
                <w:bCs/>
                <w:color w:val="000000"/>
                <w:sz w:val="14"/>
                <w:szCs w:val="14"/>
              </w:rPr>
              <w:t>26.6</w:t>
            </w:r>
          </w:p>
        </w:tc>
        <w:tc>
          <w:tcPr>
            <w:tcW w:w="500" w:type="dxa"/>
            <w:gridSpan w:val="2"/>
            <w:tcBorders>
              <w:top w:val="nil"/>
              <w:left w:val="nil"/>
              <w:bottom w:val="nil"/>
              <w:right w:val="nil"/>
            </w:tcBorders>
            <w:shd w:val="clear" w:color="auto" w:fill="auto"/>
            <w:noWrap/>
            <w:hideMark/>
          </w:tcPr>
          <w:p w14:paraId="255B714F" w14:textId="1A675BB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w:t>
            </w:r>
          </w:p>
        </w:tc>
        <w:tc>
          <w:tcPr>
            <w:tcW w:w="653" w:type="dxa"/>
            <w:gridSpan w:val="2"/>
            <w:tcBorders>
              <w:top w:val="nil"/>
              <w:left w:val="nil"/>
              <w:bottom w:val="nil"/>
              <w:right w:val="nil"/>
            </w:tcBorders>
            <w:shd w:val="clear" w:color="auto" w:fill="auto"/>
            <w:noWrap/>
            <w:hideMark/>
          </w:tcPr>
          <w:p w14:paraId="4016B080" w14:textId="50881F5B"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110</w:t>
            </w:r>
          </w:p>
        </w:tc>
        <w:tc>
          <w:tcPr>
            <w:tcW w:w="691" w:type="dxa"/>
            <w:gridSpan w:val="2"/>
            <w:tcBorders>
              <w:top w:val="nil"/>
              <w:left w:val="nil"/>
              <w:bottom w:val="nil"/>
              <w:right w:val="nil"/>
            </w:tcBorders>
            <w:shd w:val="clear" w:color="auto" w:fill="auto"/>
            <w:noWrap/>
            <w:hideMark/>
          </w:tcPr>
          <w:p w14:paraId="417DFF4F" w14:textId="3C3ED4A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4.46</w:t>
            </w:r>
          </w:p>
        </w:tc>
        <w:tc>
          <w:tcPr>
            <w:tcW w:w="839" w:type="dxa"/>
            <w:gridSpan w:val="2"/>
            <w:tcBorders>
              <w:top w:val="nil"/>
              <w:left w:val="nil"/>
              <w:bottom w:val="nil"/>
              <w:right w:val="nil"/>
            </w:tcBorders>
            <w:shd w:val="clear" w:color="auto" w:fill="auto"/>
            <w:noWrap/>
            <w:hideMark/>
          </w:tcPr>
          <w:p w14:paraId="19B84741" w14:textId="56114DE9"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193</w:t>
            </w:r>
          </w:p>
        </w:tc>
        <w:tc>
          <w:tcPr>
            <w:tcW w:w="884" w:type="dxa"/>
            <w:gridSpan w:val="2"/>
            <w:tcBorders>
              <w:top w:val="nil"/>
              <w:left w:val="nil"/>
              <w:bottom w:val="nil"/>
              <w:right w:val="nil"/>
            </w:tcBorders>
            <w:shd w:val="clear" w:color="auto" w:fill="auto"/>
            <w:noWrap/>
            <w:hideMark/>
          </w:tcPr>
          <w:p w14:paraId="4D923C03" w14:textId="6272880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861</w:t>
            </w:r>
          </w:p>
        </w:tc>
        <w:tc>
          <w:tcPr>
            <w:tcW w:w="653" w:type="dxa"/>
            <w:gridSpan w:val="2"/>
            <w:tcBorders>
              <w:top w:val="nil"/>
              <w:left w:val="nil"/>
              <w:bottom w:val="nil"/>
              <w:right w:val="nil"/>
            </w:tcBorders>
            <w:shd w:val="clear" w:color="auto" w:fill="auto"/>
            <w:noWrap/>
            <w:hideMark/>
          </w:tcPr>
          <w:p w14:paraId="7E153027" w14:textId="4072DD2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0.30</w:t>
            </w:r>
          </w:p>
        </w:tc>
        <w:tc>
          <w:tcPr>
            <w:tcW w:w="653" w:type="dxa"/>
            <w:gridSpan w:val="2"/>
            <w:tcBorders>
              <w:top w:val="nil"/>
              <w:left w:val="nil"/>
              <w:bottom w:val="nil"/>
              <w:right w:val="nil"/>
            </w:tcBorders>
            <w:shd w:val="clear" w:color="auto" w:fill="auto"/>
            <w:noWrap/>
            <w:hideMark/>
          </w:tcPr>
          <w:p w14:paraId="0DE54C0C" w14:textId="7256FD47"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53" w:type="dxa"/>
            <w:gridSpan w:val="2"/>
            <w:tcBorders>
              <w:top w:val="nil"/>
              <w:left w:val="nil"/>
              <w:bottom w:val="nil"/>
              <w:right w:val="nil"/>
            </w:tcBorders>
            <w:shd w:val="clear" w:color="auto" w:fill="auto"/>
            <w:noWrap/>
            <w:hideMark/>
          </w:tcPr>
          <w:p w14:paraId="30A30FD9" w14:textId="37899EF4"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0.0%</w:t>
            </w:r>
          </w:p>
        </w:tc>
        <w:tc>
          <w:tcPr>
            <w:tcW w:w="691" w:type="dxa"/>
            <w:gridSpan w:val="2"/>
            <w:tcBorders>
              <w:top w:val="nil"/>
              <w:left w:val="nil"/>
              <w:bottom w:val="nil"/>
              <w:right w:val="nil"/>
            </w:tcBorders>
            <w:shd w:val="clear" w:color="auto" w:fill="auto"/>
            <w:noWrap/>
            <w:hideMark/>
          </w:tcPr>
          <w:p w14:paraId="7AA3C71A" w14:textId="668AC6FC"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29.6</w:t>
            </w:r>
          </w:p>
        </w:tc>
        <w:tc>
          <w:tcPr>
            <w:tcW w:w="691" w:type="dxa"/>
            <w:gridSpan w:val="2"/>
            <w:tcBorders>
              <w:top w:val="nil"/>
              <w:left w:val="nil"/>
              <w:bottom w:val="nil"/>
              <w:right w:val="nil"/>
            </w:tcBorders>
            <w:shd w:val="clear" w:color="auto" w:fill="auto"/>
            <w:noWrap/>
            <w:hideMark/>
          </w:tcPr>
          <w:p w14:paraId="781A3763" w14:textId="35769285"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 xml:space="preserve">17 </w:t>
            </w:r>
          </w:p>
        </w:tc>
        <w:tc>
          <w:tcPr>
            <w:tcW w:w="839" w:type="dxa"/>
            <w:gridSpan w:val="2"/>
            <w:tcBorders>
              <w:top w:val="nil"/>
              <w:left w:val="nil"/>
              <w:bottom w:val="nil"/>
              <w:right w:val="nil"/>
            </w:tcBorders>
            <w:shd w:val="clear" w:color="auto" w:fill="auto"/>
            <w:noWrap/>
            <w:hideMark/>
          </w:tcPr>
          <w:p w14:paraId="20CBD66A" w14:textId="43D36E1F"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5,131</w:t>
            </w:r>
          </w:p>
        </w:tc>
      </w:tr>
      <w:tr w:rsidR="00434928" w:rsidRPr="00E4527E" w14:paraId="3A95F55F" w14:textId="77777777" w:rsidTr="00646404">
        <w:trPr>
          <w:trHeight w:val="254"/>
        </w:trPr>
        <w:tc>
          <w:tcPr>
            <w:tcW w:w="709" w:type="dxa"/>
            <w:tcBorders>
              <w:top w:val="single" w:sz="4" w:space="0" w:color="auto"/>
              <w:left w:val="nil"/>
              <w:bottom w:val="nil"/>
              <w:right w:val="nil"/>
            </w:tcBorders>
            <w:shd w:val="clear" w:color="auto" w:fill="auto"/>
            <w:noWrap/>
            <w:hideMark/>
          </w:tcPr>
          <w:p w14:paraId="1CA15ADB" w14:textId="77777777" w:rsidR="00434928" w:rsidRPr="00434928" w:rsidRDefault="00434928" w:rsidP="000F6DC7">
            <w:pPr>
              <w:spacing w:before="20" w:after="20" w:line="240" w:lineRule="auto"/>
              <w:jc w:val="center"/>
              <w:rPr>
                <w:sz w:val="14"/>
                <w:szCs w:val="14"/>
                <w:lang w:val="en-US" w:eastAsia="en-US"/>
              </w:rPr>
            </w:pPr>
            <w:r w:rsidRPr="00434928">
              <w:rPr>
                <w:sz w:val="14"/>
                <w:szCs w:val="14"/>
                <w:lang w:val="en-US" w:eastAsia="en-US"/>
              </w:rPr>
              <w:t>14</w:t>
            </w:r>
          </w:p>
        </w:tc>
        <w:tc>
          <w:tcPr>
            <w:tcW w:w="6277" w:type="dxa"/>
            <w:gridSpan w:val="4"/>
            <w:tcBorders>
              <w:top w:val="single" w:sz="4" w:space="0" w:color="auto"/>
              <w:left w:val="nil"/>
              <w:bottom w:val="nil"/>
              <w:right w:val="nil"/>
            </w:tcBorders>
            <w:shd w:val="clear" w:color="auto" w:fill="auto"/>
            <w:noWrap/>
            <w:hideMark/>
          </w:tcPr>
          <w:p w14:paraId="75274185" w14:textId="77777777" w:rsidR="00434928" w:rsidRPr="00434928" w:rsidRDefault="00434928" w:rsidP="000F6DC7">
            <w:pPr>
              <w:spacing w:before="20" w:after="20" w:line="240" w:lineRule="auto"/>
              <w:rPr>
                <w:b/>
                <w:bCs/>
                <w:sz w:val="14"/>
                <w:szCs w:val="14"/>
                <w:lang w:val="en-US" w:eastAsia="en-US"/>
              </w:rPr>
            </w:pPr>
            <w:r w:rsidRPr="00434928">
              <w:rPr>
                <w:b/>
                <w:bCs/>
                <w:sz w:val="14"/>
                <w:szCs w:val="14"/>
                <w:lang w:val="en-US" w:eastAsia="en-US"/>
              </w:rPr>
              <w:t>Sub-total, top 20 longest ALoS separations</w:t>
            </w:r>
          </w:p>
        </w:tc>
        <w:tc>
          <w:tcPr>
            <w:tcW w:w="677" w:type="dxa"/>
            <w:gridSpan w:val="2"/>
            <w:tcBorders>
              <w:top w:val="single" w:sz="4" w:space="0" w:color="auto"/>
              <w:left w:val="nil"/>
              <w:bottom w:val="nil"/>
              <w:right w:val="nil"/>
            </w:tcBorders>
            <w:shd w:val="clear" w:color="auto" w:fill="auto"/>
            <w:noWrap/>
            <w:hideMark/>
          </w:tcPr>
          <w:p w14:paraId="7E0993D5" w14:textId="2CD1DE6A"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31.1</w:t>
            </w:r>
          </w:p>
        </w:tc>
        <w:tc>
          <w:tcPr>
            <w:tcW w:w="470" w:type="dxa"/>
            <w:gridSpan w:val="2"/>
            <w:tcBorders>
              <w:top w:val="single" w:sz="4" w:space="0" w:color="auto"/>
              <w:left w:val="nil"/>
              <w:bottom w:val="nil"/>
              <w:right w:val="nil"/>
            </w:tcBorders>
            <w:shd w:val="clear" w:color="auto" w:fill="auto"/>
            <w:noWrap/>
            <w:hideMark/>
          </w:tcPr>
          <w:p w14:paraId="507950C8" w14:textId="77FDF198"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53" w:type="dxa"/>
            <w:gridSpan w:val="2"/>
            <w:tcBorders>
              <w:top w:val="single" w:sz="4" w:space="0" w:color="auto"/>
              <w:left w:val="nil"/>
              <w:bottom w:val="nil"/>
              <w:right w:val="nil"/>
            </w:tcBorders>
            <w:shd w:val="clear" w:color="auto" w:fill="auto"/>
            <w:noWrap/>
            <w:hideMark/>
          </w:tcPr>
          <w:p w14:paraId="591CF2FA" w14:textId="443264CC"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91" w:type="dxa"/>
            <w:gridSpan w:val="2"/>
            <w:tcBorders>
              <w:top w:val="single" w:sz="4" w:space="0" w:color="auto"/>
              <w:left w:val="nil"/>
              <w:bottom w:val="nil"/>
              <w:right w:val="nil"/>
            </w:tcBorders>
            <w:shd w:val="clear" w:color="auto" w:fill="auto"/>
            <w:noWrap/>
            <w:hideMark/>
          </w:tcPr>
          <w:p w14:paraId="46A2575B" w14:textId="44EA99B8"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12.23</w:t>
            </w:r>
          </w:p>
        </w:tc>
        <w:tc>
          <w:tcPr>
            <w:tcW w:w="839" w:type="dxa"/>
            <w:gridSpan w:val="2"/>
            <w:tcBorders>
              <w:top w:val="single" w:sz="4" w:space="0" w:color="auto"/>
              <w:left w:val="nil"/>
              <w:bottom w:val="nil"/>
              <w:right w:val="nil"/>
            </w:tcBorders>
            <w:shd w:val="clear" w:color="auto" w:fill="auto"/>
            <w:noWrap/>
            <w:hideMark/>
          </w:tcPr>
          <w:p w14:paraId="5CFE2588" w14:textId="704FF95F"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3,328</w:t>
            </w:r>
          </w:p>
        </w:tc>
        <w:tc>
          <w:tcPr>
            <w:tcW w:w="884" w:type="dxa"/>
            <w:gridSpan w:val="2"/>
            <w:tcBorders>
              <w:top w:val="single" w:sz="4" w:space="0" w:color="auto"/>
              <w:left w:val="nil"/>
              <w:bottom w:val="nil"/>
              <w:right w:val="nil"/>
            </w:tcBorders>
            <w:shd w:val="clear" w:color="auto" w:fill="auto"/>
            <w:noWrap/>
            <w:hideMark/>
          </w:tcPr>
          <w:p w14:paraId="1CF2CCB1" w14:textId="7D7DE347"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40,717</w:t>
            </w:r>
          </w:p>
        </w:tc>
        <w:tc>
          <w:tcPr>
            <w:tcW w:w="653" w:type="dxa"/>
            <w:gridSpan w:val="2"/>
            <w:tcBorders>
              <w:top w:val="single" w:sz="4" w:space="0" w:color="auto"/>
              <w:left w:val="nil"/>
              <w:bottom w:val="nil"/>
              <w:right w:val="nil"/>
            </w:tcBorders>
            <w:shd w:val="clear" w:color="auto" w:fill="auto"/>
            <w:noWrap/>
            <w:hideMark/>
          </w:tcPr>
          <w:p w14:paraId="29A36690" w14:textId="4B46D05A"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53" w:type="dxa"/>
            <w:gridSpan w:val="2"/>
            <w:tcBorders>
              <w:top w:val="single" w:sz="4" w:space="0" w:color="auto"/>
              <w:left w:val="nil"/>
              <w:bottom w:val="nil"/>
              <w:right w:val="nil"/>
            </w:tcBorders>
            <w:shd w:val="clear" w:color="auto" w:fill="auto"/>
            <w:noWrap/>
            <w:hideMark/>
          </w:tcPr>
          <w:p w14:paraId="7CA267FE" w14:textId="6CFF1A31"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0.1%</w:t>
            </w:r>
          </w:p>
        </w:tc>
        <w:tc>
          <w:tcPr>
            <w:tcW w:w="653" w:type="dxa"/>
            <w:gridSpan w:val="2"/>
            <w:tcBorders>
              <w:top w:val="single" w:sz="4" w:space="0" w:color="auto"/>
              <w:left w:val="nil"/>
              <w:bottom w:val="nil"/>
              <w:right w:val="nil"/>
            </w:tcBorders>
            <w:shd w:val="clear" w:color="auto" w:fill="auto"/>
            <w:noWrap/>
            <w:hideMark/>
          </w:tcPr>
          <w:p w14:paraId="7D7C78A0" w14:textId="448036D2"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1.3%</w:t>
            </w:r>
          </w:p>
        </w:tc>
        <w:tc>
          <w:tcPr>
            <w:tcW w:w="691" w:type="dxa"/>
            <w:gridSpan w:val="2"/>
            <w:tcBorders>
              <w:top w:val="single" w:sz="4" w:space="0" w:color="auto"/>
              <w:left w:val="nil"/>
              <w:bottom w:val="nil"/>
              <w:right w:val="nil"/>
            </w:tcBorders>
            <w:shd w:val="clear" w:color="auto" w:fill="auto"/>
            <w:noWrap/>
            <w:hideMark/>
          </w:tcPr>
          <w:p w14:paraId="2B2C8DFC" w14:textId="48F9D27F"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691" w:type="dxa"/>
            <w:gridSpan w:val="2"/>
            <w:tcBorders>
              <w:top w:val="single" w:sz="4" w:space="0" w:color="auto"/>
              <w:left w:val="nil"/>
              <w:bottom w:val="nil"/>
              <w:right w:val="nil"/>
            </w:tcBorders>
            <w:shd w:val="clear" w:color="auto" w:fill="auto"/>
            <w:noWrap/>
            <w:hideMark/>
          </w:tcPr>
          <w:p w14:paraId="674FB9C3" w14:textId="1B7C8612"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839" w:type="dxa"/>
            <w:gridSpan w:val="2"/>
            <w:tcBorders>
              <w:top w:val="single" w:sz="4" w:space="0" w:color="auto"/>
              <w:left w:val="nil"/>
              <w:bottom w:val="nil"/>
              <w:right w:val="nil"/>
            </w:tcBorders>
            <w:shd w:val="clear" w:color="auto" w:fill="auto"/>
            <w:noWrap/>
            <w:hideMark/>
          </w:tcPr>
          <w:p w14:paraId="78965709" w14:textId="3B1FD9B7"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103,421</w:t>
            </w:r>
          </w:p>
        </w:tc>
      </w:tr>
      <w:tr w:rsidR="00434928" w:rsidRPr="00E4527E" w14:paraId="34978F9F" w14:textId="77777777" w:rsidTr="00646404">
        <w:trPr>
          <w:trHeight w:val="254"/>
        </w:trPr>
        <w:tc>
          <w:tcPr>
            <w:tcW w:w="709" w:type="dxa"/>
            <w:tcBorders>
              <w:top w:val="nil"/>
              <w:left w:val="nil"/>
              <w:bottom w:val="nil"/>
              <w:right w:val="nil"/>
            </w:tcBorders>
            <w:shd w:val="clear" w:color="auto" w:fill="auto"/>
            <w:noWrap/>
            <w:hideMark/>
          </w:tcPr>
          <w:p w14:paraId="25F31627" w14:textId="77777777" w:rsidR="00434928" w:rsidRPr="00434928" w:rsidRDefault="00434928" w:rsidP="000F6DC7">
            <w:pPr>
              <w:spacing w:before="20" w:after="20" w:line="240" w:lineRule="auto"/>
              <w:jc w:val="center"/>
              <w:rPr>
                <w:sz w:val="14"/>
                <w:szCs w:val="14"/>
                <w:lang w:val="en-US" w:eastAsia="en-US"/>
              </w:rPr>
            </w:pPr>
            <w:r w:rsidRPr="00434928">
              <w:rPr>
                <w:sz w:val="14"/>
                <w:szCs w:val="14"/>
                <w:lang w:val="en-US" w:eastAsia="en-US"/>
              </w:rPr>
              <w:t xml:space="preserve">in </w:t>
            </w:r>
          </w:p>
        </w:tc>
        <w:tc>
          <w:tcPr>
            <w:tcW w:w="6277" w:type="dxa"/>
            <w:gridSpan w:val="4"/>
            <w:tcBorders>
              <w:top w:val="nil"/>
              <w:left w:val="nil"/>
              <w:bottom w:val="nil"/>
              <w:right w:val="nil"/>
            </w:tcBorders>
            <w:shd w:val="clear" w:color="auto" w:fill="auto"/>
            <w:noWrap/>
            <w:hideMark/>
          </w:tcPr>
          <w:p w14:paraId="4093FD30" w14:textId="624C2F8B" w:rsidR="00434928" w:rsidRPr="00434928" w:rsidRDefault="00434928" w:rsidP="000F6DC7">
            <w:pPr>
              <w:spacing w:before="20" w:after="20" w:line="240" w:lineRule="auto"/>
              <w:rPr>
                <w:rFonts w:ascii="Times New Roman" w:hAnsi="Times New Roman"/>
                <w:sz w:val="14"/>
                <w:szCs w:val="14"/>
                <w:lang w:val="en-US" w:eastAsia="en-US"/>
              </w:rPr>
            </w:pPr>
            <w:r w:rsidRPr="00434928">
              <w:rPr>
                <w:b/>
                <w:bCs/>
                <w:sz w:val="14"/>
                <w:szCs w:val="14"/>
                <w:lang w:val="en-US" w:eastAsia="en-US"/>
              </w:rPr>
              <w:t>All DRGs</w:t>
            </w:r>
          </w:p>
        </w:tc>
        <w:tc>
          <w:tcPr>
            <w:tcW w:w="677" w:type="dxa"/>
            <w:gridSpan w:val="2"/>
            <w:tcBorders>
              <w:top w:val="nil"/>
              <w:left w:val="nil"/>
              <w:bottom w:val="nil"/>
              <w:right w:val="nil"/>
            </w:tcBorders>
            <w:shd w:val="clear" w:color="auto" w:fill="auto"/>
            <w:noWrap/>
            <w:hideMark/>
          </w:tcPr>
          <w:p w14:paraId="0864FF25" w14:textId="472A236C"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2.3</w:t>
            </w:r>
          </w:p>
        </w:tc>
        <w:tc>
          <w:tcPr>
            <w:tcW w:w="470" w:type="dxa"/>
            <w:gridSpan w:val="2"/>
            <w:tcBorders>
              <w:top w:val="nil"/>
              <w:left w:val="nil"/>
              <w:bottom w:val="nil"/>
              <w:right w:val="nil"/>
            </w:tcBorders>
            <w:shd w:val="clear" w:color="auto" w:fill="auto"/>
            <w:noWrap/>
            <w:hideMark/>
          </w:tcPr>
          <w:p w14:paraId="259CE6B7" w14:textId="77777777" w:rsidR="00434928" w:rsidRPr="00E4527E" w:rsidRDefault="00434928" w:rsidP="000F6DC7">
            <w:pPr>
              <w:spacing w:before="20" w:after="20" w:line="240" w:lineRule="auto"/>
              <w:jc w:val="right"/>
              <w:rPr>
                <w:b/>
                <w:bCs/>
                <w:sz w:val="14"/>
                <w:szCs w:val="14"/>
                <w:highlight w:val="yellow"/>
                <w:lang w:val="en-US" w:eastAsia="en-US"/>
              </w:rPr>
            </w:pPr>
          </w:p>
        </w:tc>
        <w:tc>
          <w:tcPr>
            <w:tcW w:w="653" w:type="dxa"/>
            <w:gridSpan w:val="2"/>
            <w:tcBorders>
              <w:top w:val="nil"/>
              <w:left w:val="nil"/>
              <w:bottom w:val="nil"/>
              <w:right w:val="nil"/>
            </w:tcBorders>
            <w:shd w:val="clear" w:color="auto" w:fill="auto"/>
            <w:noWrap/>
            <w:hideMark/>
          </w:tcPr>
          <w:p w14:paraId="0F4BBDC5" w14:textId="77777777" w:rsidR="00434928" w:rsidRPr="00E4527E" w:rsidRDefault="00434928" w:rsidP="000F6DC7">
            <w:pPr>
              <w:spacing w:before="20" w:after="20" w:line="240" w:lineRule="auto"/>
              <w:rPr>
                <w:rFonts w:ascii="Times New Roman" w:hAnsi="Times New Roman"/>
                <w:sz w:val="14"/>
                <w:szCs w:val="14"/>
                <w:highlight w:val="yellow"/>
                <w:lang w:val="en-US" w:eastAsia="en-US"/>
              </w:rPr>
            </w:pPr>
          </w:p>
        </w:tc>
        <w:tc>
          <w:tcPr>
            <w:tcW w:w="691" w:type="dxa"/>
            <w:gridSpan w:val="2"/>
            <w:tcBorders>
              <w:top w:val="nil"/>
              <w:left w:val="nil"/>
              <w:bottom w:val="nil"/>
              <w:right w:val="nil"/>
            </w:tcBorders>
            <w:shd w:val="clear" w:color="auto" w:fill="auto"/>
            <w:noWrap/>
            <w:hideMark/>
          </w:tcPr>
          <w:p w14:paraId="67BBE663" w14:textId="5B435D11"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1.00</w:t>
            </w:r>
          </w:p>
        </w:tc>
        <w:tc>
          <w:tcPr>
            <w:tcW w:w="839" w:type="dxa"/>
            <w:gridSpan w:val="2"/>
            <w:tcBorders>
              <w:top w:val="nil"/>
              <w:left w:val="nil"/>
              <w:bottom w:val="nil"/>
              <w:right w:val="nil"/>
            </w:tcBorders>
            <w:shd w:val="clear" w:color="auto" w:fill="auto"/>
            <w:noWrap/>
            <w:hideMark/>
          </w:tcPr>
          <w:p w14:paraId="2E824A2B" w14:textId="015906FB"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3,242,411</w:t>
            </w:r>
          </w:p>
        </w:tc>
        <w:tc>
          <w:tcPr>
            <w:tcW w:w="884" w:type="dxa"/>
            <w:gridSpan w:val="2"/>
            <w:tcBorders>
              <w:top w:val="nil"/>
              <w:left w:val="nil"/>
              <w:bottom w:val="nil"/>
              <w:right w:val="nil"/>
            </w:tcBorders>
            <w:shd w:val="clear" w:color="auto" w:fill="auto"/>
            <w:noWrap/>
            <w:hideMark/>
          </w:tcPr>
          <w:p w14:paraId="5764242B" w14:textId="353F5AFA"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3,242,411</w:t>
            </w:r>
          </w:p>
        </w:tc>
        <w:tc>
          <w:tcPr>
            <w:tcW w:w="653" w:type="dxa"/>
            <w:gridSpan w:val="2"/>
            <w:tcBorders>
              <w:top w:val="nil"/>
              <w:left w:val="nil"/>
              <w:bottom w:val="nil"/>
              <w:right w:val="nil"/>
            </w:tcBorders>
            <w:shd w:val="clear" w:color="auto" w:fill="auto"/>
            <w:noWrap/>
            <w:hideMark/>
          </w:tcPr>
          <w:p w14:paraId="37CC6994" w14:textId="20B9742C" w:rsidR="00434928" w:rsidRPr="00E4527E" w:rsidRDefault="00434928" w:rsidP="000F6DC7">
            <w:pPr>
              <w:spacing w:before="20" w:after="20" w:line="240" w:lineRule="auto"/>
              <w:jc w:val="right"/>
              <w:rPr>
                <w:b/>
                <w:bCs/>
                <w:sz w:val="14"/>
                <w:szCs w:val="14"/>
                <w:highlight w:val="yellow"/>
                <w:lang w:val="en-US" w:eastAsia="en-US"/>
              </w:rPr>
            </w:pPr>
          </w:p>
        </w:tc>
        <w:tc>
          <w:tcPr>
            <w:tcW w:w="653" w:type="dxa"/>
            <w:gridSpan w:val="2"/>
            <w:tcBorders>
              <w:top w:val="nil"/>
              <w:left w:val="nil"/>
              <w:bottom w:val="nil"/>
              <w:right w:val="nil"/>
            </w:tcBorders>
            <w:shd w:val="clear" w:color="auto" w:fill="auto"/>
            <w:noWrap/>
            <w:hideMark/>
          </w:tcPr>
          <w:p w14:paraId="37FB1215" w14:textId="2B9D002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100%</w:t>
            </w:r>
          </w:p>
        </w:tc>
        <w:tc>
          <w:tcPr>
            <w:tcW w:w="653" w:type="dxa"/>
            <w:gridSpan w:val="2"/>
            <w:tcBorders>
              <w:top w:val="nil"/>
              <w:left w:val="nil"/>
              <w:bottom w:val="nil"/>
              <w:right w:val="nil"/>
            </w:tcBorders>
            <w:shd w:val="clear" w:color="auto" w:fill="auto"/>
            <w:noWrap/>
            <w:hideMark/>
          </w:tcPr>
          <w:p w14:paraId="35F175C3" w14:textId="7E161CFD" w:rsidR="00434928" w:rsidRPr="00E4527E" w:rsidRDefault="00434928" w:rsidP="000F6DC7">
            <w:pPr>
              <w:spacing w:before="20" w:after="20" w:line="240" w:lineRule="auto"/>
              <w:jc w:val="right"/>
              <w:rPr>
                <w:sz w:val="14"/>
                <w:szCs w:val="14"/>
                <w:highlight w:val="yellow"/>
                <w:lang w:val="en-US" w:eastAsia="en-US"/>
              </w:rPr>
            </w:pPr>
            <w:r>
              <w:rPr>
                <w:color w:val="000000"/>
                <w:sz w:val="14"/>
                <w:szCs w:val="14"/>
              </w:rPr>
              <w:t>100%</w:t>
            </w:r>
          </w:p>
        </w:tc>
        <w:tc>
          <w:tcPr>
            <w:tcW w:w="691" w:type="dxa"/>
            <w:gridSpan w:val="2"/>
            <w:tcBorders>
              <w:top w:val="nil"/>
              <w:left w:val="nil"/>
              <w:bottom w:val="nil"/>
              <w:right w:val="nil"/>
            </w:tcBorders>
            <w:shd w:val="clear" w:color="auto" w:fill="auto"/>
            <w:noWrap/>
            <w:hideMark/>
          </w:tcPr>
          <w:p w14:paraId="0B3F9448" w14:textId="77777777" w:rsidR="00434928" w:rsidRPr="00E4527E" w:rsidRDefault="00434928" w:rsidP="000F6DC7">
            <w:pPr>
              <w:spacing w:before="20" w:after="20" w:line="240" w:lineRule="auto"/>
              <w:jc w:val="right"/>
              <w:rPr>
                <w:sz w:val="14"/>
                <w:szCs w:val="14"/>
                <w:highlight w:val="yellow"/>
                <w:lang w:val="en-US" w:eastAsia="en-US"/>
              </w:rPr>
            </w:pPr>
          </w:p>
        </w:tc>
        <w:tc>
          <w:tcPr>
            <w:tcW w:w="691" w:type="dxa"/>
            <w:gridSpan w:val="2"/>
            <w:tcBorders>
              <w:top w:val="nil"/>
              <w:left w:val="nil"/>
              <w:bottom w:val="nil"/>
              <w:right w:val="nil"/>
            </w:tcBorders>
            <w:shd w:val="clear" w:color="auto" w:fill="auto"/>
            <w:noWrap/>
            <w:hideMark/>
          </w:tcPr>
          <w:p w14:paraId="21284ADA" w14:textId="77777777" w:rsidR="00434928" w:rsidRPr="00E4527E" w:rsidRDefault="00434928" w:rsidP="000F6DC7">
            <w:pPr>
              <w:spacing w:before="20" w:after="20" w:line="240" w:lineRule="auto"/>
              <w:rPr>
                <w:rFonts w:ascii="Times New Roman" w:hAnsi="Times New Roman"/>
                <w:sz w:val="14"/>
                <w:szCs w:val="14"/>
                <w:highlight w:val="yellow"/>
                <w:lang w:val="en-US" w:eastAsia="en-US"/>
              </w:rPr>
            </w:pPr>
          </w:p>
        </w:tc>
        <w:tc>
          <w:tcPr>
            <w:tcW w:w="839" w:type="dxa"/>
            <w:gridSpan w:val="2"/>
            <w:tcBorders>
              <w:top w:val="nil"/>
              <w:left w:val="nil"/>
              <w:bottom w:val="nil"/>
              <w:right w:val="nil"/>
            </w:tcBorders>
            <w:shd w:val="clear" w:color="auto" w:fill="auto"/>
            <w:noWrap/>
            <w:hideMark/>
          </w:tcPr>
          <w:p w14:paraId="21CC459E" w14:textId="42179F7D"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7,331,450</w:t>
            </w:r>
          </w:p>
        </w:tc>
      </w:tr>
      <w:tr w:rsidR="00434928" w:rsidRPr="00E4527E" w14:paraId="49397D16" w14:textId="77777777" w:rsidTr="00646404">
        <w:trPr>
          <w:trHeight w:val="254"/>
        </w:trPr>
        <w:tc>
          <w:tcPr>
            <w:tcW w:w="709" w:type="dxa"/>
            <w:tcBorders>
              <w:top w:val="nil"/>
              <w:left w:val="nil"/>
              <w:bottom w:val="single" w:sz="4" w:space="0" w:color="auto"/>
              <w:right w:val="nil"/>
            </w:tcBorders>
            <w:shd w:val="clear" w:color="auto" w:fill="auto"/>
            <w:noWrap/>
            <w:hideMark/>
          </w:tcPr>
          <w:p w14:paraId="356D9CB5" w14:textId="77777777" w:rsidR="00434928" w:rsidRPr="00434928" w:rsidRDefault="00434928" w:rsidP="000F6DC7">
            <w:pPr>
              <w:spacing w:before="20" w:after="20" w:line="240" w:lineRule="auto"/>
              <w:jc w:val="center"/>
              <w:rPr>
                <w:sz w:val="14"/>
                <w:szCs w:val="14"/>
                <w:lang w:val="en-US" w:eastAsia="en-US"/>
              </w:rPr>
            </w:pPr>
            <w:r w:rsidRPr="00434928">
              <w:rPr>
                <w:sz w:val="14"/>
                <w:szCs w:val="14"/>
                <w:lang w:val="en-US" w:eastAsia="en-US"/>
              </w:rPr>
              <w:t>Top 20</w:t>
            </w:r>
          </w:p>
        </w:tc>
        <w:tc>
          <w:tcPr>
            <w:tcW w:w="6277" w:type="dxa"/>
            <w:gridSpan w:val="4"/>
            <w:tcBorders>
              <w:top w:val="nil"/>
              <w:left w:val="nil"/>
              <w:bottom w:val="single" w:sz="4" w:space="0" w:color="auto"/>
              <w:right w:val="nil"/>
            </w:tcBorders>
            <w:shd w:val="clear" w:color="auto" w:fill="auto"/>
            <w:noWrap/>
            <w:hideMark/>
          </w:tcPr>
          <w:p w14:paraId="49218C58" w14:textId="77777777" w:rsidR="00434928" w:rsidRPr="00434928" w:rsidRDefault="00434928" w:rsidP="000F6DC7">
            <w:pPr>
              <w:spacing w:before="20" w:after="20" w:line="240" w:lineRule="auto"/>
              <w:rPr>
                <w:b/>
                <w:bCs/>
                <w:sz w:val="14"/>
                <w:szCs w:val="14"/>
                <w:lang w:val="en-US" w:eastAsia="en-US"/>
              </w:rPr>
            </w:pPr>
            <w:r w:rsidRPr="00434928">
              <w:rPr>
                <w:b/>
                <w:bCs/>
                <w:sz w:val="14"/>
                <w:szCs w:val="14"/>
                <w:lang w:val="en-US" w:eastAsia="en-US"/>
              </w:rPr>
              <w:t>Top 20 longest ALoS separations, % of all DRGs</w:t>
            </w:r>
          </w:p>
        </w:tc>
        <w:tc>
          <w:tcPr>
            <w:tcW w:w="677" w:type="dxa"/>
            <w:gridSpan w:val="2"/>
            <w:tcBorders>
              <w:top w:val="nil"/>
              <w:left w:val="nil"/>
              <w:bottom w:val="single" w:sz="4" w:space="0" w:color="auto"/>
              <w:right w:val="nil"/>
            </w:tcBorders>
            <w:shd w:val="clear" w:color="auto" w:fill="auto"/>
            <w:noWrap/>
            <w:hideMark/>
          </w:tcPr>
          <w:p w14:paraId="2711D57A" w14:textId="1AD609D9"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470" w:type="dxa"/>
            <w:gridSpan w:val="2"/>
            <w:tcBorders>
              <w:top w:val="nil"/>
              <w:left w:val="nil"/>
              <w:bottom w:val="single" w:sz="4" w:space="0" w:color="auto"/>
              <w:right w:val="nil"/>
            </w:tcBorders>
            <w:shd w:val="clear" w:color="auto" w:fill="auto"/>
            <w:noWrap/>
            <w:hideMark/>
          </w:tcPr>
          <w:p w14:paraId="72376410" w14:textId="00D556DD"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653" w:type="dxa"/>
            <w:gridSpan w:val="2"/>
            <w:tcBorders>
              <w:top w:val="nil"/>
              <w:left w:val="nil"/>
              <w:bottom w:val="single" w:sz="4" w:space="0" w:color="auto"/>
              <w:right w:val="nil"/>
            </w:tcBorders>
            <w:shd w:val="clear" w:color="auto" w:fill="auto"/>
            <w:noWrap/>
            <w:hideMark/>
          </w:tcPr>
          <w:p w14:paraId="5206A33C" w14:textId="19A29FB7"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691" w:type="dxa"/>
            <w:gridSpan w:val="2"/>
            <w:tcBorders>
              <w:top w:val="nil"/>
              <w:left w:val="nil"/>
              <w:bottom w:val="single" w:sz="4" w:space="0" w:color="auto"/>
              <w:right w:val="nil"/>
            </w:tcBorders>
            <w:shd w:val="clear" w:color="auto" w:fill="auto"/>
            <w:noWrap/>
            <w:hideMark/>
          </w:tcPr>
          <w:p w14:paraId="63B12483" w14:textId="3F18CB1C" w:rsidR="00434928" w:rsidRPr="00E4527E" w:rsidRDefault="00434928" w:rsidP="000F6DC7">
            <w:pPr>
              <w:spacing w:before="20" w:after="20" w:line="240" w:lineRule="auto"/>
              <w:rPr>
                <w:b/>
                <w:bCs/>
                <w:sz w:val="14"/>
                <w:szCs w:val="14"/>
                <w:highlight w:val="yellow"/>
                <w:lang w:val="en-US" w:eastAsia="en-US"/>
              </w:rPr>
            </w:pPr>
            <w:r>
              <w:rPr>
                <w:b/>
                <w:bCs/>
                <w:color w:val="000000"/>
                <w:sz w:val="14"/>
                <w:szCs w:val="14"/>
              </w:rPr>
              <w:t> </w:t>
            </w:r>
          </w:p>
        </w:tc>
        <w:tc>
          <w:tcPr>
            <w:tcW w:w="839" w:type="dxa"/>
            <w:gridSpan w:val="2"/>
            <w:tcBorders>
              <w:top w:val="nil"/>
              <w:left w:val="nil"/>
              <w:bottom w:val="single" w:sz="4" w:space="0" w:color="auto"/>
              <w:right w:val="nil"/>
            </w:tcBorders>
            <w:shd w:val="clear" w:color="auto" w:fill="auto"/>
            <w:noWrap/>
            <w:hideMark/>
          </w:tcPr>
          <w:p w14:paraId="1DD2AF20" w14:textId="46896636"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0.1%</w:t>
            </w:r>
          </w:p>
        </w:tc>
        <w:tc>
          <w:tcPr>
            <w:tcW w:w="884" w:type="dxa"/>
            <w:gridSpan w:val="2"/>
            <w:tcBorders>
              <w:top w:val="nil"/>
              <w:left w:val="nil"/>
              <w:bottom w:val="single" w:sz="4" w:space="0" w:color="auto"/>
              <w:right w:val="nil"/>
            </w:tcBorders>
            <w:shd w:val="clear" w:color="auto" w:fill="auto"/>
            <w:noWrap/>
            <w:hideMark/>
          </w:tcPr>
          <w:p w14:paraId="369529EE" w14:textId="77CC12E6"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1.3%</w:t>
            </w:r>
          </w:p>
        </w:tc>
        <w:tc>
          <w:tcPr>
            <w:tcW w:w="653" w:type="dxa"/>
            <w:gridSpan w:val="2"/>
            <w:tcBorders>
              <w:top w:val="nil"/>
              <w:left w:val="nil"/>
              <w:bottom w:val="single" w:sz="4" w:space="0" w:color="auto"/>
              <w:right w:val="nil"/>
            </w:tcBorders>
            <w:shd w:val="clear" w:color="auto" w:fill="auto"/>
            <w:noWrap/>
            <w:hideMark/>
          </w:tcPr>
          <w:p w14:paraId="137657FF" w14:textId="2DC9FEE6"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53" w:type="dxa"/>
            <w:gridSpan w:val="2"/>
            <w:tcBorders>
              <w:top w:val="nil"/>
              <w:left w:val="nil"/>
              <w:bottom w:val="single" w:sz="4" w:space="0" w:color="auto"/>
              <w:right w:val="nil"/>
            </w:tcBorders>
            <w:shd w:val="clear" w:color="auto" w:fill="auto"/>
            <w:noWrap/>
            <w:hideMark/>
          </w:tcPr>
          <w:p w14:paraId="3E1A7E85" w14:textId="130FC1CE"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53" w:type="dxa"/>
            <w:gridSpan w:val="2"/>
            <w:tcBorders>
              <w:top w:val="nil"/>
              <w:left w:val="nil"/>
              <w:bottom w:val="single" w:sz="4" w:space="0" w:color="auto"/>
              <w:right w:val="nil"/>
            </w:tcBorders>
            <w:shd w:val="clear" w:color="auto" w:fill="auto"/>
            <w:noWrap/>
            <w:hideMark/>
          </w:tcPr>
          <w:p w14:paraId="19748697" w14:textId="08C7E97F"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91" w:type="dxa"/>
            <w:gridSpan w:val="2"/>
            <w:tcBorders>
              <w:top w:val="nil"/>
              <w:left w:val="nil"/>
              <w:bottom w:val="single" w:sz="4" w:space="0" w:color="auto"/>
              <w:right w:val="nil"/>
            </w:tcBorders>
            <w:shd w:val="clear" w:color="auto" w:fill="auto"/>
            <w:noWrap/>
            <w:hideMark/>
          </w:tcPr>
          <w:p w14:paraId="265C1344" w14:textId="00E65C00"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691" w:type="dxa"/>
            <w:gridSpan w:val="2"/>
            <w:tcBorders>
              <w:top w:val="nil"/>
              <w:left w:val="nil"/>
              <w:bottom w:val="single" w:sz="4" w:space="0" w:color="auto"/>
              <w:right w:val="nil"/>
            </w:tcBorders>
            <w:shd w:val="clear" w:color="auto" w:fill="auto"/>
            <w:noWrap/>
            <w:hideMark/>
          </w:tcPr>
          <w:p w14:paraId="355BEB53" w14:textId="3CE753AF" w:rsidR="00434928" w:rsidRPr="00E4527E" w:rsidRDefault="00434928" w:rsidP="000F6DC7">
            <w:pPr>
              <w:spacing w:before="20" w:after="20" w:line="240" w:lineRule="auto"/>
              <w:rPr>
                <w:sz w:val="14"/>
                <w:szCs w:val="14"/>
                <w:highlight w:val="yellow"/>
                <w:lang w:val="en-US" w:eastAsia="en-US"/>
              </w:rPr>
            </w:pPr>
            <w:r>
              <w:rPr>
                <w:color w:val="000000"/>
                <w:sz w:val="14"/>
                <w:szCs w:val="14"/>
              </w:rPr>
              <w:t> </w:t>
            </w:r>
          </w:p>
        </w:tc>
        <w:tc>
          <w:tcPr>
            <w:tcW w:w="839" w:type="dxa"/>
            <w:gridSpan w:val="2"/>
            <w:tcBorders>
              <w:top w:val="nil"/>
              <w:left w:val="nil"/>
              <w:bottom w:val="single" w:sz="4" w:space="0" w:color="auto"/>
              <w:right w:val="nil"/>
            </w:tcBorders>
            <w:shd w:val="clear" w:color="auto" w:fill="auto"/>
            <w:noWrap/>
            <w:hideMark/>
          </w:tcPr>
          <w:p w14:paraId="225F9DE7" w14:textId="4976F3C5" w:rsidR="00434928" w:rsidRPr="00E4527E" w:rsidRDefault="00434928" w:rsidP="000F6DC7">
            <w:pPr>
              <w:spacing w:before="20" w:after="20" w:line="240" w:lineRule="auto"/>
              <w:jc w:val="right"/>
              <w:rPr>
                <w:b/>
                <w:bCs/>
                <w:sz w:val="14"/>
                <w:szCs w:val="14"/>
                <w:highlight w:val="yellow"/>
                <w:lang w:val="en-US" w:eastAsia="en-US"/>
              </w:rPr>
            </w:pPr>
            <w:r>
              <w:rPr>
                <w:b/>
                <w:bCs/>
                <w:color w:val="000000"/>
                <w:sz w:val="14"/>
                <w:szCs w:val="14"/>
              </w:rPr>
              <w:t>1.4%</w:t>
            </w:r>
          </w:p>
        </w:tc>
      </w:tr>
    </w:tbl>
    <w:p w14:paraId="68608D60" w14:textId="77777777" w:rsidR="00B95C7E" w:rsidRPr="00F039A3" w:rsidRDefault="00B95C7E" w:rsidP="00E73E50">
      <w:pPr>
        <w:spacing w:after="0" w:line="240" w:lineRule="auto"/>
        <w:rPr>
          <w:rFonts w:asciiTheme="minorHAnsi" w:hAnsiTheme="minorHAnsi" w:cstheme="minorHAnsi"/>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sz w:val="14"/>
        </w:rPr>
        <w:tab/>
      </w:r>
      <w:r w:rsidRPr="00F039A3">
        <w:rPr>
          <w:rFonts w:asciiTheme="minorHAnsi" w:hAnsiTheme="minorHAnsi" w:cstheme="minorHAnsi"/>
          <w:sz w:val="14"/>
        </w:rPr>
        <w:tab/>
      </w:r>
    </w:p>
    <w:p w14:paraId="5C81A7DE" w14:textId="142EC94C" w:rsidR="005C22AC" w:rsidRPr="00DF0CF9" w:rsidRDefault="005C22AC" w:rsidP="003D1557">
      <w:pPr>
        <w:spacing w:after="0" w:line="240" w:lineRule="auto"/>
        <w:rPr>
          <w:rFonts w:asciiTheme="minorHAnsi" w:hAnsiTheme="minorHAnsi" w:cstheme="minorHAnsi"/>
          <w:sz w:val="14"/>
        </w:rPr>
      </w:pPr>
      <w:r w:rsidRPr="00DF0CF9">
        <w:rPr>
          <w:rFonts w:asciiTheme="minorHAnsi" w:hAnsiTheme="minorHAnsi" w:cstheme="minorHAnsi"/>
          <w:sz w:val="14"/>
        </w:rPr>
        <w:t xml:space="preserve">(a) For cost weight (cost bucket specific) calculations please refer to </w:t>
      </w:r>
      <w:r w:rsidRPr="00DF0CF9">
        <w:rPr>
          <w:rFonts w:asciiTheme="minorHAnsi" w:hAnsiTheme="minorHAnsi" w:cstheme="minorHAnsi"/>
          <w:sz w:val="14"/>
        </w:rPr>
        <w:fldChar w:fldCharType="begin"/>
      </w:r>
      <w:r w:rsidRPr="00DF0CF9">
        <w:rPr>
          <w:rFonts w:asciiTheme="minorHAnsi" w:hAnsiTheme="minorHAnsi" w:cstheme="minorHAnsi"/>
          <w:sz w:val="14"/>
        </w:rPr>
        <w:instrText xml:space="preserve"> REF _Ref497335615 \h  \* MERGEFORMAT </w:instrText>
      </w:r>
      <w:r w:rsidRPr="00DF0CF9">
        <w:rPr>
          <w:rFonts w:asciiTheme="minorHAnsi" w:hAnsiTheme="minorHAnsi" w:cstheme="minorHAnsi"/>
          <w:sz w:val="14"/>
        </w:rPr>
      </w:r>
      <w:r w:rsidRPr="00DF0CF9">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Pr="00DF0CF9">
        <w:rPr>
          <w:rFonts w:asciiTheme="minorHAnsi" w:hAnsiTheme="minorHAnsi" w:cstheme="minorHAnsi"/>
          <w:sz w:val="14"/>
        </w:rPr>
        <w:fldChar w:fldCharType="end"/>
      </w:r>
      <w:r w:rsidRPr="00DF0CF9">
        <w:rPr>
          <w:rFonts w:asciiTheme="minorHAnsi" w:hAnsiTheme="minorHAnsi" w:cstheme="minorHAnsi"/>
          <w:sz w:val="14"/>
        </w:rPr>
        <w:tab/>
      </w:r>
      <w:r w:rsidRPr="00DF0CF9">
        <w:rPr>
          <w:rFonts w:asciiTheme="minorHAnsi" w:hAnsiTheme="minorHAnsi" w:cstheme="minorHAnsi"/>
          <w:sz w:val="14"/>
        </w:rPr>
        <w:tab/>
      </w:r>
    </w:p>
    <w:p w14:paraId="7511E7AE" w14:textId="77777777" w:rsidR="005C22AC" w:rsidRPr="00F039A3" w:rsidRDefault="005C22AC" w:rsidP="003D1557">
      <w:pPr>
        <w:spacing w:after="0" w:line="240" w:lineRule="auto"/>
        <w:rPr>
          <w:rFonts w:asciiTheme="minorHAnsi" w:hAnsiTheme="minorHAnsi" w:cstheme="minorHAnsi"/>
          <w:sz w:val="14"/>
        </w:rPr>
      </w:pPr>
      <w:r w:rsidRPr="00F039A3">
        <w:rPr>
          <w:rFonts w:asciiTheme="minorHAnsi" w:hAnsiTheme="minorHAnsi" w:cstheme="minorHAnsi"/>
          <w:sz w:val="14"/>
        </w:rPr>
        <w:t>(b) Separations shown are strata weighted</w:t>
      </w:r>
      <w:r w:rsidRPr="00F039A3">
        <w:rPr>
          <w:rFonts w:asciiTheme="minorHAnsi" w:hAnsiTheme="minorHAnsi" w:cstheme="minorHAnsi"/>
          <w:sz w:val="14"/>
        </w:rPr>
        <w:tab/>
      </w:r>
    </w:p>
    <w:p w14:paraId="664A33D8" w14:textId="34D88851" w:rsidR="005D7320" w:rsidRPr="00434928" w:rsidRDefault="005C22AC" w:rsidP="003D1557">
      <w:pPr>
        <w:spacing w:after="0" w:line="240" w:lineRule="auto"/>
        <w:rPr>
          <w:rFonts w:asciiTheme="minorHAnsi" w:hAnsiTheme="minorHAnsi" w:cstheme="minorHAnsi"/>
          <w:sz w:val="16"/>
        </w:rPr>
      </w:pPr>
      <w:r w:rsidRPr="00F039A3">
        <w:rPr>
          <w:rFonts w:asciiTheme="minorHAnsi" w:hAnsiTheme="minorHAnsi" w:cstheme="minorHAnsi"/>
          <w:sz w:val="14"/>
        </w:rPr>
        <w:t xml:space="preserve">(e) ALoS means </w:t>
      </w:r>
      <w:r w:rsidR="008C3232">
        <w:rPr>
          <w:rFonts w:asciiTheme="minorHAnsi" w:hAnsiTheme="minorHAnsi" w:cstheme="minorHAnsi"/>
          <w:sz w:val="14"/>
        </w:rPr>
        <w:t>A</w:t>
      </w:r>
      <w:r w:rsidRPr="00F039A3">
        <w:rPr>
          <w:rFonts w:asciiTheme="minorHAnsi" w:hAnsiTheme="minorHAnsi" w:cstheme="minorHAnsi"/>
          <w:sz w:val="14"/>
        </w:rPr>
        <w:t xml:space="preserve">verage </w:t>
      </w:r>
      <w:r w:rsidR="008C3232">
        <w:rPr>
          <w:rFonts w:asciiTheme="minorHAnsi" w:hAnsiTheme="minorHAnsi" w:cstheme="minorHAnsi"/>
          <w:sz w:val="14"/>
        </w:rPr>
        <w:t>L</w:t>
      </w:r>
      <w:r w:rsidRPr="00F039A3">
        <w:rPr>
          <w:rFonts w:asciiTheme="minorHAnsi" w:hAnsiTheme="minorHAnsi" w:cstheme="minorHAnsi"/>
          <w:sz w:val="14"/>
        </w:rPr>
        <w:t xml:space="preserve">ength of </w:t>
      </w:r>
      <w:r w:rsidR="008C3232">
        <w:rPr>
          <w:rFonts w:asciiTheme="minorHAnsi" w:hAnsiTheme="minorHAnsi" w:cstheme="minorHAnsi"/>
          <w:sz w:val="14"/>
        </w:rPr>
        <w:t>S</w:t>
      </w:r>
      <w:r w:rsidRPr="00F039A3">
        <w:rPr>
          <w:rFonts w:asciiTheme="minorHAnsi" w:hAnsiTheme="minorHAnsi" w:cstheme="minorHAnsi"/>
          <w:sz w:val="14"/>
        </w:rPr>
        <w:t>tay</w:t>
      </w:r>
      <w:r w:rsidRPr="00F039A3">
        <w:rPr>
          <w:rFonts w:asciiTheme="minorHAnsi" w:hAnsiTheme="minorHAnsi" w:cstheme="minorHAnsi"/>
          <w:sz w:val="14"/>
        </w:rPr>
        <w:tab/>
      </w:r>
      <w:r w:rsidR="005D7320" w:rsidRPr="00434928">
        <w:br w:type="page"/>
      </w:r>
    </w:p>
    <w:p w14:paraId="5218B10B" w14:textId="77777777" w:rsidR="00B95C7E" w:rsidRPr="00434928" w:rsidRDefault="00B95C7E" w:rsidP="006200A2">
      <w:pPr>
        <w:pStyle w:val="Figureheadings"/>
        <w:sectPr w:rsidR="00B95C7E" w:rsidRPr="00434928" w:rsidSect="00384647">
          <w:pgSz w:w="16840" w:h="11907" w:orient="landscape" w:code="9"/>
          <w:pgMar w:top="1843" w:right="1440" w:bottom="1021" w:left="1021" w:header="680" w:footer="510" w:gutter="0"/>
          <w:cols w:space="708"/>
          <w:docGrid w:linePitch="360"/>
        </w:sectPr>
      </w:pPr>
    </w:p>
    <w:p w14:paraId="6720204A" w14:textId="13C817E1" w:rsidR="005D7320" w:rsidRPr="001A18E0" w:rsidRDefault="00A22971" w:rsidP="007B51EC">
      <w:pPr>
        <w:pStyle w:val="Heading2"/>
        <w:spacing w:before="0"/>
      </w:pPr>
      <w:r w:rsidRPr="001A18E0">
        <w:lastRenderedPageBreak/>
        <w:t xml:space="preserve">Analysis of cost </w:t>
      </w:r>
      <w:r w:rsidR="008C0756" w:rsidRPr="001A18E0">
        <w:t>bucket</w:t>
      </w:r>
      <w:r w:rsidRPr="001A18E0">
        <w:t>s</w:t>
      </w:r>
    </w:p>
    <w:p w14:paraId="7702B40D" w14:textId="4660830F" w:rsidR="001B1824" w:rsidRPr="001A18E0" w:rsidRDefault="00A23161" w:rsidP="000F4588">
      <w:r w:rsidRPr="001A18E0">
        <w:t xml:space="preserve">The </w:t>
      </w:r>
      <w:r w:rsidR="001B1824" w:rsidRPr="001A18E0">
        <w:t xml:space="preserve">private sector NHCDC has analysed and reported on the following cost buckets </w:t>
      </w:r>
      <w:r w:rsidRPr="001A18E0">
        <w:t>since Round 17 (2012-13)</w:t>
      </w:r>
      <w:r w:rsidR="00E73E50">
        <w:t>.</w:t>
      </w:r>
      <w:r w:rsidRPr="001A18E0">
        <w:t xml:space="preserve"> The same cost bucket</w:t>
      </w:r>
      <w:r w:rsidR="001A18E0" w:rsidRPr="001A18E0">
        <w:t>s have been reported in Round 21</w:t>
      </w:r>
      <w:r w:rsidR="00E73E50">
        <w:t>, these are</w:t>
      </w:r>
      <w:r w:rsidR="00183262">
        <w:t>:</w:t>
      </w:r>
    </w:p>
    <w:p w14:paraId="730EBBC9" w14:textId="00643A21" w:rsidR="00A23161" w:rsidRPr="001A18E0" w:rsidRDefault="002D3040" w:rsidP="007B51EC">
      <w:pPr>
        <w:pStyle w:val="ListParagraph"/>
        <w:numPr>
          <w:ilvl w:val="0"/>
          <w:numId w:val="5"/>
        </w:numPr>
        <w:snapToGrid w:val="0"/>
        <w:spacing w:before="60" w:after="60"/>
        <w:ind w:left="714" w:hanging="357"/>
      </w:pPr>
      <w:r>
        <w:t>Operating room/Special</w:t>
      </w:r>
      <w:r w:rsidR="00F83BB8">
        <w:t>ist</w:t>
      </w:r>
      <w:r w:rsidR="00A23161" w:rsidRPr="001A18E0">
        <w:t xml:space="preserve"> Procedure Suite</w:t>
      </w:r>
      <w:r w:rsidR="00DC05BE">
        <w:t>s</w:t>
      </w:r>
      <w:r w:rsidR="00135776" w:rsidRPr="001A18E0">
        <w:t xml:space="preserve"> (OR/SPS)</w:t>
      </w:r>
    </w:p>
    <w:p w14:paraId="15222388" w14:textId="1E6A115D" w:rsidR="005D7320" w:rsidRPr="001A18E0" w:rsidRDefault="00183262" w:rsidP="007B51EC">
      <w:pPr>
        <w:pStyle w:val="ListParagraph"/>
        <w:numPr>
          <w:ilvl w:val="0"/>
          <w:numId w:val="5"/>
        </w:numPr>
        <w:snapToGrid w:val="0"/>
        <w:spacing w:before="60" w:after="60"/>
        <w:ind w:left="714" w:hanging="357"/>
      </w:pPr>
      <w:r>
        <w:t>Critical care</w:t>
      </w:r>
    </w:p>
    <w:p w14:paraId="47E0ADFF" w14:textId="3BEDE3BD" w:rsidR="005D7320" w:rsidRPr="001A18E0" w:rsidRDefault="00183262" w:rsidP="007B51EC">
      <w:pPr>
        <w:pStyle w:val="ListParagraph"/>
        <w:numPr>
          <w:ilvl w:val="0"/>
          <w:numId w:val="5"/>
        </w:numPr>
        <w:snapToGrid w:val="0"/>
        <w:spacing w:before="60" w:after="60"/>
        <w:ind w:left="714" w:hanging="357"/>
      </w:pPr>
      <w:r>
        <w:t>Prostheses</w:t>
      </w:r>
    </w:p>
    <w:p w14:paraId="117FF6AB" w14:textId="258D6937" w:rsidR="005D7320" w:rsidRPr="001A18E0" w:rsidRDefault="005D7320" w:rsidP="007B51EC">
      <w:pPr>
        <w:pStyle w:val="ListParagraph"/>
        <w:numPr>
          <w:ilvl w:val="0"/>
          <w:numId w:val="5"/>
        </w:numPr>
        <w:snapToGrid w:val="0"/>
        <w:spacing w:before="60" w:after="60"/>
        <w:ind w:left="714" w:hanging="357"/>
      </w:pPr>
      <w:r w:rsidRPr="001A18E0">
        <w:t>Miscellaneous</w:t>
      </w:r>
      <w:r w:rsidR="001B1824" w:rsidRPr="001A18E0">
        <w:t xml:space="preserve"> (representing the remainder of the cost buckets</w:t>
      </w:r>
      <w:r w:rsidR="002306B7">
        <w:t xml:space="preserve"> – see </w:t>
      </w:r>
      <w:r w:rsidR="00AF1F7A">
        <w:fldChar w:fldCharType="begin"/>
      </w:r>
      <w:r w:rsidR="00AF1F7A">
        <w:instrText xml:space="preserve"> REF _Ref536785953 \h </w:instrText>
      </w:r>
      <w:r w:rsidR="00AF1F7A">
        <w:fldChar w:fldCharType="separate"/>
      </w:r>
      <w:r w:rsidR="003D3E16" w:rsidRPr="00872D1C">
        <w:t>Appendix B: Private sector c</w:t>
      </w:r>
      <w:r w:rsidR="003D3E16" w:rsidRPr="00C020D5">
        <w:t>osting approaches</w:t>
      </w:r>
      <w:r w:rsidR="00AF1F7A">
        <w:fldChar w:fldCharType="end"/>
      </w:r>
      <w:r w:rsidR="002306B7">
        <w:t xml:space="preserve"> for the list of cost buckets</w:t>
      </w:r>
      <w:r w:rsidR="001B1824" w:rsidRPr="001A18E0">
        <w:t>)</w:t>
      </w:r>
      <w:r w:rsidRPr="001A18E0">
        <w:t>.</w:t>
      </w:r>
    </w:p>
    <w:p w14:paraId="675E1B60" w14:textId="4DBDF124" w:rsidR="00A53818" w:rsidRPr="001A18E0" w:rsidRDefault="00A23161" w:rsidP="000F4588">
      <w:r w:rsidRPr="001A18E0">
        <w:t>T</w:t>
      </w:r>
      <w:r w:rsidR="001B1824" w:rsidRPr="001A18E0">
        <w:t>his section contains the analysis of the differences between</w:t>
      </w:r>
      <w:r w:rsidR="00E22F35" w:rsidRPr="001A18E0">
        <w:t xml:space="preserve"> cost buckets in</w:t>
      </w:r>
      <w:r w:rsidR="001A18E0" w:rsidRPr="001A18E0">
        <w:t xml:space="preserve"> Round 20</w:t>
      </w:r>
      <w:r w:rsidR="001B1824" w:rsidRPr="001A18E0">
        <w:t xml:space="preserve"> and Round 2</w:t>
      </w:r>
      <w:r w:rsidR="001A18E0" w:rsidRPr="001A18E0">
        <w:t>1</w:t>
      </w:r>
      <w:r w:rsidR="001B1824" w:rsidRPr="001A18E0">
        <w:t xml:space="preserve"> as well as the top 20 DRGs</w:t>
      </w:r>
      <w:r w:rsidR="001A18E0">
        <w:t xml:space="preserve"> by these cost buckets</w:t>
      </w:r>
      <w:r w:rsidR="001B1824" w:rsidRPr="001A18E0">
        <w:t xml:space="preserve">.  </w:t>
      </w:r>
    </w:p>
    <w:p w14:paraId="7C0A662C" w14:textId="1AB36D5D" w:rsidR="00A53818" w:rsidRPr="001A18E0" w:rsidRDefault="00162614" w:rsidP="00302DDA">
      <w:pPr>
        <w:pStyle w:val="Heading3"/>
      </w:pPr>
      <w:r>
        <w:t>Differences between Round 21 and Round 20</w:t>
      </w:r>
    </w:p>
    <w:p w14:paraId="35FE9E3F" w14:textId="7A686AB6" w:rsidR="00A53818" w:rsidRPr="00183262" w:rsidRDefault="006654BA" w:rsidP="00183262">
      <w:r w:rsidRPr="00183262">
        <w:t>Table 9</w:t>
      </w:r>
      <w:r w:rsidR="00A53818" w:rsidRPr="00183262">
        <w:t xml:space="preserve"> and </w:t>
      </w:r>
      <w:r w:rsidRPr="00183262">
        <w:t>Figure 5</w:t>
      </w:r>
      <w:r w:rsidR="00A53818" w:rsidRPr="00183262">
        <w:t xml:space="preserve"> illustrate the differences between the </w:t>
      </w:r>
      <w:r w:rsidR="001A18E0" w:rsidRPr="00183262">
        <w:t>cost buckets in Round</w:t>
      </w:r>
      <w:r w:rsidR="008356A1" w:rsidRPr="00183262">
        <w:t xml:space="preserve"> </w:t>
      </w:r>
      <w:r w:rsidR="001A18E0" w:rsidRPr="00183262">
        <w:t>20</w:t>
      </w:r>
      <w:r w:rsidR="00A53818" w:rsidRPr="00183262">
        <w:t xml:space="preserve"> and Round 2</w:t>
      </w:r>
      <w:r w:rsidR="001A18E0" w:rsidRPr="00183262">
        <w:t>1</w:t>
      </w:r>
      <w:r w:rsidR="00A53818" w:rsidRPr="00183262">
        <w:t>.</w:t>
      </w:r>
      <w:r w:rsidR="001A18E0" w:rsidRPr="00183262">
        <w:t xml:space="preserve"> The movements between the rounds are relatively small which is to be expected given that participants undertook their own costing in Round 20 and continued to do so in Round 21.</w:t>
      </w:r>
      <w:r w:rsidR="00A53818" w:rsidRPr="00183262">
        <w:t xml:space="preserve">  </w:t>
      </w:r>
    </w:p>
    <w:p w14:paraId="79A92B34" w14:textId="77777777" w:rsidR="00FF5AF4" w:rsidRDefault="006654BA" w:rsidP="00A53818">
      <w:r w:rsidRPr="00183262">
        <w:t>Figure 5</w:t>
      </w:r>
      <w:r w:rsidR="00A53818" w:rsidRPr="00183262">
        <w:t xml:space="preserve"> shows that OR</w:t>
      </w:r>
      <w:r w:rsidR="00183262" w:rsidRPr="00183262">
        <w:t>/</w:t>
      </w:r>
      <w:r w:rsidR="00A53818" w:rsidRPr="00183262">
        <w:t>SP</w:t>
      </w:r>
      <w:r w:rsidR="00135776" w:rsidRPr="00183262">
        <w:t>S</w:t>
      </w:r>
      <w:r w:rsidR="00A53818" w:rsidRPr="00183262">
        <w:t xml:space="preserve"> had the largest movement between Rounds with an increase of </w:t>
      </w:r>
      <w:r w:rsidR="008356A1" w:rsidRPr="00183262">
        <w:t>1.6</w:t>
      </w:r>
      <w:r w:rsidR="00A53818" w:rsidRPr="00183262">
        <w:t xml:space="preserve"> </w:t>
      </w:r>
      <w:r w:rsidR="00F74337" w:rsidRPr="00183262">
        <w:t>percent</w:t>
      </w:r>
      <w:r w:rsidR="00183262">
        <w:t xml:space="preserve"> and there was a decrease of 1.4 percent in prostheses. </w:t>
      </w:r>
    </w:p>
    <w:p w14:paraId="142D5041" w14:textId="2C1B569F" w:rsidR="00183262" w:rsidRPr="00183262" w:rsidRDefault="00183262" w:rsidP="00A53818">
      <w:r w:rsidRPr="00183262">
        <w:t xml:space="preserve">Some </w:t>
      </w:r>
      <w:r w:rsidR="000F4588">
        <w:t>of the reasons why we may see a change in the cost buckets include</w:t>
      </w:r>
      <w:r w:rsidRPr="00183262">
        <w:t>:</w:t>
      </w:r>
    </w:p>
    <w:p w14:paraId="0A9C7CAD" w14:textId="77777777" w:rsidR="00183262" w:rsidRPr="00183262" w:rsidRDefault="00183262" w:rsidP="007B51EC">
      <w:pPr>
        <w:pStyle w:val="ListParagraph"/>
        <w:numPr>
          <w:ilvl w:val="0"/>
          <w:numId w:val="15"/>
        </w:numPr>
        <w:spacing w:before="60" w:after="60"/>
        <w:ind w:left="714" w:hanging="357"/>
      </w:pPr>
      <w:r w:rsidRPr="00183262">
        <w:t>Improvement in the accuracy of cost allocations through quality improvement of the participant’s</w:t>
      </w:r>
      <w:r w:rsidR="00A53818" w:rsidRPr="00183262">
        <w:t xml:space="preserve"> feeder data and</w:t>
      </w:r>
      <w:r w:rsidRPr="00183262">
        <w:t>/or</w:t>
      </w:r>
      <w:r w:rsidR="00A53818" w:rsidRPr="00183262">
        <w:t xml:space="preserve"> allocation statistics</w:t>
      </w:r>
    </w:p>
    <w:p w14:paraId="551C796A" w14:textId="77777777" w:rsidR="00183262" w:rsidRPr="00183262" w:rsidRDefault="00183262" w:rsidP="007B51EC">
      <w:pPr>
        <w:pStyle w:val="ListParagraph"/>
        <w:numPr>
          <w:ilvl w:val="0"/>
          <w:numId w:val="15"/>
        </w:numPr>
        <w:spacing w:before="60" w:after="60"/>
        <w:ind w:left="714" w:hanging="357"/>
      </w:pPr>
      <w:r w:rsidRPr="00183262">
        <w:t>C</w:t>
      </w:r>
      <w:r w:rsidR="00A53818" w:rsidRPr="00183262">
        <w:t>hanges in se</w:t>
      </w:r>
      <w:r w:rsidRPr="00183262">
        <w:t xml:space="preserve">rvice weights between Rounds </w:t>
      </w:r>
    </w:p>
    <w:p w14:paraId="54036472" w14:textId="1DB90562" w:rsidR="00183262" w:rsidRPr="00183262" w:rsidRDefault="00183262" w:rsidP="007B51EC">
      <w:pPr>
        <w:pStyle w:val="ListParagraph"/>
        <w:numPr>
          <w:ilvl w:val="0"/>
          <w:numId w:val="15"/>
        </w:numPr>
        <w:spacing w:before="60" w:after="60"/>
        <w:ind w:left="714" w:hanging="357"/>
      </w:pPr>
      <w:r w:rsidRPr="00183262">
        <w:t>I</w:t>
      </w:r>
      <w:r w:rsidR="00A64042">
        <w:t>ncrease in same-</w:t>
      </w:r>
      <w:r w:rsidR="00A53818" w:rsidRPr="00183262">
        <w:t>day theatre related separations.</w:t>
      </w:r>
    </w:p>
    <w:p w14:paraId="0EDDB776" w14:textId="130A75F5" w:rsidR="00A23161" w:rsidRPr="005319AA" w:rsidRDefault="006654BA" w:rsidP="005319AA">
      <w:pPr>
        <w:pStyle w:val="Tableoffigures3"/>
        <w:spacing w:after="120"/>
        <w:rPr>
          <w:color w:val="004200" w:themeColor="accent1"/>
          <w:sz w:val="18"/>
        </w:rPr>
      </w:pPr>
      <w:bookmarkStart w:id="169" w:name="_Toc162096"/>
      <w:r w:rsidRPr="005319AA">
        <w:rPr>
          <w:color w:val="004200" w:themeColor="accent1"/>
          <w:sz w:val="18"/>
        </w:rPr>
        <w:t>Figure 5</w:t>
      </w:r>
      <w:r w:rsidR="00AF7FF9" w:rsidRPr="005319AA">
        <w:rPr>
          <w:color w:val="004200" w:themeColor="accent1"/>
          <w:sz w:val="18"/>
        </w:rPr>
        <w:t>.</w:t>
      </w:r>
      <w:r w:rsidR="00A23161" w:rsidRPr="005319AA">
        <w:rPr>
          <w:color w:val="004200" w:themeColor="accent1"/>
          <w:sz w:val="18"/>
        </w:rPr>
        <w:t xml:space="preserve"> Breakdown of cos</w:t>
      </w:r>
      <w:r w:rsidR="00183262" w:rsidRPr="005319AA">
        <w:rPr>
          <w:color w:val="004200" w:themeColor="accent1"/>
          <w:sz w:val="18"/>
        </w:rPr>
        <w:t>t by cost-bucket group (Round 21 compared to Round 20)</w:t>
      </w:r>
      <w:bookmarkEnd w:id="169"/>
    </w:p>
    <w:p w14:paraId="198D3438" w14:textId="3DEACE97" w:rsidR="000E57F0" w:rsidRPr="000E57F0" w:rsidRDefault="00235DEA" w:rsidP="006654BA">
      <w:r w:rsidRPr="00235DEA">
        <w:rPr>
          <w:noProof/>
        </w:rPr>
        <w:drawing>
          <wp:inline distT="0" distB="0" distL="0" distR="0" wp14:anchorId="6522395A" wp14:editId="66931038">
            <wp:extent cx="5998210" cy="211541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8210" cy="2115415"/>
                    </a:xfrm>
                    <a:prstGeom prst="rect">
                      <a:avLst/>
                    </a:prstGeom>
                    <a:noFill/>
                    <a:ln>
                      <a:noFill/>
                    </a:ln>
                  </pic:spPr>
                </pic:pic>
              </a:graphicData>
            </a:graphic>
          </wp:inline>
        </w:drawing>
      </w:r>
    </w:p>
    <w:p w14:paraId="00218007" w14:textId="7E1C2535" w:rsidR="00A53818" w:rsidRPr="003F071C" w:rsidRDefault="006654BA" w:rsidP="00235DEA">
      <w:pPr>
        <w:pStyle w:val="TableHeadings3"/>
        <w:spacing w:after="120"/>
      </w:pPr>
      <w:bookmarkStart w:id="170" w:name="_Toc161999"/>
      <w:r w:rsidRPr="003F071C">
        <w:t>Table 9</w:t>
      </w:r>
      <w:r w:rsidR="00AF7FF9" w:rsidRPr="003F071C">
        <w:t>.</w:t>
      </w:r>
      <w:r w:rsidR="00A53818" w:rsidRPr="003F071C">
        <w:t xml:space="preserve"> Breakdown of cos</w:t>
      </w:r>
      <w:r w:rsidR="00183262">
        <w:t>t by cost-bucket group (</w:t>
      </w:r>
      <w:r w:rsidR="003F071C" w:rsidRPr="003F071C">
        <w:t>Round 21</w:t>
      </w:r>
      <w:r w:rsidR="00A53818" w:rsidRPr="003F071C">
        <w:t xml:space="preserve"> </w:t>
      </w:r>
      <w:r w:rsidR="00183262">
        <w:t>compared to</w:t>
      </w:r>
      <w:r w:rsidR="00A53818" w:rsidRPr="003F071C">
        <w:t xml:space="preserve"> Round </w:t>
      </w:r>
      <w:r w:rsidR="003F071C" w:rsidRPr="003F071C">
        <w:t>20</w:t>
      </w:r>
      <w:r w:rsidR="00183262">
        <w:t>)</w:t>
      </w:r>
      <w:bookmarkEnd w:id="170"/>
    </w:p>
    <w:tbl>
      <w:tblPr>
        <w:tblW w:w="9498" w:type="dxa"/>
        <w:tblLook w:val="04A0" w:firstRow="1" w:lastRow="0" w:firstColumn="1" w:lastColumn="0" w:noHBand="0" w:noVBand="1"/>
      </w:tblPr>
      <w:tblGrid>
        <w:gridCol w:w="4440"/>
        <w:gridCol w:w="1332"/>
        <w:gridCol w:w="2025"/>
        <w:gridCol w:w="1701"/>
      </w:tblGrid>
      <w:tr w:rsidR="00A53818" w:rsidRPr="00E4527E" w14:paraId="408330A8" w14:textId="77777777" w:rsidTr="007B51EC">
        <w:trPr>
          <w:trHeight w:val="287"/>
        </w:trPr>
        <w:tc>
          <w:tcPr>
            <w:tcW w:w="4440" w:type="dxa"/>
            <w:vMerge w:val="restart"/>
            <w:tcBorders>
              <w:top w:val="single" w:sz="4" w:space="0" w:color="auto"/>
              <w:left w:val="nil"/>
              <w:bottom w:val="single" w:sz="8" w:space="0" w:color="000000"/>
              <w:right w:val="nil"/>
            </w:tcBorders>
            <w:shd w:val="clear" w:color="auto" w:fill="auto"/>
            <w:noWrap/>
            <w:hideMark/>
          </w:tcPr>
          <w:p w14:paraId="20392EF0" w14:textId="77777777" w:rsidR="00A53818" w:rsidRPr="003F071C" w:rsidRDefault="00A53818" w:rsidP="00235DEA">
            <w:pPr>
              <w:spacing w:before="80" w:after="80" w:line="240" w:lineRule="auto"/>
              <w:rPr>
                <w:rFonts w:asciiTheme="minorHAnsi" w:hAnsiTheme="minorHAnsi" w:cstheme="minorHAnsi"/>
                <w:b/>
                <w:bCs/>
                <w:color w:val="000000"/>
                <w:sz w:val="18"/>
                <w:szCs w:val="18"/>
                <w:lang w:val="en-US" w:eastAsia="en-US"/>
              </w:rPr>
            </w:pPr>
            <w:r w:rsidRPr="003F071C">
              <w:rPr>
                <w:rFonts w:asciiTheme="minorHAnsi" w:hAnsiTheme="minorHAnsi" w:cstheme="minorHAnsi"/>
                <w:b/>
                <w:bCs/>
                <w:color w:val="000000"/>
                <w:sz w:val="18"/>
                <w:szCs w:val="18"/>
                <w:lang w:val="en-US" w:eastAsia="en-US"/>
              </w:rPr>
              <w:t>Cost Bucket</w:t>
            </w:r>
          </w:p>
        </w:tc>
        <w:tc>
          <w:tcPr>
            <w:tcW w:w="1332" w:type="dxa"/>
            <w:vMerge w:val="restart"/>
            <w:tcBorders>
              <w:top w:val="single" w:sz="4" w:space="0" w:color="auto"/>
              <w:left w:val="nil"/>
              <w:bottom w:val="single" w:sz="8" w:space="0" w:color="000000"/>
              <w:right w:val="nil"/>
            </w:tcBorders>
            <w:shd w:val="clear" w:color="auto" w:fill="auto"/>
            <w:hideMark/>
          </w:tcPr>
          <w:p w14:paraId="4CCA6EFA" w14:textId="23212BAB" w:rsidR="00A53818" w:rsidRPr="003F071C" w:rsidRDefault="003F071C" w:rsidP="00235DEA">
            <w:pPr>
              <w:spacing w:before="80" w:after="80" w:line="240" w:lineRule="auto"/>
              <w:jc w:val="right"/>
              <w:rPr>
                <w:rFonts w:asciiTheme="minorHAnsi" w:hAnsiTheme="minorHAnsi" w:cstheme="minorHAnsi"/>
                <w:b/>
                <w:bCs/>
                <w:color w:val="000000"/>
                <w:sz w:val="18"/>
                <w:szCs w:val="18"/>
                <w:lang w:val="en-US" w:eastAsia="en-US"/>
              </w:rPr>
            </w:pPr>
            <w:r w:rsidRPr="003F071C">
              <w:rPr>
                <w:rFonts w:asciiTheme="minorHAnsi" w:hAnsiTheme="minorHAnsi" w:cstheme="minorHAnsi"/>
                <w:b/>
                <w:bCs/>
                <w:color w:val="000000"/>
                <w:sz w:val="18"/>
                <w:szCs w:val="18"/>
                <w:lang w:val="en-US" w:eastAsia="en-US"/>
              </w:rPr>
              <w:t>Round 20</w:t>
            </w:r>
            <w:r w:rsidR="00A53818" w:rsidRPr="003F071C">
              <w:rPr>
                <w:rFonts w:asciiTheme="minorHAnsi" w:hAnsiTheme="minorHAnsi" w:cstheme="minorHAnsi"/>
                <w:b/>
                <w:bCs/>
                <w:color w:val="000000"/>
                <w:sz w:val="18"/>
                <w:szCs w:val="18"/>
                <w:lang w:val="en-US" w:eastAsia="en-US"/>
              </w:rPr>
              <w:t xml:space="preserve"> 201</w:t>
            </w:r>
            <w:r w:rsidRPr="003F071C">
              <w:rPr>
                <w:rFonts w:asciiTheme="minorHAnsi" w:hAnsiTheme="minorHAnsi" w:cstheme="minorHAnsi"/>
                <w:b/>
                <w:bCs/>
                <w:color w:val="000000"/>
                <w:sz w:val="18"/>
                <w:szCs w:val="18"/>
                <w:lang w:val="en-US" w:eastAsia="en-US"/>
              </w:rPr>
              <w:t>5</w:t>
            </w:r>
            <w:r w:rsidR="00A53818" w:rsidRPr="003F071C">
              <w:rPr>
                <w:rFonts w:asciiTheme="minorHAnsi" w:hAnsiTheme="minorHAnsi" w:cstheme="minorHAnsi"/>
                <w:b/>
                <w:bCs/>
                <w:color w:val="000000"/>
                <w:sz w:val="18"/>
                <w:szCs w:val="18"/>
                <w:lang w:val="en-US" w:eastAsia="en-US"/>
              </w:rPr>
              <w:t>-1</w:t>
            </w:r>
            <w:r w:rsidRPr="003F071C">
              <w:rPr>
                <w:rFonts w:asciiTheme="minorHAnsi" w:hAnsiTheme="minorHAnsi" w:cstheme="minorHAnsi"/>
                <w:b/>
                <w:bCs/>
                <w:color w:val="000000"/>
                <w:sz w:val="18"/>
                <w:szCs w:val="18"/>
                <w:lang w:val="en-US" w:eastAsia="en-US"/>
              </w:rPr>
              <w:t>6</w:t>
            </w:r>
          </w:p>
        </w:tc>
        <w:tc>
          <w:tcPr>
            <w:tcW w:w="2025" w:type="dxa"/>
            <w:vMerge w:val="restart"/>
            <w:tcBorders>
              <w:top w:val="single" w:sz="4" w:space="0" w:color="auto"/>
              <w:left w:val="nil"/>
              <w:bottom w:val="single" w:sz="8" w:space="0" w:color="000000"/>
              <w:right w:val="nil"/>
            </w:tcBorders>
            <w:shd w:val="clear" w:color="auto" w:fill="auto"/>
            <w:hideMark/>
          </w:tcPr>
          <w:p w14:paraId="0ADFE93E" w14:textId="77777777" w:rsidR="007B51EC" w:rsidRDefault="00A53818" w:rsidP="007B51EC">
            <w:pPr>
              <w:spacing w:before="80" w:after="0" w:line="240" w:lineRule="auto"/>
              <w:jc w:val="right"/>
              <w:rPr>
                <w:rFonts w:asciiTheme="minorHAnsi" w:hAnsiTheme="minorHAnsi" w:cstheme="minorHAnsi"/>
                <w:b/>
                <w:bCs/>
                <w:color w:val="000000"/>
                <w:sz w:val="18"/>
                <w:szCs w:val="18"/>
                <w:lang w:val="en-US" w:eastAsia="en-US"/>
              </w:rPr>
            </w:pPr>
            <w:r w:rsidRPr="003F071C">
              <w:rPr>
                <w:rFonts w:asciiTheme="minorHAnsi" w:hAnsiTheme="minorHAnsi" w:cstheme="minorHAnsi"/>
                <w:b/>
                <w:bCs/>
                <w:color w:val="000000"/>
                <w:sz w:val="18"/>
                <w:szCs w:val="18"/>
                <w:lang w:val="en-US" w:eastAsia="en-US"/>
              </w:rPr>
              <w:t>Round 2</w:t>
            </w:r>
            <w:r w:rsidR="003F071C" w:rsidRPr="003F071C">
              <w:rPr>
                <w:rFonts w:asciiTheme="minorHAnsi" w:hAnsiTheme="minorHAnsi" w:cstheme="minorHAnsi"/>
                <w:b/>
                <w:bCs/>
                <w:color w:val="000000"/>
                <w:sz w:val="18"/>
                <w:szCs w:val="18"/>
                <w:lang w:val="en-US" w:eastAsia="en-US"/>
              </w:rPr>
              <w:t>1</w:t>
            </w:r>
            <w:r w:rsidRPr="003F071C">
              <w:rPr>
                <w:rFonts w:asciiTheme="minorHAnsi" w:hAnsiTheme="minorHAnsi" w:cstheme="minorHAnsi"/>
                <w:b/>
                <w:bCs/>
                <w:color w:val="000000"/>
                <w:sz w:val="18"/>
                <w:szCs w:val="18"/>
                <w:lang w:val="en-US" w:eastAsia="en-US"/>
              </w:rPr>
              <w:t xml:space="preserve"> </w:t>
            </w:r>
          </w:p>
          <w:p w14:paraId="0D10411E" w14:textId="6FF4514D" w:rsidR="00A53818" w:rsidRPr="003F071C" w:rsidRDefault="00A53818" w:rsidP="007B51EC">
            <w:pPr>
              <w:spacing w:after="80" w:line="240" w:lineRule="auto"/>
              <w:jc w:val="right"/>
              <w:rPr>
                <w:rFonts w:asciiTheme="minorHAnsi" w:hAnsiTheme="minorHAnsi" w:cstheme="minorHAnsi"/>
                <w:b/>
                <w:bCs/>
                <w:color w:val="000000"/>
                <w:sz w:val="18"/>
                <w:szCs w:val="18"/>
                <w:lang w:val="en-US" w:eastAsia="en-US"/>
              </w:rPr>
            </w:pPr>
            <w:r w:rsidRPr="003F071C">
              <w:rPr>
                <w:rFonts w:asciiTheme="minorHAnsi" w:hAnsiTheme="minorHAnsi" w:cstheme="minorHAnsi"/>
                <w:b/>
                <w:bCs/>
                <w:color w:val="000000"/>
                <w:sz w:val="18"/>
                <w:szCs w:val="18"/>
                <w:lang w:val="en-US" w:eastAsia="en-US"/>
              </w:rPr>
              <w:t>201</w:t>
            </w:r>
            <w:r w:rsidR="003F071C" w:rsidRPr="003F071C">
              <w:rPr>
                <w:rFonts w:asciiTheme="minorHAnsi" w:hAnsiTheme="minorHAnsi" w:cstheme="minorHAnsi"/>
                <w:b/>
                <w:bCs/>
                <w:color w:val="000000"/>
                <w:sz w:val="18"/>
                <w:szCs w:val="18"/>
                <w:lang w:val="en-US" w:eastAsia="en-US"/>
              </w:rPr>
              <w:t>6</w:t>
            </w:r>
            <w:r w:rsidRPr="003F071C">
              <w:rPr>
                <w:rFonts w:asciiTheme="minorHAnsi" w:hAnsiTheme="minorHAnsi" w:cstheme="minorHAnsi"/>
                <w:b/>
                <w:bCs/>
                <w:color w:val="000000"/>
                <w:sz w:val="18"/>
                <w:szCs w:val="18"/>
                <w:lang w:val="en-US" w:eastAsia="en-US"/>
              </w:rPr>
              <w:t>-1</w:t>
            </w:r>
            <w:r w:rsidR="003F071C" w:rsidRPr="003F071C">
              <w:rPr>
                <w:rFonts w:asciiTheme="minorHAnsi" w:hAnsiTheme="minorHAnsi" w:cstheme="minorHAnsi"/>
                <w:b/>
                <w:bCs/>
                <w:color w:val="000000"/>
                <w:sz w:val="18"/>
                <w:szCs w:val="18"/>
                <w:lang w:val="en-US" w:eastAsia="en-US"/>
              </w:rPr>
              <w:t>7</w:t>
            </w:r>
          </w:p>
        </w:tc>
        <w:tc>
          <w:tcPr>
            <w:tcW w:w="1701" w:type="dxa"/>
            <w:vMerge w:val="restart"/>
            <w:tcBorders>
              <w:top w:val="single" w:sz="4" w:space="0" w:color="auto"/>
              <w:left w:val="nil"/>
              <w:bottom w:val="single" w:sz="8" w:space="0" w:color="000000"/>
              <w:right w:val="nil"/>
            </w:tcBorders>
            <w:shd w:val="clear" w:color="auto" w:fill="auto"/>
            <w:noWrap/>
            <w:hideMark/>
          </w:tcPr>
          <w:p w14:paraId="439EDCA3" w14:textId="77777777" w:rsidR="00A53818" w:rsidRPr="003F071C" w:rsidRDefault="00A53818" w:rsidP="00235DEA">
            <w:pPr>
              <w:spacing w:before="80" w:after="80" w:line="240" w:lineRule="auto"/>
              <w:jc w:val="right"/>
              <w:rPr>
                <w:rFonts w:asciiTheme="minorHAnsi" w:hAnsiTheme="minorHAnsi" w:cstheme="minorHAnsi"/>
                <w:b/>
                <w:bCs/>
                <w:color w:val="000000"/>
                <w:sz w:val="18"/>
                <w:szCs w:val="18"/>
                <w:lang w:val="en-US" w:eastAsia="en-US"/>
              </w:rPr>
            </w:pPr>
            <w:r w:rsidRPr="003F071C">
              <w:rPr>
                <w:rFonts w:asciiTheme="minorHAnsi" w:hAnsiTheme="minorHAnsi" w:cstheme="minorHAnsi"/>
                <w:b/>
                <w:bCs/>
                <w:color w:val="000000"/>
                <w:sz w:val="18"/>
                <w:szCs w:val="18"/>
                <w:lang w:val="en-US" w:eastAsia="en-US"/>
              </w:rPr>
              <w:t>Movement</w:t>
            </w:r>
          </w:p>
        </w:tc>
      </w:tr>
      <w:tr w:rsidR="00A53818" w:rsidRPr="00E4527E" w14:paraId="250C2409" w14:textId="77777777" w:rsidTr="007B51EC">
        <w:trPr>
          <w:trHeight w:val="367"/>
        </w:trPr>
        <w:tc>
          <w:tcPr>
            <w:tcW w:w="4440" w:type="dxa"/>
            <w:vMerge/>
            <w:tcBorders>
              <w:top w:val="single" w:sz="4" w:space="0" w:color="auto"/>
              <w:left w:val="nil"/>
              <w:bottom w:val="single" w:sz="8" w:space="0" w:color="000000"/>
              <w:right w:val="nil"/>
            </w:tcBorders>
            <w:vAlign w:val="center"/>
            <w:hideMark/>
          </w:tcPr>
          <w:p w14:paraId="03EE75E6" w14:textId="77777777" w:rsidR="00A53818" w:rsidRPr="003F071C" w:rsidRDefault="00A53818" w:rsidP="00235DEA">
            <w:pPr>
              <w:spacing w:before="80" w:after="80" w:line="240" w:lineRule="auto"/>
              <w:rPr>
                <w:rFonts w:asciiTheme="minorHAnsi" w:hAnsiTheme="minorHAnsi" w:cstheme="minorHAnsi"/>
                <w:b/>
                <w:bCs/>
                <w:color w:val="000000"/>
                <w:sz w:val="18"/>
                <w:szCs w:val="18"/>
                <w:lang w:val="en-US" w:eastAsia="en-US"/>
              </w:rPr>
            </w:pPr>
          </w:p>
        </w:tc>
        <w:tc>
          <w:tcPr>
            <w:tcW w:w="1332" w:type="dxa"/>
            <w:vMerge/>
            <w:tcBorders>
              <w:top w:val="single" w:sz="4" w:space="0" w:color="auto"/>
              <w:left w:val="nil"/>
              <w:bottom w:val="single" w:sz="8" w:space="0" w:color="000000"/>
              <w:right w:val="nil"/>
            </w:tcBorders>
            <w:vAlign w:val="center"/>
            <w:hideMark/>
          </w:tcPr>
          <w:p w14:paraId="6E2DBC5D" w14:textId="77777777" w:rsidR="00A53818" w:rsidRPr="003F071C" w:rsidRDefault="00A53818" w:rsidP="00235DEA">
            <w:pPr>
              <w:spacing w:before="80" w:after="80" w:line="240" w:lineRule="auto"/>
              <w:jc w:val="right"/>
              <w:rPr>
                <w:rFonts w:asciiTheme="minorHAnsi" w:hAnsiTheme="minorHAnsi" w:cstheme="minorHAnsi"/>
                <w:b/>
                <w:bCs/>
                <w:color w:val="000000"/>
                <w:sz w:val="18"/>
                <w:szCs w:val="18"/>
                <w:lang w:val="en-US" w:eastAsia="en-US"/>
              </w:rPr>
            </w:pPr>
          </w:p>
        </w:tc>
        <w:tc>
          <w:tcPr>
            <w:tcW w:w="2025" w:type="dxa"/>
            <w:vMerge/>
            <w:tcBorders>
              <w:top w:val="single" w:sz="4" w:space="0" w:color="auto"/>
              <w:left w:val="nil"/>
              <w:bottom w:val="single" w:sz="8" w:space="0" w:color="000000"/>
              <w:right w:val="nil"/>
            </w:tcBorders>
            <w:vAlign w:val="center"/>
            <w:hideMark/>
          </w:tcPr>
          <w:p w14:paraId="6BA02462" w14:textId="77777777" w:rsidR="00A53818" w:rsidRPr="003F071C" w:rsidRDefault="00A53818" w:rsidP="00235DEA">
            <w:pPr>
              <w:spacing w:before="80" w:after="80" w:line="240" w:lineRule="auto"/>
              <w:jc w:val="right"/>
              <w:rPr>
                <w:rFonts w:asciiTheme="minorHAnsi" w:hAnsiTheme="minorHAnsi" w:cstheme="minorHAnsi"/>
                <w:b/>
                <w:bCs/>
                <w:color w:val="000000"/>
                <w:sz w:val="18"/>
                <w:szCs w:val="18"/>
                <w:lang w:val="en-US" w:eastAsia="en-US"/>
              </w:rPr>
            </w:pPr>
          </w:p>
        </w:tc>
        <w:tc>
          <w:tcPr>
            <w:tcW w:w="1701" w:type="dxa"/>
            <w:vMerge/>
            <w:tcBorders>
              <w:top w:val="single" w:sz="4" w:space="0" w:color="auto"/>
              <w:left w:val="nil"/>
              <w:bottom w:val="single" w:sz="8" w:space="0" w:color="000000"/>
              <w:right w:val="nil"/>
            </w:tcBorders>
            <w:vAlign w:val="center"/>
            <w:hideMark/>
          </w:tcPr>
          <w:p w14:paraId="79A0B351" w14:textId="77777777" w:rsidR="00A53818" w:rsidRPr="003F071C" w:rsidRDefault="00A53818" w:rsidP="00235DEA">
            <w:pPr>
              <w:spacing w:before="80" w:after="80" w:line="240" w:lineRule="auto"/>
              <w:jc w:val="right"/>
              <w:rPr>
                <w:rFonts w:asciiTheme="minorHAnsi" w:hAnsiTheme="minorHAnsi" w:cstheme="minorHAnsi"/>
                <w:b/>
                <w:bCs/>
                <w:color w:val="000000"/>
                <w:sz w:val="18"/>
                <w:szCs w:val="18"/>
                <w:lang w:val="en-US" w:eastAsia="en-US"/>
              </w:rPr>
            </w:pPr>
          </w:p>
        </w:tc>
      </w:tr>
      <w:tr w:rsidR="003F071C" w:rsidRPr="00E4527E" w14:paraId="16D85F88" w14:textId="77777777" w:rsidTr="007B51EC">
        <w:trPr>
          <w:trHeight w:val="285"/>
        </w:trPr>
        <w:tc>
          <w:tcPr>
            <w:tcW w:w="4440" w:type="dxa"/>
            <w:tcBorders>
              <w:top w:val="nil"/>
              <w:left w:val="nil"/>
              <w:bottom w:val="nil"/>
              <w:right w:val="nil"/>
            </w:tcBorders>
            <w:shd w:val="clear" w:color="000000" w:fill="FFFFFF"/>
            <w:noWrap/>
            <w:hideMark/>
          </w:tcPr>
          <w:p w14:paraId="5DCF3F9D" w14:textId="12675C67" w:rsidR="003F071C" w:rsidRPr="003F071C" w:rsidRDefault="002D3040" w:rsidP="00235DEA">
            <w:pPr>
              <w:spacing w:before="80" w:after="80" w:line="240" w:lineRule="auto"/>
              <w:rPr>
                <w:rFonts w:asciiTheme="minorHAnsi" w:hAnsiTheme="minorHAnsi" w:cstheme="minorHAnsi"/>
                <w:color w:val="000000"/>
                <w:sz w:val="18"/>
                <w:szCs w:val="18"/>
                <w:lang w:val="en-US" w:eastAsia="en-US"/>
              </w:rPr>
            </w:pPr>
            <w:r>
              <w:rPr>
                <w:rFonts w:asciiTheme="minorHAnsi" w:hAnsiTheme="minorHAnsi" w:cstheme="minorHAnsi"/>
                <w:color w:val="000000"/>
                <w:sz w:val="18"/>
                <w:szCs w:val="18"/>
                <w:lang w:val="en-US" w:eastAsia="en-US"/>
              </w:rPr>
              <w:t>Operating Rooms and Special</w:t>
            </w:r>
            <w:r w:rsidR="00F83BB8">
              <w:rPr>
                <w:rFonts w:asciiTheme="minorHAnsi" w:hAnsiTheme="minorHAnsi" w:cstheme="minorHAnsi"/>
                <w:color w:val="000000"/>
                <w:sz w:val="18"/>
                <w:szCs w:val="18"/>
                <w:lang w:val="en-US" w:eastAsia="en-US"/>
              </w:rPr>
              <w:t>ist</w:t>
            </w:r>
            <w:r w:rsidR="003F071C" w:rsidRPr="003F071C">
              <w:rPr>
                <w:rFonts w:asciiTheme="minorHAnsi" w:hAnsiTheme="minorHAnsi" w:cstheme="minorHAnsi"/>
                <w:color w:val="000000"/>
                <w:sz w:val="18"/>
                <w:szCs w:val="18"/>
                <w:lang w:val="en-US" w:eastAsia="en-US"/>
              </w:rPr>
              <w:t xml:space="preserve"> Procedure Suites</w:t>
            </w:r>
          </w:p>
        </w:tc>
        <w:tc>
          <w:tcPr>
            <w:tcW w:w="1332" w:type="dxa"/>
            <w:tcBorders>
              <w:top w:val="nil"/>
              <w:left w:val="nil"/>
              <w:bottom w:val="nil"/>
              <w:right w:val="nil"/>
            </w:tcBorders>
            <w:shd w:val="clear" w:color="000000" w:fill="FFFFFF"/>
            <w:noWrap/>
            <w:hideMark/>
          </w:tcPr>
          <w:p w14:paraId="72C85BC6" w14:textId="358FEE72"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26.4%</w:t>
            </w:r>
          </w:p>
        </w:tc>
        <w:tc>
          <w:tcPr>
            <w:tcW w:w="2025" w:type="dxa"/>
            <w:tcBorders>
              <w:top w:val="nil"/>
              <w:left w:val="nil"/>
              <w:bottom w:val="nil"/>
              <w:right w:val="nil"/>
            </w:tcBorders>
            <w:shd w:val="clear" w:color="000000" w:fill="FFFFFF"/>
            <w:noWrap/>
            <w:hideMark/>
          </w:tcPr>
          <w:p w14:paraId="0B75B0CC" w14:textId="490E6173" w:rsidR="003F071C" w:rsidRPr="003F071C" w:rsidRDefault="003F071C" w:rsidP="00235DEA">
            <w:pPr>
              <w:spacing w:before="80" w:after="80" w:line="240" w:lineRule="auto"/>
              <w:jc w:val="right"/>
              <w:rPr>
                <w:rFonts w:asciiTheme="minorHAnsi" w:hAnsiTheme="minorHAnsi" w:cstheme="minorHAnsi"/>
                <w:b/>
                <w:color w:val="000000"/>
                <w:sz w:val="18"/>
                <w:szCs w:val="18"/>
                <w:lang w:val="en-US" w:eastAsia="en-US"/>
              </w:rPr>
            </w:pPr>
            <w:r w:rsidRPr="003F071C">
              <w:rPr>
                <w:b/>
                <w:bCs/>
                <w:color w:val="000000"/>
                <w:sz w:val="18"/>
                <w:szCs w:val="18"/>
              </w:rPr>
              <w:t>27.9%</w:t>
            </w:r>
          </w:p>
        </w:tc>
        <w:tc>
          <w:tcPr>
            <w:tcW w:w="1701" w:type="dxa"/>
            <w:tcBorders>
              <w:top w:val="nil"/>
              <w:left w:val="nil"/>
              <w:bottom w:val="nil"/>
              <w:right w:val="nil"/>
            </w:tcBorders>
            <w:shd w:val="clear" w:color="000000" w:fill="FFFFFF"/>
            <w:noWrap/>
            <w:hideMark/>
          </w:tcPr>
          <w:p w14:paraId="3D0C2AF2" w14:textId="44D80BEA"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1.6%</w:t>
            </w:r>
          </w:p>
        </w:tc>
      </w:tr>
      <w:tr w:rsidR="003F071C" w:rsidRPr="00E4527E" w14:paraId="26FC6DD5" w14:textId="77777777" w:rsidTr="007B51EC">
        <w:trPr>
          <w:trHeight w:val="285"/>
        </w:trPr>
        <w:tc>
          <w:tcPr>
            <w:tcW w:w="4440" w:type="dxa"/>
            <w:tcBorders>
              <w:top w:val="nil"/>
              <w:left w:val="nil"/>
              <w:bottom w:val="nil"/>
              <w:right w:val="nil"/>
            </w:tcBorders>
            <w:shd w:val="clear" w:color="000000" w:fill="FFFFFF"/>
            <w:noWrap/>
            <w:hideMark/>
          </w:tcPr>
          <w:p w14:paraId="05D5A12D" w14:textId="77777777" w:rsidR="003F071C" w:rsidRPr="003F071C" w:rsidRDefault="003F071C" w:rsidP="00235DEA">
            <w:pPr>
              <w:spacing w:before="80" w:after="80" w:line="240" w:lineRule="auto"/>
              <w:rPr>
                <w:rFonts w:asciiTheme="minorHAnsi" w:hAnsiTheme="minorHAnsi" w:cstheme="minorHAnsi"/>
                <w:color w:val="000000"/>
                <w:sz w:val="18"/>
                <w:szCs w:val="18"/>
                <w:lang w:val="en-US" w:eastAsia="en-US"/>
              </w:rPr>
            </w:pPr>
            <w:r w:rsidRPr="003F071C">
              <w:rPr>
                <w:rFonts w:asciiTheme="minorHAnsi" w:hAnsiTheme="minorHAnsi" w:cstheme="minorHAnsi"/>
                <w:color w:val="000000"/>
                <w:sz w:val="18"/>
                <w:szCs w:val="18"/>
                <w:lang w:val="en-US" w:eastAsia="en-US"/>
              </w:rPr>
              <w:t>Critical Care</w:t>
            </w:r>
          </w:p>
        </w:tc>
        <w:tc>
          <w:tcPr>
            <w:tcW w:w="1332" w:type="dxa"/>
            <w:tcBorders>
              <w:top w:val="nil"/>
              <w:left w:val="nil"/>
              <w:bottom w:val="nil"/>
              <w:right w:val="nil"/>
            </w:tcBorders>
            <w:shd w:val="clear" w:color="000000" w:fill="FFFFFF"/>
            <w:noWrap/>
            <w:hideMark/>
          </w:tcPr>
          <w:p w14:paraId="6F94FABC" w14:textId="5D166439"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6.4%</w:t>
            </w:r>
          </w:p>
        </w:tc>
        <w:tc>
          <w:tcPr>
            <w:tcW w:w="2025" w:type="dxa"/>
            <w:tcBorders>
              <w:top w:val="nil"/>
              <w:left w:val="nil"/>
              <w:bottom w:val="nil"/>
              <w:right w:val="nil"/>
            </w:tcBorders>
            <w:shd w:val="clear" w:color="000000" w:fill="FFFFFF"/>
            <w:noWrap/>
            <w:hideMark/>
          </w:tcPr>
          <w:p w14:paraId="4163F1C3" w14:textId="5CE7B956" w:rsidR="003F071C" w:rsidRPr="003F071C" w:rsidRDefault="003F071C" w:rsidP="00235DEA">
            <w:pPr>
              <w:spacing w:before="80" w:after="80" w:line="240" w:lineRule="auto"/>
              <w:jc w:val="right"/>
              <w:rPr>
                <w:rFonts w:asciiTheme="minorHAnsi" w:hAnsiTheme="minorHAnsi" w:cstheme="minorHAnsi"/>
                <w:b/>
                <w:color w:val="000000"/>
                <w:sz w:val="18"/>
                <w:szCs w:val="18"/>
                <w:lang w:val="en-US" w:eastAsia="en-US"/>
              </w:rPr>
            </w:pPr>
            <w:r w:rsidRPr="003F071C">
              <w:rPr>
                <w:b/>
                <w:bCs/>
                <w:color w:val="000000"/>
                <w:sz w:val="18"/>
                <w:szCs w:val="18"/>
              </w:rPr>
              <w:t>5.6%</w:t>
            </w:r>
          </w:p>
        </w:tc>
        <w:tc>
          <w:tcPr>
            <w:tcW w:w="1701" w:type="dxa"/>
            <w:tcBorders>
              <w:top w:val="nil"/>
              <w:left w:val="nil"/>
              <w:bottom w:val="nil"/>
              <w:right w:val="nil"/>
            </w:tcBorders>
            <w:shd w:val="clear" w:color="000000" w:fill="FFFFFF"/>
            <w:noWrap/>
            <w:hideMark/>
          </w:tcPr>
          <w:p w14:paraId="323E9C3C" w14:textId="529DDA0F"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-0.8%</w:t>
            </w:r>
          </w:p>
        </w:tc>
      </w:tr>
      <w:tr w:rsidR="003F071C" w:rsidRPr="00E4527E" w14:paraId="755C5900" w14:textId="77777777" w:rsidTr="007B51EC">
        <w:trPr>
          <w:trHeight w:val="285"/>
        </w:trPr>
        <w:tc>
          <w:tcPr>
            <w:tcW w:w="4440" w:type="dxa"/>
            <w:tcBorders>
              <w:top w:val="nil"/>
              <w:left w:val="nil"/>
              <w:bottom w:val="nil"/>
              <w:right w:val="nil"/>
            </w:tcBorders>
            <w:shd w:val="clear" w:color="auto" w:fill="auto"/>
            <w:noWrap/>
            <w:hideMark/>
          </w:tcPr>
          <w:p w14:paraId="3D0E5B85" w14:textId="77777777" w:rsidR="003F071C" w:rsidRPr="003F071C" w:rsidRDefault="003F071C" w:rsidP="00235DEA">
            <w:pPr>
              <w:spacing w:before="80" w:after="80" w:line="240" w:lineRule="auto"/>
              <w:rPr>
                <w:rFonts w:asciiTheme="minorHAnsi" w:hAnsiTheme="minorHAnsi" w:cstheme="minorHAnsi"/>
                <w:color w:val="000000"/>
                <w:sz w:val="18"/>
                <w:szCs w:val="18"/>
                <w:lang w:val="en-US" w:eastAsia="en-US"/>
              </w:rPr>
            </w:pPr>
            <w:r w:rsidRPr="003F071C">
              <w:rPr>
                <w:rFonts w:asciiTheme="minorHAnsi" w:hAnsiTheme="minorHAnsi" w:cstheme="minorHAnsi"/>
                <w:color w:val="000000"/>
                <w:sz w:val="18"/>
                <w:szCs w:val="18"/>
                <w:lang w:val="en-US" w:eastAsia="en-US"/>
              </w:rPr>
              <w:t>Prostheses</w:t>
            </w:r>
          </w:p>
        </w:tc>
        <w:tc>
          <w:tcPr>
            <w:tcW w:w="1332" w:type="dxa"/>
            <w:tcBorders>
              <w:top w:val="nil"/>
              <w:left w:val="nil"/>
              <w:bottom w:val="nil"/>
              <w:right w:val="nil"/>
            </w:tcBorders>
            <w:shd w:val="clear" w:color="auto" w:fill="auto"/>
            <w:noWrap/>
            <w:hideMark/>
          </w:tcPr>
          <w:p w14:paraId="6AD9E0AB" w14:textId="3B03E95E"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18.9%</w:t>
            </w:r>
          </w:p>
        </w:tc>
        <w:tc>
          <w:tcPr>
            <w:tcW w:w="2025" w:type="dxa"/>
            <w:tcBorders>
              <w:top w:val="nil"/>
              <w:left w:val="nil"/>
              <w:bottom w:val="nil"/>
              <w:right w:val="nil"/>
            </w:tcBorders>
            <w:shd w:val="clear" w:color="auto" w:fill="auto"/>
            <w:noWrap/>
            <w:hideMark/>
          </w:tcPr>
          <w:p w14:paraId="438CFAC7" w14:textId="00A12136" w:rsidR="003F071C" w:rsidRPr="003F071C" w:rsidRDefault="003F071C" w:rsidP="00235DEA">
            <w:pPr>
              <w:spacing w:before="80" w:after="80" w:line="240" w:lineRule="auto"/>
              <w:jc w:val="right"/>
              <w:rPr>
                <w:rFonts w:asciiTheme="minorHAnsi" w:hAnsiTheme="minorHAnsi" w:cstheme="minorHAnsi"/>
                <w:b/>
                <w:color w:val="000000"/>
                <w:sz w:val="18"/>
                <w:szCs w:val="18"/>
                <w:lang w:val="en-US" w:eastAsia="en-US"/>
              </w:rPr>
            </w:pPr>
            <w:r w:rsidRPr="003F071C">
              <w:rPr>
                <w:b/>
                <w:bCs/>
                <w:color w:val="000000"/>
                <w:sz w:val="18"/>
                <w:szCs w:val="18"/>
              </w:rPr>
              <w:t>17.5%</w:t>
            </w:r>
          </w:p>
        </w:tc>
        <w:tc>
          <w:tcPr>
            <w:tcW w:w="1701" w:type="dxa"/>
            <w:tcBorders>
              <w:top w:val="nil"/>
              <w:left w:val="nil"/>
              <w:bottom w:val="nil"/>
              <w:right w:val="nil"/>
            </w:tcBorders>
            <w:shd w:val="clear" w:color="auto" w:fill="auto"/>
            <w:noWrap/>
            <w:hideMark/>
          </w:tcPr>
          <w:p w14:paraId="127D8B79" w14:textId="1A2757D3"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-1.4%</w:t>
            </w:r>
          </w:p>
        </w:tc>
      </w:tr>
      <w:tr w:rsidR="003F071C" w:rsidRPr="00E4527E" w14:paraId="163A4F28" w14:textId="77777777" w:rsidTr="007B51EC">
        <w:trPr>
          <w:trHeight w:val="285"/>
        </w:trPr>
        <w:tc>
          <w:tcPr>
            <w:tcW w:w="4440" w:type="dxa"/>
            <w:tcBorders>
              <w:top w:val="nil"/>
              <w:left w:val="nil"/>
              <w:bottom w:val="nil"/>
              <w:right w:val="nil"/>
            </w:tcBorders>
            <w:shd w:val="clear" w:color="auto" w:fill="auto"/>
            <w:noWrap/>
            <w:hideMark/>
          </w:tcPr>
          <w:p w14:paraId="72CF501B" w14:textId="77777777" w:rsidR="003F071C" w:rsidRPr="003F071C" w:rsidRDefault="003F071C" w:rsidP="00235DEA">
            <w:pPr>
              <w:spacing w:before="80" w:after="80" w:line="240" w:lineRule="auto"/>
              <w:rPr>
                <w:rFonts w:asciiTheme="minorHAnsi" w:hAnsiTheme="minorHAnsi" w:cstheme="minorHAnsi"/>
                <w:color w:val="000000"/>
                <w:sz w:val="18"/>
                <w:szCs w:val="18"/>
                <w:lang w:val="en-US" w:eastAsia="en-US"/>
              </w:rPr>
            </w:pPr>
            <w:r w:rsidRPr="003F071C">
              <w:rPr>
                <w:rFonts w:asciiTheme="minorHAnsi" w:hAnsiTheme="minorHAnsi" w:cstheme="minorHAnsi"/>
                <w:color w:val="000000"/>
                <w:sz w:val="18"/>
                <w:szCs w:val="18"/>
                <w:lang w:val="en-US" w:eastAsia="en-US"/>
              </w:rPr>
              <w:t>Miscellaneous</w:t>
            </w:r>
          </w:p>
        </w:tc>
        <w:tc>
          <w:tcPr>
            <w:tcW w:w="1332" w:type="dxa"/>
            <w:tcBorders>
              <w:top w:val="nil"/>
              <w:left w:val="nil"/>
              <w:bottom w:val="nil"/>
              <w:right w:val="nil"/>
            </w:tcBorders>
            <w:shd w:val="clear" w:color="auto" w:fill="auto"/>
            <w:noWrap/>
            <w:hideMark/>
          </w:tcPr>
          <w:p w14:paraId="1641066F" w14:textId="100D87C5"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48.3%</w:t>
            </w:r>
          </w:p>
        </w:tc>
        <w:tc>
          <w:tcPr>
            <w:tcW w:w="2025" w:type="dxa"/>
            <w:tcBorders>
              <w:top w:val="nil"/>
              <w:left w:val="nil"/>
              <w:bottom w:val="nil"/>
              <w:right w:val="nil"/>
            </w:tcBorders>
            <w:shd w:val="clear" w:color="auto" w:fill="auto"/>
            <w:noWrap/>
            <w:hideMark/>
          </w:tcPr>
          <w:p w14:paraId="57A09615" w14:textId="0E75A80D" w:rsidR="003F071C" w:rsidRPr="003F071C" w:rsidRDefault="003F071C" w:rsidP="00235DEA">
            <w:pPr>
              <w:spacing w:before="80" w:after="80" w:line="240" w:lineRule="auto"/>
              <w:jc w:val="right"/>
              <w:rPr>
                <w:rFonts w:asciiTheme="minorHAnsi" w:hAnsiTheme="minorHAnsi" w:cstheme="minorHAnsi"/>
                <w:b/>
                <w:color w:val="000000"/>
                <w:sz w:val="18"/>
                <w:szCs w:val="18"/>
                <w:lang w:val="en-US" w:eastAsia="en-US"/>
              </w:rPr>
            </w:pPr>
            <w:r w:rsidRPr="003F071C">
              <w:rPr>
                <w:b/>
                <w:bCs/>
                <w:color w:val="000000"/>
                <w:sz w:val="18"/>
                <w:szCs w:val="18"/>
              </w:rPr>
              <w:t>49.0%</w:t>
            </w:r>
          </w:p>
        </w:tc>
        <w:tc>
          <w:tcPr>
            <w:tcW w:w="1701" w:type="dxa"/>
            <w:tcBorders>
              <w:top w:val="nil"/>
              <w:left w:val="nil"/>
              <w:bottom w:val="nil"/>
              <w:right w:val="nil"/>
            </w:tcBorders>
            <w:shd w:val="clear" w:color="auto" w:fill="auto"/>
            <w:noWrap/>
            <w:hideMark/>
          </w:tcPr>
          <w:p w14:paraId="46AA8197" w14:textId="2B5CAD3C" w:rsidR="003F071C" w:rsidRPr="003F071C" w:rsidRDefault="003F071C" w:rsidP="00235DEA">
            <w:pPr>
              <w:spacing w:before="80" w:after="80" w:line="240" w:lineRule="auto"/>
              <w:jc w:val="right"/>
              <w:rPr>
                <w:rFonts w:asciiTheme="minorHAnsi" w:hAnsiTheme="minorHAnsi" w:cstheme="minorHAnsi"/>
                <w:color w:val="000000"/>
                <w:sz w:val="18"/>
                <w:szCs w:val="18"/>
                <w:lang w:val="en-US" w:eastAsia="en-US"/>
              </w:rPr>
            </w:pPr>
            <w:r w:rsidRPr="003F071C">
              <w:rPr>
                <w:color w:val="000000"/>
                <w:sz w:val="18"/>
                <w:szCs w:val="18"/>
              </w:rPr>
              <w:t>0.6%</w:t>
            </w:r>
          </w:p>
        </w:tc>
      </w:tr>
      <w:tr w:rsidR="00A53818" w:rsidRPr="00E4527E" w14:paraId="59381176" w14:textId="77777777" w:rsidTr="007B51EC">
        <w:trPr>
          <w:trHeight w:val="300"/>
        </w:trPr>
        <w:tc>
          <w:tcPr>
            <w:tcW w:w="4440" w:type="dxa"/>
            <w:tcBorders>
              <w:top w:val="single" w:sz="4" w:space="0" w:color="auto"/>
              <w:left w:val="nil"/>
              <w:bottom w:val="single" w:sz="8" w:space="0" w:color="auto"/>
              <w:right w:val="nil"/>
            </w:tcBorders>
            <w:shd w:val="clear" w:color="auto" w:fill="auto"/>
            <w:noWrap/>
            <w:hideMark/>
          </w:tcPr>
          <w:p w14:paraId="55FB6814" w14:textId="77777777" w:rsidR="00A53818" w:rsidRPr="00B519A8" w:rsidRDefault="00A53818" w:rsidP="00235DEA">
            <w:pPr>
              <w:spacing w:before="80" w:after="80" w:line="240" w:lineRule="auto"/>
              <w:rPr>
                <w:rFonts w:asciiTheme="minorHAnsi" w:hAnsiTheme="minorHAnsi" w:cstheme="minorHAnsi"/>
                <w:b/>
                <w:color w:val="000000"/>
                <w:sz w:val="18"/>
                <w:szCs w:val="18"/>
                <w:lang w:val="en-US" w:eastAsia="en-US"/>
              </w:rPr>
            </w:pPr>
            <w:r w:rsidRPr="00B519A8">
              <w:rPr>
                <w:rFonts w:asciiTheme="minorHAnsi" w:hAnsiTheme="minorHAnsi" w:cstheme="minorHAnsi"/>
                <w:b/>
                <w:color w:val="000000"/>
                <w:sz w:val="18"/>
                <w:szCs w:val="18"/>
                <w:lang w:val="en-US" w:eastAsia="en-US"/>
              </w:rPr>
              <w:lastRenderedPageBreak/>
              <w:t>Total</w:t>
            </w:r>
          </w:p>
        </w:tc>
        <w:tc>
          <w:tcPr>
            <w:tcW w:w="1332" w:type="dxa"/>
            <w:tcBorders>
              <w:top w:val="single" w:sz="4" w:space="0" w:color="auto"/>
              <w:left w:val="nil"/>
              <w:bottom w:val="single" w:sz="8" w:space="0" w:color="auto"/>
              <w:right w:val="nil"/>
            </w:tcBorders>
            <w:shd w:val="clear" w:color="auto" w:fill="auto"/>
            <w:noWrap/>
            <w:hideMark/>
          </w:tcPr>
          <w:p w14:paraId="28D4AA19" w14:textId="77777777" w:rsidR="00A53818" w:rsidRPr="00B519A8" w:rsidRDefault="00A53818" w:rsidP="00235DEA">
            <w:pPr>
              <w:spacing w:before="80" w:after="80" w:line="240" w:lineRule="auto"/>
              <w:jc w:val="right"/>
              <w:rPr>
                <w:rFonts w:asciiTheme="minorHAnsi" w:hAnsiTheme="minorHAnsi" w:cstheme="minorHAnsi"/>
                <w:b/>
                <w:color w:val="000000"/>
                <w:sz w:val="18"/>
                <w:szCs w:val="18"/>
                <w:lang w:val="en-US" w:eastAsia="en-US"/>
              </w:rPr>
            </w:pPr>
            <w:r w:rsidRPr="00B519A8">
              <w:rPr>
                <w:rFonts w:asciiTheme="minorHAnsi" w:hAnsiTheme="minorHAnsi" w:cstheme="minorHAnsi"/>
                <w:b/>
                <w:color w:val="000000"/>
                <w:sz w:val="18"/>
                <w:szCs w:val="18"/>
                <w:lang w:val="en-US" w:eastAsia="en-US"/>
              </w:rPr>
              <w:t>100.0%</w:t>
            </w:r>
          </w:p>
        </w:tc>
        <w:tc>
          <w:tcPr>
            <w:tcW w:w="2025" w:type="dxa"/>
            <w:tcBorders>
              <w:top w:val="single" w:sz="4" w:space="0" w:color="auto"/>
              <w:left w:val="nil"/>
              <w:bottom w:val="single" w:sz="8" w:space="0" w:color="auto"/>
              <w:right w:val="nil"/>
            </w:tcBorders>
            <w:shd w:val="clear" w:color="auto" w:fill="auto"/>
            <w:noWrap/>
            <w:hideMark/>
          </w:tcPr>
          <w:p w14:paraId="018E4AF7" w14:textId="77777777" w:rsidR="00A53818" w:rsidRPr="00B519A8" w:rsidRDefault="00A53818" w:rsidP="00235DEA">
            <w:pPr>
              <w:spacing w:before="80" w:after="80" w:line="240" w:lineRule="auto"/>
              <w:jc w:val="right"/>
              <w:rPr>
                <w:rFonts w:asciiTheme="minorHAnsi" w:hAnsiTheme="minorHAnsi" w:cstheme="minorHAnsi"/>
                <w:b/>
                <w:color w:val="000000"/>
                <w:sz w:val="18"/>
                <w:szCs w:val="18"/>
                <w:lang w:val="en-US" w:eastAsia="en-US"/>
              </w:rPr>
            </w:pPr>
            <w:r w:rsidRPr="00B519A8">
              <w:rPr>
                <w:rFonts w:asciiTheme="minorHAnsi" w:hAnsiTheme="minorHAnsi" w:cstheme="minorHAnsi"/>
                <w:b/>
                <w:color w:val="000000"/>
                <w:sz w:val="18"/>
                <w:szCs w:val="18"/>
                <w:lang w:val="en-US" w:eastAsia="en-US"/>
              </w:rPr>
              <w:t>100.0%</w:t>
            </w:r>
          </w:p>
        </w:tc>
        <w:tc>
          <w:tcPr>
            <w:tcW w:w="1701" w:type="dxa"/>
            <w:tcBorders>
              <w:top w:val="single" w:sz="4" w:space="0" w:color="auto"/>
              <w:left w:val="nil"/>
              <w:bottom w:val="single" w:sz="8" w:space="0" w:color="auto"/>
              <w:right w:val="nil"/>
            </w:tcBorders>
            <w:shd w:val="clear" w:color="auto" w:fill="auto"/>
            <w:noWrap/>
            <w:hideMark/>
          </w:tcPr>
          <w:p w14:paraId="4ADE9CF4" w14:textId="77777777" w:rsidR="00A53818" w:rsidRPr="00B519A8" w:rsidRDefault="00A53818" w:rsidP="00235DEA">
            <w:pPr>
              <w:spacing w:before="80" w:after="80" w:line="240" w:lineRule="auto"/>
              <w:jc w:val="right"/>
              <w:rPr>
                <w:rFonts w:asciiTheme="minorHAnsi" w:hAnsiTheme="minorHAnsi" w:cstheme="minorHAnsi"/>
                <w:b/>
                <w:color w:val="000000"/>
                <w:sz w:val="18"/>
                <w:szCs w:val="18"/>
                <w:lang w:val="en-US" w:eastAsia="en-US"/>
              </w:rPr>
            </w:pPr>
            <w:r w:rsidRPr="00B519A8">
              <w:rPr>
                <w:rFonts w:asciiTheme="minorHAnsi" w:hAnsiTheme="minorHAnsi" w:cstheme="minorHAnsi"/>
                <w:b/>
                <w:color w:val="000000"/>
                <w:sz w:val="18"/>
                <w:szCs w:val="18"/>
                <w:lang w:val="en-US" w:eastAsia="en-US"/>
              </w:rPr>
              <w:t>0.0%</w:t>
            </w:r>
          </w:p>
        </w:tc>
      </w:tr>
    </w:tbl>
    <w:p w14:paraId="37396255" w14:textId="737D7A97" w:rsidR="009F0A64" w:rsidRPr="00236EF2" w:rsidRDefault="009F0A64" w:rsidP="00302DDA">
      <w:pPr>
        <w:pStyle w:val="Heading3"/>
      </w:pPr>
      <w:bookmarkStart w:id="171" w:name="_Toc496857585"/>
      <w:bookmarkStart w:id="172" w:name="_Toc496857584"/>
      <w:r w:rsidRPr="00236EF2">
        <w:t>Operating room/s</w:t>
      </w:r>
      <w:r>
        <w:t>pecial</w:t>
      </w:r>
      <w:r w:rsidR="00F83BB8">
        <w:t>ist</w:t>
      </w:r>
      <w:r w:rsidRPr="00236EF2">
        <w:t xml:space="preserve"> procedure suite</w:t>
      </w:r>
      <w:r>
        <w:t>s</w:t>
      </w:r>
      <w:r w:rsidRPr="00236EF2">
        <w:t xml:space="preserve"> cost bucket</w:t>
      </w:r>
      <w:bookmarkEnd w:id="171"/>
    </w:p>
    <w:p w14:paraId="2F7E3477" w14:textId="77777777" w:rsidR="009F0A64" w:rsidRPr="00236EF2" w:rsidRDefault="009F0A64" w:rsidP="009F0A64">
      <w:pPr>
        <w:pStyle w:val="Intro"/>
      </w:pPr>
      <w:r w:rsidRPr="00236EF2">
        <w:t>Key findings</w:t>
      </w:r>
    </w:p>
    <w:p w14:paraId="17AF8E0D" w14:textId="1731E0B1" w:rsidR="009F0A64" w:rsidRDefault="008A3A19" w:rsidP="009F0A64">
      <w:pPr>
        <w:rPr>
          <w:color w:val="000000"/>
          <w:szCs w:val="22"/>
        </w:rPr>
      </w:pPr>
      <w:r>
        <w:rPr>
          <w:szCs w:val="22"/>
        </w:rPr>
        <w:t>Table 10</w:t>
      </w:r>
      <w:r w:rsidR="009F0A64" w:rsidRPr="00DF0CF9">
        <w:rPr>
          <w:szCs w:val="22"/>
        </w:rPr>
        <w:t xml:space="preserve"> shows that the highest operat</w:t>
      </w:r>
      <w:r w:rsidR="009F0A64">
        <w:rPr>
          <w:szCs w:val="22"/>
        </w:rPr>
        <w:t>ing room/special</w:t>
      </w:r>
      <w:r w:rsidR="00F83BB8">
        <w:rPr>
          <w:szCs w:val="22"/>
        </w:rPr>
        <w:t>ist</w:t>
      </w:r>
      <w:r w:rsidR="009F0A64">
        <w:rPr>
          <w:szCs w:val="22"/>
        </w:rPr>
        <w:t xml:space="preserve"> procedure suites </w:t>
      </w:r>
      <w:r w:rsidR="009F0A64" w:rsidRPr="00236EF2">
        <w:rPr>
          <w:szCs w:val="22"/>
        </w:rPr>
        <w:t xml:space="preserve">cost weight DRG </w:t>
      </w:r>
      <w:r w:rsidR="006512A0">
        <w:rPr>
          <w:szCs w:val="22"/>
        </w:rPr>
        <w:t>was</w:t>
      </w:r>
      <w:r w:rsidR="009F0A64" w:rsidRPr="00236EF2">
        <w:rPr>
          <w:szCs w:val="22"/>
        </w:rPr>
        <w:t xml:space="preserve"> A15A</w:t>
      </w:r>
      <w:r w:rsidR="009F0A64">
        <w:rPr>
          <w:szCs w:val="22"/>
        </w:rPr>
        <w:t xml:space="preserve"> (</w:t>
      </w:r>
      <w:r w:rsidR="009F0A64" w:rsidRPr="00236EF2">
        <w:rPr>
          <w:color w:val="000000"/>
          <w:szCs w:val="22"/>
        </w:rPr>
        <w:t>Tracheostomy, Major Complexity</w:t>
      </w:r>
      <w:r w:rsidR="009F0A64">
        <w:rPr>
          <w:color w:val="000000"/>
          <w:szCs w:val="22"/>
        </w:rPr>
        <w:t xml:space="preserve">). This DRG was ranked number 2 in Round 20, and </w:t>
      </w:r>
      <w:r w:rsidR="006512A0">
        <w:rPr>
          <w:color w:val="000000"/>
          <w:szCs w:val="22"/>
        </w:rPr>
        <w:t>was</w:t>
      </w:r>
      <w:r w:rsidR="009F0A64">
        <w:rPr>
          <w:color w:val="000000"/>
          <w:szCs w:val="22"/>
        </w:rPr>
        <w:t xml:space="preserve"> expected to rank highly given the large amount of theatre time utilised by this procedure. This DRG only had 11 population-weighted separations in Round 21, which may be the reason for the movement from Round 20.</w:t>
      </w:r>
    </w:p>
    <w:p w14:paraId="44E953E0" w14:textId="1B3A3AF8" w:rsidR="009F0A64" w:rsidRDefault="009F0A64" w:rsidP="009F0A64">
      <w:r w:rsidRPr="00DF0CF9">
        <w:t>The top operating room/special</w:t>
      </w:r>
      <w:r w:rsidR="00F83BB8">
        <w:t>ist</w:t>
      </w:r>
      <w:r w:rsidRPr="00DF0CF9">
        <w:t xml:space="preserve"> procedure suites DRGs presented in Table 1</w:t>
      </w:r>
      <w:r w:rsidR="00F467C8" w:rsidRPr="00DF0CF9">
        <w:t>0</w:t>
      </w:r>
      <w:r w:rsidRPr="00DF0CF9">
        <w:t xml:space="preserve"> have</w:t>
      </w:r>
      <w:r>
        <w:t xml:space="preserve"> a lower percentage of their total cost belonging to the operating room and special</w:t>
      </w:r>
      <w:r w:rsidR="00F83BB8">
        <w:t>ist</w:t>
      </w:r>
      <w:r>
        <w:t xml:space="preserve"> procedure suites buckets (19%) than the a</w:t>
      </w:r>
      <w:r w:rsidR="00A3433C">
        <w:t>verage DRG (28%). This indicated</w:t>
      </w:r>
      <w:r>
        <w:t xml:space="preserve"> that most of the DRGs in this table </w:t>
      </w:r>
      <w:r w:rsidR="006512A0">
        <w:t>were</w:t>
      </w:r>
      <w:r>
        <w:t xml:space="preserve"> overall high cost DRGs with only a small share of their cost coming from the operating room/special</w:t>
      </w:r>
      <w:r w:rsidR="00F83BB8">
        <w:t>ist</w:t>
      </w:r>
      <w:r>
        <w:t xml:space="preserve"> procedure suites bucket (but due to the high overall cost, this is still enough to be a top-ranking DRG). </w:t>
      </w:r>
    </w:p>
    <w:p w14:paraId="46439955" w14:textId="04AA0C42" w:rsidR="009F0A64" w:rsidRDefault="009F0A64" w:rsidP="009F0A64">
      <w:r>
        <w:t xml:space="preserve">There </w:t>
      </w:r>
      <w:r w:rsidR="006512A0">
        <w:t>were</w:t>
      </w:r>
      <w:r>
        <w:t xml:space="preserve"> a few DRGs which are lower cost overall, but have a high share of their costs allocated to the </w:t>
      </w:r>
      <w:r w:rsidRPr="0056235A">
        <w:t>operating room/special</w:t>
      </w:r>
      <w:r w:rsidR="00F83BB8">
        <w:t>ist</w:t>
      </w:r>
      <w:r w:rsidRPr="0056235A">
        <w:t xml:space="preserve"> procedure</w:t>
      </w:r>
      <w:r>
        <w:t xml:space="preserve"> suites cost buckets. These </w:t>
      </w:r>
      <w:r w:rsidR="006512A0">
        <w:t>were</w:t>
      </w:r>
      <w:r>
        <w:t>:</w:t>
      </w:r>
    </w:p>
    <w:p w14:paraId="2A5E2D5E" w14:textId="1F53069E" w:rsidR="009F0A64" w:rsidRPr="001E54F4" w:rsidRDefault="009F0A64" w:rsidP="007B51EC">
      <w:pPr>
        <w:pStyle w:val="ListParagraph"/>
        <w:numPr>
          <w:ilvl w:val="0"/>
          <w:numId w:val="16"/>
        </w:numPr>
        <w:spacing w:before="60" w:after="60"/>
        <w:ind w:left="714" w:hanging="357"/>
      </w:pPr>
      <w:r>
        <w:t>J01B (</w:t>
      </w:r>
      <w:r w:rsidRPr="001E54F4">
        <w:rPr>
          <w:color w:val="000000"/>
          <w:szCs w:val="22"/>
        </w:rPr>
        <w:t>Microvas Tiss Transf for Skin, Subcut Tiss &amp; Breast Ds</w:t>
      </w:r>
      <w:r w:rsidR="006512A0">
        <w:rPr>
          <w:color w:val="000000"/>
          <w:szCs w:val="22"/>
        </w:rPr>
        <w:t>rds, Minor Complexity) which had</w:t>
      </w:r>
      <w:r w:rsidRPr="001E54F4">
        <w:rPr>
          <w:color w:val="000000"/>
          <w:szCs w:val="22"/>
        </w:rPr>
        <w:t xml:space="preserve"> 45% of its total cost belonging to the operating room/sp</w:t>
      </w:r>
      <w:r>
        <w:rPr>
          <w:color w:val="000000"/>
          <w:szCs w:val="22"/>
        </w:rPr>
        <w:t>ecial</w:t>
      </w:r>
      <w:r w:rsidR="00F83BB8">
        <w:rPr>
          <w:color w:val="000000"/>
          <w:szCs w:val="22"/>
        </w:rPr>
        <w:t>ist</w:t>
      </w:r>
      <w:r>
        <w:rPr>
          <w:color w:val="000000"/>
          <w:szCs w:val="22"/>
        </w:rPr>
        <w:t xml:space="preserve"> procedure suites cost bucket</w:t>
      </w:r>
    </w:p>
    <w:p w14:paraId="79FF40AB" w14:textId="723634CE" w:rsidR="009F0A64" w:rsidRDefault="009F0A64" w:rsidP="007B51EC">
      <w:pPr>
        <w:pStyle w:val="ListParagraph"/>
        <w:numPr>
          <w:ilvl w:val="0"/>
          <w:numId w:val="16"/>
        </w:numPr>
        <w:spacing w:before="60" w:after="60"/>
        <w:ind w:left="714" w:hanging="357"/>
      </w:pPr>
      <w:r>
        <w:t>J01A (</w:t>
      </w:r>
      <w:r w:rsidRPr="001E54F4">
        <w:t>Microvas Tiss Transf for Skin, Subcut Tiss &amp; Breast Dsrds, Major Complexity</w:t>
      </w:r>
      <w:r w:rsidR="006512A0">
        <w:t>) which had</w:t>
      </w:r>
      <w:r>
        <w:t xml:space="preserve"> 37% of its total cost belonging to the operating room/special</w:t>
      </w:r>
      <w:r w:rsidR="00F83BB8">
        <w:t>ist</w:t>
      </w:r>
      <w:r>
        <w:t xml:space="preserve"> procedure suites cost bucket</w:t>
      </w:r>
    </w:p>
    <w:p w14:paraId="5060D1F0" w14:textId="37A792A1" w:rsidR="009F0A64" w:rsidRDefault="009F0A64" w:rsidP="007B51EC">
      <w:pPr>
        <w:pStyle w:val="ListParagraph"/>
        <w:numPr>
          <w:ilvl w:val="0"/>
          <w:numId w:val="16"/>
        </w:numPr>
        <w:spacing w:before="60" w:after="60"/>
        <w:ind w:left="714" w:hanging="357"/>
      </w:pPr>
      <w:r>
        <w:t>A15C (</w:t>
      </w:r>
      <w:r w:rsidRPr="001E54F4">
        <w:t>Tracheostomy, Minor Complexity</w:t>
      </w:r>
      <w:r>
        <w:t>) and A15B (</w:t>
      </w:r>
      <w:r w:rsidRPr="001E54F4">
        <w:t>Tracheostomy, Intermediate Complexity</w:t>
      </w:r>
      <w:r>
        <w:t xml:space="preserve">) </w:t>
      </w:r>
      <w:r w:rsidRPr="001E54F4">
        <w:t xml:space="preserve">which </w:t>
      </w:r>
      <w:r w:rsidR="006512A0">
        <w:t>had</w:t>
      </w:r>
      <w:r>
        <w:t xml:space="preserve"> 34% and 27%, respectively, of their</w:t>
      </w:r>
      <w:r w:rsidRPr="001E54F4">
        <w:t xml:space="preserve"> total cost</w:t>
      </w:r>
      <w:r>
        <w:t>s</w:t>
      </w:r>
      <w:r w:rsidRPr="001E54F4">
        <w:t xml:space="preserve"> belonging to the operating room/special</w:t>
      </w:r>
      <w:r w:rsidR="00F83BB8">
        <w:t>ist</w:t>
      </w:r>
      <w:r w:rsidRPr="001E54F4">
        <w:t xml:space="preserve"> procedure suite</w:t>
      </w:r>
      <w:r>
        <w:t>s</w:t>
      </w:r>
      <w:r w:rsidRPr="001E54F4">
        <w:t xml:space="preserve"> cost bucket</w:t>
      </w:r>
      <w:r>
        <w:t>.</w:t>
      </w:r>
    </w:p>
    <w:p w14:paraId="2D62BABB" w14:textId="77777777" w:rsidR="009F0A64" w:rsidRPr="0056235A" w:rsidRDefault="009F0A64" w:rsidP="00235DEA">
      <w:pPr>
        <w:pStyle w:val="Intro"/>
        <w:spacing w:before="120"/>
      </w:pPr>
      <w:r>
        <w:t>Consistencies between Round 21 and Round 20</w:t>
      </w:r>
    </w:p>
    <w:p w14:paraId="3FA269E8" w14:textId="37BE987B" w:rsidR="009F0A64" w:rsidRPr="0056235A" w:rsidRDefault="009F0A64" w:rsidP="009F0A64">
      <w:r>
        <w:t>80 percent</w:t>
      </w:r>
      <w:r w:rsidRPr="0056235A">
        <w:t xml:space="preserve"> (16 of 20) of the top 20 DRGs by operating room/special</w:t>
      </w:r>
      <w:r w:rsidR="00F83BB8">
        <w:t>ist</w:t>
      </w:r>
      <w:r w:rsidRPr="0056235A">
        <w:t xml:space="preserve"> procedure suite</w:t>
      </w:r>
      <w:r>
        <w:t>s</w:t>
      </w:r>
      <w:r w:rsidRPr="0056235A">
        <w:t xml:space="preserve"> costs in Round 20 </w:t>
      </w:r>
      <w:r w:rsidR="006512A0">
        <w:t>were</w:t>
      </w:r>
      <w:r w:rsidRPr="0056235A">
        <w:t xml:space="preserve"> present in the top 20 of round 21. The top three DRGs were the same between Round 20 and Round 21, although in a different order.</w:t>
      </w:r>
    </w:p>
    <w:p w14:paraId="54C5B82E" w14:textId="77777777" w:rsidR="009F0A64" w:rsidRPr="005F3A57" w:rsidRDefault="009F0A64" w:rsidP="009F0A64">
      <w:pPr>
        <w:pStyle w:val="Intro"/>
      </w:pPr>
      <w:r>
        <w:t>Differences between Round 21 and Round 20</w:t>
      </w:r>
    </w:p>
    <w:p w14:paraId="4037A0D1" w14:textId="35022DDD" w:rsidR="009F0A64" w:rsidRPr="005F3A57" w:rsidRDefault="009F0A64" w:rsidP="009F0A64">
      <w:pPr>
        <w:rPr>
          <w:szCs w:val="22"/>
        </w:rPr>
      </w:pPr>
      <w:r w:rsidRPr="005F3A57">
        <w:rPr>
          <w:szCs w:val="22"/>
        </w:rPr>
        <w:t xml:space="preserve">There </w:t>
      </w:r>
      <w:r w:rsidR="006512A0">
        <w:rPr>
          <w:szCs w:val="22"/>
        </w:rPr>
        <w:t>were</w:t>
      </w:r>
      <w:r w:rsidRPr="005F3A57">
        <w:rPr>
          <w:szCs w:val="22"/>
        </w:rPr>
        <w:t xml:space="preserve"> four new entrants to the top 20 in Round 21. These </w:t>
      </w:r>
      <w:r w:rsidR="006512A0">
        <w:rPr>
          <w:szCs w:val="22"/>
        </w:rPr>
        <w:t>were</w:t>
      </w:r>
      <w:r w:rsidRPr="005F3A57">
        <w:rPr>
          <w:szCs w:val="22"/>
        </w:rPr>
        <w:t>:</w:t>
      </w:r>
    </w:p>
    <w:p w14:paraId="31213F2E" w14:textId="77777777" w:rsidR="009F0A64" w:rsidRPr="005F3A57" w:rsidRDefault="009F0A64" w:rsidP="00235DEA">
      <w:pPr>
        <w:pStyle w:val="ListBullet"/>
      </w:pPr>
      <w:r>
        <w:t>G01A (</w:t>
      </w:r>
      <w:r w:rsidRPr="005F3A57">
        <w:t>Rectal Resection, Major Complexity</w:t>
      </w:r>
      <w:r>
        <w:t>)</w:t>
      </w:r>
    </w:p>
    <w:p w14:paraId="6381859A" w14:textId="77777777" w:rsidR="009F0A64" w:rsidRPr="005F3A57" w:rsidRDefault="009F0A64" w:rsidP="00235DEA">
      <w:pPr>
        <w:pStyle w:val="ListBullet"/>
      </w:pPr>
      <w:r>
        <w:t>F11A (</w:t>
      </w:r>
      <w:r w:rsidRPr="005F3A57">
        <w:t>Amputation, Except Upper Limb and Toe, for Circulatory Disorders, Major Comp</w:t>
      </w:r>
      <w:r>
        <w:t>)</w:t>
      </w:r>
    </w:p>
    <w:p w14:paraId="7AEF4021" w14:textId="77777777" w:rsidR="009F0A64" w:rsidRPr="005F3A57" w:rsidRDefault="009F0A64" w:rsidP="00235DEA">
      <w:pPr>
        <w:pStyle w:val="ListBullet"/>
      </w:pPr>
      <w:r w:rsidRPr="005F3A57">
        <w:t xml:space="preserve">I09A </w:t>
      </w:r>
      <w:r>
        <w:t>(</w:t>
      </w:r>
      <w:r w:rsidRPr="005F3A57">
        <w:t>Spinal Fusion, Major Complexity</w:t>
      </w:r>
      <w:r>
        <w:t>)</w:t>
      </w:r>
    </w:p>
    <w:p w14:paraId="477C345D" w14:textId="77777777" w:rsidR="009F0A64" w:rsidRPr="005F3A57" w:rsidRDefault="009F0A64" w:rsidP="00235DEA">
      <w:pPr>
        <w:pStyle w:val="ListBullet"/>
      </w:pPr>
      <w:r w:rsidRPr="005F3A57">
        <w:t xml:space="preserve">L03A </w:t>
      </w:r>
      <w:r>
        <w:t>(</w:t>
      </w:r>
      <w:r w:rsidRPr="005F3A57">
        <w:t>Kidney, Ureter and Major Bladder Procedures for Neoplasm, Major Complexity</w:t>
      </w:r>
      <w:r>
        <w:t>)</w:t>
      </w:r>
    </w:p>
    <w:p w14:paraId="02F1AFBA" w14:textId="77777777" w:rsidR="009F0A64" w:rsidRPr="001D2540" w:rsidRDefault="009F0A64" w:rsidP="00235DEA">
      <w:pPr>
        <w:spacing w:before="120"/>
      </w:pPr>
      <w:r w:rsidRPr="001D2540">
        <w:t>These DRGs were all highly ranked in Round 20, with ranks between 22 and 38.</w:t>
      </w:r>
    </w:p>
    <w:p w14:paraId="51319EC1" w14:textId="77777777" w:rsidR="009F0A64" w:rsidRPr="00E4527E" w:rsidRDefault="009F0A64" w:rsidP="009F0A64">
      <w:pPr>
        <w:rPr>
          <w:highlight w:val="yellow"/>
        </w:rPr>
      </w:pPr>
    </w:p>
    <w:p w14:paraId="77A43DB5" w14:textId="77777777" w:rsidR="009F0A64" w:rsidRPr="00E4527E" w:rsidRDefault="009F0A64" w:rsidP="009F0A64">
      <w:pPr>
        <w:rPr>
          <w:highlight w:val="yellow"/>
        </w:rPr>
        <w:sectPr w:rsidR="009F0A64" w:rsidRPr="00E4527E" w:rsidSect="00384647">
          <w:pgSz w:w="11907" w:h="16840" w:code="9"/>
          <w:pgMar w:top="1843" w:right="1440" w:bottom="1021" w:left="1021" w:header="680" w:footer="510" w:gutter="0"/>
          <w:cols w:space="708"/>
          <w:docGrid w:linePitch="360"/>
        </w:sectPr>
      </w:pPr>
    </w:p>
    <w:p w14:paraId="6A39E150" w14:textId="63350C09" w:rsidR="009A6275" w:rsidRPr="009B2AA0" w:rsidRDefault="009A6275" w:rsidP="00E763E2">
      <w:pPr>
        <w:pStyle w:val="TableHeadings3"/>
      </w:pPr>
      <w:bookmarkStart w:id="173" w:name="_Toc497488040"/>
      <w:bookmarkStart w:id="174" w:name="_Toc162000"/>
      <w:r w:rsidRPr="009B2AA0">
        <w:lastRenderedPageBreak/>
        <w:t>Table 1</w:t>
      </w:r>
      <w:r w:rsidR="00F467C8">
        <w:t>0</w:t>
      </w:r>
      <w:r w:rsidRPr="009B2AA0">
        <w:t>. Top 20 DRGs for operating room/special</w:t>
      </w:r>
      <w:r w:rsidR="00F83BB8">
        <w:t>ist</w:t>
      </w:r>
      <w:r w:rsidRPr="009B2AA0">
        <w:t xml:space="preserve"> procedure suite</w:t>
      </w:r>
      <w:r>
        <w:t>s</w:t>
      </w:r>
      <w:r w:rsidRPr="009B2AA0">
        <w:t xml:space="preserve"> cost bucket</w:t>
      </w:r>
      <w:bookmarkEnd w:id="173"/>
      <w:bookmarkEnd w:id="174"/>
    </w:p>
    <w:tbl>
      <w:tblPr>
        <w:tblW w:w="15130" w:type="dxa"/>
        <w:tblInd w:w="108" w:type="dxa"/>
        <w:tblLook w:val="04A0" w:firstRow="1" w:lastRow="0" w:firstColumn="1" w:lastColumn="0" w:noHBand="0" w:noVBand="1"/>
      </w:tblPr>
      <w:tblGrid>
        <w:gridCol w:w="689"/>
        <w:gridCol w:w="689"/>
        <w:gridCol w:w="574"/>
        <w:gridCol w:w="5304"/>
        <w:gridCol w:w="761"/>
        <w:gridCol w:w="968"/>
        <w:gridCol w:w="797"/>
        <w:gridCol w:w="725"/>
        <w:gridCol w:w="645"/>
        <w:gridCol w:w="797"/>
        <w:gridCol w:w="814"/>
        <w:gridCol w:w="845"/>
        <w:gridCol w:w="761"/>
        <w:gridCol w:w="761"/>
      </w:tblGrid>
      <w:tr w:rsidR="009A6275" w:rsidRPr="00E4527E" w14:paraId="364735F3" w14:textId="77777777" w:rsidTr="00F467C8">
        <w:trPr>
          <w:trHeight w:val="155"/>
        </w:trPr>
        <w:tc>
          <w:tcPr>
            <w:tcW w:w="689" w:type="dxa"/>
            <w:vMerge w:val="restart"/>
            <w:tcBorders>
              <w:top w:val="single" w:sz="4" w:space="0" w:color="auto"/>
              <w:left w:val="nil"/>
              <w:bottom w:val="single" w:sz="4" w:space="0" w:color="000000"/>
              <w:right w:val="nil"/>
            </w:tcBorders>
            <w:shd w:val="clear" w:color="000000" w:fill="FFFFFF"/>
            <w:hideMark/>
          </w:tcPr>
          <w:p w14:paraId="49859E17"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Top 20 Round 20</w:t>
            </w:r>
          </w:p>
        </w:tc>
        <w:tc>
          <w:tcPr>
            <w:tcW w:w="689" w:type="dxa"/>
            <w:vMerge w:val="restart"/>
            <w:tcBorders>
              <w:top w:val="single" w:sz="4" w:space="0" w:color="auto"/>
              <w:left w:val="nil"/>
              <w:bottom w:val="single" w:sz="4" w:space="0" w:color="000000"/>
              <w:right w:val="nil"/>
            </w:tcBorders>
            <w:shd w:val="clear" w:color="000000" w:fill="FFFFFF"/>
            <w:hideMark/>
          </w:tcPr>
          <w:p w14:paraId="260EC501"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Rank Round 21</w:t>
            </w:r>
          </w:p>
        </w:tc>
        <w:tc>
          <w:tcPr>
            <w:tcW w:w="574" w:type="dxa"/>
            <w:vMerge w:val="restart"/>
            <w:tcBorders>
              <w:top w:val="single" w:sz="4" w:space="0" w:color="auto"/>
              <w:left w:val="nil"/>
              <w:bottom w:val="single" w:sz="4" w:space="0" w:color="000000"/>
              <w:right w:val="nil"/>
            </w:tcBorders>
            <w:shd w:val="clear" w:color="000000" w:fill="FFFFFF"/>
            <w:hideMark/>
          </w:tcPr>
          <w:p w14:paraId="1FA87961"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DRG</w:t>
            </w:r>
          </w:p>
        </w:tc>
        <w:tc>
          <w:tcPr>
            <w:tcW w:w="5304" w:type="dxa"/>
            <w:vMerge w:val="restart"/>
            <w:tcBorders>
              <w:top w:val="single" w:sz="4" w:space="0" w:color="auto"/>
              <w:left w:val="nil"/>
              <w:bottom w:val="single" w:sz="4" w:space="0" w:color="000000"/>
              <w:right w:val="nil"/>
            </w:tcBorders>
            <w:shd w:val="clear" w:color="000000" w:fill="FFFFFF"/>
            <w:noWrap/>
            <w:hideMark/>
          </w:tcPr>
          <w:p w14:paraId="1D4532B1"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DRG Description</w:t>
            </w:r>
          </w:p>
        </w:tc>
        <w:tc>
          <w:tcPr>
            <w:tcW w:w="761" w:type="dxa"/>
            <w:vMerge w:val="restart"/>
            <w:tcBorders>
              <w:top w:val="single" w:sz="4" w:space="0" w:color="auto"/>
              <w:left w:val="nil"/>
              <w:bottom w:val="single" w:sz="4" w:space="0" w:color="000000"/>
              <w:right w:val="nil"/>
            </w:tcBorders>
            <w:shd w:val="clear" w:color="000000" w:fill="FFFFFF"/>
            <w:hideMark/>
          </w:tcPr>
          <w:p w14:paraId="02B6697A"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OR and SPS cost weight</w:t>
            </w:r>
            <w:r w:rsidRPr="001720A8">
              <w:rPr>
                <w:b/>
                <w:bCs/>
                <w:color w:val="000000"/>
                <w:sz w:val="14"/>
                <w:szCs w:val="14"/>
                <w:lang w:val="en-US" w:eastAsia="en-US"/>
              </w:rPr>
              <w:br/>
              <w:t>(a)</w:t>
            </w:r>
          </w:p>
        </w:tc>
        <w:tc>
          <w:tcPr>
            <w:tcW w:w="968" w:type="dxa"/>
            <w:vMerge w:val="restart"/>
            <w:tcBorders>
              <w:top w:val="single" w:sz="4" w:space="0" w:color="auto"/>
              <w:left w:val="nil"/>
              <w:bottom w:val="single" w:sz="4" w:space="0" w:color="000000"/>
              <w:right w:val="nil"/>
            </w:tcBorders>
            <w:shd w:val="clear" w:color="000000" w:fill="FFFFFF"/>
            <w:hideMark/>
          </w:tcPr>
          <w:p w14:paraId="2AF91123"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No. of weighted seps</w:t>
            </w:r>
            <w:r w:rsidRPr="001720A8">
              <w:rPr>
                <w:b/>
                <w:bCs/>
                <w:color w:val="000000"/>
                <w:sz w:val="14"/>
                <w:szCs w:val="14"/>
                <w:lang w:val="en-US" w:eastAsia="en-US"/>
              </w:rPr>
              <w:br/>
              <w:t>(b)</w:t>
            </w:r>
          </w:p>
        </w:tc>
        <w:tc>
          <w:tcPr>
            <w:tcW w:w="797" w:type="dxa"/>
            <w:vMerge w:val="restart"/>
            <w:tcBorders>
              <w:top w:val="single" w:sz="4" w:space="0" w:color="auto"/>
              <w:left w:val="nil"/>
              <w:bottom w:val="single" w:sz="4" w:space="0" w:color="000000"/>
              <w:right w:val="nil"/>
            </w:tcBorders>
            <w:shd w:val="clear" w:color="000000" w:fill="FFFFFF"/>
            <w:hideMark/>
          </w:tcPr>
          <w:p w14:paraId="30133ED0"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Overall cost weight</w:t>
            </w:r>
            <w:r w:rsidRPr="001720A8">
              <w:rPr>
                <w:b/>
                <w:bCs/>
                <w:color w:val="000000"/>
                <w:sz w:val="14"/>
                <w:szCs w:val="14"/>
                <w:lang w:val="en-US" w:eastAsia="en-US"/>
              </w:rPr>
              <w:br/>
              <w:t>(c)</w:t>
            </w:r>
          </w:p>
        </w:tc>
        <w:tc>
          <w:tcPr>
            <w:tcW w:w="725" w:type="dxa"/>
            <w:vMerge w:val="restart"/>
            <w:tcBorders>
              <w:top w:val="single" w:sz="4" w:space="0" w:color="auto"/>
              <w:left w:val="nil"/>
              <w:bottom w:val="single" w:sz="4" w:space="0" w:color="000000"/>
              <w:right w:val="single" w:sz="4" w:space="0" w:color="000000"/>
            </w:tcBorders>
            <w:shd w:val="clear" w:color="000000" w:fill="FFFFFF"/>
            <w:hideMark/>
          </w:tcPr>
          <w:p w14:paraId="6D5D8CE6"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ALoS (days)</w:t>
            </w:r>
            <w:r w:rsidRPr="001720A8">
              <w:rPr>
                <w:b/>
                <w:bCs/>
                <w:color w:val="000000"/>
                <w:sz w:val="14"/>
                <w:szCs w:val="14"/>
                <w:lang w:val="en-US" w:eastAsia="en-US"/>
              </w:rPr>
              <w:br/>
              <w:t>(d)</w:t>
            </w:r>
          </w:p>
        </w:tc>
        <w:tc>
          <w:tcPr>
            <w:tcW w:w="3101" w:type="dxa"/>
            <w:gridSpan w:val="4"/>
            <w:tcBorders>
              <w:top w:val="single" w:sz="4" w:space="0" w:color="auto"/>
              <w:left w:val="single" w:sz="4" w:space="0" w:color="000000"/>
              <w:bottom w:val="single" w:sz="4" w:space="0" w:color="auto"/>
              <w:right w:val="nil"/>
            </w:tcBorders>
            <w:shd w:val="clear" w:color="000000" w:fill="FFFFFF"/>
            <w:noWrap/>
            <w:hideMark/>
          </w:tcPr>
          <w:p w14:paraId="38F33D81"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 of DRG total cost</w:t>
            </w:r>
          </w:p>
        </w:tc>
        <w:tc>
          <w:tcPr>
            <w:tcW w:w="761" w:type="dxa"/>
            <w:vMerge w:val="restart"/>
            <w:tcBorders>
              <w:top w:val="single" w:sz="4" w:space="0" w:color="auto"/>
              <w:left w:val="single" w:sz="4" w:space="0" w:color="auto"/>
              <w:bottom w:val="single" w:sz="4" w:space="0" w:color="000000"/>
              <w:right w:val="nil"/>
            </w:tcBorders>
            <w:shd w:val="clear" w:color="000000" w:fill="FFFFFF"/>
            <w:hideMark/>
          </w:tcPr>
          <w:p w14:paraId="668B51B5"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OR and SPS cost weight</w:t>
            </w:r>
            <w:r>
              <w:rPr>
                <w:b/>
                <w:bCs/>
                <w:color w:val="000000"/>
                <w:sz w:val="14"/>
                <w:szCs w:val="14"/>
                <w:lang w:val="en-US" w:eastAsia="en-US"/>
              </w:rPr>
              <w:t xml:space="preserve"> </w:t>
            </w:r>
            <w:r w:rsidRPr="001720A8">
              <w:rPr>
                <w:b/>
                <w:bCs/>
                <w:color w:val="000000"/>
                <w:sz w:val="14"/>
                <w:szCs w:val="14"/>
                <w:lang w:val="en-US" w:eastAsia="en-US"/>
              </w:rPr>
              <w:t>Round 20</w:t>
            </w:r>
          </w:p>
        </w:tc>
        <w:tc>
          <w:tcPr>
            <w:tcW w:w="761" w:type="dxa"/>
            <w:vMerge w:val="restart"/>
            <w:tcBorders>
              <w:top w:val="single" w:sz="4" w:space="0" w:color="auto"/>
              <w:left w:val="nil"/>
              <w:bottom w:val="single" w:sz="4" w:space="0" w:color="000000"/>
              <w:right w:val="nil"/>
            </w:tcBorders>
            <w:shd w:val="clear" w:color="000000" w:fill="FFFFFF"/>
            <w:hideMark/>
          </w:tcPr>
          <w:p w14:paraId="09CA706A" w14:textId="77777777" w:rsidR="009A6275" w:rsidRPr="001720A8" w:rsidRDefault="009A6275" w:rsidP="00384647">
            <w:pPr>
              <w:spacing w:before="80" w:after="80" w:line="240" w:lineRule="auto"/>
              <w:jc w:val="center"/>
              <w:rPr>
                <w:b/>
                <w:bCs/>
                <w:color w:val="000000"/>
                <w:sz w:val="14"/>
                <w:szCs w:val="14"/>
                <w:lang w:val="en-US" w:eastAsia="en-US"/>
              </w:rPr>
            </w:pPr>
            <w:r w:rsidRPr="001720A8">
              <w:rPr>
                <w:b/>
                <w:bCs/>
                <w:color w:val="000000"/>
                <w:sz w:val="14"/>
                <w:szCs w:val="14"/>
                <w:lang w:val="en-US" w:eastAsia="en-US"/>
              </w:rPr>
              <w:t>Rank Round 20</w:t>
            </w:r>
          </w:p>
        </w:tc>
      </w:tr>
      <w:tr w:rsidR="009A6275" w:rsidRPr="00E4527E" w14:paraId="4D1FD3D7" w14:textId="77777777" w:rsidTr="00D340D6">
        <w:trPr>
          <w:trHeight w:val="397"/>
        </w:trPr>
        <w:tc>
          <w:tcPr>
            <w:tcW w:w="689" w:type="dxa"/>
            <w:vMerge/>
            <w:tcBorders>
              <w:top w:val="single" w:sz="4" w:space="0" w:color="auto"/>
              <w:left w:val="nil"/>
              <w:bottom w:val="single" w:sz="4" w:space="0" w:color="000000"/>
              <w:right w:val="nil"/>
            </w:tcBorders>
            <w:vAlign w:val="center"/>
            <w:hideMark/>
          </w:tcPr>
          <w:p w14:paraId="64ED81E4" w14:textId="77777777" w:rsidR="009A6275" w:rsidRPr="001720A8" w:rsidRDefault="009A6275" w:rsidP="00F467C8">
            <w:pPr>
              <w:rPr>
                <w:b/>
                <w:bCs/>
                <w:color w:val="000000"/>
                <w:sz w:val="14"/>
                <w:szCs w:val="14"/>
                <w:lang w:val="en-US" w:eastAsia="en-US"/>
              </w:rPr>
            </w:pPr>
          </w:p>
        </w:tc>
        <w:tc>
          <w:tcPr>
            <w:tcW w:w="689" w:type="dxa"/>
            <w:vMerge/>
            <w:tcBorders>
              <w:top w:val="single" w:sz="4" w:space="0" w:color="auto"/>
              <w:left w:val="nil"/>
              <w:bottom w:val="single" w:sz="4" w:space="0" w:color="000000"/>
              <w:right w:val="nil"/>
            </w:tcBorders>
            <w:vAlign w:val="center"/>
            <w:hideMark/>
          </w:tcPr>
          <w:p w14:paraId="069D0723" w14:textId="77777777" w:rsidR="009A6275" w:rsidRPr="001720A8" w:rsidRDefault="009A6275" w:rsidP="00F467C8">
            <w:pPr>
              <w:rPr>
                <w:b/>
                <w:bCs/>
                <w:color w:val="000000"/>
                <w:sz w:val="14"/>
                <w:szCs w:val="14"/>
                <w:lang w:val="en-US" w:eastAsia="en-US"/>
              </w:rPr>
            </w:pPr>
          </w:p>
        </w:tc>
        <w:tc>
          <w:tcPr>
            <w:tcW w:w="574" w:type="dxa"/>
            <w:vMerge/>
            <w:tcBorders>
              <w:top w:val="single" w:sz="4" w:space="0" w:color="auto"/>
              <w:left w:val="nil"/>
              <w:bottom w:val="single" w:sz="4" w:space="0" w:color="000000"/>
              <w:right w:val="nil"/>
            </w:tcBorders>
            <w:vAlign w:val="center"/>
            <w:hideMark/>
          </w:tcPr>
          <w:p w14:paraId="51276E21" w14:textId="77777777" w:rsidR="009A6275" w:rsidRPr="001720A8" w:rsidRDefault="009A6275" w:rsidP="00F467C8">
            <w:pPr>
              <w:rPr>
                <w:b/>
                <w:bCs/>
                <w:color w:val="000000"/>
                <w:sz w:val="14"/>
                <w:szCs w:val="14"/>
                <w:lang w:val="en-US" w:eastAsia="en-US"/>
              </w:rPr>
            </w:pPr>
          </w:p>
        </w:tc>
        <w:tc>
          <w:tcPr>
            <w:tcW w:w="5304" w:type="dxa"/>
            <w:vMerge/>
            <w:tcBorders>
              <w:top w:val="single" w:sz="4" w:space="0" w:color="auto"/>
              <w:left w:val="nil"/>
              <w:bottom w:val="single" w:sz="4" w:space="0" w:color="000000"/>
              <w:right w:val="nil"/>
            </w:tcBorders>
            <w:vAlign w:val="center"/>
            <w:hideMark/>
          </w:tcPr>
          <w:p w14:paraId="70B8CC77" w14:textId="77777777" w:rsidR="009A6275" w:rsidRPr="001720A8" w:rsidRDefault="009A6275" w:rsidP="00F467C8">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7C88E152" w14:textId="77777777" w:rsidR="009A6275" w:rsidRPr="001720A8" w:rsidRDefault="009A6275" w:rsidP="00F467C8">
            <w:pPr>
              <w:rPr>
                <w:b/>
                <w:bCs/>
                <w:color w:val="000000"/>
                <w:sz w:val="14"/>
                <w:szCs w:val="14"/>
                <w:lang w:val="en-US" w:eastAsia="en-US"/>
              </w:rPr>
            </w:pPr>
          </w:p>
        </w:tc>
        <w:tc>
          <w:tcPr>
            <w:tcW w:w="968" w:type="dxa"/>
            <w:vMerge/>
            <w:tcBorders>
              <w:top w:val="single" w:sz="4" w:space="0" w:color="auto"/>
              <w:left w:val="nil"/>
              <w:bottom w:val="single" w:sz="4" w:space="0" w:color="000000"/>
              <w:right w:val="nil"/>
            </w:tcBorders>
            <w:vAlign w:val="center"/>
            <w:hideMark/>
          </w:tcPr>
          <w:p w14:paraId="2A38FCCE" w14:textId="77777777" w:rsidR="009A6275" w:rsidRPr="001720A8" w:rsidRDefault="009A6275" w:rsidP="00F467C8">
            <w:pPr>
              <w:rPr>
                <w:b/>
                <w:bCs/>
                <w:color w:val="000000"/>
                <w:sz w:val="14"/>
                <w:szCs w:val="14"/>
                <w:lang w:val="en-US" w:eastAsia="en-US"/>
              </w:rPr>
            </w:pPr>
          </w:p>
        </w:tc>
        <w:tc>
          <w:tcPr>
            <w:tcW w:w="797" w:type="dxa"/>
            <w:vMerge/>
            <w:tcBorders>
              <w:top w:val="single" w:sz="4" w:space="0" w:color="auto"/>
              <w:left w:val="nil"/>
              <w:bottom w:val="single" w:sz="4" w:space="0" w:color="000000"/>
              <w:right w:val="nil"/>
            </w:tcBorders>
            <w:vAlign w:val="center"/>
            <w:hideMark/>
          </w:tcPr>
          <w:p w14:paraId="6747219B" w14:textId="77777777" w:rsidR="009A6275" w:rsidRPr="001720A8" w:rsidRDefault="009A6275" w:rsidP="00F467C8">
            <w:pPr>
              <w:rPr>
                <w:b/>
                <w:bCs/>
                <w:color w:val="000000"/>
                <w:sz w:val="14"/>
                <w:szCs w:val="14"/>
                <w:lang w:val="en-US" w:eastAsia="en-US"/>
              </w:rPr>
            </w:pPr>
          </w:p>
        </w:tc>
        <w:tc>
          <w:tcPr>
            <w:tcW w:w="725" w:type="dxa"/>
            <w:vMerge/>
            <w:tcBorders>
              <w:top w:val="single" w:sz="4" w:space="0" w:color="auto"/>
              <w:left w:val="nil"/>
              <w:bottom w:val="single" w:sz="4" w:space="0" w:color="000000"/>
              <w:right w:val="single" w:sz="4" w:space="0" w:color="000000"/>
            </w:tcBorders>
            <w:vAlign w:val="center"/>
            <w:hideMark/>
          </w:tcPr>
          <w:p w14:paraId="2EE12F0C" w14:textId="77777777" w:rsidR="009A6275" w:rsidRPr="001720A8" w:rsidRDefault="009A6275" w:rsidP="00F467C8">
            <w:pPr>
              <w:rPr>
                <w:b/>
                <w:bCs/>
                <w:color w:val="000000"/>
                <w:sz w:val="14"/>
                <w:szCs w:val="14"/>
                <w:lang w:val="en-US" w:eastAsia="en-US"/>
              </w:rPr>
            </w:pPr>
          </w:p>
        </w:tc>
        <w:tc>
          <w:tcPr>
            <w:tcW w:w="645" w:type="dxa"/>
            <w:tcBorders>
              <w:top w:val="nil"/>
              <w:left w:val="single" w:sz="4" w:space="0" w:color="000000"/>
              <w:bottom w:val="single" w:sz="4" w:space="0" w:color="000000"/>
              <w:right w:val="nil"/>
            </w:tcBorders>
            <w:shd w:val="clear" w:color="000000" w:fill="FFFFFF"/>
            <w:hideMark/>
          </w:tcPr>
          <w:p w14:paraId="0FD69CE1" w14:textId="77777777" w:rsidR="009A6275" w:rsidRPr="001720A8" w:rsidRDefault="009A6275" w:rsidP="00384647">
            <w:pPr>
              <w:spacing w:before="80" w:line="240" w:lineRule="auto"/>
              <w:jc w:val="center"/>
              <w:rPr>
                <w:b/>
                <w:bCs/>
                <w:color w:val="000000"/>
                <w:sz w:val="14"/>
                <w:szCs w:val="14"/>
                <w:lang w:val="en-US" w:eastAsia="en-US"/>
              </w:rPr>
            </w:pPr>
            <w:r w:rsidRPr="001720A8">
              <w:rPr>
                <w:b/>
                <w:bCs/>
                <w:color w:val="000000"/>
                <w:sz w:val="14"/>
                <w:szCs w:val="14"/>
                <w:lang w:val="en-US" w:eastAsia="en-US"/>
              </w:rPr>
              <w:t>OR and SPS</w:t>
            </w:r>
          </w:p>
        </w:tc>
        <w:tc>
          <w:tcPr>
            <w:tcW w:w="797" w:type="dxa"/>
            <w:tcBorders>
              <w:top w:val="nil"/>
              <w:left w:val="nil"/>
              <w:bottom w:val="single" w:sz="4" w:space="0" w:color="000000"/>
              <w:right w:val="nil"/>
            </w:tcBorders>
            <w:shd w:val="clear" w:color="000000" w:fill="FFFFFF"/>
            <w:hideMark/>
          </w:tcPr>
          <w:p w14:paraId="374D1C16" w14:textId="77777777" w:rsidR="009A6275" w:rsidRPr="001720A8" w:rsidRDefault="009A6275" w:rsidP="00384647">
            <w:pPr>
              <w:spacing w:before="80" w:line="240" w:lineRule="auto"/>
              <w:jc w:val="center"/>
              <w:rPr>
                <w:b/>
                <w:bCs/>
                <w:color w:val="000000"/>
                <w:sz w:val="14"/>
                <w:szCs w:val="14"/>
                <w:lang w:val="en-US" w:eastAsia="en-US"/>
              </w:rPr>
            </w:pPr>
            <w:r w:rsidRPr="001720A8">
              <w:rPr>
                <w:b/>
                <w:bCs/>
                <w:color w:val="000000"/>
                <w:sz w:val="14"/>
                <w:szCs w:val="14"/>
                <w:lang w:val="en-US" w:eastAsia="en-US"/>
              </w:rPr>
              <w:t>Critical care</w:t>
            </w:r>
          </w:p>
        </w:tc>
        <w:tc>
          <w:tcPr>
            <w:tcW w:w="814" w:type="dxa"/>
            <w:tcBorders>
              <w:top w:val="nil"/>
              <w:left w:val="nil"/>
              <w:bottom w:val="single" w:sz="4" w:space="0" w:color="000000"/>
              <w:right w:val="nil"/>
            </w:tcBorders>
            <w:shd w:val="clear" w:color="000000" w:fill="FFFFFF"/>
            <w:hideMark/>
          </w:tcPr>
          <w:p w14:paraId="243B4240" w14:textId="77777777" w:rsidR="009A6275" w:rsidRPr="001720A8" w:rsidRDefault="009A6275" w:rsidP="00384647">
            <w:pPr>
              <w:spacing w:before="80" w:line="240" w:lineRule="auto"/>
              <w:jc w:val="center"/>
              <w:rPr>
                <w:b/>
                <w:bCs/>
                <w:color w:val="000000"/>
                <w:sz w:val="14"/>
                <w:szCs w:val="14"/>
                <w:lang w:val="en-US" w:eastAsia="en-US"/>
              </w:rPr>
            </w:pPr>
            <w:r w:rsidRPr="001720A8">
              <w:rPr>
                <w:b/>
                <w:bCs/>
                <w:color w:val="000000"/>
                <w:sz w:val="14"/>
                <w:szCs w:val="14"/>
                <w:lang w:val="en-US" w:eastAsia="en-US"/>
              </w:rPr>
              <w:t>Prosth-esis</w:t>
            </w:r>
          </w:p>
        </w:tc>
        <w:tc>
          <w:tcPr>
            <w:tcW w:w="845" w:type="dxa"/>
            <w:tcBorders>
              <w:top w:val="nil"/>
              <w:left w:val="nil"/>
              <w:bottom w:val="single" w:sz="4" w:space="0" w:color="000000"/>
              <w:right w:val="nil"/>
            </w:tcBorders>
            <w:shd w:val="clear" w:color="000000" w:fill="FFFFFF"/>
            <w:hideMark/>
          </w:tcPr>
          <w:p w14:paraId="106944F4" w14:textId="77777777" w:rsidR="009A6275" w:rsidRPr="001720A8" w:rsidRDefault="009A6275" w:rsidP="00384647">
            <w:pPr>
              <w:spacing w:before="80" w:line="240" w:lineRule="auto"/>
              <w:jc w:val="center"/>
              <w:rPr>
                <w:b/>
                <w:bCs/>
                <w:color w:val="000000"/>
                <w:sz w:val="14"/>
                <w:szCs w:val="14"/>
                <w:lang w:val="en-US" w:eastAsia="en-US"/>
              </w:rPr>
            </w:pPr>
            <w:r w:rsidRPr="001720A8">
              <w:rPr>
                <w:b/>
                <w:bCs/>
                <w:color w:val="000000"/>
                <w:sz w:val="14"/>
                <w:szCs w:val="14"/>
                <w:lang w:val="en-US" w:eastAsia="en-US"/>
              </w:rPr>
              <w:t xml:space="preserve">Miscell-aneous </w:t>
            </w:r>
          </w:p>
        </w:tc>
        <w:tc>
          <w:tcPr>
            <w:tcW w:w="761" w:type="dxa"/>
            <w:vMerge/>
            <w:tcBorders>
              <w:top w:val="single" w:sz="4" w:space="0" w:color="auto"/>
              <w:left w:val="single" w:sz="4" w:space="0" w:color="auto"/>
              <w:bottom w:val="single" w:sz="4" w:space="0" w:color="000000"/>
              <w:right w:val="nil"/>
            </w:tcBorders>
            <w:vAlign w:val="center"/>
            <w:hideMark/>
          </w:tcPr>
          <w:p w14:paraId="318704DB" w14:textId="77777777" w:rsidR="009A6275" w:rsidRPr="001720A8" w:rsidRDefault="009A6275" w:rsidP="00F467C8">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23D21296" w14:textId="77777777" w:rsidR="009A6275" w:rsidRPr="001720A8" w:rsidRDefault="009A6275" w:rsidP="00F467C8">
            <w:pPr>
              <w:rPr>
                <w:b/>
                <w:bCs/>
                <w:color w:val="000000"/>
                <w:sz w:val="14"/>
                <w:szCs w:val="14"/>
                <w:lang w:val="en-US" w:eastAsia="en-US"/>
              </w:rPr>
            </w:pPr>
          </w:p>
        </w:tc>
      </w:tr>
      <w:tr w:rsidR="009A6275" w:rsidRPr="00E4527E" w14:paraId="20AE3CAD" w14:textId="77777777" w:rsidTr="00F467C8">
        <w:trPr>
          <w:trHeight w:hRule="exact" w:val="284"/>
        </w:trPr>
        <w:tc>
          <w:tcPr>
            <w:tcW w:w="689" w:type="dxa"/>
            <w:tcBorders>
              <w:top w:val="nil"/>
              <w:left w:val="nil"/>
              <w:bottom w:val="nil"/>
              <w:right w:val="nil"/>
            </w:tcBorders>
            <w:shd w:val="clear" w:color="000000" w:fill="FFFFFF"/>
            <w:noWrap/>
            <w:hideMark/>
          </w:tcPr>
          <w:p w14:paraId="1D6E754C"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31969FF4" w14:textId="77777777" w:rsidR="009A6275" w:rsidRPr="001720A8" w:rsidRDefault="009A6275" w:rsidP="00F467C8">
            <w:pPr>
              <w:jc w:val="center"/>
              <w:rPr>
                <w:color w:val="000000"/>
                <w:sz w:val="14"/>
                <w:szCs w:val="14"/>
                <w:lang w:val="en-US" w:eastAsia="en-US"/>
              </w:rPr>
            </w:pPr>
            <w:r w:rsidRPr="001720A8">
              <w:rPr>
                <w:color w:val="000000"/>
                <w:sz w:val="14"/>
                <w:szCs w:val="14"/>
              </w:rPr>
              <w:t>1</w:t>
            </w:r>
          </w:p>
        </w:tc>
        <w:tc>
          <w:tcPr>
            <w:tcW w:w="574" w:type="dxa"/>
            <w:tcBorders>
              <w:top w:val="nil"/>
              <w:left w:val="nil"/>
              <w:bottom w:val="nil"/>
              <w:right w:val="nil"/>
            </w:tcBorders>
            <w:shd w:val="clear" w:color="000000" w:fill="FFFFFF"/>
            <w:noWrap/>
            <w:hideMark/>
          </w:tcPr>
          <w:p w14:paraId="7A832815" w14:textId="77777777" w:rsidR="009A6275" w:rsidRPr="001720A8" w:rsidRDefault="009A6275" w:rsidP="00F467C8">
            <w:pPr>
              <w:rPr>
                <w:color w:val="000000"/>
                <w:sz w:val="14"/>
                <w:szCs w:val="14"/>
                <w:lang w:val="en-US" w:eastAsia="en-US"/>
              </w:rPr>
            </w:pPr>
            <w:r w:rsidRPr="001720A8">
              <w:rPr>
                <w:color w:val="000000"/>
                <w:sz w:val="14"/>
                <w:szCs w:val="14"/>
              </w:rPr>
              <w:t>A15A</w:t>
            </w:r>
          </w:p>
        </w:tc>
        <w:tc>
          <w:tcPr>
            <w:tcW w:w="5304" w:type="dxa"/>
            <w:tcBorders>
              <w:top w:val="nil"/>
              <w:left w:val="nil"/>
              <w:bottom w:val="nil"/>
              <w:right w:val="nil"/>
            </w:tcBorders>
            <w:shd w:val="clear" w:color="000000" w:fill="FFFFFF"/>
            <w:noWrap/>
            <w:hideMark/>
          </w:tcPr>
          <w:p w14:paraId="14A5A2AB" w14:textId="77777777" w:rsidR="009A6275" w:rsidRPr="001720A8" w:rsidRDefault="009A6275" w:rsidP="00F467C8">
            <w:pPr>
              <w:rPr>
                <w:color w:val="000000"/>
                <w:sz w:val="14"/>
                <w:szCs w:val="14"/>
                <w:lang w:val="en-US" w:eastAsia="en-US"/>
              </w:rPr>
            </w:pPr>
            <w:r w:rsidRPr="001720A8">
              <w:rPr>
                <w:color w:val="000000"/>
                <w:sz w:val="14"/>
                <w:szCs w:val="14"/>
              </w:rPr>
              <w:t>Tracheostomy, Major Complexity</w:t>
            </w:r>
          </w:p>
        </w:tc>
        <w:tc>
          <w:tcPr>
            <w:tcW w:w="761" w:type="dxa"/>
            <w:tcBorders>
              <w:top w:val="nil"/>
              <w:left w:val="nil"/>
              <w:bottom w:val="nil"/>
              <w:right w:val="nil"/>
            </w:tcBorders>
            <w:shd w:val="clear" w:color="000000" w:fill="FFFFFF"/>
            <w:noWrap/>
            <w:hideMark/>
          </w:tcPr>
          <w:p w14:paraId="315E4979"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4.17</w:t>
            </w:r>
          </w:p>
        </w:tc>
        <w:tc>
          <w:tcPr>
            <w:tcW w:w="968" w:type="dxa"/>
            <w:tcBorders>
              <w:top w:val="nil"/>
              <w:left w:val="nil"/>
              <w:bottom w:val="nil"/>
              <w:right w:val="nil"/>
            </w:tcBorders>
            <w:shd w:val="clear" w:color="000000" w:fill="FFFFFF"/>
            <w:noWrap/>
            <w:hideMark/>
          </w:tcPr>
          <w:p w14:paraId="09356826" w14:textId="77777777" w:rsidR="009A6275" w:rsidRPr="001720A8" w:rsidRDefault="009A6275" w:rsidP="00F467C8">
            <w:pPr>
              <w:jc w:val="right"/>
              <w:rPr>
                <w:color w:val="000000"/>
                <w:sz w:val="14"/>
                <w:szCs w:val="14"/>
                <w:lang w:val="en-US" w:eastAsia="en-US"/>
              </w:rPr>
            </w:pPr>
            <w:r w:rsidRPr="001720A8">
              <w:rPr>
                <w:color w:val="000000"/>
                <w:sz w:val="14"/>
                <w:szCs w:val="14"/>
              </w:rPr>
              <w:t>11</w:t>
            </w:r>
          </w:p>
        </w:tc>
        <w:tc>
          <w:tcPr>
            <w:tcW w:w="797" w:type="dxa"/>
            <w:tcBorders>
              <w:top w:val="nil"/>
              <w:left w:val="nil"/>
              <w:bottom w:val="nil"/>
              <w:right w:val="nil"/>
            </w:tcBorders>
            <w:shd w:val="clear" w:color="000000" w:fill="FFFFFF"/>
            <w:noWrap/>
            <w:hideMark/>
          </w:tcPr>
          <w:p w14:paraId="60E92E54" w14:textId="77777777" w:rsidR="009A6275" w:rsidRPr="001720A8" w:rsidRDefault="009A6275" w:rsidP="00F467C8">
            <w:pPr>
              <w:jc w:val="right"/>
              <w:rPr>
                <w:color w:val="000000"/>
                <w:sz w:val="14"/>
                <w:szCs w:val="14"/>
                <w:lang w:val="en-US" w:eastAsia="en-US"/>
              </w:rPr>
            </w:pPr>
            <w:r w:rsidRPr="001720A8">
              <w:rPr>
                <w:color w:val="000000"/>
                <w:sz w:val="14"/>
                <w:szCs w:val="14"/>
              </w:rPr>
              <w:t>21.86</w:t>
            </w:r>
          </w:p>
        </w:tc>
        <w:tc>
          <w:tcPr>
            <w:tcW w:w="725" w:type="dxa"/>
            <w:tcBorders>
              <w:top w:val="nil"/>
              <w:left w:val="nil"/>
              <w:bottom w:val="nil"/>
              <w:right w:val="nil"/>
            </w:tcBorders>
            <w:shd w:val="clear" w:color="000000" w:fill="FFFFFF"/>
            <w:noWrap/>
            <w:hideMark/>
          </w:tcPr>
          <w:p w14:paraId="6CA33304" w14:textId="77777777" w:rsidR="009A6275" w:rsidRPr="001720A8" w:rsidRDefault="009A6275" w:rsidP="00F467C8">
            <w:pPr>
              <w:jc w:val="right"/>
              <w:rPr>
                <w:color w:val="000000"/>
                <w:sz w:val="14"/>
                <w:szCs w:val="14"/>
                <w:lang w:val="en-US" w:eastAsia="en-US"/>
              </w:rPr>
            </w:pPr>
            <w:r w:rsidRPr="001720A8">
              <w:rPr>
                <w:color w:val="000000"/>
                <w:sz w:val="14"/>
                <w:szCs w:val="14"/>
              </w:rPr>
              <w:t>24.2</w:t>
            </w:r>
          </w:p>
        </w:tc>
        <w:tc>
          <w:tcPr>
            <w:tcW w:w="645" w:type="dxa"/>
            <w:tcBorders>
              <w:top w:val="nil"/>
              <w:left w:val="single" w:sz="4" w:space="0" w:color="000000"/>
              <w:bottom w:val="nil"/>
              <w:right w:val="nil"/>
            </w:tcBorders>
            <w:shd w:val="clear" w:color="000000" w:fill="FFFFFF"/>
            <w:noWrap/>
            <w:hideMark/>
          </w:tcPr>
          <w:p w14:paraId="4BE90CE0" w14:textId="77777777" w:rsidR="009A6275" w:rsidRPr="001720A8" w:rsidRDefault="009A6275" w:rsidP="00F467C8">
            <w:pPr>
              <w:jc w:val="right"/>
              <w:rPr>
                <w:color w:val="000000"/>
                <w:sz w:val="14"/>
                <w:szCs w:val="14"/>
                <w:lang w:val="en-US" w:eastAsia="en-US"/>
              </w:rPr>
            </w:pPr>
            <w:r w:rsidRPr="001720A8">
              <w:rPr>
                <w:color w:val="000000"/>
                <w:sz w:val="14"/>
                <w:szCs w:val="14"/>
              </w:rPr>
              <w:t>19%</w:t>
            </w:r>
          </w:p>
        </w:tc>
        <w:tc>
          <w:tcPr>
            <w:tcW w:w="797" w:type="dxa"/>
            <w:tcBorders>
              <w:top w:val="nil"/>
              <w:left w:val="nil"/>
              <w:bottom w:val="nil"/>
              <w:right w:val="nil"/>
            </w:tcBorders>
            <w:shd w:val="clear" w:color="000000" w:fill="FFFFFF"/>
            <w:noWrap/>
            <w:hideMark/>
          </w:tcPr>
          <w:p w14:paraId="469FC0EC" w14:textId="77777777" w:rsidR="009A6275" w:rsidRPr="001720A8" w:rsidRDefault="009A6275" w:rsidP="00F467C8">
            <w:pPr>
              <w:jc w:val="right"/>
              <w:rPr>
                <w:color w:val="000000"/>
                <w:sz w:val="14"/>
                <w:szCs w:val="14"/>
                <w:lang w:val="en-US" w:eastAsia="en-US"/>
              </w:rPr>
            </w:pPr>
            <w:r w:rsidRPr="001720A8">
              <w:rPr>
                <w:color w:val="000000"/>
                <w:sz w:val="14"/>
                <w:szCs w:val="14"/>
              </w:rPr>
              <w:t>41%</w:t>
            </w:r>
          </w:p>
        </w:tc>
        <w:tc>
          <w:tcPr>
            <w:tcW w:w="814" w:type="dxa"/>
            <w:tcBorders>
              <w:top w:val="nil"/>
              <w:left w:val="nil"/>
              <w:bottom w:val="nil"/>
              <w:right w:val="nil"/>
            </w:tcBorders>
            <w:shd w:val="clear" w:color="000000" w:fill="FFFFFF"/>
            <w:noWrap/>
            <w:hideMark/>
          </w:tcPr>
          <w:p w14:paraId="79B8E583" w14:textId="77777777" w:rsidR="009A6275" w:rsidRPr="001720A8" w:rsidRDefault="009A6275" w:rsidP="00F467C8">
            <w:pPr>
              <w:jc w:val="right"/>
              <w:rPr>
                <w:color w:val="000000"/>
                <w:sz w:val="14"/>
                <w:szCs w:val="14"/>
                <w:lang w:val="en-US" w:eastAsia="en-US"/>
              </w:rPr>
            </w:pPr>
            <w:r w:rsidRPr="001720A8">
              <w:rPr>
                <w:color w:val="000000"/>
                <w:sz w:val="14"/>
                <w:szCs w:val="14"/>
              </w:rPr>
              <w:t>9%</w:t>
            </w:r>
          </w:p>
        </w:tc>
        <w:tc>
          <w:tcPr>
            <w:tcW w:w="845" w:type="dxa"/>
            <w:tcBorders>
              <w:top w:val="nil"/>
              <w:left w:val="nil"/>
              <w:bottom w:val="nil"/>
              <w:right w:val="nil"/>
            </w:tcBorders>
            <w:shd w:val="clear" w:color="000000" w:fill="FFFFFF"/>
            <w:noWrap/>
            <w:hideMark/>
          </w:tcPr>
          <w:p w14:paraId="4549D33E" w14:textId="77777777" w:rsidR="009A6275" w:rsidRPr="001720A8" w:rsidRDefault="009A6275" w:rsidP="00F467C8">
            <w:pPr>
              <w:jc w:val="right"/>
              <w:rPr>
                <w:color w:val="000000"/>
                <w:sz w:val="14"/>
                <w:szCs w:val="14"/>
                <w:lang w:val="en-US" w:eastAsia="en-US"/>
              </w:rPr>
            </w:pPr>
            <w:r w:rsidRPr="001720A8">
              <w:rPr>
                <w:color w:val="000000"/>
                <w:sz w:val="14"/>
                <w:szCs w:val="14"/>
              </w:rPr>
              <w:t>31%</w:t>
            </w:r>
          </w:p>
        </w:tc>
        <w:tc>
          <w:tcPr>
            <w:tcW w:w="761" w:type="dxa"/>
            <w:tcBorders>
              <w:top w:val="nil"/>
              <w:left w:val="single" w:sz="4" w:space="0" w:color="auto"/>
              <w:bottom w:val="nil"/>
              <w:right w:val="nil"/>
            </w:tcBorders>
            <w:shd w:val="clear" w:color="000000" w:fill="FFFFFF"/>
            <w:noWrap/>
            <w:hideMark/>
          </w:tcPr>
          <w:p w14:paraId="3C39C6B8" w14:textId="77777777" w:rsidR="009A6275" w:rsidRPr="001720A8" w:rsidRDefault="009A6275" w:rsidP="00F467C8">
            <w:pPr>
              <w:jc w:val="right"/>
              <w:rPr>
                <w:color w:val="000000"/>
                <w:sz w:val="14"/>
                <w:szCs w:val="14"/>
                <w:lang w:val="en-US" w:eastAsia="en-US"/>
              </w:rPr>
            </w:pPr>
            <w:r w:rsidRPr="001720A8">
              <w:rPr>
                <w:color w:val="000000"/>
                <w:sz w:val="14"/>
                <w:szCs w:val="14"/>
              </w:rPr>
              <w:t>3.39</w:t>
            </w:r>
          </w:p>
        </w:tc>
        <w:tc>
          <w:tcPr>
            <w:tcW w:w="761" w:type="dxa"/>
            <w:tcBorders>
              <w:top w:val="nil"/>
              <w:left w:val="nil"/>
              <w:bottom w:val="nil"/>
              <w:right w:val="nil"/>
            </w:tcBorders>
            <w:shd w:val="clear" w:color="000000" w:fill="FFFFFF"/>
            <w:noWrap/>
            <w:hideMark/>
          </w:tcPr>
          <w:p w14:paraId="0F89487A"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2 </w:t>
            </w:r>
          </w:p>
        </w:tc>
      </w:tr>
      <w:tr w:rsidR="009A6275" w:rsidRPr="00E4527E" w14:paraId="41FA959D" w14:textId="77777777" w:rsidTr="00F467C8">
        <w:trPr>
          <w:trHeight w:hRule="exact" w:val="284"/>
        </w:trPr>
        <w:tc>
          <w:tcPr>
            <w:tcW w:w="689" w:type="dxa"/>
            <w:tcBorders>
              <w:top w:val="nil"/>
              <w:left w:val="nil"/>
              <w:bottom w:val="nil"/>
              <w:right w:val="nil"/>
            </w:tcBorders>
            <w:shd w:val="clear" w:color="000000" w:fill="FFFFFF"/>
            <w:noWrap/>
            <w:hideMark/>
          </w:tcPr>
          <w:p w14:paraId="575A6FD8"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438197BF" w14:textId="77777777" w:rsidR="009A6275" w:rsidRPr="001720A8" w:rsidRDefault="009A6275" w:rsidP="00F467C8">
            <w:pPr>
              <w:jc w:val="center"/>
              <w:rPr>
                <w:color w:val="000000"/>
                <w:sz w:val="14"/>
                <w:szCs w:val="14"/>
                <w:lang w:val="en-US" w:eastAsia="en-US"/>
              </w:rPr>
            </w:pPr>
            <w:r w:rsidRPr="001720A8">
              <w:rPr>
                <w:color w:val="000000"/>
                <w:sz w:val="14"/>
                <w:szCs w:val="14"/>
              </w:rPr>
              <w:t>2</w:t>
            </w:r>
          </w:p>
        </w:tc>
        <w:tc>
          <w:tcPr>
            <w:tcW w:w="574" w:type="dxa"/>
            <w:tcBorders>
              <w:top w:val="nil"/>
              <w:left w:val="nil"/>
              <w:bottom w:val="nil"/>
              <w:right w:val="nil"/>
            </w:tcBorders>
            <w:shd w:val="clear" w:color="000000" w:fill="FFFFFF"/>
            <w:noWrap/>
            <w:hideMark/>
          </w:tcPr>
          <w:p w14:paraId="5DA751E7" w14:textId="77777777" w:rsidR="009A6275" w:rsidRPr="001720A8" w:rsidRDefault="009A6275" w:rsidP="00F467C8">
            <w:pPr>
              <w:rPr>
                <w:color w:val="000000"/>
                <w:sz w:val="14"/>
                <w:szCs w:val="14"/>
                <w:lang w:val="en-US" w:eastAsia="en-US"/>
              </w:rPr>
            </w:pPr>
            <w:r w:rsidRPr="001720A8">
              <w:rPr>
                <w:color w:val="000000"/>
                <w:sz w:val="14"/>
                <w:szCs w:val="14"/>
              </w:rPr>
              <w:t>A15B</w:t>
            </w:r>
          </w:p>
        </w:tc>
        <w:tc>
          <w:tcPr>
            <w:tcW w:w="5304" w:type="dxa"/>
            <w:tcBorders>
              <w:top w:val="nil"/>
              <w:left w:val="nil"/>
              <w:bottom w:val="nil"/>
              <w:right w:val="nil"/>
            </w:tcBorders>
            <w:shd w:val="clear" w:color="000000" w:fill="FFFFFF"/>
            <w:noWrap/>
            <w:hideMark/>
          </w:tcPr>
          <w:p w14:paraId="76FDEAC0" w14:textId="77777777" w:rsidR="009A6275" w:rsidRPr="001720A8" w:rsidRDefault="009A6275" w:rsidP="00F467C8">
            <w:pPr>
              <w:rPr>
                <w:color w:val="000000"/>
                <w:sz w:val="14"/>
                <w:szCs w:val="14"/>
                <w:lang w:val="en-US" w:eastAsia="en-US"/>
              </w:rPr>
            </w:pPr>
            <w:r w:rsidRPr="001720A8">
              <w:rPr>
                <w:color w:val="000000"/>
                <w:sz w:val="14"/>
                <w:szCs w:val="14"/>
              </w:rPr>
              <w:t>Tracheostomy, Intermediate Complexity</w:t>
            </w:r>
          </w:p>
        </w:tc>
        <w:tc>
          <w:tcPr>
            <w:tcW w:w="761" w:type="dxa"/>
            <w:tcBorders>
              <w:top w:val="nil"/>
              <w:left w:val="nil"/>
              <w:bottom w:val="nil"/>
              <w:right w:val="nil"/>
            </w:tcBorders>
            <w:shd w:val="clear" w:color="000000" w:fill="FFFFFF"/>
            <w:noWrap/>
            <w:hideMark/>
          </w:tcPr>
          <w:p w14:paraId="0623ADCE"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3.58</w:t>
            </w:r>
          </w:p>
        </w:tc>
        <w:tc>
          <w:tcPr>
            <w:tcW w:w="968" w:type="dxa"/>
            <w:tcBorders>
              <w:top w:val="nil"/>
              <w:left w:val="nil"/>
              <w:bottom w:val="nil"/>
              <w:right w:val="nil"/>
            </w:tcBorders>
            <w:shd w:val="clear" w:color="000000" w:fill="FFFFFF"/>
            <w:noWrap/>
            <w:hideMark/>
          </w:tcPr>
          <w:p w14:paraId="21CF7A99" w14:textId="77777777" w:rsidR="009A6275" w:rsidRPr="001720A8" w:rsidRDefault="009A6275" w:rsidP="00F467C8">
            <w:pPr>
              <w:jc w:val="right"/>
              <w:rPr>
                <w:color w:val="000000"/>
                <w:sz w:val="14"/>
                <w:szCs w:val="14"/>
                <w:lang w:val="en-US" w:eastAsia="en-US"/>
              </w:rPr>
            </w:pPr>
            <w:r w:rsidRPr="001720A8">
              <w:rPr>
                <w:color w:val="000000"/>
                <w:sz w:val="14"/>
                <w:szCs w:val="14"/>
              </w:rPr>
              <w:t>63</w:t>
            </w:r>
          </w:p>
        </w:tc>
        <w:tc>
          <w:tcPr>
            <w:tcW w:w="797" w:type="dxa"/>
            <w:tcBorders>
              <w:top w:val="nil"/>
              <w:left w:val="nil"/>
              <w:bottom w:val="nil"/>
              <w:right w:val="nil"/>
            </w:tcBorders>
            <w:shd w:val="clear" w:color="000000" w:fill="FFFFFF"/>
            <w:noWrap/>
            <w:hideMark/>
          </w:tcPr>
          <w:p w14:paraId="2F9F135A" w14:textId="77777777" w:rsidR="009A6275" w:rsidRPr="001720A8" w:rsidRDefault="009A6275" w:rsidP="00F467C8">
            <w:pPr>
              <w:jc w:val="right"/>
              <w:rPr>
                <w:color w:val="000000"/>
                <w:sz w:val="14"/>
                <w:szCs w:val="14"/>
                <w:lang w:val="en-US" w:eastAsia="en-US"/>
              </w:rPr>
            </w:pPr>
            <w:r w:rsidRPr="001720A8">
              <w:rPr>
                <w:color w:val="000000"/>
                <w:sz w:val="14"/>
                <w:szCs w:val="14"/>
              </w:rPr>
              <w:t>13.16</w:t>
            </w:r>
          </w:p>
        </w:tc>
        <w:tc>
          <w:tcPr>
            <w:tcW w:w="725" w:type="dxa"/>
            <w:tcBorders>
              <w:top w:val="nil"/>
              <w:left w:val="nil"/>
              <w:bottom w:val="nil"/>
              <w:right w:val="nil"/>
            </w:tcBorders>
            <w:shd w:val="clear" w:color="000000" w:fill="FFFFFF"/>
            <w:noWrap/>
            <w:hideMark/>
          </w:tcPr>
          <w:p w14:paraId="04B64063" w14:textId="77777777" w:rsidR="009A6275" w:rsidRPr="001720A8" w:rsidRDefault="009A6275" w:rsidP="00F467C8">
            <w:pPr>
              <w:jc w:val="right"/>
              <w:rPr>
                <w:color w:val="000000"/>
                <w:sz w:val="14"/>
                <w:szCs w:val="14"/>
                <w:lang w:val="en-US" w:eastAsia="en-US"/>
              </w:rPr>
            </w:pPr>
            <w:r w:rsidRPr="001720A8">
              <w:rPr>
                <w:color w:val="000000"/>
                <w:sz w:val="14"/>
                <w:szCs w:val="14"/>
              </w:rPr>
              <w:t>16.3</w:t>
            </w:r>
          </w:p>
        </w:tc>
        <w:tc>
          <w:tcPr>
            <w:tcW w:w="645" w:type="dxa"/>
            <w:tcBorders>
              <w:top w:val="nil"/>
              <w:left w:val="single" w:sz="4" w:space="0" w:color="000000"/>
              <w:bottom w:val="nil"/>
              <w:right w:val="nil"/>
            </w:tcBorders>
            <w:shd w:val="clear" w:color="000000" w:fill="FFFFFF"/>
            <w:noWrap/>
            <w:hideMark/>
          </w:tcPr>
          <w:p w14:paraId="5ED0BD87" w14:textId="77777777" w:rsidR="009A6275" w:rsidRPr="001720A8" w:rsidRDefault="009A6275" w:rsidP="00F467C8">
            <w:pPr>
              <w:jc w:val="right"/>
              <w:rPr>
                <w:color w:val="000000"/>
                <w:sz w:val="14"/>
                <w:szCs w:val="14"/>
                <w:lang w:val="en-US" w:eastAsia="en-US"/>
              </w:rPr>
            </w:pPr>
            <w:r w:rsidRPr="001720A8">
              <w:rPr>
                <w:color w:val="000000"/>
                <w:sz w:val="14"/>
                <w:szCs w:val="14"/>
              </w:rPr>
              <w:t>27%</w:t>
            </w:r>
          </w:p>
        </w:tc>
        <w:tc>
          <w:tcPr>
            <w:tcW w:w="797" w:type="dxa"/>
            <w:tcBorders>
              <w:top w:val="nil"/>
              <w:left w:val="nil"/>
              <w:bottom w:val="nil"/>
              <w:right w:val="nil"/>
            </w:tcBorders>
            <w:shd w:val="clear" w:color="000000" w:fill="FFFFFF"/>
            <w:noWrap/>
            <w:hideMark/>
          </w:tcPr>
          <w:p w14:paraId="0903BA4A" w14:textId="77777777" w:rsidR="009A6275" w:rsidRPr="001720A8" w:rsidRDefault="009A6275" w:rsidP="00F467C8">
            <w:pPr>
              <w:jc w:val="right"/>
              <w:rPr>
                <w:color w:val="000000"/>
                <w:sz w:val="14"/>
                <w:szCs w:val="14"/>
                <w:lang w:val="en-US" w:eastAsia="en-US"/>
              </w:rPr>
            </w:pPr>
            <w:r w:rsidRPr="001720A8">
              <w:rPr>
                <w:color w:val="000000"/>
                <w:sz w:val="14"/>
                <w:szCs w:val="14"/>
              </w:rPr>
              <w:t>31%</w:t>
            </w:r>
          </w:p>
        </w:tc>
        <w:tc>
          <w:tcPr>
            <w:tcW w:w="814" w:type="dxa"/>
            <w:tcBorders>
              <w:top w:val="nil"/>
              <w:left w:val="nil"/>
              <w:bottom w:val="nil"/>
              <w:right w:val="nil"/>
            </w:tcBorders>
            <w:shd w:val="clear" w:color="000000" w:fill="FFFFFF"/>
            <w:noWrap/>
            <w:hideMark/>
          </w:tcPr>
          <w:p w14:paraId="6F0E5EFA" w14:textId="77777777" w:rsidR="009A6275" w:rsidRPr="001720A8" w:rsidRDefault="009A6275" w:rsidP="00F467C8">
            <w:pPr>
              <w:jc w:val="right"/>
              <w:rPr>
                <w:color w:val="000000"/>
                <w:sz w:val="14"/>
                <w:szCs w:val="14"/>
                <w:lang w:val="en-US" w:eastAsia="en-US"/>
              </w:rPr>
            </w:pPr>
            <w:r w:rsidRPr="001720A8">
              <w:rPr>
                <w:color w:val="000000"/>
                <w:sz w:val="14"/>
                <w:szCs w:val="14"/>
              </w:rPr>
              <w:t>7%</w:t>
            </w:r>
          </w:p>
        </w:tc>
        <w:tc>
          <w:tcPr>
            <w:tcW w:w="845" w:type="dxa"/>
            <w:tcBorders>
              <w:top w:val="nil"/>
              <w:left w:val="nil"/>
              <w:bottom w:val="nil"/>
              <w:right w:val="nil"/>
            </w:tcBorders>
            <w:shd w:val="clear" w:color="000000" w:fill="FFFFFF"/>
            <w:noWrap/>
            <w:hideMark/>
          </w:tcPr>
          <w:p w14:paraId="155EA292" w14:textId="77777777" w:rsidR="009A6275" w:rsidRPr="001720A8" w:rsidRDefault="009A6275" w:rsidP="00F467C8">
            <w:pPr>
              <w:jc w:val="right"/>
              <w:rPr>
                <w:color w:val="000000"/>
                <w:sz w:val="14"/>
                <w:szCs w:val="14"/>
                <w:lang w:val="en-US" w:eastAsia="en-US"/>
              </w:rPr>
            </w:pPr>
            <w:r w:rsidRPr="001720A8">
              <w:rPr>
                <w:color w:val="000000"/>
                <w:sz w:val="14"/>
                <w:szCs w:val="14"/>
              </w:rPr>
              <w:t>35%</w:t>
            </w:r>
          </w:p>
        </w:tc>
        <w:tc>
          <w:tcPr>
            <w:tcW w:w="761" w:type="dxa"/>
            <w:tcBorders>
              <w:top w:val="nil"/>
              <w:left w:val="single" w:sz="4" w:space="0" w:color="auto"/>
              <w:bottom w:val="nil"/>
              <w:right w:val="nil"/>
            </w:tcBorders>
            <w:shd w:val="clear" w:color="000000" w:fill="FFFFFF"/>
            <w:noWrap/>
            <w:hideMark/>
          </w:tcPr>
          <w:p w14:paraId="6A8F775B" w14:textId="77777777" w:rsidR="009A6275" w:rsidRPr="001720A8" w:rsidRDefault="009A6275" w:rsidP="00F467C8">
            <w:pPr>
              <w:jc w:val="right"/>
              <w:rPr>
                <w:color w:val="000000"/>
                <w:sz w:val="14"/>
                <w:szCs w:val="14"/>
                <w:lang w:val="en-US" w:eastAsia="en-US"/>
              </w:rPr>
            </w:pPr>
            <w:r w:rsidRPr="001720A8">
              <w:rPr>
                <w:color w:val="000000"/>
                <w:sz w:val="14"/>
                <w:szCs w:val="14"/>
              </w:rPr>
              <w:t>3.16</w:t>
            </w:r>
          </w:p>
        </w:tc>
        <w:tc>
          <w:tcPr>
            <w:tcW w:w="761" w:type="dxa"/>
            <w:tcBorders>
              <w:top w:val="nil"/>
              <w:left w:val="nil"/>
              <w:bottom w:val="nil"/>
              <w:right w:val="nil"/>
            </w:tcBorders>
            <w:shd w:val="clear" w:color="000000" w:fill="FFFFFF"/>
            <w:noWrap/>
            <w:hideMark/>
          </w:tcPr>
          <w:p w14:paraId="1CE2C05E"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3 </w:t>
            </w:r>
          </w:p>
        </w:tc>
      </w:tr>
      <w:tr w:rsidR="009A6275" w:rsidRPr="00E4527E" w14:paraId="74099147" w14:textId="77777777" w:rsidTr="00F467C8">
        <w:trPr>
          <w:trHeight w:hRule="exact" w:val="284"/>
        </w:trPr>
        <w:tc>
          <w:tcPr>
            <w:tcW w:w="689" w:type="dxa"/>
            <w:tcBorders>
              <w:top w:val="nil"/>
              <w:left w:val="nil"/>
              <w:bottom w:val="nil"/>
              <w:right w:val="nil"/>
            </w:tcBorders>
            <w:shd w:val="clear" w:color="000000" w:fill="FFFFFF"/>
            <w:noWrap/>
            <w:hideMark/>
          </w:tcPr>
          <w:p w14:paraId="454A7C1B"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5587EA01" w14:textId="77777777" w:rsidR="009A6275" w:rsidRPr="001720A8" w:rsidRDefault="009A6275" w:rsidP="00F467C8">
            <w:pPr>
              <w:jc w:val="center"/>
              <w:rPr>
                <w:color w:val="000000"/>
                <w:sz w:val="14"/>
                <w:szCs w:val="14"/>
                <w:lang w:val="en-US" w:eastAsia="en-US"/>
              </w:rPr>
            </w:pPr>
            <w:r w:rsidRPr="001720A8">
              <w:rPr>
                <w:color w:val="000000"/>
                <w:sz w:val="14"/>
                <w:szCs w:val="14"/>
              </w:rPr>
              <w:t>3</w:t>
            </w:r>
          </w:p>
        </w:tc>
        <w:tc>
          <w:tcPr>
            <w:tcW w:w="574" w:type="dxa"/>
            <w:tcBorders>
              <w:top w:val="nil"/>
              <w:left w:val="nil"/>
              <w:bottom w:val="nil"/>
              <w:right w:val="nil"/>
            </w:tcBorders>
            <w:shd w:val="clear" w:color="000000" w:fill="FFFFFF"/>
            <w:noWrap/>
            <w:hideMark/>
          </w:tcPr>
          <w:p w14:paraId="5A290C2B" w14:textId="77777777" w:rsidR="009A6275" w:rsidRPr="001720A8" w:rsidRDefault="009A6275" w:rsidP="00F467C8">
            <w:pPr>
              <w:rPr>
                <w:color w:val="000000"/>
                <w:sz w:val="14"/>
                <w:szCs w:val="14"/>
                <w:lang w:val="en-US" w:eastAsia="en-US"/>
              </w:rPr>
            </w:pPr>
            <w:r w:rsidRPr="001720A8">
              <w:rPr>
                <w:color w:val="000000"/>
                <w:sz w:val="14"/>
                <w:szCs w:val="14"/>
              </w:rPr>
              <w:t>J01A</w:t>
            </w:r>
          </w:p>
        </w:tc>
        <w:tc>
          <w:tcPr>
            <w:tcW w:w="5304" w:type="dxa"/>
            <w:tcBorders>
              <w:top w:val="nil"/>
              <w:left w:val="nil"/>
              <w:bottom w:val="nil"/>
              <w:right w:val="nil"/>
            </w:tcBorders>
            <w:shd w:val="clear" w:color="000000" w:fill="FFFFFF"/>
            <w:noWrap/>
            <w:hideMark/>
          </w:tcPr>
          <w:p w14:paraId="73C4A55C" w14:textId="77777777" w:rsidR="009A6275" w:rsidRPr="001720A8" w:rsidRDefault="009A6275" w:rsidP="00F467C8">
            <w:pPr>
              <w:rPr>
                <w:color w:val="000000"/>
                <w:sz w:val="14"/>
                <w:szCs w:val="14"/>
                <w:lang w:val="en-US" w:eastAsia="en-US"/>
              </w:rPr>
            </w:pPr>
            <w:r w:rsidRPr="001720A8">
              <w:rPr>
                <w:color w:val="000000"/>
                <w:sz w:val="14"/>
                <w:szCs w:val="14"/>
              </w:rPr>
              <w:t>Microvas Tiss Transf for Skin, Subcut Tiss &amp; Breast Dsrds, Major Complexity</w:t>
            </w:r>
          </w:p>
        </w:tc>
        <w:tc>
          <w:tcPr>
            <w:tcW w:w="761" w:type="dxa"/>
            <w:tcBorders>
              <w:top w:val="nil"/>
              <w:left w:val="nil"/>
              <w:bottom w:val="nil"/>
              <w:right w:val="nil"/>
            </w:tcBorders>
            <w:shd w:val="clear" w:color="000000" w:fill="FFFFFF"/>
            <w:noWrap/>
            <w:hideMark/>
          </w:tcPr>
          <w:p w14:paraId="5A08AF29"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3.54</w:t>
            </w:r>
          </w:p>
        </w:tc>
        <w:tc>
          <w:tcPr>
            <w:tcW w:w="968" w:type="dxa"/>
            <w:tcBorders>
              <w:top w:val="nil"/>
              <w:left w:val="nil"/>
              <w:bottom w:val="nil"/>
              <w:right w:val="nil"/>
            </w:tcBorders>
            <w:shd w:val="clear" w:color="000000" w:fill="FFFFFF"/>
            <w:noWrap/>
            <w:hideMark/>
          </w:tcPr>
          <w:p w14:paraId="1A3491BC" w14:textId="77777777" w:rsidR="009A6275" w:rsidRPr="001720A8" w:rsidRDefault="009A6275" w:rsidP="00F467C8">
            <w:pPr>
              <w:jc w:val="right"/>
              <w:rPr>
                <w:color w:val="000000"/>
                <w:sz w:val="14"/>
                <w:szCs w:val="14"/>
                <w:lang w:val="en-US" w:eastAsia="en-US"/>
              </w:rPr>
            </w:pPr>
            <w:r w:rsidRPr="001720A8">
              <w:rPr>
                <w:color w:val="000000"/>
                <w:sz w:val="14"/>
                <w:szCs w:val="14"/>
              </w:rPr>
              <w:t>55</w:t>
            </w:r>
          </w:p>
        </w:tc>
        <w:tc>
          <w:tcPr>
            <w:tcW w:w="797" w:type="dxa"/>
            <w:tcBorders>
              <w:top w:val="nil"/>
              <w:left w:val="nil"/>
              <w:bottom w:val="nil"/>
              <w:right w:val="nil"/>
            </w:tcBorders>
            <w:shd w:val="clear" w:color="000000" w:fill="FFFFFF"/>
            <w:noWrap/>
            <w:hideMark/>
          </w:tcPr>
          <w:p w14:paraId="6DC7AAF7" w14:textId="77777777" w:rsidR="009A6275" w:rsidRPr="001720A8" w:rsidRDefault="009A6275" w:rsidP="00F467C8">
            <w:pPr>
              <w:jc w:val="right"/>
              <w:rPr>
                <w:color w:val="000000"/>
                <w:sz w:val="14"/>
                <w:szCs w:val="14"/>
                <w:lang w:val="en-US" w:eastAsia="en-US"/>
              </w:rPr>
            </w:pPr>
            <w:r w:rsidRPr="001720A8">
              <w:rPr>
                <w:color w:val="000000"/>
                <w:sz w:val="14"/>
                <w:szCs w:val="14"/>
              </w:rPr>
              <w:t>9.60</w:t>
            </w:r>
          </w:p>
        </w:tc>
        <w:tc>
          <w:tcPr>
            <w:tcW w:w="725" w:type="dxa"/>
            <w:tcBorders>
              <w:top w:val="nil"/>
              <w:left w:val="nil"/>
              <w:bottom w:val="nil"/>
              <w:right w:val="nil"/>
            </w:tcBorders>
            <w:shd w:val="clear" w:color="000000" w:fill="FFFFFF"/>
            <w:noWrap/>
            <w:hideMark/>
          </w:tcPr>
          <w:p w14:paraId="1FF6C57C" w14:textId="77777777" w:rsidR="009A6275" w:rsidRPr="001720A8" w:rsidRDefault="009A6275" w:rsidP="00F467C8">
            <w:pPr>
              <w:jc w:val="right"/>
              <w:rPr>
                <w:color w:val="000000"/>
                <w:sz w:val="14"/>
                <w:szCs w:val="14"/>
                <w:lang w:val="en-US" w:eastAsia="en-US"/>
              </w:rPr>
            </w:pPr>
            <w:r w:rsidRPr="001720A8">
              <w:rPr>
                <w:color w:val="000000"/>
                <w:sz w:val="14"/>
                <w:szCs w:val="14"/>
              </w:rPr>
              <w:t>16.8</w:t>
            </w:r>
          </w:p>
        </w:tc>
        <w:tc>
          <w:tcPr>
            <w:tcW w:w="645" w:type="dxa"/>
            <w:tcBorders>
              <w:top w:val="nil"/>
              <w:left w:val="single" w:sz="4" w:space="0" w:color="000000"/>
              <w:bottom w:val="nil"/>
              <w:right w:val="nil"/>
            </w:tcBorders>
            <w:shd w:val="clear" w:color="000000" w:fill="FFFFFF"/>
            <w:noWrap/>
            <w:hideMark/>
          </w:tcPr>
          <w:p w14:paraId="5902F459" w14:textId="77777777" w:rsidR="009A6275" w:rsidRPr="001720A8" w:rsidRDefault="009A6275" w:rsidP="00F467C8">
            <w:pPr>
              <w:jc w:val="right"/>
              <w:rPr>
                <w:color w:val="000000"/>
                <w:sz w:val="14"/>
                <w:szCs w:val="14"/>
                <w:lang w:val="en-US" w:eastAsia="en-US"/>
              </w:rPr>
            </w:pPr>
            <w:r w:rsidRPr="001720A8">
              <w:rPr>
                <w:color w:val="000000"/>
                <w:sz w:val="14"/>
                <w:szCs w:val="14"/>
              </w:rPr>
              <w:t>37%</w:t>
            </w:r>
          </w:p>
        </w:tc>
        <w:tc>
          <w:tcPr>
            <w:tcW w:w="797" w:type="dxa"/>
            <w:tcBorders>
              <w:top w:val="nil"/>
              <w:left w:val="nil"/>
              <w:bottom w:val="nil"/>
              <w:right w:val="nil"/>
            </w:tcBorders>
            <w:shd w:val="clear" w:color="000000" w:fill="FFFFFF"/>
            <w:noWrap/>
            <w:hideMark/>
          </w:tcPr>
          <w:p w14:paraId="6164CD0D" w14:textId="77777777" w:rsidR="009A6275" w:rsidRPr="001720A8" w:rsidRDefault="009A6275" w:rsidP="00F467C8">
            <w:pPr>
              <w:jc w:val="right"/>
              <w:rPr>
                <w:color w:val="000000"/>
                <w:sz w:val="14"/>
                <w:szCs w:val="14"/>
                <w:lang w:val="en-US" w:eastAsia="en-US"/>
              </w:rPr>
            </w:pPr>
            <w:r w:rsidRPr="001720A8">
              <w:rPr>
                <w:color w:val="000000"/>
                <w:sz w:val="14"/>
                <w:szCs w:val="14"/>
              </w:rPr>
              <w:t>13%</w:t>
            </w:r>
          </w:p>
        </w:tc>
        <w:tc>
          <w:tcPr>
            <w:tcW w:w="814" w:type="dxa"/>
            <w:tcBorders>
              <w:top w:val="nil"/>
              <w:left w:val="nil"/>
              <w:bottom w:val="nil"/>
              <w:right w:val="nil"/>
            </w:tcBorders>
            <w:shd w:val="clear" w:color="000000" w:fill="FFFFFF"/>
            <w:noWrap/>
            <w:hideMark/>
          </w:tcPr>
          <w:p w14:paraId="731B59F0" w14:textId="77777777" w:rsidR="009A6275" w:rsidRPr="001720A8" w:rsidRDefault="009A6275" w:rsidP="00F467C8">
            <w:pPr>
              <w:jc w:val="right"/>
              <w:rPr>
                <w:color w:val="000000"/>
                <w:sz w:val="14"/>
                <w:szCs w:val="14"/>
                <w:lang w:val="en-US" w:eastAsia="en-US"/>
              </w:rPr>
            </w:pPr>
            <w:r w:rsidRPr="001720A8">
              <w:rPr>
                <w:color w:val="000000"/>
                <w:sz w:val="14"/>
                <w:szCs w:val="14"/>
              </w:rPr>
              <w:t>5%</w:t>
            </w:r>
          </w:p>
        </w:tc>
        <w:tc>
          <w:tcPr>
            <w:tcW w:w="845" w:type="dxa"/>
            <w:tcBorders>
              <w:top w:val="nil"/>
              <w:left w:val="nil"/>
              <w:bottom w:val="nil"/>
              <w:right w:val="nil"/>
            </w:tcBorders>
            <w:shd w:val="clear" w:color="000000" w:fill="FFFFFF"/>
            <w:noWrap/>
            <w:hideMark/>
          </w:tcPr>
          <w:p w14:paraId="7B5653CE" w14:textId="77777777" w:rsidR="009A6275" w:rsidRPr="001720A8" w:rsidRDefault="009A6275" w:rsidP="00F467C8">
            <w:pPr>
              <w:jc w:val="right"/>
              <w:rPr>
                <w:color w:val="000000"/>
                <w:sz w:val="14"/>
                <w:szCs w:val="14"/>
                <w:lang w:val="en-US" w:eastAsia="en-US"/>
              </w:rPr>
            </w:pPr>
            <w:r w:rsidRPr="001720A8">
              <w:rPr>
                <w:color w:val="000000"/>
                <w:sz w:val="14"/>
                <w:szCs w:val="14"/>
              </w:rPr>
              <w:t>46%</w:t>
            </w:r>
          </w:p>
        </w:tc>
        <w:tc>
          <w:tcPr>
            <w:tcW w:w="761" w:type="dxa"/>
            <w:tcBorders>
              <w:top w:val="nil"/>
              <w:left w:val="single" w:sz="4" w:space="0" w:color="auto"/>
              <w:bottom w:val="nil"/>
              <w:right w:val="nil"/>
            </w:tcBorders>
            <w:shd w:val="clear" w:color="000000" w:fill="FFFFFF"/>
            <w:noWrap/>
            <w:hideMark/>
          </w:tcPr>
          <w:p w14:paraId="39D9FD59" w14:textId="77777777" w:rsidR="009A6275" w:rsidRPr="001720A8" w:rsidRDefault="009A6275" w:rsidP="00F467C8">
            <w:pPr>
              <w:jc w:val="right"/>
              <w:rPr>
                <w:color w:val="000000"/>
                <w:sz w:val="14"/>
                <w:szCs w:val="14"/>
                <w:lang w:val="en-US" w:eastAsia="en-US"/>
              </w:rPr>
            </w:pPr>
            <w:r w:rsidRPr="001720A8">
              <w:rPr>
                <w:color w:val="000000"/>
                <w:sz w:val="14"/>
                <w:szCs w:val="14"/>
              </w:rPr>
              <w:t>3.48</w:t>
            </w:r>
          </w:p>
        </w:tc>
        <w:tc>
          <w:tcPr>
            <w:tcW w:w="761" w:type="dxa"/>
            <w:tcBorders>
              <w:top w:val="nil"/>
              <w:left w:val="nil"/>
              <w:bottom w:val="nil"/>
              <w:right w:val="nil"/>
            </w:tcBorders>
            <w:shd w:val="clear" w:color="000000" w:fill="FFFFFF"/>
            <w:noWrap/>
            <w:hideMark/>
          </w:tcPr>
          <w:p w14:paraId="7AD90E61"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 </w:t>
            </w:r>
          </w:p>
        </w:tc>
      </w:tr>
      <w:tr w:rsidR="009A6275" w:rsidRPr="00E4527E" w14:paraId="43DA9A9D" w14:textId="77777777" w:rsidTr="00F467C8">
        <w:trPr>
          <w:trHeight w:hRule="exact" w:val="284"/>
        </w:trPr>
        <w:tc>
          <w:tcPr>
            <w:tcW w:w="689" w:type="dxa"/>
            <w:tcBorders>
              <w:top w:val="nil"/>
              <w:left w:val="nil"/>
              <w:bottom w:val="nil"/>
              <w:right w:val="nil"/>
            </w:tcBorders>
            <w:shd w:val="clear" w:color="000000" w:fill="FFFFFF"/>
            <w:noWrap/>
            <w:hideMark/>
          </w:tcPr>
          <w:p w14:paraId="2E173C51"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4C71BC14" w14:textId="77777777" w:rsidR="009A6275" w:rsidRPr="001720A8" w:rsidRDefault="009A6275" w:rsidP="00F467C8">
            <w:pPr>
              <w:jc w:val="center"/>
              <w:rPr>
                <w:color w:val="000000"/>
                <w:sz w:val="14"/>
                <w:szCs w:val="14"/>
                <w:lang w:val="en-US" w:eastAsia="en-US"/>
              </w:rPr>
            </w:pPr>
            <w:r w:rsidRPr="001720A8">
              <w:rPr>
                <w:color w:val="000000"/>
                <w:sz w:val="14"/>
                <w:szCs w:val="14"/>
              </w:rPr>
              <w:t>4</w:t>
            </w:r>
          </w:p>
        </w:tc>
        <w:tc>
          <w:tcPr>
            <w:tcW w:w="574" w:type="dxa"/>
            <w:tcBorders>
              <w:top w:val="nil"/>
              <w:left w:val="nil"/>
              <w:bottom w:val="nil"/>
              <w:right w:val="nil"/>
            </w:tcBorders>
            <w:shd w:val="clear" w:color="000000" w:fill="FFFFFF"/>
            <w:noWrap/>
            <w:hideMark/>
          </w:tcPr>
          <w:p w14:paraId="42491E23" w14:textId="77777777" w:rsidR="009A6275" w:rsidRPr="001720A8" w:rsidRDefault="009A6275" w:rsidP="00F467C8">
            <w:pPr>
              <w:rPr>
                <w:color w:val="000000"/>
                <w:sz w:val="14"/>
                <w:szCs w:val="14"/>
                <w:lang w:val="en-US" w:eastAsia="en-US"/>
              </w:rPr>
            </w:pPr>
            <w:r w:rsidRPr="001720A8">
              <w:rPr>
                <w:color w:val="000000"/>
                <w:sz w:val="14"/>
                <w:szCs w:val="14"/>
              </w:rPr>
              <w:t>A14A</w:t>
            </w:r>
          </w:p>
        </w:tc>
        <w:tc>
          <w:tcPr>
            <w:tcW w:w="5304" w:type="dxa"/>
            <w:tcBorders>
              <w:top w:val="nil"/>
              <w:left w:val="nil"/>
              <w:bottom w:val="nil"/>
              <w:right w:val="nil"/>
            </w:tcBorders>
            <w:shd w:val="clear" w:color="000000" w:fill="FFFFFF"/>
            <w:noWrap/>
            <w:hideMark/>
          </w:tcPr>
          <w:p w14:paraId="0A15FA83" w14:textId="77777777" w:rsidR="009A6275" w:rsidRPr="001720A8" w:rsidRDefault="009A6275" w:rsidP="00F467C8">
            <w:pPr>
              <w:rPr>
                <w:color w:val="000000"/>
                <w:sz w:val="14"/>
                <w:szCs w:val="14"/>
                <w:lang w:val="en-US" w:eastAsia="en-US"/>
              </w:rPr>
            </w:pPr>
            <w:r w:rsidRPr="001720A8">
              <w:rPr>
                <w:color w:val="000000"/>
                <w:sz w:val="14"/>
                <w:szCs w:val="14"/>
              </w:rPr>
              <w:t>Ventilation &gt;=96hours &amp; &lt;336hours, Major Complexity</w:t>
            </w:r>
          </w:p>
        </w:tc>
        <w:tc>
          <w:tcPr>
            <w:tcW w:w="761" w:type="dxa"/>
            <w:tcBorders>
              <w:top w:val="nil"/>
              <w:left w:val="nil"/>
              <w:bottom w:val="nil"/>
              <w:right w:val="nil"/>
            </w:tcBorders>
            <w:shd w:val="clear" w:color="000000" w:fill="FFFFFF"/>
            <w:noWrap/>
            <w:hideMark/>
          </w:tcPr>
          <w:p w14:paraId="0838263F"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3.36</w:t>
            </w:r>
          </w:p>
        </w:tc>
        <w:tc>
          <w:tcPr>
            <w:tcW w:w="968" w:type="dxa"/>
            <w:tcBorders>
              <w:top w:val="nil"/>
              <w:left w:val="nil"/>
              <w:bottom w:val="nil"/>
              <w:right w:val="nil"/>
            </w:tcBorders>
            <w:shd w:val="clear" w:color="000000" w:fill="FFFFFF"/>
            <w:noWrap/>
            <w:hideMark/>
          </w:tcPr>
          <w:p w14:paraId="6D1FEA45" w14:textId="77777777" w:rsidR="009A6275" w:rsidRPr="001720A8" w:rsidRDefault="009A6275" w:rsidP="00F467C8">
            <w:pPr>
              <w:jc w:val="right"/>
              <w:rPr>
                <w:color w:val="000000"/>
                <w:sz w:val="14"/>
                <w:szCs w:val="14"/>
                <w:lang w:val="en-US" w:eastAsia="en-US"/>
              </w:rPr>
            </w:pPr>
            <w:r w:rsidRPr="001720A8">
              <w:rPr>
                <w:color w:val="000000"/>
                <w:sz w:val="14"/>
                <w:szCs w:val="14"/>
              </w:rPr>
              <w:t>165</w:t>
            </w:r>
          </w:p>
        </w:tc>
        <w:tc>
          <w:tcPr>
            <w:tcW w:w="797" w:type="dxa"/>
            <w:tcBorders>
              <w:top w:val="nil"/>
              <w:left w:val="nil"/>
              <w:bottom w:val="nil"/>
              <w:right w:val="nil"/>
            </w:tcBorders>
            <w:shd w:val="clear" w:color="000000" w:fill="FFFFFF"/>
            <w:noWrap/>
            <w:hideMark/>
          </w:tcPr>
          <w:p w14:paraId="7C6B396C" w14:textId="77777777" w:rsidR="009A6275" w:rsidRPr="001720A8" w:rsidRDefault="009A6275" w:rsidP="00F467C8">
            <w:pPr>
              <w:jc w:val="right"/>
              <w:rPr>
                <w:color w:val="000000"/>
                <w:sz w:val="14"/>
                <w:szCs w:val="14"/>
                <w:lang w:val="en-US" w:eastAsia="en-US"/>
              </w:rPr>
            </w:pPr>
            <w:r w:rsidRPr="001720A8">
              <w:rPr>
                <w:color w:val="000000"/>
                <w:sz w:val="14"/>
                <w:szCs w:val="14"/>
              </w:rPr>
              <w:t>38.79</w:t>
            </w:r>
          </w:p>
        </w:tc>
        <w:tc>
          <w:tcPr>
            <w:tcW w:w="725" w:type="dxa"/>
            <w:tcBorders>
              <w:top w:val="nil"/>
              <w:left w:val="nil"/>
              <w:bottom w:val="nil"/>
              <w:right w:val="nil"/>
            </w:tcBorders>
            <w:shd w:val="clear" w:color="000000" w:fill="FFFFFF"/>
            <w:noWrap/>
            <w:hideMark/>
          </w:tcPr>
          <w:p w14:paraId="3886D4DA" w14:textId="77777777" w:rsidR="009A6275" w:rsidRPr="001720A8" w:rsidRDefault="009A6275" w:rsidP="00F467C8">
            <w:pPr>
              <w:jc w:val="right"/>
              <w:rPr>
                <w:color w:val="000000"/>
                <w:sz w:val="14"/>
                <w:szCs w:val="14"/>
                <w:lang w:val="en-US" w:eastAsia="en-US"/>
              </w:rPr>
            </w:pPr>
            <w:r w:rsidRPr="001720A8">
              <w:rPr>
                <w:color w:val="000000"/>
                <w:sz w:val="14"/>
                <w:szCs w:val="14"/>
              </w:rPr>
              <w:t>51.2</w:t>
            </w:r>
          </w:p>
        </w:tc>
        <w:tc>
          <w:tcPr>
            <w:tcW w:w="645" w:type="dxa"/>
            <w:tcBorders>
              <w:top w:val="nil"/>
              <w:left w:val="single" w:sz="4" w:space="0" w:color="000000"/>
              <w:bottom w:val="nil"/>
              <w:right w:val="nil"/>
            </w:tcBorders>
            <w:shd w:val="clear" w:color="000000" w:fill="FFFFFF"/>
            <w:noWrap/>
            <w:hideMark/>
          </w:tcPr>
          <w:p w14:paraId="27A08956" w14:textId="77777777" w:rsidR="009A6275" w:rsidRPr="001720A8" w:rsidRDefault="009A6275" w:rsidP="00F467C8">
            <w:pPr>
              <w:jc w:val="right"/>
              <w:rPr>
                <w:color w:val="000000"/>
                <w:sz w:val="14"/>
                <w:szCs w:val="14"/>
                <w:lang w:val="en-US" w:eastAsia="en-US"/>
              </w:rPr>
            </w:pPr>
            <w:r w:rsidRPr="001720A8">
              <w:rPr>
                <w:color w:val="000000"/>
                <w:sz w:val="14"/>
                <w:szCs w:val="14"/>
              </w:rPr>
              <w:t>9%</w:t>
            </w:r>
          </w:p>
        </w:tc>
        <w:tc>
          <w:tcPr>
            <w:tcW w:w="797" w:type="dxa"/>
            <w:tcBorders>
              <w:top w:val="nil"/>
              <w:left w:val="nil"/>
              <w:bottom w:val="nil"/>
              <w:right w:val="nil"/>
            </w:tcBorders>
            <w:shd w:val="clear" w:color="000000" w:fill="FFFFFF"/>
            <w:noWrap/>
            <w:hideMark/>
          </w:tcPr>
          <w:p w14:paraId="54C16F6C" w14:textId="77777777" w:rsidR="009A6275" w:rsidRPr="001720A8" w:rsidRDefault="009A6275" w:rsidP="00F467C8">
            <w:pPr>
              <w:jc w:val="right"/>
              <w:rPr>
                <w:color w:val="000000"/>
                <w:sz w:val="14"/>
                <w:szCs w:val="14"/>
                <w:lang w:val="en-US" w:eastAsia="en-US"/>
              </w:rPr>
            </w:pPr>
            <w:r w:rsidRPr="001720A8">
              <w:rPr>
                <w:color w:val="000000"/>
                <w:sz w:val="14"/>
                <w:szCs w:val="14"/>
              </w:rPr>
              <w:t>54%</w:t>
            </w:r>
          </w:p>
        </w:tc>
        <w:tc>
          <w:tcPr>
            <w:tcW w:w="814" w:type="dxa"/>
            <w:tcBorders>
              <w:top w:val="nil"/>
              <w:left w:val="nil"/>
              <w:bottom w:val="nil"/>
              <w:right w:val="nil"/>
            </w:tcBorders>
            <w:shd w:val="clear" w:color="000000" w:fill="FFFFFF"/>
            <w:noWrap/>
            <w:hideMark/>
          </w:tcPr>
          <w:p w14:paraId="1BDC7181" w14:textId="77777777" w:rsidR="009A6275" w:rsidRPr="001720A8" w:rsidRDefault="009A6275" w:rsidP="00F467C8">
            <w:pPr>
              <w:jc w:val="right"/>
              <w:rPr>
                <w:color w:val="000000"/>
                <w:sz w:val="14"/>
                <w:szCs w:val="14"/>
                <w:lang w:val="en-US" w:eastAsia="en-US"/>
              </w:rPr>
            </w:pPr>
            <w:r w:rsidRPr="001720A8">
              <w:rPr>
                <w:color w:val="000000"/>
                <w:sz w:val="14"/>
                <w:szCs w:val="14"/>
              </w:rPr>
              <w:t>5%</w:t>
            </w:r>
          </w:p>
        </w:tc>
        <w:tc>
          <w:tcPr>
            <w:tcW w:w="845" w:type="dxa"/>
            <w:tcBorders>
              <w:top w:val="nil"/>
              <w:left w:val="nil"/>
              <w:bottom w:val="nil"/>
              <w:right w:val="nil"/>
            </w:tcBorders>
            <w:shd w:val="clear" w:color="000000" w:fill="FFFFFF"/>
            <w:noWrap/>
            <w:hideMark/>
          </w:tcPr>
          <w:p w14:paraId="72FB3196" w14:textId="77777777" w:rsidR="009A6275" w:rsidRPr="001720A8" w:rsidRDefault="009A6275" w:rsidP="00F467C8">
            <w:pPr>
              <w:jc w:val="right"/>
              <w:rPr>
                <w:color w:val="000000"/>
                <w:sz w:val="14"/>
                <w:szCs w:val="14"/>
                <w:lang w:val="en-US" w:eastAsia="en-US"/>
              </w:rPr>
            </w:pPr>
            <w:r w:rsidRPr="001720A8">
              <w:rPr>
                <w:color w:val="000000"/>
                <w:sz w:val="14"/>
                <w:szCs w:val="14"/>
              </w:rPr>
              <w:t>32%</w:t>
            </w:r>
          </w:p>
        </w:tc>
        <w:tc>
          <w:tcPr>
            <w:tcW w:w="761" w:type="dxa"/>
            <w:tcBorders>
              <w:top w:val="nil"/>
              <w:left w:val="single" w:sz="4" w:space="0" w:color="auto"/>
              <w:bottom w:val="nil"/>
              <w:right w:val="nil"/>
            </w:tcBorders>
            <w:shd w:val="clear" w:color="000000" w:fill="FFFFFF"/>
            <w:noWrap/>
            <w:hideMark/>
          </w:tcPr>
          <w:p w14:paraId="29AA2B86" w14:textId="77777777" w:rsidR="009A6275" w:rsidRPr="001720A8" w:rsidRDefault="009A6275" w:rsidP="00F467C8">
            <w:pPr>
              <w:jc w:val="right"/>
              <w:rPr>
                <w:color w:val="000000"/>
                <w:sz w:val="14"/>
                <w:szCs w:val="14"/>
                <w:lang w:val="en-US" w:eastAsia="en-US"/>
              </w:rPr>
            </w:pPr>
            <w:r w:rsidRPr="001720A8">
              <w:rPr>
                <w:color w:val="000000"/>
                <w:sz w:val="14"/>
                <w:szCs w:val="14"/>
              </w:rPr>
              <w:t>2.90</w:t>
            </w:r>
          </w:p>
        </w:tc>
        <w:tc>
          <w:tcPr>
            <w:tcW w:w="761" w:type="dxa"/>
            <w:tcBorders>
              <w:top w:val="nil"/>
              <w:left w:val="nil"/>
              <w:bottom w:val="nil"/>
              <w:right w:val="nil"/>
            </w:tcBorders>
            <w:shd w:val="clear" w:color="000000" w:fill="FFFFFF"/>
            <w:noWrap/>
            <w:hideMark/>
          </w:tcPr>
          <w:p w14:paraId="00547A0B"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5 </w:t>
            </w:r>
          </w:p>
        </w:tc>
      </w:tr>
      <w:tr w:rsidR="009A6275" w:rsidRPr="00E4527E" w14:paraId="3673376C" w14:textId="77777777" w:rsidTr="00F467C8">
        <w:trPr>
          <w:trHeight w:hRule="exact" w:val="284"/>
        </w:trPr>
        <w:tc>
          <w:tcPr>
            <w:tcW w:w="689" w:type="dxa"/>
            <w:tcBorders>
              <w:top w:val="nil"/>
              <w:left w:val="nil"/>
              <w:bottom w:val="nil"/>
              <w:right w:val="nil"/>
            </w:tcBorders>
            <w:shd w:val="clear" w:color="000000" w:fill="FFFFFF"/>
            <w:noWrap/>
            <w:hideMark/>
          </w:tcPr>
          <w:p w14:paraId="346A4FBB"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6D8180DD" w14:textId="77777777" w:rsidR="009A6275" w:rsidRPr="001720A8" w:rsidRDefault="009A6275" w:rsidP="00F467C8">
            <w:pPr>
              <w:jc w:val="center"/>
              <w:rPr>
                <w:color w:val="000000"/>
                <w:sz w:val="14"/>
                <w:szCs w:val="14"/>
                <w:lang w:val="en-US" w:eastAsia="en-US"/>
              </w:rPr>
            </w:pPr>
            <w:r w:rsidRPr="001720A8">
              <w:rPr>
                <w:color w:val="000000"/>
                <w:sz w:val="14"/>
                <w:szCs w:val="14"/>
              </w:rPr>
              <w:t>5</w:t>
            </w:r>
          </w:p>
        </w:tc>
        <w:tc>
          <w:tcPr>
            <w:tcW w:w="574" w:type="dxa"/>
            <w:tcBorders>
              <w:top w:val="nil"/>
              <w:left w:val="nil"/>
              <w:bottom w:val="nil"/>
              <w:right w:val="nil"/>
            </w:tcBorders>
            <w:shd w:val="clear" w:color="000000" w:fill="FFFFFF"/>
            <w:noWrap/>
            <w:hideMark/>
          </w:tcPr>
          <w:p w14:paraId="1C398683" w14:textId="77777777" w:rsidR="009A6275" w:rsidRPr="001720A8" w:rsidRDefault="009A6275" w:rsidP="00F467C8">
            <w:pPr>
              <w:rPr>
                <w:color w:val="000000"/>
                <w:sz w:val="14"/>
                <w:szCs w:val="14"/>
                <w:lang w:val="en-US" w:eastAsia="en-US"/>
              </w:rPr>
            </w:pPr>
            <w:r w:rsidRPr="001720A8">
              <w:rPr>
                <w:color w:val="000000"/>
                <w:sz w:val="14"/>
                <w:szCs w:val="14"/>
              </w:rPr>
              <w:t>A13A</w:t>
            </w:r>
          </w:p>
        </w:tc>
        <w:tc>
          <w:tcPr>
            <w:tcW w:w="5304" w:type="dxa"/>
            <w:tcBorders>
              <w:top w:val="nil"/>
              <w:left w:val="nil"/>
              <w:bottom w:val="nil"/>
              <w:right w:val="nil"/>
            </w:tcBorders>
            <w:shd w:val="clear" w:color="000000" w:fill="FFFFFF"/>
            <w:noWrap/>
            <w:hideMark/>
          </w:tcPr>
          <w:p w14:paraId="65EA1C8A" w14:textId="77777777" w:rsidR="009A6275" w:rsidRPr="001720A8" w:rsidRDefault="009A6275" w:rsidP="00F467C8">
            <w:pPr>
              <w:rPr>
                <w:color w:val="000000"/>
                <w:sz w:val="14"/>
                <w:szCs w:val="14"/>
                <w:lang w:val="en-US" w:eastAsia="en-US"/>
              </w:rPr>
            </w:pPr>
            <w:r w:rsidRPr="001720A8">
              <w:rPr>
                <w:color w:val="000000"/>
                <w:sz w:val="14"/>
                <w:szCs w:val="14"/>
              </w:rPr>
              <w:t>Ventilation &gt;=336hours, Major Complexity</w:t>
            </w:r>
          </w:p>
        </w:tc>
        <w:tc>
          <w:tcPr>
            <w:tcW w:w="761" w:type="dxa"/>
            <w:tcBorders>
              <w:top w:val="nil"/>
              <w:left w:val="nil"/>
              <w:bottom w:val="nil"/>
              <w:right w:val="nil"/>
            </w:tcBorders>
            <w:shd w:val="clear" w:color="000000" w:fill="FFFFFF"/>
            <w:noWrap/>
            <w:hideMark/>
          </w:tcPr>
          <w:p w14:paraId="6155C8E0"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3.15</w:t>
            </w:r>
          </w:p>
        </w:tc>
        <w:tc>
          <w:tcPr>
            <w:tcW w:w="968" w:type="dxa"/>
            <w:tcBorders>
              <w:top w:val="nil"/>
              <w:left w:val="nil"/>
              <w:bottom w:val="nil"/>
              <w:right w:val="nil"/>
            </w:tcBorders>
            <w:shd w:val="clear" w:color="000000" w:fill="FFFFFF"/>
            <w:noWrap/>
            <w:hideMark/>
          </w:tcPr>
          <w:p w14:paraId="3308250C" w14:textId="77777777" w:rsidR="009A6275" w:rsidRPr="001720A8" w:rsidRDefault="009A6275" w:rsidP="00F467C8">
            <w:pPr>
              <w:jc w:val="right"/>
              <w:rPr>
                <w:color w:val="000000"/>
                <w:sz w:val="14"/>
                <w:szCs w:val="14"/>
                <w:lang w:val="en-US" w:eastAsia="en-US"/>
              </w:rPr>
            </w:pPr>
            <w:r w:rsidRPr="001720A8">
              <w:rPr>
                <w:color w:val="000000"/>
                <w:sz w:val="14"/>
                <w:szCs w:val="14"/>
              </w:rPr>
              <w:t>98</w:t>
            </w:r>
          </w:p>
        </w:tc>
        <w:tc>
          <w:tcPr>
            <w:tcW w:w="797" w:type="dxa"/>
            <w:tcBorders>
              <w:top w:val="nil"/>
              <w:left w:val="nil"/>
              <w:bottom w:val="nil"/>
              <w:right w:val="nil"/>
            </w:tcBorders>
            <w:shd w:val="clear" w:color="000000" w:fill="FFFFFF"/>
            <w:noWrap/>
            <w:hideMark/>
          </w:tcPr>
          <w:p w14:paraId="5A8217DF" w14:textId="77777777" w:rsidR="009A6275" w:rsidRPr="001720A8" w:rsidRDefault="009A6275" w:rsidP="00F467C8">
            <w:pPr>
              <w:jc w:val="right"/>
              <w:rPr>
                <w:color w:val="000000"/>
                <w:sz w:val="14"/>
                <w:szCs w:val="14"/>
                <w:lang w:val="en-US" w:eastAsia="en-US"/>
              </w:rPr>
            </w:pPr>
            <w:r w:rsidRPr="001720A8">
              <w:rPr>
                <w:color w:val="000000"/>
                <w:sz w:val="14"/>
                <w:szCs w:val="14"/>
              </w:rPr>
              <w:t>46.60</w:t>
            </w:r>
          </w:p>
        </w:tc>
        <w:tc>
          <w:tcPr>
            <w:tcW w:w="725" w:type="dxa"/>
            <w:tcBorders>
              <w:top w:val="nil"/>
              <w:left w:val="nil"/>
              <w:bottom w:val="nil"/>
              <w:right w:val="nil"/>
            </w:tcBorders>
            <w:shd w:val="clear" w:color="000000" w:fill="FFFFFF"/>
            <w:noWrap/>
            <w:hideMark/>
          </w:tcPr>
          <w:p w14:paraId="4BDAB009" w14:textId="77777777" w:rsidR="009A6275" w:rsidRPr="001720A8" w:rsidRDefault="009A6275" w:rsidP="00F467C8">
            <w:pPr>
              <w:jc w:val="right"/>
              <w:rPr>
                <w:color w:val="000000"/>
                <w:sz w:val="14"/>
                <w:szCs w:val="14"/>
                <w:lang w:val="en-US" w:eastAsia="en-US"/>
              </w:rPr>
            </w:pPr>
            <w:r w:rsidRPr="001720A8">
              <w:rPr>
                <w:color w:val="000000"/>
                <w:sz w:val="14"/>
                <w:szCs w:val="14"/>
              </w:rPr>
              <w:t>56.7</w:t>
            </w:r>
          </w:p>
        </w:tc>
        <w:tc>
          <w:tcPr>
            <w:tcW w:w="645" w:type="dxa"/>
            <w:tcBorders>
              <w:top w:val="nil"/>
              <w:left w:val="single" w:sz="4" w:space="0" w:color="000000"/>
              <w:bottom w:val="nil"/>
              <w:right w:val="nil"/>
            </w:tcBorders>
            <w:shd w:val="clear" w:color="000000" w:fill="FFFFFF"/>
            <w:noWrap/>
            <w:hideMark/>
          </w:tcPr>
          <w:p w14:paraId="1FA023EF" w14:textId="77777777" w:rsidR="009A6275" w:rsidRPr="001720A8" w:rsidRDefault="009A6275" w:rsidP="00F467C8">
            <w:pPr>
              <w:jc w:val="right"/>
              <w:rPr>
                <w:color w:val="000000"/>
                <w:sz w:val="14"/>
                <w:szCs w:val="14"/>
                <w:lang w:val="en-US" w:eastAsia="en-US"/>
              </w:rPr>
            </w:pPr>
            <w:r w:rsidRPr="001720A8">
              <w:rPr>
                <w:color w:val="000000"/>
                <w:sz w:val="14"/>
                <w:szCs w:val="14"/>
              </w:rPr>
              <w:t>7%</w:t>
            </w:r>
          </w:p>
        </w:tc>
        <w:tc>
          <w:tcPr>
            <w:tcW w:w="797" w:type="dxa"/>
            <w:tcBorders>
              <w:top w:val="nil"/>
              <w:left w:val="nil"/>
              <w:bottom w:val="nil"/>
              <w:right w:val="nil"/>
            </w:tcBorders>
            <w:shd w:val="clear" w:color="000000" w:fill="FFFFFF"/>
            <w:noWrap/>
            <w:hideMark/>
          </w:tcPr>
          <w:p w14:paraId="5D8F596B" w14:textId="77777777" w:rsidR="009A6275" w:rsidRPr="001720A8" w:rsidRDefault="009A6275" w:rsidP="00F467C8">
            <w:pPr>
              <w:jc w:val="right"/>
              <w:rPr>
                <w:color w:val="000000"/>
                <w:sz w:val="14"/>
                <w:szCs w:val="14"/>
                <w:lang w:val="en-US" w:eastAsia="en-US"/>
              </w:rPr>
            </w:pPr>
            <w:r w:rsidRPr="001720A8">
              <w:rPr>
                <w:color w:val="000000"/>
                <w:sz w:val="14"/>
                <w:szCs w:val="14"/>
              </w:rPr>
              <w:t>64%</w:t>
            </w:r>
          </w:p>
        </w:tc>
        <w:tc>
          <w:tcPr>
            <w:tcW w:w="814" w:type="dxa"/>
            <w:tcBorders>
              <w:top w:val="nil"/>
              <w:left w:val="nil"/>
              <w:bottom w:val="nil"/>
              <w:right w:val="nil"/>
            </w:tcBorders>
            <w:shd w:val="clear" w:color="000000" w:fill="FFFFFF"/>
            <w:noWrap/>
            <w:hideMark/>
          </w:tcPr>
          <w:p w14:paraId="5F6656A7" w14:textId="77777777" w:rsidR="009A6275" w:rsidRPr="001720A8" w:rsidRDefault="009A6275" w:rsidP="00F467C8">
            <w:pPr>
              <w:jc w:val="right"/>
              <w:rPr>
                <w:color w:val="000000"/>
                <w:sz w:val="14"/>
                <w:szCs w:val="14"/>
                <w:lang w:val="en-US" w:eastAsia="en-US"/>
              </w:rPr>
            </w:pPr>
            <w:r w:rsidRPr="001720A8">
              <w:rPr>
                <w:color w:val="000000"/>
                <w:sz w:val="14"/>
                <w:szCs w:val="14"/>
              </w:rPr>
              <w:t>3%</w:t>
            </w:r>
          </w:p>
        </w:tc>
        <w:tc>
          <w:tcPr>
            <w:tcW w:w="845" w:type="dxa"/>
            <w:tcBorders>
              <w:top w:val="nil"/>
              <w:left w:val="nil"/>
              <w:bottom w:val="nil"/>
              <w:right w:val="nil"/>
            </w:tcBorders>
            <w:shd w:val="clear" w:color="000000" w:fill="FFFFFF"/>
            <w:noWrap/>
            <w:hideMark/>
          </w:tcPr>
          <w:p w14:paraId="74173D60" w14:textId="77777777" w:rsidR="009A6275" w:rsidRPr="001720A8" w:rsidRDefault="009A6275" w:rsidP="00F467C8">
            <w:pPr>
              <w:jc w:val="right"/>
              <w:rPr>
                <w:color w:val="000000"/>
                <w:sz w:val="14"/>
                <w:szCs w:val="14"/>
                <w:lang w:val="en-US" w:eastAsia="en-US"/>
              </w:rPr>
            </w:pPr>
            <w:r w:rsidRPr="001720A8">
              <w:rPr>
                <w:color w:val="000000"/>
                <w:sz w:val="14"/>
                <w:szCs w:val="14"/>
              </w:rPr>
              <w:t>26%</w:t>
            </w:r>
          </w:p>
        </w:tc>
        <w:tc>
          <w:tcPr>
            <w:tcW w:w="761" w:type="dxa"/>
            <w:tcBorders>
              <w:top w:val="nil"/>
              <w:left w:val="single" w:sz="4" w:space="0" w:color="auto"/>
              <w:bottom w:val="nil"/>
              <w:right w:val="nil"/>
            </w:tcBorders>
            <w:shd w:val="clear" w:color="000000" w:fill="FFFFFF"/>
            <w:noWrap/>
            <w:hideMark/>
          </w:tcPr>
          <w:p w14:paraId="3A9A7D9E" w14:textId="77777777" w:rsidR="009A6275" w:rsidRPr="001720A8" w:rsidRDefault="009A6275" w:rsidP="00F467C8">
            <w:pPr>
              <w:jc w:val="right"/>
              <w:rPr>
                <w:color w:val="000000"/>
                <w:sz w:val="14"/>
                <w:szCs w:val="14"/>
                <w:lang w:val="en-US" w:eastAsia="en-US"/>
              </w:rPr>
            </w:pPr>
            <w:r w:rsidRPr="001720A8">
              <w:rPr>
                <w:color w:val="000000"/>
                <w:sz w:val="14"/>
                <w:szCs w:val="14"/>
              </w:rPr>
              <w:t>2.05</w:t>
            </w:r>
          </w:p>
        </w:tc>
        <w:tc>
          <w:tcPr>
            <w:tcW w:w="761" w:type="dxa"/>
            <w:tcBorders>
              <w:top w:val="nil"/>
              <w:left w:val="nil"/>
              <w:bottom w:val="nil"/>
              <w:right w:val="nil"/>
            </w:tcBorders>
            <w:shd w:val="clear" w:color="000000" w:fill="FFFFFF"/>
            <w:noWrap/>
            <w:hideMark/>
          </w:tcPr>
          <w:p w14:paraId="53D1E60C"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18 </w:t>
            </w:r>
          </w:p>
        </w:tc>
      </w:tr>
      <w:tr w:rsidR="009A6275" w:rsidRPr="00E4527E" w14:paraId="4CDB693E" w14:textId="77777777" w:rsidTr="00F467C8">
        <w:trPr>
          <w:trHeight w:hRule="exact" w:val="284"/>
        </w:trPr>
        <w:tc>
          <w:tcPr>
            <w:tcW w:w="689" w:type="dxa"/>
            <w:tcBorders>
              <w:top w:val="nil"/>
              <w:left w:val="nil"/>
              <w:bottom w:val="nil"/>
              <w:right w:val="nil"/>
            </w:tcBorders>
            <w:shd w:val="clear" w:color="000000" w:fill="FFFFFF"/>
            <w:noWrap/>
            <w:hideMark/>
          </w:tcPr>
          <w:p w14:paraId="7D21F4A2"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1AB2F938" w14:textId="77777777" w:rsidR="009A6275" w:rsidRPr="001720A8" w:rsidRDefault="009A6275" w:rsidP="00F467C8">
            <w:pPr>
              <w:jc w:val="center"/>
              <w:rPr>
                <w:color w:val="000000"/>
                <w:sz w:val="14"/>
                <w:szCs w:val="14"/>
                <w:lang w:val="en-US" w:eastAsia="en-US"/>
              </w:rPr>
            </w:pPr>
            <w:r w:rsidRPr="001720A8">
              <w:rPr>
                <w:color w:val="000000"/>
                <w:sz w:val="14"/>
                <w:szCs w:val="14"/>
              </w:rPr>
              <w:t>6</w:t>
            </w:r>
          </w:p>
        </w:tc>
        <w:tc>
          <w:tcPr>
            <w:tcW w:w="574" w:type="dxa"/>
            <w:tcBorders>
              <w:top w:val="nil"/>
              <w:left w:val="nil"/>
              <w:bottom w:val="nil"/>
              <w:right w:val="nil"/>
            </w:tcBorders>
            <w:shd w:val="clear" w:color="000000" w:fill="FFFFFF"/>
            <w:noWrap/>
            <w:hideMark/>
          </w:tcPr>
          <w:p w14:paraId="5F0F9150" w14:textId="77777777" w:rsidR="009A6275" w:rsidRPr="001720A8" w:rsidRDefault="009A6275" w:rsidP="00F467C8">
            <w:pPr>
              <w:rPr>
                <w:color w:val="000000"/>
                <w:sz w:val="14"/>
                <w:szCs w:val="14"/>
                <w:lang w:val="en-US" w:eastAsia="en-US"/>
              </w:rPr>
            </w:pPr>
            <w:r w:rsidRPr="001720A8">
              <w:rPr>
                <w:color w:val="000000"/>
                <w:sz w:val="14"/>
                <w:szCs w:val="14"/>
              </w:rPr>
              <w:t>F03A</w:t>
            </w:r>
          </w:p>
        </w:tc>
        <w:tc>
          <w:tcPr>
            <w:tcW w:w="5304" w:type="dxa"/>
            <w:tcBorders>
              <w:top w:val="nil"/>
              <w:left w:val="nil"/>
              <w:bottom w:val="nil"/>
              <w:right w:val="nil"/>
            </w:tcBorders>
            <w:shd w:val="clear" w:color="000000" w:fill="FFFFFF"/>
            <w:noWrap/>
            <w:hideMark/>
          </w:tcPr>
          <w:p w14:paraId="73469E33" w14:textId="77777777" w:rsidR="009A6275" w:rsidRPr="001720A8" w:rsidRDefault="009A6275" w:rsidP="00F467C8">
            <w:pPr>
              <w:rPr>
                <w:color w:val="000000"/>
                <w:sz w:val="14"/>
                <w:szCs w:val="14"/>
                <w:lang w:val="en-US" w:eastAsia="en-US"/>
              </w:rPr>
            </w:pPr>
            <w:r w:rsidRPr="001720A8">
              <w:rPr>
                <w:color w:val="000000"/>
                <w:sz w:val="14"/>
                <w:szCs w:val="14"/>
              </w:rPr>
              <w:t>Cardiac Valve Procedures W CPB Pump W Invasive Cardiac Investigation, Major Comp</w:t>
            </w:r>
          </w:p>
        </w:tc>
        <w:tc>
          <w:tcPr>
            <w:tcW w:w="761" w:type="dxa"/>
            <w:tcBorders>
              <w:top w:val="nil"/>
              <w:left w:val="nil"/>
              <w:bottom w:val="nil"/>
              <w:right w:val="nil"/>
            </w:tcBorders>
            <w:shd w:val="clear" w:color="000000" w:fill="FFFFFF"/>
            <w:noWrap/>
            <w:hideMark/>
          </w:tcPr>
          <w:p w14:paraId="772FF932"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2.90</w:t>
            </w:r>
          </w:p>
        </w:tc>
        <w:tc>
          <w:tcPr>
            <w:tcW w:w="968" w:type="dxa"/>
            <w:tcBorders>
              <w:top w:val="nil"/>
              <w:left w:val="nil"/>
              <w:bottom w:val="nil"/>
              <w:right w:val="nil"/>
            </w:tcBorders>
            <w:shd w:val="clear" w:color="000000" w:fill="FFFFFF"/>
            <w:noWrap/>
            <w:hideMark/>
          </w:tcPr>
          <w:p w14:paraId="0677D7F2" w14:textId="77777777" w:rsidR="009A6275" w:rsidRPr="001720A8" w:rsidRDefault="009A6275" w:rsidP="00F467C8">
            <w:pPr>
              <w:jc w:val="right"/>
              <w:rPr>
                <w:color w:val="000000"/>
                <w:sz w:val="14"/>
                <w:szCs w:val="14"/>
                <w:lang w:val="en-US" w:eastAsia="en-US"/>
              </w:rPr>
            </w:pPr>
            <w:r w:rsidRPr="001720A8">
              <w:rPr>
                <w:color w:val="000000"/>
                <w:sz w:val="14"/>
                <w:szCs w:val="14"/>
              </w:rPr>
              <w:t>257</w:t>
            </w:r>
          </w:p>
        </w:tc>
        <w:tc>
          <w:tcPr>
            <w:tcW w:w="797" w:type="dxa"/>
            <w:tcBorders>
              <w:top w:val="nil"/>
              <w:left w:val="nil"/>
              <w:bottom w:val="nil"/>
              <w:right w:val="nil"/>
            </w:tcBorders>
            <w:shd w:val="clear" w:color="000000" w:fill="FFFFFF"/>
            <w:noWrap/>
            <w:hideMark/>
          </w:tcPr>
          <w:p w14:paraId="3EA41E3B" w14:textId="77777777" w:rsidR="009A6275" w:rsidRPr="001720A8" w:rsidRDefault="009A6275" w:rsidP="00F467C8">
            <w:pPr>
              <w:jc w:val="right"/>
              <w:rPr>
                <w:color w:val="000000"/>
                <w:sz w:val="14"/>
                <w:szCs w:val="14"/>
                <w:lang w:val="en-US" w:eastAsia="en-US"/>
              </w:rPr>
            </w:pPr>
            <w:r w:rsidRPr="001720A8">
              <w:rPr>
                <w:color w:val="000000"/>
                <w:sz w:val="14"/>
                <w:szCs w:val="14"/>
              </w:rPr>
              <w:t>14.82</w:t>
            </w:r>
          </w:p>
        </w:tc>
        <w:tc>
          <w:tcPr>
            <w:tcW w:w="725" w:type="dxa"/>
            <w:tcBorders>
              <w:top w:val="nil"/>
              <w:left w:val="nil"/>
              <w:bottom w:val="nil"/>
              <w:right w:val="nil"/>
            </w:tcBorders>
            <w:shd w:val="clear" w:color="000000" w:fill="FFFFFF"/>
            <w:noWrap/>
            <w:hideMark/>
          </w:tcPr>
          <w:p w14:paraId="39288391" w14:textId="77777777" w:rsidR="009A6275" w:rsidRPr="001720A8" w:rsidRDefault="009A6275" w:rsidP="00F467C8">
            <w:pPr>
              <w:jc w:val="right"/>
              <w:rPr>
                <w:color w:val="000000"/>
                <w:sz w:val="14"/>
                <w:szCs w:val="14"/>
                <w:lang w:val="en-US" w:eastAsia="en-US"/>
              </w:rPr>
            </w:pPr>
            <w:r w:rsidRPr="001720A8">
              <w:rPr>
                <w:color w:val="000000"/>
                <w:sz w:val="14"/>
                <w:szCs w:val="14"/>
              </w:rPr>
              <w:t>21.2</w:t>
            </w:r>
          </w:p>
        </w:tc>
        <w:tc>
          <w:tcPr>
            <w:tcW w:w="645" w:type="dxa"/>
            <w:tcBorders>
              <w:top w:val="nil"/>
              <w:left w:val="single" w:sz="4" w:space="0" w:color="000000"/>
              <w:bottom w:val="nil"/>
              <w:right w:val="nil"/>
            </w:tcBorders>
            <w:shd w:val="clear" w:color="000000" w:fill="FFFFFF"/>
            <w:noWrap/>
            <w:hideMark/>
          </w:tcPr>
          <w:p w14:paraId="624C2C1D" w14:textId="77777777" w:rsidR="009A6275" w:rsidRPr="001720A8" w:rsidRDefault="009A6275" w:rsidP="00F467C8">
            <w:pPr>
              <w:jc w:val="right"/>
              <w:rPr>
                <w:color w:val="000000"/>
                <w:sz w:val="14"/>
                <w:szCs w:val="14"/>
                <w:lang w:val="en-US" w:eastAsia="en-US"/>
              </w:rPr>
            </w:pPr>
            <w:r w:rsidRPr="001720A8">
              <w:rPr>
                <w:color w:val="000000"/>
                <w:sz w:val="14"/>
                <w:szCs w:val="14"/>
              </w:rPr>
              <w:t>20%</w:t>
            </w:r>
          </w:p>
        </w:tc>
        <w:tc>
          <w:tcPr>
            <w:tcW w:w="797" w:type="dxa"/>
            <w:tcBorders>
              <w:top w:val="nil"/>
              <w:left w:val="nil"/>
              <w:bottom w:val="nil"/>
              <w:right w:val="nil"/>
            </w:tcBorders>
            <w:shd w:val="clear" w:color="000000" w:fill="FFFFFF"/>
            <w:noWrap/>
            <w:hideMark/>
          </w:tcPr>
          <w:p w14:paraId="1F453798" w14:textId="77777777" w:rsidR="009A6275" w:rsidRPr="001720A8" w:rsidRDefault="009A6275" w:rsidP="00F467C8">
            <w:pPr>
              <w:jc w:val="right"/>
              <w:rPr>
                <w:color w:val="000000"/>
                <w:sz w:val="14"/>
                <w:szCs w:val="14"/>
                <w:lang w:val="en-US" w:eastAsia="en-US"/>
              </w:rPr>
            </w:pPr>
            <w:r w:rsidRPr="001720A8">
              <w:rPr>
                <w:color w:val="000000"/>
                <w:sz w:val="14"/>
                <w:szCs w:val="14"/>
              </w:rPr>
              <w:t>32%</w:t>
            </w:r>
          </w:p>
        </w:tc>
        <w:tc>
          <w:tcPr>
            <w:tcW w:w="814" w:type="dxa"/>
            <w:tcBorders>
              <w:top w:val="nil"/>
              <w:left w:val="nil"/>
              <w:bottom w:val="nil"/>
              <w:right w:val="nil"/>
            </w:tcBorders>
            <w:shd w:val="clear" w:color="000000" w:fill="FFFFFF"/>
            <w:noWrap/>
            <w:hideMark/>
          </w:tcPr>
          <w:p w14:paraId="3D727AA4" w14:textId="77777777" w:rsidR="009A6275" w:rsidRPr="001720A8" w:rsidRDefault="009A6275" w:rsidP="00F467C8">
            <w:pPr>
              <w:jc w:val="right"/>
              <w:rPr>
                <w:color w:val="000000"/>
                <w:sz w:val="14"/>
                <w:szCs w:val="14"/>
                <w:lang w:val="en-US" w:eastAsia="en-US"/>
              </w:rPr>
            </w:pPr>
            <w:r w:rsidRPr="001720A8">
              <w:rPr>
                <w:color w:val="000000"/>
                <w:sz w:val="14"/>
                <w:szCs w:val="14"/>
              </w:rPr>
              <w:t>18%</w:t>
            </w:r>
          </w:p>
        </w:tc>
        <w:tc>
          <w:tcPr>
            <w:tcW w:w="845" w:type="dxa"/>
            <w:tcBorders>
              <w:top w:val="nil"/>
              <w:left w:val="nil"/>
              <w:bottom w:val="nil"/>
              <w:right w:val="nil"/>
            </w:tcBorders>
            <w:shd w:val="clear" w:color="000000" w:fill="FFFFFF"/>
            <w:noWrap/>
            <w:hideMark/>
          </w:tcPr>
          <w:p w14:paraId="6BD7B6CC" w14:textId="77777777" w:rsidR="009A6275" w:rsidRPr="001720A8" w:rsidRDefault="009A6275" w:rsidP="00F467C8">
            <w:pPr>
              <w:jc w:val="right"/>
              <w:rPr>
                <w:color w:val="000000"/>
                <w:sz w:val="14"/>
                <w:szCs w:val="14"/>
                <w:lang w:val="en-US" w:eastAsia="en-US"/>
              </w:rPr>
            </w:pPr>
            <w:r w:rsidRPr="001720A8">
              <w:rPr>
                <w:color w:val="000000"/>
                <w:sz w:val="14"/>
                <w:szCs w:val="14"/>
              </w:rPr>
              <w:t>31%</w:t>
            </w:r>
          </w:p>
        </w:tc>
        <w:tc>
          <w:tcPr>
            <w:tcW w:w="761" w:type="dxa"/>
            <w:tcBorders>
              <w:top w:val="nil"/>
              <w:left w:val="single" w:sz="4" w:space="0" w:color="auto"/>
              <w:bottom w:val="nil"/>
              <w:right w:val="nil"/>
            </w:tcBorders>
            <w:shd w:val="clear" w:color="000000" w:fill="FFFFFF"/>
            <w:noWrap/>
            <w:hideMark/>
          </w:tcPr>
          <w:p w14:paraId="4D8CAC6A" w14:textId="77777777" w:rsidR="009A6275" w:rsidRPr="001720A8" w:rsidRDefault="009A6275" w:rsidP="00F467C8">
            <w:pPr>
              <w:jc w:val="right"/>
              <w:rPr>
                <w:color w:val="000000"/>
                <w:sz w:val="14"/>
                <w:szCs w:val="14"/>
                <w:lang w:val="en-US" w:eastAsia="en-US"/>
              </w:rPr>
            </w:pPr>
            <w:r w:rsidRPr="001720A8">
              <w:rPr>
                <w:color w:val="000000"/>
                <w:sz w:val="14"/>
                <w:szCs w:val="14"/>
              </w:rPr>
              <w:t>2.67</w:t>
            </w:r>
          </w:p>
        </w:tc>
        <w:tc>
          <w:tcPr>
            <w:tcW w:w="761" w:type="dxa"/>
            <w:tcBorders>
              <w:top w:val="nil"/>
              <w:left w:val="nil"/>
              <w:bottom w:val="nil"/>
              <w:right w:val="nil"/>
            </w:tcBorders>
            <w:shd w:val="clear" w:color="000000" w:fill="FFFFFF"/>
            <w:noWrap/>
            <w:hideMark/>
          </w:tcPr>
          <w:p w14:paraId="28BF4589"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7 </w:t>
            </w:r>
          </w:p>
        </w:tc>
      </w:tr>
      <w:tr w:rsidR="009A6275" w:rsidRPr="00E4527E" w14:paraId="4F6159E0" w14:textId="77777777" w:rsidTr="00F467C8">
        <w:trPr>
          <w:trHeight w:hRule="exact" w:val="284"/>
        </w:trPr>
        <w:tc>
          <w:tcPr>
            <w:tcW w:w="689" w:type="dxa"/>
            <w:tcBorders>
              <w:top w:val="nil"/>
              <w:left w:val="nil"/>
              <w:bottom w:val="nil"/>
              <w:right w:val="nil"/>
            </w:tcBorders>
            <w:shd w:val="clear" w:color="000000" w:fill="FFFFFF"/>
            <w:noWrap/>
            <w:hideMark/>
          </w:tcPr>
          <w:p w14:paraId="18614C83"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67C10106" w14:textId="77777777" w:rsidR="009A6275" w:rsidRPr="001720A8" w:rsidRDefault="009A6275" w:rsidP="00F467C8">
            <w:pPr>
              <w:jc w:val="center"/>
              <w:rPr>
                <w:color w:val="000000"/>
                <w:sz w:val="14"/>
                <w:szCs w:val="14"/>
                <w:lang w:val="en-US" w:eastAsia="en-US"/>
              </w:rPr>
            </w:pPr>
            <w:r w:rsidRPr="001720A8">
              <w:rPr>
                <w:color w:val="000000"/>
                <w:sz w:val="14"/>
                <w:szCs w:val="14"/>
              </w:rPr>
              <w:t>7</w:t>
            </w:r>
          </w:p>
        </w:tc>
        <w:tc>
          <w:tcPr>
            <w:tcW w:w="574" w:type="dxa"/>
            <w:tcBorders>
              <w:top w:val="nil"/>
              <w:left w:val="nil"/>
              <w:bottom w:val="nil"/>
              <w:right w:val="nil"/>
            </w:tcBorders>
            <w:shd w:val="clear" w:color="000000" w:fill="FFFFFF"/>
            <w:noWrap/>
            <w:hideMark/>
          </w:tcPr>
          <w:p w14:paraId="72512F4C" w14:textId="77777777" w:rsidR="009A6275" w:rsidRPr="001720A8" w:rsidRDefault="009A6275" w:rsidP="00F467C8">
            <w:pPr>
              <w:rPr>
                <w:color w:val="000000"/>
                <w:sz w:val="14"/>
                <w:szCs w:val="14"/>
                <w:lang w:val="en-US" w:eastAsia="en-US"/>
              </w:rPr>
            </w:pPr>
            <w:r w:rsidRPr="001720A8">
              <w:rPr>
                <w:color w:val="000000"/>
                <w:sz w:val="14"/>
                <w:szCs w:val="14"/>
              </w:rPr>
              <w:t>J01B</w:t>
            </w:r>
          </w:p>
        </w:tc>
        <w:tc>
          <w:tcPr>
            <w:tcW w:w="5304" w:type="dxa"/>
            <w:tcBorders>
              <w:top w:val="nil"/>
              <w:left w:val="nil"/>
              <w:bottom w:val="nil"/>
              <w:right w:val="nil"/>
            </w:tcBorders>
            <w:shd w:val="clear" w:color="000000" w:fill="FFFFFF"/>
            <w:noWrap/>
            <w:hideMark/>
          </w:tcPr>
          <w:p w14:paraId="2F907AEF" w14:textId="77777777" w:rsidR="009A6275" w:rsidRPr="001720A8" w:rsidRDefault="009A6275" w:rsidP="00F467C8">
            <w:pPr>
              <w:rPr>
                <w:color w:val="000000"/>
                <w:sz w:val="14"/>
                <w:szCs w:val="14"/>
                <w:lang w:val="en-US" w:eastAsia="en-US"/>
              </w:rPr>
            </w:pPr>
            <w:r w:rsidRPr="001720A8">
              <w:rPr>
                <w:color w:val="000000"/>
                <w:sz w:val="14"/>
                <w:szCs w:val="14"/>
              </w:rPr>
              <w:t>Microvas Tiss Transf for Skin, Subcut Tiss &amp; Breast Dsrds, Minor Complexity</w:t>
            </w:r>
          </w:p>
        </w:tc>
        <w:tc>
          <w:tcPr>
            <w:tcW w:w="761" w:type="dxa"/>
            <w:tcBorders>
              <w:top w:val="nil"/>
              <w:left w:val="nil"/>
              <w:bottom w:val="nil"/>
              <w:right w:val="nil"/>
            </w:tcBorders>
            <w:shd w:val="clear" w:color="000000" w:fill="FFFFFF"/>
            <w:noWrap/>
            <w:hideMark/>
          </w:tcPr>
          <w:p w14:paraId="54C8F445"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2.90</w:t>
            </w:r>
          </w:p>
        </w:tc>
        <w:tc>
          <w:tcPr>
            <w:tcW w:w="968" w:type="dxa"/>
            <w:tcBorders>
              <w:top w:val="nil"/>
              <w:left w:val="nil"/>
              <w:bottom w:val="nil"/>
              <w:right w:val="nil"/>
            </w:tcBorders>
            <w:shd w:val="clear" w:color="000000" w:fill="FFFFFF"/>
            <w:noWrap/>
            <w:hideMark/>
          </w:tcPr>
          <w:p w14:paraId="3C4FE5EA" w14:textId="77777777" w:rsidR="009A6275" w:rsidRPr="001720A8" w:rsidRDefault="009A6275" w:rsidP="00F467C8">
            <w:pPr>
              <w:jc w:val="right"/>
              <w:rPr>
                <w:color w:val="000000"/>
                <w:sz w:val="14"/>
                <w:szCs w:val="14"/>
                <w:lang w:val="en-US" w:eastAsia="en-US"/>
              </w:rPr>
            </w:pPr>
            <w:r w:rsidRPr="001720A8">
              <w:rPr>
                <w:color w:val="000000"/>
                <w:sz w:val="14"/>
                <w:szCs w:val="14"/>
              </w:rPr>
              <w:t>381</w:t>
            </w:r>
          </w:p>
        </w:tc>
        <w:tc>
          <w:tcPr>
            <w:tcW w:w="797" w:type="dxa"/>
            <w:tcBorders>
              <w:top w:val="nil"/>
              <w:left w:val="nil"/>
              <w:bottom w:val="nil"/>
              <w:right w:val="nil"/>
            </w:tcBorders>
            <w:shd w:val="clear" w:color="000000" w:fill="FFFFFF"/>
            <w:noWrap/>
            <w:hideMark/>
          </w:tcPr>
          <w:p w14:paraId="60341C98" w14:textId="77777777" w:rsidR="009A6275" w:rsidRPr="001720A8" w:rsidRDefault="009A6275" w:rsidP="00F467C8">
            <w:pPr>
              <w:jc w:val="right"/>
              <w:rPr>
                <w:color w:val="000000"/>
                <w:sz w:val="14"/>
                <w:szCs w:val="14"/>
                <w:lang w:val="en-US" w:eastAsia="en-US"/>
              </w:rPr>
            </w:pPr>
            <w:r w:rsidRPr="001720A8">
              <w:rPr>
                <w:color w:val="000000"/>
                <w:sz w:val="14"/>
                <w:szCs w:val="14"/>
              </w:rPr>
              <w:t>6.44</w:t>
            </w:r>
          </w:p>
        </w:tc>
        <w:tc>
          <w:tcPr>
            <w:tcW w:w="725" w:type="dxa"/>
            <w:tcBorders>
              <w:top w:val="nil"/>
              <w:left w:val="nil"/>
              <w:bottom w:val="nil"/>
              <w:right w:val="nil"/>
            </w:tcBorders>
            <w:shd w:val="clear" w:color="000000" w:fill="FFFFFF"/>
            <w:noWrap/>
            <w:hideMark/>
          </w:tcPr>
          <w:p w14:paraId="4A39E436" w14:textId="77777777" w:rsidR="009A6275" w:rsidRPr="001720A8" w:rsidRDefault="009A6275" w:rsidP="00F467C8">
            <w:pPr>
              <w:jc w:val="right"/>
              <w:rPr>
                <w:color w:val="000000"/>
                <w:sz w:val="14"/>
                <w:szCs w:val="14"/>
                <w:lang w:val="en-US" w:eastAsia="en-US"/>
              </w:rPr>
            </w:pPr>
            <w:r w:rsidRPr="001720A8">
              <w:rPr>
                <w:color w:val="000000"/>
                <w:sz w:val="14"/>
                <w:szCs w:val="14"/>
              </w:rPr>
              <w:t>8.2</w:t>
            </w:r>
          </w:p>
        </w:tc>
        <w:tc>
          <w:tcPr>
            <w:tcW w:w="645" w:type="dxa"/>
            <w:tcBorders>
              <w:top w:val="nil"/>
              <w:left w:val="single" w:sz="4" w:space="0" w:color="000000"/>
              <w:bottom w:val="nil"/>
              <w:right w:val="nil"/>
            </w:tcBorders>
            <w:shd w:val="clear" w:color="000000" w:fill="FFFFFF"/>
            <w:noWrap/>
            <w:hideMark/>
          </w:tcPr>
          <w:p w14:paraId="29F4C229" w14:textId="77777777" w:rsidR="009A6275" w:rsidRPr="001720A8" w:rsidRDefault="009A6275" w:rsidP="00F467C8">
            <w:pPr>
              <w:jc w:val="right"/>
              <w:rPr>
                <w:color w:val="000000"/>
                <w:sz w:val="14"/>
                <w:szCs w:val="14"/>
                <w:lang w:val="en-US" w:eastAsia="en-US"/>
              </w:rPr>
            </w:pPr>
            <w:r w:rsidRPr="001720A8">
              <w:rPr>
                <w:color w:val="000000"/>
                <w:sz w:val="14"/>
                <w:szCs w:val="14"/>
              </w:rPr>
              <w:t>45%</w:t>
            </w:r>
          </w:p>
        </w:tc>
        <w:tc>
          <w:tcPr>
            <w:tcW w:w="797" w:type="dxa"/>
            <w:tcBorders>
              <w:top w:val="nil"/>
              <w:left w:val="nil"/>
              <w:bottom w:val="nil"/>
              <w:right w:val="nil"/>
            </w:tcBorders>
            <w:shd w:val="clear" w:color="000000" w:fill="FFFFFF"/>
            <w:noWrap/>
            <w:hideMark/>
          </w:tcPr>
          <w:p w14:paraId="2DC970DE" w14:textId="77777777" w:rsidR="009A6275" w:rsidRPr="001720A8" w:rsidRDefault="009A6275" w:rsidP="00F467C8">
            <w:pPr>
              <w:jc w:val="right"/>
              <w:rPr>
                <w:color w:val="000000"/>
                <w:sz w:val="14"/>
                <w:szCs w:val="14"/>
                <w:lang w:val="en-US" w:eastAsia="en-US"/>
              </w:rPr>
            </w:pPr>
            <w:r w:rsidRPr="001720A8">
              <w:rPr>
                <w:color w:val="000000"/>
                <w:sz w:val="14"/>
                <w:szCs w:val="14"/>
              </w:rPr>
              <w:t>7%</w:t>
            </w:r>
          </w:p>
        </w:tc>
        <w:tc>
          <w:tcPr>
            <w:tcW w:w="814" w:type="dxa"/>
            <w:tcBorders>
              <w:top w:val="nil"/>
              <w:left w:val="nil"/>
              <w:bottom w:val="nil"/>
              <w:right w:val="nil"/>
            </w:tcBorders>
            <w:shd w:val="clear" w:color="000000" w:fill="FFFFFF"/>
            <w:noWrap/>
            <w:hideMark/>
          </w:tcPr>
          <w:p w14:paraId="23FBC38D" w14:textId="77777777" w:rsidR="009A6275" w:rsidRPr="001720A8" w:rsidRDefault="009A6275" w:rsidP="00F467C8">
            <w:pPr>
              <w:jc w:val="right"/>
              <w:rPr>
                <w:color w:val="000000"/>
                <w:sz w:val="14"/>
                <w:szCs w:val="14"/>
                <w:lang w:val="en-US" w:eastAsia="en-US"/>
              </w:rPr>
            </w:pPr>
            <w:r w:rsidRPr="001720A8">
              <w:rPr>
                <w:color w:val="000000"/>
                <w:sz w:val="14"/>
                <w:szCs w:val="14"/>
              </w:rPr>
              <w:t>7%</w:t>
            </w:r>
          </w:p>
        </w:tc>
        <w:tc>
          <w:tcPr>
            <w:tcW w:w="845" w:type="dxa"/>
            <w:tcBorders>
              <w:top w:val="nil"/>
              <w:left w:val="nil"/>
              <w:bottom w:val="nil"/>
              <w:right w:val="nil"/>
            </w:tcBorders>
            <w:shd w:val="clear" w:color="000000" w:fill="FFFFFF"/>
            <w:noWrap/>
            <w:hideMark/>
          </w:tcPr>
          <w:p w14:paraId="0C89B5F8" w14:textId="77777777" w:rsidR="009A6275" w:rsidRPr="001720A8" w:rsidRDefault="009A6275" w:rsidP="00F467C8">
            <w:pPr>
              <w:jc w:val="right"/>
              <w:rPr>
                <w:color w:val="000000"/>
                <w:sz w:val="14"/>
                <w:szCs w:val="14"/>
                <w:lang w:val="en-US" w:eastAsia="en-US"/>
              </w:rPr>
            </w:pPr>
            <w:r w:rsidRPr="001720A8">
              <w:rPr>
                <w:color w:val="000000"/>
                <w:sz w:val="14"/>
                <w:szCs w:val="14"/>
              </w:rPr>
              <w:t>41%</w:t>
            </w:r>
          </w:p>
        </w:tc>
        <w:tc>
          <w:tcPr>
            <w:tcW w:w="761" w:type="dxa"/>
            <w:tcBorders>
              <w:top w:val="nil"/>
              <w:left w:val="single" w:sz="4" w:space="0" w:color="auto"/>
              <w:bottom w:val="nil"/>
              <w:right w:val="nil"/>
            </w:tcBorders>
            <w:shd w:val="clear" w:color="000000" w:fill="FFFFFF"/>
            <w:noWrap/>
            <w:hideMark/>
          </w:tcPr>
          <w:p w14:paraId="1A1691FC" w14:textId="77777777" w:rsidR="009A6275" w:rsidRPr="001720A8" w:rsidRDefault="009A6275" w:rsidP="00F467C8">
            <w:pPr>
              <w:jc w:val="right"/>
              <w:rPr>
                <w:color w:val="000000"/>
                <w:sz w:val="14"/>
                <w:szCs w:val="14"/>
                <w:lang w:val="en-US" w:eastAsia="en-US"/>
              </w:rPr>
            </w:pPr>
            <w:r w:rsidRPr="001720A8">
              <w:rPr>
                <w:color w:val="000000"/>
                <w:sz w:val="14"/>
                <w:szCs w:val="14"/>
              </w:rPr>
              <w:t>2.84</w:t>
            </w:r>
          </w:p>
        </w:tc>
        <w:tc>
          <w:tcPr>
            <w:tcW w:w="761" w:type="dxa"/>
            <w:tcBorders>
              <w:top w:val="nil"/>
              <w:left w:val="nil"/>
              <w:bottom w:val="nil"/>
              <w:right w:val="nil"/>
            </w:tcBorders>
            <w:shd w:val="clear" w:color="000000" w:fill="FFFFFF"/>
            <w:noWrap/>
            <w:hideMark/>
          </w:tcPr>
          <w:p w14:paraId="6EEB2E6F"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6 </w:t>
            </w:r>
          </w:p>
        </w:tc>
      </w:tr>
      <w:tr w:rsidR="009A6275" w:rsidRPr="00E4527E" w14:paraId="78F089E2" w14:textId="77777777" w:rsidTr="00F467C8">
        <w:trPr>
          <w:trHeight w:hRule="exact" w:val="284"/>
        </w:trPr>
        <w:tc>
          <w:tcPr>
            <w:tcW w:w="689" w:type="dxa"/>
            <w:tcBorders>
              <w:top w:val="nil"/>
              <w:left w:val="nil"/>
              <w:bottom w:val="nil"/>
              <w:right w:val="nil"/>
            </w:tcBorders>
            <w:shd w:val="clear" w:color="000000" w:fill="FFFFFF"/>
            <w:noWrap/>
            <w:hideMark/>
          </w:tcPr>
          <w:p w14:paraId="64C1C276"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784E0BC5" w14:textId="77777777" w:rsidR="009A6275" w:rsidRPr="001720A8" w:rsidRDefault="009A6275" w:rsidP="00F467C8">
            <w:pPr>
              <w:jc w:val="center"/>
              <w:rPr>
                <w:color w:val="000000"/>
                <w:sz w:val="14"/>
                <w:szCs w:val="14"/>
                <w:lang w:val="en-US" w:eastAsia="en-US"/>
              </w:rPr>
            </w:pPr>
            <w:r w:rsidRPr="001720A8">
              <w:rPr>
                <w:color w:val="000000"/>
                <w:sz w:val="14"/>
                <w:szCs w:val="14"/>
              </w:rPr>
              <w:t>8</w:t>
            </w:r>
          </w:p>
        </w:tc>
        <w:tc>
          <w:tcPr>
            <w:tcW w:w="574" w:type="dxa"/>
            <w:tcBorders>
              <w:top w:val="nil"/>
              <w:left w:val="nil"/>
              <w:bottom w:val="nil"/>
              <w:right w:val="nil"/>
            </w:tcBorders>
            <w:shd w:val="clear" w:color="000000" w:fill="FFFFFF"/>
            <w:noWrap/>
            <w:hideMark/>
          </w:tcPr>
          <w:p w14:paraId="65267BC6" w14:textId="77777777" w:rsidR="009A6275" w:rsidRPr="001720A8" w:rsidRDefault="009A6275" w:rsidP="00F467C8">
            <w:pPr>
              <w:rPr>
                <w:color w:val="000000"/>
                <w:sz w:val="14"/>
                <w:szCs w:val="14"/>
                <w:lang w:val="en-US" w:eastAsia="en-US"/>
              </w:rPr>
            </w:pPr>
            <w:r w:rsidRPr="001720A8">
              <w:rPr>
                <w:color w:val="000000"/>
                <w:sz w:val="14"/>
                <w:szCs w:val="14"/>
              </w:rPr>
              <w:t>A40Z</w:t>
            </w:r>
          </w:p>
        </w:tc>
        <w:tc>
          <w:tcPr>
            <w:tcW w:w="5304" w:type="dxa"/>
            <w:tcBorders>
              <w:top w:val="nil"/>
              <w:left w:val="nil"/>
              <w:bottom w:val="nil"/>
              <w:right w:val="nil"/>
            </w:tcBorders>
            <w:shd w:val="clear" w:color="000000" w:fill="FFFFFF"/>
            <w:noWrap/>
            <w:hideMark/>
          </w:tcPr>
          <w:p w14:paraId="10675AD6" w14:textId="77777777" w:rsidR="009A6275" w:rsidRPr="001720A8" w:rsidRDefault="009A6275" w:rsidP="00F467C8">
            <w:pPr>
              <w:rPr>
                <w:color w:val="000000"/>
                <w:sz w:val="14"/>
                <w:szCs w:val="14"/>
                <w:lang w:val="en-US" w:eastAsia="en-US"/>
              </w:rPr>
            </w:pPr>
            <w:r w:rsidRPr="001720A8">
              <w:rPr>
                <w:color w:val="000000"/>
                <w:sz w:val="14"/>
                <w:szCs w:val="14"/>
              </w:rPr>
              <w:t>ECMO</w:t>
            </w:r>
          </w:p>
        </w:tc>
        <w:tc>
          <w:tcPr>
            <w:tcW w:w="761" w:type="dxa"/>
            <w:tcBorders>
              <w:top w:val="nil"/>
              <w:left w:val="nil"/>
              <w:bottom w:val="nil"/>
              <w:right w:val="nil"/>
            </w:tcBorders>
            <w:shd w:val="clear" w:color="000000" w:fill="FFFFFF"/>
            <w:noWrap/>
            <w:hideMark/>
          </w:tcPr>
          <w:p w14:paraId="6814798A"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2.88</w:t>
            </w:r>
          </w:p>
        </w:tc>
        <w:tc>
          <w:tcPr>
            <w:tcW w:w="968" w:type="dxa"/>
            <w:tcBorders>
              <w:top w:val="nil"/>
              <w:left w:val="nil"/>
              <w:bottom w:val="nil"/>
              <w:right w:val="nil"/>
            </w:tcBorders>
            <w:shd w:val="clear" w:color="000000" w:fill="FFFFFF"/>
            <w:noWrap/>
            <w:hideMark/>
          </w:tcPr>
          <w:p w14:paraId="74878D01" w14:textId="77777777" w:rsidR="009A6275" w:rsidRPr="001720A8" w:rsidRDefault="009A6275" w:rsidP="00F467C8">
            <w:pPr>
              <w:jc w:val="right"/>
              <w:rPr>
                <w:color w:val="000000"/>
                <w:sz w:val="14"/>
                <w:szCs w:val="14"/>
                <w:lang w:val="en-US" w:eastAsia="en-US"/>
              </w:rPr>
            </w:pPr>
            <w:r w:rsidRPr="001720A8">
              <w:rPr>
                <w:color w:val="000000"/>
                <w:sz w:val="14"/>
                <w:szCs w:val="14"/>
              </w:rPr>
              <w:t>13</w:t>
            </w:r>
          </w:p>
        </w:tc>
        <w:tc>
          <w:tcPr>
            <w:tcW w:w="797" w:type="dxa"/>
            <w:tcBorders>
              <w:top w:val="nil"/>
              <w:left w:val="nil"/>
              <w:bottom w:val="nil"/>
              <w:right w:val="nil"/>
            </w:tcBorders>
            <w:shd w:val="clear" w:color="000000" w:fill="FFFFFF"/>
            <w:noWrap/>
            <w:hideMark/>
          </w:tcPr>
          <w:p w14:paraId="0F395275" w14:textId="77777777" w:rsidR="009A6275" w:rsidRPr="001720A8" w:rsidRDefault="009A6275" w:rsidP="00F467C8">
            <w:pPr>
              <w:jc w:val="right"/>
              <w:rPr>
                <w:color w:val="000000"/>
                <w:sz w:val="14"/>
                <w:szCs w:val="14"/>
                <w:lang w:val="en-US" w:eastAsia="en-US"/>
              </w:rPr>
            </w:pPr>
            <w:r w:rsidRPr="001720A8">
              <w:rPr>
                <w:color w:val="000000"/>
                <w:sz w:val="14"/>
                <w:szCs w:val="14"/>
              </w:rPr>
              <w:t>16.45</w:t>
            </w:r>
          </w:p>
        </w:tc>
        <w:tc>
          <w:tcPr>
            <w:tcW w:w="725" w:type="dxa"/>
            <w:tcBorders>
              <w:top w:val="nil"/>
              <w:left w:val="nil"/>
              <w:bottom w:val="nil"/>
              <w:right w:val="nil"/>
            </w:tcBorders>
            <w:shd w:val="clear" w:color="000000" w:fill="FFFFFF"/>
            <w:noWrap/>
            <w:hideMark/>
          </w:tcPr>
          <w:p w14:paraId="251D05FB" w14:textId="77777777" w:rsidR="009A6275" w:rsidRPr="001720A8" w:rsidRDefault="009A6275" w:rsidP="00F467C8">
            <w:pPr>
              <w:jc w:val="right"/>
              <w:rPr>
                <w:color w:val="000000"/>
                <w:sz w:val="14"/>
                <w:szCs w:val="14"/>
                <w:lang w:val="en-US" w:eastAsia="en-US"/>
              </w:rPr>
            </w:pPr>
            <w:r w:rsidRPr="001720A8">
              <w:rPr>
                <w:color w:val="000000"/>
                <w:sz w:val="14"/>
                <w:szCs w:val="14"/>
              </w:rPr>
              <w:t>17.9</w:t>
            </w:r>
          </w:p>
        </w:tc>
        <w:tc>
          <w:tcPr>
            <w:tcW w:w="645" w:type="dxa"/>
            <w:tcBorders>
              <w:top w:val="nil"/>
              <w:left w:val="single" w:sz="4" w:space="0" w:color="000000"/>
              <w:bottom w:val="nil"/>
              <w:right w:val="nil"/>
            </w:tcBorders>
            <w:shd w:val="clear" w:color="000000" w:fill="FFFFFF"/>
            <w:noWrap/>
            <w:hideMark/>
          </w:tcPr>
          <w:p w14:paraId="657B3FDA" w14:textId="77777777" w:rsidR="009A6275" w:rsidRPr="001720A8" w:rsidRDefault="009A6275" w:rsidP="00F467C8">
            <w:pPr>
              <w:jc w:val="right"/>
              <w:rPr>
                <w:color w:val="000000"/>
                <w:sz w:val="14"/>
                <w:szCs w:val="14"/>
                <w:lang w:val="en-US" w:eastAsia="en-US"/>
              </w:rPr>
            </w:pPr>
            <w:r w:rsidRPr="001720A8">
              <w:rPr>
                <w:color w:val="000000"/>
                <w:sz w:val="14"/>
                <w:szCs w:val="14"/>
              </w:rPr>
              <w:t>18%</w:t>
            </w:r>
          </w:p>
        </w:tc>
        <w:tc>
          <w:tcPr>
            <w:tcW w:w="797" w:type="dxa"/>
            <w:tcBorders>
              <w:top w:val="nil"/>
              <w:left w:val="nil"/>
              <w:bottom w:val="nil"/>
              <w:right w:val="nil"/>
            </w:tcBorders>
            <w:shd w:val="clear" w:color="000000" w:fill="FFFFFF"/>
            <w:noWrap/>
            <w:hideMark/>
          </w:tcPr>
          <w:p w14:paraId="444D8DF3" w14:textId="77777777" w:rsidR="009A6275" w:rsidRPr="001720A8" w:rsidRDefault="009A6275" w:rsidP="00F467C8">
            <w:pPr>
              <w:jc w:val="right"/>
              <w:rPr>
                <w:color w:val="000000"/>
                <w:sz w:val="14"/>
                <w:szCs w:val="14"/>
                <w:lang w:val="en-US" w:eastAsia="en-US"/>
              </w:rPr>
            </w:pPr>
            <w:r w:rsidRPr="001720A8">
              <w:rPr>
                <w:color w:val="000000"/>
                <w:sz w:val="14"/>
                <w:szCs w:val="14"/>
              </w:rPr>
              <w:t>54%</w:t>
            </w:r>
          </w:p>
        </w:tc>
        <w:tc>
          <w:tcPr>
            <w:tcW w:w="814" w:type="dxa"/>
            <w:tcBorders>
              <w:top w:val="nil"/>
              <w:left w:val="nil"/>
              <w:bottom w:val="nil"/>
              <w:right w:val="nil"/>
            </w:tcBorders>
            <w:shd w:val="clear" w:color="000000" w:fill="FFFFFF"/>
            <w:noWrap/>
            <w:hideMark/>
          </w:tcPr>
          <w:p w14:paraId="6E4B7180" w14:textId="77777777" w:rsidR="009A6275" w:rsidRPr="001720A8" w:rsidRDefault="009A6275" w:rsidP="00F467C8">
            <w:pPr>
              <w:jc w:val="right"/>
              <w:rPr>
                <w:color w:val="000000"/>
                <w:sz w:val="14"/>
                <w:szCs w:val="14"/>
                <w:lang w:val="en-US" w:eastAsia="en-US"/>
              </w:rPr>
            </w:pPr>
            <w:r w:rsidRPr="001720A8">
              <w:rPr>
                <w:color w:val="000000"/>
                <w:sz w:val="14"/>
                <w:szCs w:val="14"/>
              </w:rPr>
              <w:t>8%</w:t>
            </w:r>
          </w:p>
        </w:tc>
        <w:tc>
          <w:tcPr>
            <w:tcW w:w="845" w:type="dxa"/>
            <w:tcBorders>
              <w:top w:val="nil"/>
              <w:left w:val="nil"/>
              <w:bottom w:val="nil"/>
              <w:right w:val="nil"/>
            </w:tcBorders>
            <w:shd w:val="clear" w:color="000000" w:fill="FFFFFF"/>
            <w:noWrap/>
            <w:hideMark/>
          </w:tcPr>
          <w:p w14:paraId="5F4E2D9D" w14:textId="77777777" w:rsidR="009A6275" w:rsidRPr="001720A8" w:rsidRDefault="009A6275" w:rsidP="00F467C8">
            <w:pPr>
              <w:jc w:val="right"/>
              <w:rPr>
                <w:color w:val="000000"/>
                <w:sz w:val="14"/>
                <w:szCs w:val="14"/>
                <w:lang w:val="en-US" w:eastAsia="en-US"/>
              </w:rPr>
            </w:pPr>
            <w:r w:rsidRPr="001720A8">
              <w:rPr>
                <w:color w:val="000000"/>
                <w:sz w:val="14"/>
                <w:szCs w:val="14"/>
              </w:rPr>
              <w:t>21%</w:t>
            </w:r>
          </w:p>
        </w:tc>
        <w:tc>
          <w:tcPr>
            <w:tcW w:w="761" w:type="dxa"/>
            <w:tcBorders>
              <w:top w:val="nil"/>
              <w:left w:val="single" w:sz="4" w:space="0" w:color="auto"/>
              <w:bottom w:val="nil"/>
              <w:right w:val="nil"/>
            </w:tcBorders>
            <w:shd w:val="clear" w:color="000000" w:fill="FFFFFF"/>
            <w:noWrap/>
            <w:hideMark/>
          </w:tcPr>
          <w:p w14:paraId="5538D273" w14:textId="77777777" w:rsidR="009A6275" w:rsidRPr="001720A8" w:rsidRDefault="009A6275" w:rsidP="00F467C8">
            <w:pPr>
              <w:jc w:val="right"/>
              <w:rPr>
                <w:color w:val="000000"/>
                <w:sz w:val="14"/>
                <w:szCs w:val="14"/>
                <w:lang w:val="en-US" w:eastAsia="en-US"/>
              </w:rPr>
            </w:pPr>
            <w:r w:rsidRPr="001720A8">
              <w:rPr>
                <w:color w:val="000000"/>
                <w:sz w:val="14"/>
                <w:szCs w:val="14"/>
              </w:rPr>
              <w:t>3.15</w:t>
            </w:r>
          </w:p>
        </w:tc>
        <w:tc>
          <w:tcPr>
            <w:tcW w:w="761" w:type="dxa"/>
            <w:tcBorders>
              <w:top w:val="nil"/>
              <w:left w:val="nil"/>
              <w:bottom w:val="nil"/>
              <w:right w:val="nil"/>
            </w:tcBorders>
            <w:shd w:val="clear" w:color="000000" w:fill="FFFFFF"/>
            <w:noWrap/>
            <w:hideMark/>
          </w:tcPr>
          <w:p w14:paraId="7FEE6DA0"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4 </w:t>
            </w:r>
          </w:p>
        </w:tc>
      </w:tr>
      <w:tr w:rsidR="009A6275" w:rsidRPr="00E4527E" w14:paraId="1E816027" w14:textId="77777777" w:rsidTr="00F467C8">
        <w:trPr>
          <w:trHeight w:hRule="exact" w:val="284"/>
        </w:trPr>
        <w:tc>
          <w:tcPr>
            <w:tcW w:w="689" w:type="dxa"/>
            <w:tcBorders>
              <w:top w:val="nil"/>
              <w:left w:val="nil"/>
              <w:bottom w:val="nil"/>
              <w:right w:val="nil"/>
            </w:tcBorders>
            <w:shd w:val="clear" w:color="000000" w:fill="FFFFFF"/>
            <w:noWrap/>
            <w:hideMark/>
          </w:tcPr>
          <w:p w14:paraId="3EE69F8F"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3083FF8D" w14:textId="77777777" w:rsidR="009A6275" w:rsidRPr="001720A8" w:rsidRDefault="009A6275" w:rsidP="00F467C8">
            <w:pPr>
              <w:jc w:val="center"/>
              <w:rPr>
                <w:color w:val="000000"/>
                <w:sz w:val="14"/>
                <w:szCs w:val="14"/>
                <w:lang w:val="en-US" w:eastAsia="en-US"/>
              </w:rPr>
            </w:pPr>
            <w:r w:rsidRPr="001720A8">
              <w:rPr>
                <w:color w:val="000000"/>
                <w:sz w:val="14"/>
                <w:szCs w:val="14"/>
              </w:rPr>
              <w:t>9</w:t>
            </w:r>
          </w:p>
        </w:tc>
        <w:tc>
          <w:tcPr>
            <w:tcW w:w="574" w:type="dxa"/>
            <w:tcBorders>
              <w:top w:val="nil"/>
              <w:left w:val="nil"/>
              <w:bottom w:val="nil"/>
              <w:right w:val="nil"/>
            </w:tcBorders>
            <w:shd w:val="clear" w:color="000000" w:fill="FFFFFF"/>
            <w:noWrap/>
            <w:hideMark/>
          </w:tcPr>
          <w:p w14:paraId="52EF8C74" w14:textId="77777777" w:rsidR="009A6275" w:rsidRPr="001720A8" w:rsidRDefault="009A6275" w:rsidP="00F467C8">
            <w:pPr>
              <w:rPr>
                <w:color w:val="000000"/>
                <w:sz w:val="14"/>
                <w:szCs w:val="14"/>
                <w:lang w:val="en-US" w:eastAsia="en-US"/>
              </w:rPr>
            </w:pPr>
            <w:r w:rsidRPr="001720A8">
              <w:rPr>
                <w:color w:val="000000"/>
                <w:sz w:val="14"/>
                <w:szCs w:val="14"/>
              </w:rPr>
              <w:t>A15C</w:t>
            </w:r>
          </w:p>
        </w:tc>
        <w:tc>
          <w:tcPr>
            <w:tcW w:w="5304" w:type="dxa"/>
            <w:tcBorders>
              <w:top w:val="nil"/>
              <w:left w:val="nil"/>
              <w:bottom w:val="nil"/>
              <w:right w:val="nil"/>
            </w:tcBorders>
            <w:shd w:val="clear" w:color="000000" w:fill="FFFFFF"/>
            <w:noWrap/>
            <w:hideMark/>
          </w:tcPr>
          <w:p w14:paraId="4AEC1BE0" w14:textId="77777777" w:rsidR="009A6275" w:rsidRPr="001720A8" w:rsidRDefault="009A6275" w:rsidP="00F467C8">
            <w:pPr>
              <w:rPr>
                <w:color w:val="000000"/>
                <w:sz w:val="14"/>
                <w:szCs w:val="14"/>
                <w:lang w:val="en-US" w:eastAsia="en-US"/>
              </w:rPr>
            </w:pPr>
            <w:r w:rsidRPr="001720A8">
              <w:rPr>
                <w:color w:val="000000"/>
                <w:sz w:val="14"/>
                <w:szCs w:val="14"/>
              </w:rPr>
              <w:t>Tracheostomy, Minor Complexity</w:t>
            </w:r>
          </w:p>
        </w:tc>
        <w:tc>
          <w:tcPr>
            <w:tcW w:w="761" w:type="dxa"/>
            <w:tcBorders>
              <w:top w:val="nil"/>
              <w:left w:val="nil"/>
              <w:bottom w:val="nil"/>
              <w:right w:val="nil"/>
            </w:tcBorders>
            <w:shd w:val="clear" w:color="000000" w:fill="FFFFFF"/>
            <w:noWrap/>
            <w:hideMark/>
          </w:tcPr>
          <w:p w14:paraId="5EF64321"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2.58</w:t>
            </w:r>
          </w:p>
        </w:tc>
        <w:tc>
          <w:tcPr>
            <w:tcW w:w="968" w:type="dxa"/>
            <w:tcBorders>
              <w:top w:val="nil"/>
              <w:left w:val="nil"/>
              <w:bottom w:val="nil"/>
              <w:right w:val="nil"/>
            </w:tcBorders>
            <w:shd w:val="clear" w:color="000000" w:fill="FFFFFF"/>
            <w:noWrap/>
            <w:hideMark/>
          </w:tcPr>
          <w:p w14:paraId="287A3244" w14:textId="77777777" w:rsidR="009A6275" w:rsidRPr="001720A8" w:rsidRDefault="009A6275" w:rsidP="00F467C8">
            <w:pPr>
              <w:jc w:val="right"/>
              <w:rPr>
                <w:color w:val="000000"/>
                <w:sz w:val="14"/>
                <w:szCs w:val="14"/>
                <w:lang w:val="en-US" w:eastAsia="en-US"/>
              </w:rPr>
            </w:pPr>
            <w:r w:rsidRPr="001720A8">
              <w:rPr>
                <w:color w:val="000000"/>
                <w:sz w:val="14"/>
                <w:szCs w:val="14"/>
              </w:rPr>
              <w:t>57</w:t>
            </w:r>
          </w:p>
        </w:tc>
        <w:tc>
          <w:tcPr>
            <w:tcW w:w="797" w:type="dxa"/>
            <w:tcBorders>
              <w:top w:val="nil"/>
              <w:left w:val="nil"/>
              <w:bottom w:val="nil"/>
              <w:right w:val="nil"/>
            </w:tcBorders>
            <w:shd w:val="clear" w:color="000000" w:fill="FFFFFF"/>
            <w:noWrap/>
            <w:hideMark/>
          </w:tcPr>
          <w:p w14:paraId="72E7160B" w14:textId="77777777" w:rsidR="009A6275" w:rsidRPr="001720A8" w:rsidRDefault="009A6275" w:rsidP="00F467C8">
            <w:pPr>
              <w:jc w:val="right"/>
              <w:rPr>
                <w:color w:val="000000"/>
                <w:sz w:val="14"/>
                <w:szCs w:val="14"/>
                <w:lang w:val="en-US" w:eastAsia="en-US"/>
              </w:rPr>
            </w:pPr>
            <w:r w:rsidRPr="001720A8">
              <w:rPr>
                <w:color w:val="000000"/>
                <w:sz w:val="14"/>
                <w:szCs w:val="14"/>
              </w:rPr>
              <w:t>7.56</w:t>
            </w:r>
          </w:p>
        </w:tc>
        <w:tc>
          <w:tcPr>
            <w:tcW w:w="725" w:type="dxa"/>
            <w:tcBorders>
              <w:top w:val="nil"/>
              <w:left w:val="nil"/>
              <w:bottom w:val="nil"/>
              <w:right w:val="nil"/>
            </w:tcBorders>
            <w:shd w:val="clear" w:color="000000" w:fill="FFFFFF"/>
            <w:noWrap/>
            <w:hideMark/>
          </w:tcPr>
          <w:p w14:paraId="26459ECE" w14:textId="77777777" w:rsidR="009A6275" w:rsidRPr="001720A8" w:rsidRDefault="009A6275" w:rsidP="00F467C8">
            <w:pPr>
              <w:jc w:val="right"/>
              <w:rPr>
                <w:color w:val="000000"/>
                <w:sz w:val="14"/>
                <w:szCs w:val="14"/>
                <w:lang w:val="en-US" w:eastAsia="en-US"/>
              </w:rPr>
            </w:pPr>
            <w:r w:rsidRPr="001720A8">
              <w:rPr>
                <w:color w:val="000000"/>
                <w:sz w:val="14"/>
                <w:szCs w:val="14"/>
              </w:rPr>
              <w:t>9.2</w:t>
            </w:r>
          </w:p>
        </w:tc>
        <w:tc>
          <w:tcPr>
            <w:tcW w:w="645" w:type="dxa"/>
            <w:tcBorders>
              <w:top w:val="nil"/>
              <w:left w:val="single" w:sz="4" w:space="0" w:color="000000"/>
              <w:bottom w:val="nil"/>
              <w:right w:val="nil"/>
            </w:tcBorders>
            <w:shd w:val="clear" w:color="000000" w:fill="FFFFFF"/>
            <w:noWrap/>
            <w:hideMark/>
          </w:tcPr>
          <w:p w14:paraId="57EA1396" w14:textId="77777777" w:rsidR="009A6275" w:rsidRPr="001720A8" w:rsidRDefault="009A6275" w:rsidP="00F467C8">
            <w:pPr>
              <w:jc w:val="right"/>
              <w:rPr>
                <w:color w:val="000000"/>
                <w:sz w:val="14"/>
                <w:szCs w:val="14"/>
                <w:lang w:val="en-US" w:eastAsia="en-US"/>
              </w:rPr>
            </w:pPr>
            <w:r w:rsidRPr="001720A8">
              <w:rPr>
                <w:color w:val="000000"/>
                <w:sz w:val="14"/>
                <w:szCs w:val="14"/>
              </w:rPr>
              <w:t>34%</w:t>
            </w:r>
          </w:p>
        </w:tc>
        <w:tc>
          <w:tcPr>
            <w:tcW w:w="797" w:type="dxa"/>
            <w:tcBorders>
              <w:top w:val="nil"/>
              <w:left w:val="nil"/>
              <w:bottom w:val="nil"/>
              <w:right w:val="nil"/>
            </w:tcBorders>
            <w:shd w:val="clear" w:color="000000" w:fill="FFFFFF"/>
            <w:noWrap/>
            <w:hideMark/>
          </w:tcPr>
          <w:p w14:paraId="49FE37A9" w14:textId="77777777" w:rsidR="009A6275" w:rsidRPr="001720A8" w:rsidRDefault="009A6275" w:rsidP="00F467C8">
            <w:pPr>
              <w:jc w:val="right"/>
              <w:rPr>
                <w:color w:val="000000"/>
                <w:sz w:val="14"/>
                <w:szCs w:val="14"/>
                <w:lang w:val="en-US" w:eastAsia="en-US"/>
              </w:rPr>
            </w:pPr>
            <w:r w:rsidRPr="001720A8">
              <w:rPr>
                <w:color w:val="000000"/>
                <w:sz w:val="14"/>
                <w:szCs w:val="14"/>
              </w:rPr>
              <w:t>28%</w:t>
            </w:r>
          </w:p>
        </w:tc>
        <w:tc>
          <w:tcPr>
            <w:tcW w:w="814" w:type="dxa"/>
            <w:tcBorders>
              <w:top w:val="nil"/>
              <w:left w:val="nil"/>
              <w:bottom w:val="nil"/>
              <w:right w:val="nil"/>
            </w:tcBorders>
            <w:shd w:val="clear" w:color="000000" w:fill="FFFFFF"/>
            <w:noWrap/>
            <w:hideMark/>
          </w:tcPr>
          <w:p w14:paraId="38AA23E3" w14:textId="77777777" w:rsidR="009A6275" w:rsidRPr="001720A8" w:rsidRDefault="009A6275" w:rsidP="00F467C8">
            <w:pPr>
              <w:jc w:val="right"/>
              <w:rPr>
                <w:color w:val="000000"/>
                <w:sz w:val="14"/>
                <w:szCs w:val="14"/>
                <w:lang w:val="en-US" w:eastAsia="en-US"/>
              </w:rPr>
            </w:pPr>
            <w:r w:rsidRPr="001720A8">
              <w:rPr>
                <w:color w:val="000000"/>
                <w:sz w:val="14"/>
                <w:szCs w:val="14"/>
              </w:rPr>
              <w:t>6%</w:t>
            </w:r>
          </w:p>
        </w:tc>
        <w:tc>
          <w:tcPr>
            <w:tcW w:w="845" w:type="dxa"/>
            <w:tcBorders>
              <w:top w:val="nil"/>
              <w:left w:val="nil"/>
              <w:bottom w:val="nil"/>
              <w:right w:val="nil"/>
            </w:tcBorders>
            <w:shd w:val="clear" w:color="000000" w:fill="FFFFFF"/>
            <w:noWrap/>
            <w:hideMark/>
          </w:tcPr>
          <w:p w14:paraId="722F9EF8" w14:textId="77777777" w:rsidR="009A6275" w:rsidRPr="001720A8" w:rsidRDefault="009A6275" w:rsidP="00F467C8">
            <w:pPr>
              <w:jc w:val="right"/>
              <w:rPr>
                <w:color w:val="000000"/>
                <w:sz w:val="14"/>
                <w:szCs w:val="14"/>
                <w:lang w:val="en-US" w:eastAsia="en-US"/>
              </w:rPr>
            </w:pPr>
            <w:r w:rsidRPr="001720A8">
              <w:rPr>
                <w:color w:val="000000"/>
                <w:sz w:val="14"/>
                <w:szCs w:val="14"/>
              </w:rPr>
              <w:t>32%</w:t>
            </w:r>
          </w:p>
        </w:tc>
        <w:tc>
          <w:tcPr>
            <w:tcW w:w="761" w:type="dxa"/>
            <w:tcBorders>
              <w:top w:val="nil"/>
              <w:left w:val="single" w:sz="4" w:space="0" w:color="auto"/>
              <w:bottom w:val="nil"/>
              <w:right w:val="nil"/>
            </w:tcBorders>
            <w:shd w:val="clear" w:color="000000" w:fill="FFFFFF"/>
            <w:noWrap/>
            <w:hideMark/>
          </w:tcPr>
          <w:p w14:paraId="27F27254" w14:textId="77777777" w:rsidR="009A6275" w:rsidRPr="001720A8" w:rsidRDefault="009A6275" w:rsidP="00F467C8">
            <w:pPr>
              <w:jc w:val="right"/>
              <w:rPr>
                <w:color w:val="000000"/>
                <w:sz w:val="14"/>
                <w:szCs w:val="14"/>
                <w:lang w:val="en-US" w:eastAsia="en-US"/>
              </w:rPr>
            </w:pPr>
            <w:r w:rsidRPr="001720A8">
              <w:rPr>
                <w:color w:val="000000"/>
                <w:sz w:val="14"/>
                <w:szCs w:val="14"/>
              </w:rPr>
              <w:t>2.65</w:t>
            </w:r>
          </w:p>
        </w:tc>
        <w:tc>
          <w:tcPr>
            <w:tcW w:w="761" w:type="dxa"/>
            <w:tcBorders>
              <w:top w:val="nil"/>
              <w:left w:val="nil"/>
              <w:bottom w:val="nil"/>
              <w:right w:val="nil"/>
            </w:tcBorders>
            <w:shd w:val="clear" w:color="000000" w:fill="FFFFFF"/>
            <w:noWrap/>
            <w:hideMark/>
          </w:tcPr>
          <w:p w14:paraId="1B18B917"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8 </w:t>
            </w:r>
          </w:p>
        </w:tc>
      </w:tr>
      <w:tr w:rsidR="009A6275" w:rsidRPr="00E4527E" w14:paraId="1228DBCE" w14:textId="77777777" w:rsidTr="00F467C8">
        <w:trPr>
          <w:trHeight w:hRule="exact" w:val="284"/>
        </w:trPr>
        <w:tc>
          <w:tcPr>
            <w:tcW w:w="689" w:type="dxa"/>
            <w:tcBorders>
              <w:top w:val="nil"/>
              <w:left w:val="nil"/>
              <w:bottom w:val="nil"/>
              <w:right w:val="nil"/>
            </w:tcBorders>
            <w:shd w:val="clear" w:color="000000" w:fill="FFFFFF"/>
            <w:noWrap/>
            <w:hideMark/>
          </w:tcPr>
          <w:p w14:paraId="645285DE"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4CE67D59" w14:textId="77777777" w:rsidR="009A6275" w:rsidRPr="001720A8" w:rsidRDefault="009A6275" w:rsidP="00F467C8">
            <w:pPr>
              <w:jc w:val="center"/>
              <w:rPr>
                <w:color w:val="000000"/>
                <w:sz w:val="14"/>
                <w:szCs w:val="14"/>
                <w:lang w:val="en-US" w:eastAsia="en-US"/>
              </w:rPr>
            </w:pPr>
            <w:r w:rsidRPr="001720A8">
              <w:rPr>
                <w:color w:val="000000"/>
                <w:sz w:val="14"/>
                <w:szCs w:val="14"/>
              </w:rPr>
              <w:t>10</w:t>
            </w:r>
          </w:p>
        </w:tc>
        <w:tc>
          <w:tcPr>
            <w:tcW w:w="574" w:type="dxa"/>
            <w:tcBorders>
              <w:top w:val="nil"/>
              <w:left w:val="nil"/>
              <w:bottom w:val="nil"/>
              <w:right w:val="nil"/>
            </w:tcBorders>
            <w:shd w:val="clear" w:color="000000" w:fill="FFFFFF"/>
            <w:noWrap/>
            <w:hideMark/>
          </w:tcPr>
          <w:p w14:paraId="4163A828" w14:textId="77777777" w:rsidR="009A6275" w:rsidRPr="001720A8" w:rsidRDefault="009A6275" w:rsidP="00F467C8">
            <w:pPr>
              <w:rPr>
                <w:color w:val="000000"/>
                <w:sz w:val="14"/>
                <w:szCs w:val="14"/>
                <w:lang w:val="en-US" w:eastAsia="en-US"/>
              </w:rPr>
            </w:pPr>
            <w:r w:rsidRPr="001720A8">
              <w:rPr>
                <w:color w:val="000000"/>
                <w:sz w:val="14"/>
                <w:szCs w:val="14"/>
              </w:rPr>
              <w:t>F05A</w:t>
            </w:r>
          </w:p>
        </w:tc>
        <w:tc>
          <w:tcPr>
            <w:tcW w:w="5304" w:type="dxa"/>
            <w:tcBorders>
              <w:top w:val="nil"/>
              <w:left w:val="nil"/>
              <w:bottom w:val="nil"/>
              <w:right w:val="nil"/>
            </w:tcBorders>
            <w:shd w:val="clear" w:color="000000" w:fill="FFFFFF"/>
            <w:noWrap/>
            <w:hideMark/>
          </w:tcPr>
          <w:p w14:paraId="2736E4CB" w14:textId="77777777" w:rsidR="009A6275" w:rsidRPr="001720A8" w:rsidRDefault="009A6275" w:rsidP="00F467C8">
            <w:pPr>
              <w:rPr>
                <w:color w:val="000000"/>
                <w:sz w:val="14"/>
                <w:szCs w:val="14"/>
                <w:lang w:val="en-US" w:eastAsia="en-US"/>
              </w:rPr>
            </w:pPr>
            <w:r w:rsidRPr="001720A8">
              <w:rPr>
                <w:color w:val="000000"/>
                <w:sz w:val="14"/>
                <w:szCs w:val="14"/>
              </w:rPr>
              <w:t>Coronary Bypass W Invasive Cardiac Investigation, Major Complexity</w:t>
            </w:r>
          </w:p>
        </w:tc>
        <w:tc>
          <w:tcPr>
            <w:tcW w:w="761" w:type="dxa"/>
            <w:tcBorders>
              <w:top w:val="nil"/>
              <w:left w:val="nil"/>
              <w:bottom w:val="nil"/>
              <w:right w:val="nil"/>
            </w:tcBorders>
            <w:shd w:val="clear" w:color="000000" w:fill="FFFFFF"/>
            <w:noWrap/>
            <w:hideMark/>
          </w:tcPr>
          <w:p w14:paraId="7FF4068D"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2.49</w:t>
            </w:r>
          </w:p>
        </w:tc>
        <w:tc>
          <w:tcPr>
            <w:tcW w:w="968" w:type="dxa"/>
            <w:tcBorders>
              <w:top w:val="nil"/>
              <w:left w:val="nil"/>
              <w:bottom w:val="nil"/>
              <w:right w:val="nil"/>
            </w:tcBorders>
            <w:shd w:val="clear" w:color="000000" w:fill="FFFFFF"/>
            <w:noWrap/>
            <w:hideMark/>
          </w:tcPr>
          <w:p w14:paraId="4FAC4203" w14:textId="77777777" w:rsidR="009A6275" w:rsidRPr="001720A8" w:rsidRDefault="009A6275" w:rsidP="00F467C8">
            <w:pPr>
              <w:jc w:val="right"/>
              <w:rPr>
                <w:color w:val="000000"/>
                <w:sz w:val="14"/>
                <w:szCs w:val="14"/>
                <w:lang w:val="en-US" w:eastAsia="en-US"/>
              </w:rPr>
            </w:pPr>
            <w:r w:rsidRPr="001720A8">
              <w:rPr>
                <w:color w:val="000000"/>
                <w:sz w:val="14"/>
                <w:szCs w:val="14"/>
              </w:rPr>
              <w:t>269</w:t>
            </w:r>
          </w:p>
        </w:tc>
        <w:tc>
          <w:tcPr>
            <w:tcW w:w="797" w:type="dxa"/>
            <w:tcBorders>
              <w:top w:val="nil"/>
              <w:left w:val="nil"/>
              <w:bottom w:val="nil"/>
              <w:right w:val="nil"/>
            </w:tcBorders>
            <w:shd w:val="clear" w:color="000000" w:fill="FFFFFF"/>
            <w:noWrap/>
            <w:hideMark/>
          </w:tcPr>
          <w:p w14:paraId="1E6D516C" w14:textId="77777777" w:rsidR="009A6275" w:rsidRPr="001720A8" w:rsidRDefault="009A6275" w:rsidP="00F467C8">
            <w:pPr>
              <w:jc w:val="right"/>
              <w:rPr>
                <w:color w:val="000000"/>
                <w:sz w:val="14"/>
                <w:szCs w:val="14"/>
                <w:lang w:val="en-US" w:eastAsia="en-US"/>
              </w:rPr>
            </w:pPr>
            <w:r w:rsidRPr="001720A8">
              <w:rPr>
                <w:color w:val="000000"/>
                <w:sz w:val="14"/>
                <w:szCs w:val="14"/>
              </w:rPr>
              <w:t>13.74</w:t>
            </w:r>
          </w:p>
        </w:tc>
        <w:tc>
          <w:tcPr>
            <w:tcW w:w="725" w:type="dxa"/>
            <w:tcBorders>
              <w:top w:val="nil"/>
              <w:left w:val="nil"/>
              <w:bottom w:val="nil"/>
              <w:right w:val="nil"/>
            </w:tcBorders>
            <w:shd w:val="clear" w:color="000000" w:fill="FFFFFF"/>
            <w:noWrap/>
            <w:hideMark/>
          </w:tcPr>
          <w:p w14:paraId="62D95806" w14:textId="77777777" w:rsidR="009A6275" w:rsidRPr="001720A8" w:rsidRDefault="009A6275" w:rsidP="00F467C8">
            <w:pPr>
              <w:jc w:val="right"/>
              <w:rPr>
                <w:color w:val="000000"/>
                <w:sz w:val="14"/>
                <w:szCs w:val="14"/>
                <w:lang w:val="en-US" w:eastAsia="en-US"/>
              </w:rPr>
            </w:pPr>
            <w:r w:rsidRPr="001720A8">
              <w:rPr>
                <w:color w:val="000000"/>
                <w:sz w:val="14"/>
                <w:szCs w:val="14"/>
              </w:rPr>
              <w:t>19.7</w:t>
            </w:r>
          </w:p>
        </w:tc>
        <w:tc>
          <w:tcPr>
            <w:tcW w:w="645" w:type="dxa"/>
            <w:tcBorders>
              <w:top w:val="nil"/>
              <w:left w:val="single" w:sz="4" w:space="0" w:color="000000"/>
              <w:bottom w:val="nil"/>
              <w:right w:val="nil"/>
            </w:tcBorders>
            <w:shd w:val="clear" w:color="000000" w:fill="FFFFFF"/>
            <w:noWrap/>
            <w:hideMark/>
          </w:tcPr>
          <w:p w14:paraId="4712DC6F" w14:textId="77777777" w:rsidR="009A6275" w:rsidRPr="001720A8" w:rsidRDefault="009A6275" w:rsidP="00F467C8">
            <w:pPr>
              <w:jc w:val="right"/>
              <w:rPr>
                <w:color w:val="000000"/>
                <w:sz w:val="14"/>
                <w:szCs w:val="14"/>
                <w:lang w:val="en-US" w:eastAsia="en-US"/>
              </w:rPr>
            </w:pPr>
            <w:r w:rsidRPr="001720A8">
              <w:rPr>
                <w:color w:val="000000"/>
                <w:sz w:val="14"/>
                <w:szCs w:val="14"/>
              </w:rPr>
              <w:t>18%</w:t>
            </w:r>
          </w:p>
        </w:tc>
        <w:tc>
          <w:tcPr>
            <w:tcW w:w="797" w:type="dxa"/>
            <w:tcBorders>
              <w:top w:val="nil"/>
              <w:left w:val="nil"/>
              <w:bottom w:val="nil"/>
              <w:right w:val="nil"/>
            </w:tcBorders>
            <w:shd w:val="clear" w:color="000000" w:fill="FFFFFF"/>
            <w:noWrap/>
            <w:hideMark/>
          </w:tcPr>
          <w:p w14:paraId="399F6AA3" w14:textId="77777777" w:rsidR="009A6275" w:rsidRPr="001720A8" w:rsidRDefault="009A6275" w:rsidP="00F467C8">
            <w:pPr>
              <w:jc w:val="right"/>
              <w:rPr>
                <w:color w:val="000000"/>
                <w:sz w:val="14"/>
                <w:szCs w:val="14"/>
                <w:lang w:val="en-US" w:eastAsia="en-US"/>
              </w:rPr>
            </w:pPr>
            <w:r w:rsidRPr="001720A8">
              <w:rPr>
                <w:color w:val="000000"/>
                <w:sz w:val="14"/>
                <w:szCs w:val="14"/>
              </w:rPr>
              <w:t>41%</w:t>
            </w:r>
          </w:p>
        </w:tc>
        <w:tc>
          <w:tcPr>
            <w:tcW w:w="814" w:type="dxa"/>
            <w:tcBorders>
              <w:top w:val="nil"/>
              <w:left w:val="nil"/>
              <w:bottom w:val="nil"/>
              <w:right w:val="nil"/>
            </w:tcBorders>
            <w:shd w:val="clear" w:color="000000" w:fill="FFFFFF"/>
            <w:noWrap/>
            <w:hideMark/>
          </w:tcPr>
          <w:p w14:paraId="33CAC0AA" w14:textId="77777777" w:rsidR="009A6275" w:rsidRPr="001720A8" w:rsidRDefault="009A6275" w:rsidP="00F467C8">
            <w:pPr>
              <w:jc w:val="right"/>
              <w:rPr>
                <w:color w:val="000000"/>
                <w:sz w:val="14"/>
                <w:szCs w:val="14"/>
                <w:lang w:val="en-US" w:eastAsia="en-US"/>
              </w:rPr>
            </w:pPr>
            <w:r w:rsidRPr="001720A8">
              <w:rPr>
                <w:color w:val="000000"/>
                <w:sz w:val="14"/>
                <w:szCs w:val="14"/>
              </w:rPr>
              <w:t>6%</w:t>
            </w:r>
          </w:p>
        </w:tc>
        <w:tc>
          <w:tcPr>
            <w:tcW w:w="845" w:type="dxa"/>
            <w:tcBorders>
              <w:top w:val="nil"/>
              <w:left w:val="nil"/>
              <w:bottom w:val="nil"/>
              <w:right w:val="nil"/>
            </w:tcBorders>
            <w:shd w:val="clear" w:color="000000" w:fill="FFFFFF"/>
            <w:noWrap/>
            <w:hideMark/>
          </w:tcPr>
          <w:p w14:paraId="044DFE3F" w14:textId="77777777" w:rsidR="009A6275" w:rsidRPr="001720A8" w:rsidRDefault="009A6275" w:rsidP="00F467C8">
            <w:pPr>
              <w:jc w:val="right"/>
              <w:rPr>
                <w:color w:val="000000"/>
                <w:sz w:val="14"/>
                <w:szCs w:val="14"/>
                <w:lang w:val="en-US" w:eastAsia="en-US"/>
              </w:rPr>
            </w:pPr>
            <w:r w:rsidRPr="001720A8">
              <w:rPr>
                <w:color w:val="000000"/>
                <w:sz w:val="14"/>
                <w:szCs w:val="14"/>
              </w:rPr>
              <w:t>34%</w:t>
            </w:r>
          </w:p>
        </w:tc>
        <w:tc>
          <w:tcPr>
            <w:tcW w:w="761" w:type="dxa"/>
            <w:tcBorders>
              <w:top w:val="nil"/>
              <w:left w:val="single" w:sz="4" w:space="0" w:color="auto"/>
              <w:bottom w:val="nil"/>
              <w:right w:val="nil"/>
            </w:tcBorders>
            <w:shd w:val="clear" w:color="000000" w:fill="FFFFFF"/>
            <w:noWrap/>
            <w:hideMark/>
          </w:tcPr>
          <w:p w14:paraId="3F1F6B1D" w14:textId="77777777" w:rsidR="009A6275" w:rsidRPr="001720A8" w:rsidRDefault="009A6275" w:rsidP="00F467C8">
            <w:pPr>
              <w:jc w:val="right"/>
              <w:rPr>
                <w:color w:val="000000"/>
                <w:sz w:val="14"/>
                <w:szCs w:val="14"/>
                <w:lang w:val="en-US" w:eastAsia="en-US"/>
              </w:rPr>
            </w:pPr>
            <w:r w:rsidRPr="001720A8">
              <w:rPr>
                <w:color w:val="000000"/>
                <w:sz w:val="14"/>
                <w:szCs w:val="14"/>
              </w:rPr>
              <w:t>2.57</w:t>
            </w:r>
          </w:p>
        </w:tc>
        <w:tc>
          <w:tcPr>
            <w:tcW w:w="761" w:type="dxa"/>
            <w:tcBorders>
              <w:top w:val="nil"/>
              <w:left w:val="nil"/>
              <w:bottom w:val="nil"/>
              <w:right w:val="nil"/>
            </w:tcBorders>
            <w:shd w:val="clear" w:color="000000" w:fill="FFFFFF"/>
            <w:noWrap/>
            <w:hideMark/>
          </w:tcPr>
          <w:p w14:paraId="335D022A"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9 </w:t>
            </w:r>
          </w:p>
        </w:tc>
      </w:tr>
      <w:tr w:rsidR="009A6275" w:rsidRPr="00E4527E" w14:paraId="54FFB61A" w14:textId="77777777" w:rsidTr="00F467C8">
        <w:trPr>
          <w:trHeight w:hRule="exact" w:val="284"/>
        </w:trPr>
        <w:tc>
          <w:tcPr>
            <w:tcW w:w="689" w:type="dxa"/>
            <w:tcBorders>
              <w:top w:val="nil"/>
              <w:left w:val="nil"/>
              <w:bottom w:val="nil"/>
              <w:right w:val="nil"/>
            </w:tcBorders>
            <w:shd w:val="clear" w:color="000000" w:fill="FFFFFF"/>
            <w:noWrap/>
            <w:hideMark/>
          </w:tcPr>
          <w:p w14:paraId="44851972"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412DF950" w14:textId="77777777" w:rsidR="009A6275" w:rsidRPr="001720A8" w:rsidRDefault="009A6275" w:rsidP="00F467C8">
            <w:pPr>
              <w:jc w:val="center"/>
              <w:rPr>
                <w:color w:val="000000"/>
                <w:sz w:val="14"/>
                <w:szCs w:val="14"/>
                <w:lang w:val="en-US" w:eastAsia="en-US"/>
              </w:rPr>
            </w:pPr>
            <w:r w:rsidRPr="001720A8">
              <w:rPr>
                <w:color w:val="000000"/>
                <w:sz w:val="14"/>
                <w:szCs w:val="14"/>
              </w:rPr>
              <w:t>11</w:t>
            </w:r>
          </w:p>
        </w:tc>
        <w:tc>
          <w:tcPr>
            <w:tcW w:w="574" w:type="dxa"/>
            <w:tcBorders>
              <w:top w:val="nil"/>
              <w:left w:val="nil"/>
              <w:bottom w:val="nil"/>
              <w:right w:val="nil"/>
            </w:tcBorders>
            <w:shd w:val="clear" w:color="000000" w:fill="FFFFFF"/>
            <w:noWrap/>
            <w:hideMark/>
          </w:tcPr>
          <w:p w14:paraId="1BC2562B" w14:textId="77777777" w:rsidR="009A6275" w:rsidRPr="001720A8" w:rsidRDefault="009A6275" w:rsidP="00F467C8">
            <w:pPr>
              <w:rPr>
                <w:color w:val="000000"/>
                <w:sz w:val="14"/>
                <w:szCs w:val="14"/>
                <w:lang w:val="en-US" w:eastAsia="en-US"/>
              </w:rPr>
            </w:pPr>
            <w:r w:rsidRPr="001720A8">
              <w:rPr>
                <w:color w:val="000000"/>
                <w:sz w:val="14"/>
                <w:szCs w:val="14"/>
              </w:rPr>
              <w:t>I02A</w:t>
            </w:r>
          </w:p>
        </w:tc>
        <w:tc>
          <w:tcPr>
            <w:tcW w:w="5304" w:type="dxa"/>
            <w:tcBorders>
              <w:top w:val="nil"/>
              <w:left w:val="nil"/>
              <w:bottom w:val="nil"/>
              <w:right w:val="nil"/>
            </w:tcBorders>
            <w:shd w:val="clear" w:color="000000" w:fill="FFFFFF"/>
            <w:noWrap/>
            <w:hideMark/>
          </w:tcPr>
          <w:p w14:paraId="09707CE0" w14:textId="77777777" w:rsidR="009A6275" w:rsidRPr="001720A8" w:rsidRDefault="009A6275" w:rsidP="00F467C8">
            <w:pPr>
              <w:rPr>
                <w:color w:val="000000"/>
                <w:sz w:val="14"/>
                <w:szCs w:val="14"/>
                <w:lang w:val="en-US" w:eastAsia="en-US"/>
              </w:rPr>
            </w:pPr>
            <w:r w:rsidRPr="001720A8">
              <w:rPr>
                <w:color w:val="000000"/>
                <w:sz w:val="14"/>
                <w:szCs w:val="14"/>
              </w:rPr>
              <w:t>Microvascular Tissue Transfers or Skin Grafts, Excluding Hand, Major Complexity</w:t>
            </w:r>
          </w:p>
        </w:tc>
        <w:tc>
          <w:tcPr>
            <w:tcW w:w="761" w:type="dxa"/>
            <w:tcBorders>
              <w:top w:val="nil"/>
              <w:left w:val="nil"/>
              <w:bottom w:val="nil"/>
              <w:right w:val="nil"/>
            </w:tcBorders>
            <w:shd w:val="clear" w:color="000000" w:fill="FFFFFF"/>
            <w:noWrap/>
            <w:hideMark/>
          </w:tcPr>
          <w:p w14:paraId="3B735B44"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2.46</w:t>
            </w:r>
          </w:p>
        </w:tc>
        <w:tc>
          <w:tcPr>
            <w:tcW w:w="968" w:type="dxa"/>
            <w:tcBorders>
              <w:top w:val="nil"/>
              <w:left w:val="nil"/>
              <w:bottom w:val="nil"/>
              <w:right w:val="nil"/>
            </w:tcBorders>
            <w:shd w:val="clear" w:color="000000" w:fill="FFFFFF"/>
            <w:noWrap/>
            <w:hideMark/>
          </w:tcPr>
          <w:p w14:paraId="53811AE4" w14:textId="77777777" w:rsidR="009A6275" w:rsidRPr="001720A8" w:rsidRDefault="009A6275" w:rsidP="00F467C8">
            <w:pPr>
              <w:jc w:val="right"/>
              <w:rPr>
                <w:color w:val="000000"/>
                <w:sz w:val="14"/>
                <w:szCs w:val="14"/>
                <w:lang w:val="en-US" w:eastAsia="en-US"/>
              </w:rPr>
            </w:pPr>
            <w:r w:rsidRPr="001720A8">
              <w:rPr>
                <w:color w:val="000000"/>
                <w:sz w:val="14"/>
                <w:szCs w:val="14"/>
              </w:rPr>
              <w:t>59</w:t>
            </w:r>
          </w:p>
        </w:tc>
        <w:tc>
          <w:tcPr>
            <w:tcW w:w="797" w:type="dxa"/>
            <w:tcBorders>
              <w:top w:val="nil"/>
              <w:left w:val="nil"/>
              <w:bottom w:val="nil"/>
              <w:right w:val="nil"/>
            </w:tcBorders>
            <w:shd w:val="clear" w:color="000000" w:fill="FFFFFF"/>
            <w:noWrap/>
            <w:hideMark/>
          </w:tcPr>
          <w:p w14:paraId="1AF178D8" w14:textId="77777777" w:rsidR="009A6275" w:rsidRPr="001720A8" w:rsidRDefault="009A6275" w:rsidP="00F467C8">
            <w:pPr>
              <w:jc w:val="right"/>
              <w:rPr>
                <w:color w:val="000000"/>
                <w:sz w:val="14"/>
                <w:szCs w:val="14"/>
                <w:lang w:val="en-US" w:eastAsia="en-US"/>
              </w:rPr>
            </w:pPr>
            <w:r w:rsidRPr="001720A8">
              <w:rPr>
                <w:color w:val="000000"/>
                <w:sz w:val="14"/>
                <w:szCs w:val="14"/>
              </w:rPr>
              <w:t>15.04</w:t>
            </w:r>
          </w:p>
        </w:tc>
        <w:tc>
          <w:tcPr>
            <w:tcW w:w="725" w:type="dxa"/>
            <w:tcBorders>
              <w:top w:val="nil"/>
              <w:left w:val="nil"/>
              <w:bottom w:val="nil"/>
              <w:right w:val="nil"/>
            </w:tcBorders>
            <w:shd w:val="clear" w:color="000000" w:fill="FFFFFF"/>
            <w:noWrap/>
            <w:hideMark/>
          </w:tcPr>
          <w:p w14:paraId="3CB5AC0B" w14:textId="77777777" w:rsidR="009A6275" w:rsidRPr="001720A8" w:rsidRDefault="009A6275" w:rsidP="00F467C8">
            <w:pPr>
              <w:jc w:val="right"/>
              <w:rPr>
                <w:color w:val="000000"/>
                <w:sz w:val="14"/>
                <w:szCs w:val="14"/>
                <w:lang w:val="en-US" w:eastAsia="en-US"/>
              </w:rPr>
            </w:pPr>
            <w:r w:rsidRPr="001720A8">
              <w:rPr>
                <w:color w:val="000000"/>
                <w:sz w:val="14"/>
                <w:szCs w:val="14"/>
              </w:rPr>
              <w:t>34.3</w:t>
            </w:r>
          </w:p>
        </w:tc>
        <w:tc>
          <w:tcPr>
            <w:tcW w:w="645" w:type="dxa"/>
            <w:tcBorders>
              <w:top w:val="nil"/>
              <w:left w:val="single" w:sz="4" w:space="0" w:color="000000"/>
              <w:bottom w:val="nil"/>
              <w:right w:val="nil"/>
            </w:tcBorders>
            <w:shd w:val="clear" w:color="000000" w:fill="FFFFFF"/>
            <w:noWrap/>
            <w:hideMark/>
          </w:tcPr>
          <w:p w14:paraId="2095F6F8" w14:textId="77777777" w:rsidR="009A6275" w:rsidRPr="001720A8" w:rsidRDefault="009A6275" w:rsidP="00F467C8">
            <w:pPr>
              <w:jc w:val="right"/>
              <w:rPr>
                <w:color w:val="000000"/>
                <w:sz w:val="14"/>
                <w:szCs w:val="14"/>
                <w:lang w:val="en-US" w:eastAsia="en-US"/>
              </w:rPr>
            </w:pPr>
            <w:r w:rsidRPr="001720A8">
              <w:rPr>
                <w:color w:val="000000"/>
                <w:sz w:val="14"/>
                <w:szCs w:val="14"/>
              </w:rPr>
              <w:t>16%</w:t>
            </w:r>
          </w:p>
        </w:tc>
        <w:tc>
          <w:tcPr>
            <w:tcW w:w="797" w:type="dxa"/>
            <w:tcBorders>
              <w:top w:val="nil"/>
              <w:left w:val="nil"/>
              <w:bottom w:val="nil"/>
              <w:right w:val="nil"/>
            </w:tcBorders>
            <w:shd w:val="clear" w:color="000000" w:fill="FFFFFF"/>
            <w:noWrap/>
            <w:hideMark/>
          </w:tcPr>
          <w:p w14:paraId="34303AD2" w14:textId="77777777" w:rsidR="009A6275" w:rsidRPr="001720A8" w:rsidRDefault="009A6275" w:rsidP="00F467C8">
            <w:pPr>
              <w:jc w:val="right"/>
              <w:rPr>
                <w:color w:val="000000"/>
                <w:sz w:val="14"/>
                <w:szCs w:val="14"/>
                <w:lang w:val="en-US" w:eastAsia="en-US"/>
              </w:rPr>
            </w:pPr>
            <w:r w:rsidRPr="001720A8">
              <w:rPr>
                <w:color w:val="000000"/>
                <w:sz w:val="14"/>
                <w:szCs w:val="14"/>
              </w:rPr>
              <w:t>10%</w:t>
            </w:r>
          </w:p>
        </w:tc>
        <w:tc>
          <w:tcPr>
            <w:tcW w:w="814" w:type="dxa"/>
            <w:tcBorders>
              <w:top w:val="nil"/>
              <w:left w:val="nil"/>
              <w:bottom w:val="nil"/>
              <w:right w:val="nil"/>
            </w:tcBorders>
            <w:shd w:val="clear" w:color="000000" w:fill="FFFFFF"/>
            <w:noWrap/>
            <w:hideMark/>
          </w:tcPr>
          <w:p w14:paraId="394D6301" w14:textId="77777777" w:rsidR="009A6275" w:rsidRPr="001720A8" w:rsidRDefault="009A6275" w:rsidP="00F467C8">
            <w:pPr>
              <w:jc w:val="right"/>
              <w:rPr>
                <w:color w:val="000000"/>
                <w:sz w:val="14"/>
                <w:szCs w:val="14"/>
                <w:lang w:val="en-US" w:eastAsia="en-US"/>
              </w:rPr>
            </w:pPr>
            <w:r w:rsidRPr="001720A8">
              <w:rPr>
                <w:color w:val="000000"/>
                <w:sz w:val="14"/>
                <w:szCs w:val="14"/>
              </w:rPr>
              <w:t>15%</w:t>
            </w:r>
          </w:p>
        </w:tc>
        <w:tc>
          <w:tcPr>
            <w:tcW w:w="845" w:type="dxa"/>
            <w:tcBorders>
              <w:top w:val="nil"/>
              <w:left w:val="nil"/>
              <w:bottom w:val="nil"/>
              <w:right w:val="nil"/>
            </w:tcBorders>
            <w:shd w:val="clear" w:color="000000" w:fill="FFFFFF"/>
            <w:noWrap/>
            <w:hideMark/>
          </w:tcPr>
          <w:p w14:paraId="68DBF999" w14:textId="77777777" w:rsidR="009A6275" w:rsidRPr="001720A8" w:rsidRDefault="009A6275" w:rsidP="00F467C8">
            <w:pPr>
              <w:jc w:val="right"/>
              <w:rPr>
                <w:color w:val="000000"/>
                <w:sz w:val="14"/>
                <w:szCs w:val="14"/>
                <w:lang w:val="en-US" w:eastAsia="en-US"/>
              </w:rPr>
            </w:pPr>
            <w:r w:rsidRPr="001720A8">
              <w:rPr>
                <w:color w:val="000000"/>
                <w:sz w:val="14"/>
                <w:szCs w:val="14"/>
              </w:rPr>
              <w:t>59%</w:t>
            </w:r>
          </w:p>
        </w:tc>
        <w:tc>
          <w:tcPr>
            <w:tcW w:w="761" w:type="dxa"/>
            <w:tcBorders>
              <w:top w:val="nil"/>
              <w:left w:val="single" w:sz="4" w:space="0" w:color="auto"/>
              <w:bottom w:val="nil"/>
              <w:right w:val="nil"/>
            </w:tcBorders>
            <w:shd w:val="clear" w:color="000000" w:fill="FFFFFF"/>
            <w:noWrap/>
            <w:hideMark/>
          </w:tcPr>
          <w:p w14:paraId="5A03536C" w14:textId="77777777" w:rsidR="009A6275" w:rsidRPr="001720A8" w:rsidRDefault="009A6275" w:rsidP="00F467C8">
            <w:pPr>
              <w:jc w:val="right"/>
              <w:rPr>
                <w:color w:val="000000"/>
                <w:sz w:val="14"/>
                <w:szCs w:val="14"/>
                <w:lang w:val="en-US" w:eastAsia="en-US"/>
              </w:rPr>
            </w:pPr>
            <w:r w:rsidRPr="001720A8">
              <w:rPr>
                <w:color w:val="000000"/>
                <w:sz w:val="14"/>
                <w:szCs w:val="14"/>
              </w:rPr>
              <w:t>2.33</w:t>
            </w:r>
          </w:p>
        </w:tc>
        <w:tc>
          <w:tcPr>
            <w:tcW w:w="761" w:type="dxa"/>
            <w:tcBorders>
              <w:top w:val="nil"/>
              <w:left w:val="nil"/>
              <w:bottom w:val="nil"/>
              <w:right w:val="nil"/>
            </w:tcBorders>
            <w:shd w:val="clear" w:color="000000" w:fill="FFFFFF"/>
            <w:noWrap/>
            <w:hideMark/>
          </w:tcPr>
          <w:p w14:paraId="4CA44534"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11 </w:t>
            </w:r>
          </w:p>
        </w:tc>
      </w:tr>
      <w:tr w:rsidR="009A6275" w:rsidRPr="00E4527E" w14:paraId="4BD658D2" w14:textId="77777777" w:rsidTr="00F467C8">
        <w:trPr>
          <w:trHeight w:hRule="exact" w:val="284"/>
        </w:trPr>
        <w:tc>
          <w:tcPr>
            <w:tcW w:w="689" w:type="dxa"/>
            <w:tcBorders>
              <w:top w:val="nil"/>
              <w:left w:val="nil"/>
              <w:bottom w:val="nil"/>
              <w:right w:val="nil"/>
            </w:tcBorders>
            <w:shd w:val="clear" w:color="000000" w:fill="FFFFFF"/>
            <w:noWrap/>
            <w:hideMark/>
          </w:tcPr>
          <w:p w14:paraId="70F9F7F5"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40AA5D27" w14:textId="77777777" w:rsidR="009A6275" w:rsidRPr="001720A8" w:rsidRDefault="009A6275" w:rsidP="00F467C8">
            <w:pPr>
              <w:jc w:val="center"/>
              <w:rPr>
                <w:color w:val="000000"/>
                <w:sz w:val="14"/>
                <w:szCs w:val="14"/>
                <w:lang w:val="en-US" w:eastAsia="en-US"/>
              </w:rPr>
            </w:pPr>
            <w:r w:rsidRPr="001720A8">
              <w:rPr>
                <w:color w:val="000000"/>
                <w:sz w:val="14"/>
                <w:szCs w:val="14"/>
              </w:rPr>
              <w:t>12</w:t>
            </w:r>
          </w:p>
        </w:tc>
        <w:tc>
          <w:tcPr>
            <w:tcW w:w="574" w:type="dxa"/>
            <w:tcBorders>
              <w:top w:val="nil"/>
              <w:left w:val="nil"/>
              <w:bottom w:val="nil"/>
              <w:right w:val="nil"/>
            </w:tcBorders>
            <w:shd w:val="clear" w:color="000000" w:fill="FFFFFF"/>
            <w:noWrap/>
            <w:hideMark/>
          </w:tcPr>
          <w:p w14:paraId="62C4716A" w14:textId="77777777" w:rsidR="009A6275" w:rsidRPr="001720A8" w:rsidRDefault="009A6275" w:rsidP="00F467C8">
            <w:pPr>
              <w:rPr>
                <w:color w:val="000000"/>
                <w:sz w:val="14"/>
                <w:szCs w:val="14"/>
                <w:lang w:val="en-US" w:eastAsia="en-US"/>
              </w:rPr>
            </w:pPr>
            <w:r w:rsidRPr="001720A8">
              <w:rPr>
                <w:color w:val="000000"/>
                <w:sz w:val="14"/>
                <w:szCs w:val="14"/>
              </w:rPr>
              <w:t>F08A</w:t>
            </w:r>
          </w:p>
        </w:tc>
        <w:tc>
          <w:tcPr>
            <w:tcW w:w="5304" w:type="dxa"/>
            <w:tcBorders>
              <w:top w:val="nil"/>
              <w:left w:val="nil"/>
              <w:bottom w:val="nil"/>
              <w:right w:val="nil"/>
            </w:tcBorders>
            <w:shd w:val="clear" w:color="000000" w:fill="FFFFFF"/>
            <w:noWrap/>
            <w:hideMark/>
          </w:tcPr>
          <w:p w14:paraId="253FDDF4" w14:textId="77777777" w:rsidR="009A6275" w:rsidRPr="001720A8" w:rsidRDefault="009A6275" w:rsidP="00F467C8">
            <w:pPr>
              <w:rPr>
                <w:color w:val="000000"/>
                <w:sz w:val="14"/>
                <w:szCs w:val="14"/>
                <w:lang w:val="en-US" w:eastAsia="en-US"/>
              </w:rPr>
            </w:pPr>
            <w:r w:rsidRPr="001720A8">
              <w:rPr>
                <w:color w:val="000000"/>
                <w:sz w:val="14"/>
                <w:szCs w:val="14"/>
              </w:rPr>
              <w:t>Major Reconstructive Vascular Procedures W/O CPB Pump, Major Complexity</w:t>
            </w:r>
          </w:p>
        </w:tc>
        <w:tc>
          <w:tcPr>
            <w:tcW w:w="761" w:type="dxa"/>
            <w:tcBorders>
              <w:top w:val="nil"/>
              <w:left w:val="nil"/>
              <w:bottom w:val="nil"/>
              <w:right w:val="nil"/>
            </w:tcBorders>
            <w:shd w:val="clear" w:color="000000" w:fill="FFFFFF"/>
            <w:noWrap/>
            <w:hideMark/>
          </w:tcPr>
          <w:p w14:paraId="1E32A971"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2.44</w:t>
            </w:r>
          </w:p>
        </w:tc>
        <w:tc>
          <w:tcPr>
            <w:tcW w:w="968" w:type="dxa"/>
            <w:tcBorders>
              <w:top w:val="nil"/>
              <w:left w:val="nil"/>
              <w:bottom w:val="nil"/>
              <w:right w:val="nil"/>
            </w:tcBorders>
            <w:shd w:val="clear" w:color="000000" w:fill="FFFFFF"/>
            <w:noWrap/>
            <w:hideMark/>
          </w:tcPr>
          <w:p w14:paraId="189B18B0" w14:textId="77777777" w:rsidR="009A6275" w:rsidRPr="001720A8" w:rsidRDefault="009A6275" w:rsidP="00F467C8">
            <w:pPr>
              <w:jc w:val="right"/>
              <w:rPr>
                <w:color w:val="000000"/>
                <w:sz w:val="14"/>
                <w:szCs w:val="14"/>
                <w:lang w:val="en-US" w:eastAsia="en-US"/>
              </w:rPr>
            </w:pPr>
            <w:r w:rsidRPr="001720A8">
              <w:rPr>
                <w:color w:val="000000"/>
                <w:sz w:val="14"/>
                <w:szCs w:val="14"/>
              </w:rPr>
              <w:t>150</w:t>
            </w:r>
          </w:p>
        </w:tc>
        <w:tc>
          <w:tcPr>
            <w:tcW w:w="797" w:type="dxa"/>
            <w:tcBorders>
              <w:top w:val="nil"/>
              <w:left w:val="nil"/>
              <w:bottom w:val="nil"/>
              <w:right w:val="nil"/>
            </w:tcBorders>
            <w:shd w:val="clear" w:color="000000" w:fill="FFFFFF"/>
            <w:noWrap/>
            <w:hideMark/>
          </w:tcPr>
          <w:p w14:paraId="110EDA1A" w14:textId="77777777" w:rsidR="009A6275" w:rsidRPr="001720A8" w:rsidRDefault="009A6275" w:rsidP="00F467C8">
            <w:pPr>
              <w:jc w:val="right"/>
              <w:rPr>
                <w:color w:val="000000"/>
                <w:sz w:val="14"/>
                <w:szCs w:val="14"/>
                <w:lang w:val="en-US" w:eastAsia="en-US"/>
              </w:rPr>
            </w:pPr>
            <w:r w:rsidRPr="001720A8">
              <w:rPr>
                <w:color w:val="000000"/>
                <w:sz w:val="14"/>
                <w:szCs w:val="14"/>
              </w:rPr>
              <w:t>14.00</w:t>
            </w:r>
          </w:p>
        </w:tc>
        <w:tc>
          <w:tcPr>
            <w:tcW w:w="725" w:type="dxa"/>
            <w:tcBorders>
              <w:top w:val="nil"/>
              <w:left w:val="nil"/>
              <w:bottom w:val="nil"/>
              <w:right w:val="nil"/>
            </w:tcBorders>
            <w:shd w:val="clear" w:color="000000" w:fill="FFFFFF"/>
            <w:noWrap/>
            <w:hideMark/>
          </w:tcPr>
          <w:p w14:paraId="01D1D9D6" w14:textId="77777777" w:rsidR="009A6275" w:rsidRPr="001720A8" w:rsidRDefault="009A6275" w:rsidP="00F467C8">
            <w:pPr>
              <w:jc w:val="right"/>
              <w:rPr>
                <w:color w:val="000000"/>
                <w:sz w:val="14"/>
                <w:szCs w:val="14"/>
                <w:lang w:val="en-US" w:eastAsia="en-US"/>
              </w:rPr>
            </w:pPr>
            <w:r w:rsidRPr="001720A8">
              <w:rPr>
                <w:color w:val="000000"/>
                <w:sz w:val="14"/>
                <w:szCs w:val="14"/>
              </w:rPr>
              <w:t>24.5</w:t>
            </w:r>
          </w:p>
        </w:tc>
        <w:tc>
          <w:tcPr>
            <w:tcW w:w="645" w:type="dxa"/>
            <w:tcBorders>
              <w:top w:val="nil"/>
              <w:left w:val="single" w:sz="4" w:space="0" w:color="000000"/>
              <w:bottom w:val="nil"/>
              <w:right w:val="nil"/>
            </w:tcBorders>
            <w:shd w:val="clear" w:color="000000" w:fill="FFFFFF"/>
            <w:noWrap/>
            <w:hideMark/>
          </w:tcPr>
          <w:p w14:paraId="6A9E97AB" w14:textId="77777777" w:rsidR="009A6275" w:rsidRPr="001720A8" w:rsidRDefault="009A6275" w:rsidP="00F467C8">
            <w:pPr>
              <w:jc w:val="right"/>
              <w:rPr>
                <w:color w:val="000000"/>
                <w:sz w:val="14"/>
                <w:szCs w:val="14"/>
                <w:lang w:val="en-US" w:eastAsia="en-US"/>
              </w:rPr>
            </w:pPr>
            <w:r w:rsidRPr="001720A8">
              <w:rPr>
                <w:color w:val="000000"/>
                <w:sz w:val="14"/>
                <w:szCs w:val="14"/>
              </w:rPr>
              <w:t>17%</w:t>
            </w:r>
          </w:p>
        </w:tc>
        <w:tc>
          <w:tcPr>
            <w:tcW w:w="797" w:type="dxa"/>
            <w:tcBorders>
              <w:top w:val="nil"/>
              <w:left w:val="nil"/>
              <w:bottom w:val="nil"/>
              <w:right w:val="nil"/>
            </w:tcBorders>
            <w:shd w:val="clear" w:color="000000" w:fill="FFFFFF"/>
            <w:noWrap/>
            <w:hideMark/>
          </w:tcPr>
          <w:p w14:paraId="612D6C6A" w14:textId="77777777" w:rsidR="009A6275" w:rsidRPr="001720A8" w:rsidRDefault="009A6275" w:rsidP="00F467C8">
            <w:pPr>
              <w:jc w:val="right"/>
              <w:rPr>
                <w:color w:val="000000"/>
                <w:sz w:val="14"/>
                <w:szCs w:val="14"/>
                <w:lang w:val="en-US" w:eastAsia="en-US"/>
              </w:rPr>
            </w:pPr>
            <w:r w:rsidRPr="001720A8">
              <w:rPr>
                <w:color w:val="000000"/>
                <w:sz w:val="14"/>
                <w:szCs w:val="14"/>
              </w:rPr>
              <w:t>23%</w:t>
            </w:r>
          </w:p>
        </w:tc>
        <w:tc>
          <w:tcPr>
            <w:tcW w:w="814" w:type="dxa"/>
            <w:tcBorders>
              <w:top w:val="nil"/>
              <w:left w:val="nil"/>
              <w:bottom w:val="nil"/>
              <w:right w:val="nil"/>
            </w:tcBorders>
            <w:shd w:val="clear" w:color="000000" w:fill="FFFFFF"/>
            <w:noWrap/>
            <w:hideMark/>
          </w:tcPr>
          <w:p w14:paraId="26A50191" w14:textId="77777777" w:rsidR="009A6275" w:rsidRPr="001720A8" w:rsidRDefault="009A6275" w:rsidP="00F467C8">
            <w:pPr>
              <w:jc w:val="right"/>
              <w:rPr>
                <w:color w:val="000000"/>
                <w:sz w:val="14"/>
                <w:szCs w:val="14"/>
                <w:lang w:val="en-US" w:eastAsia="en-US"/>
              </w:rPr>
            </w:pPr>
            <w:r w:rsidRPr="001720A8">
              <w:rPr>
                <w:color w:val="000000"/>
                <w:sz w:val="14"/>
                <w:szCs w:val="14"/>
              </w:rPr>
              <w:t>19%</w:t>
            </w:r>
          </w:p>
        </w:tc>
        <w:tc>
          <w:tcPr>
            <w:tcW w:w="845" w:type="dxa"/>
            <w:tcBorders>
              <w:top w:val="nil"/>
              <w:left w:val="nil"/>
              <w:bottom w:val="nil"/>
              <w:right w:val="nil"/>
            </w:tcBorders>
            <w:shd w:val="clear" w:color="000000" w:fill="FFFFFF"/>
            <w:noWrap/>
            <w:hideMark/>
          </w:tcPr>
          <w:p w14:paraId="2339D019" w14:textId="77777777" w:rsidR="009A6275" w:rsidRPr="001720A8" w:rsidRDefault="009A6275" w:rsidP="00F467C8">
            <w:pPr>
              <w:jc w:val="right"/>
              <w:rPr>
                <w:color w:val="000000"/>
                <w:sz w:val="14"/>
                <w:szCs w:val="14"/>
                <w:lang w:val="en-US" w:eastAsia="en-US"/>
              </w:rPr>
            </w:pPr>
            <w:r w:rsidRPr="001720A8">
              <w:rPr>
                <w:color w:val="000000"/>
                <w:sz w:val="14"/>
                <w:szCs w:val="14"/>
              </w:rPr>
              <w:t>40%</w:t>
            </w:r>
          </w:p>
        </w:tc>
        <w:tc>
          <w:tcPr>
            <w:tcW w:w="761" w:type="dxa"/>
            <w:tcBorders>
              <w:top w:val="nil"/>
              <w:left w:val="single" w:sz="4" w:space="0" w:color="auto"/>
              <w:bottom w:val="nil"/>
              <w:right w:val="nil"/>
            </w:tcBorders>
            <w:shd w:val="clear" w:color="000000" w:fill="FFFFFF"/>
            <w:noWrap/>
            <w:hideMark/>
          </w:tcPr>
          <w:p w14:paraId="7BF1204D" w14:textId="77777777" w:rsidR="009A6275" w:rsidRPr="001720A8" w:rsidRDefault="009A6275" w:rsidP="00F467C8">
            <w:pPr>
              <w:jc w:val="right"/>
              <w:rPr>
                <w:color w:val="000000"/>
                <w:sz w:val="14"/>
                <w:szCs w:val="14"/>
                <w:lang w:val="en-US" w:eastAsia="en-US"/>
              </w:rPr>
            </w:pPr>
            <w:r w:rsidRPr="001720A8">
              <w:rPr>
                <w:color w:val="000000"/>
                <w:sz w:val="14"/>
                <w:szCs w:val="14"/>
              </w:rPr>
              <w:t>2.33</w:t>
            </w:r>
          </w:p>
        </w:tc>
        <w:tc>
          <w:tcPr>
            <w:tcW w:w="761" w:type="dxa"/>
            <w:tcBorders>
              <w:top w:val="nil"/>
              <w:left w:val="nil"/>
              <w:bottom w:val="nil"/>
              <w:right w:val="nil"/>
            </w:tcBorders>
            <w:shd w:val="clear" w:color="000000" w:fill="FFFFFF"/>
            <w:noWrap/>
            <w:hideMark/>
          </w:tcPr>
          <w:p w14:paraId="6C712647"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12 </w:t>
            </w:r>
          </w:p>
        </w:tc>
      </w:tr>
      <w:tr w:rsidR="009A6275" w:rsidRPr="00E4527E" w14:paraId="664D241C" w14:textId="77777777" w:rsidTr="00F467C8">
        <w:trPr>
          <w:trHeight w:hRule="exact" w:val="284"/>
        </w:trPr>
        <w:tc>
          <w:tcPr>
            <w:tcW w:w="689" w:type="dxa"/>
            <w:tcBorders>
              <w:top w:val="nil"/>
              <w:left w:val="nil"/>
              <w:bottom w:val="nil"/>
              <w:right w:val="nil"/>
            </w:tcBorders>
            <w:shd w:val="clear" w:color="000000" w:fill="FFFFFF"/>
            <w:noWrap/>
            <w:hideMark/>
          </w:tcPr>
          <w:p w14:paraId="791A40D5" w14:textId="77777777" w:rsidR="009A6275" w:rsidRPr="001720A8" w:rsidRDefault="009A6275" w:rsidP="00F467C8">
            <w:pPr>
              <w:jc w:val="center"/>
              <w:rPr>
                <w:color w:val="000000"/>
                <w:sz w:val="14"/>
                <w:szCs w:val="14"/>
                <w:lang w:val="en-US" w:eastAsia="en-US"/>
              </w:rPr>
            </w:pPr>
            <w:r w:rsidRPr="001720A8">
              <w:rPr>
                <w:color w:val="000000"/>
                <w:sz w:val="14"/>
                <w:szCs w:val="14"/>
              </w:rPr>
              <w:t>No</w:t>
            </w:r>
          </w:p>
        </w:tc>
        <w:tc>
          <w:tcPr>
            <w:tcW w:w="689" w:type="dxa"/>
            <w:tcBorders>
              <w:top w:val="nil"/>
              <w:left w:val="nil"/>
              <w:bottom w:val="nil"/>
              <w:right w:val="nil"/>
            </w:tcBorders>
            <w:shd w:val="clear" w:color="000000" w:fill="FFFFFF"/>
            <w:noWrap/>
            <w:hideMark/>
          </w:tcPr>
          <w:p w14:paraId="7F3635B1" w14:textId="77777777" w:rsidR="009A6275" w:rsidRPr="001720A8" w:rsidRDefault="009A6275" w:rsidP="00F467C8">
            <w:pPr>
              <w:jc w:val="center"/>
              <w:rPr>
                <w:color w:val="000000"/>
                <w:sz w:val="14"/>
                <w:szCs w:val="14"/>
                <w:lang w:val="en-US" w:eastAsia="en-US"/>
              </w:rPr>
            </w:pPr>
            <w:r w:rsidRPr="001720A8">
              <w:rPr>
                <w:color w:val="000000"/>
                <w:sz w:val="14"/>
                <w:szCs w:val="14"/>
              </w:rPr>
              <w:t>13</w:t>
            </w:r>
          </w:p>
        </w:tc>
        <w:tc>
          <w:tcPr>
            <w:tcW w:w="574" w:type="dxa"/>
            <w:tcBorders>
              <w:top w:val="nil"/>
              <w:left w:val="nil"/>
              <w:bottom w:val="nil"/>
              <w:right w:val="nil"/>
            </w:tcBorders>
            <w:shd w:val="clear" w:color="000000" w:fill="FFFFFF"/>
            <w:noWrap/>
            <w:hideMark/>
          </w:tcPr>
          <w:p w14:paraId="5DB6D37D" w14:textId="77777777" w:rsidR="009A6275" w:rsidRPr="001720A8" w:rsidRDefault="009A6275" w:rsidP="00F467C8">
            <w:pPr>
              <w:rPr>
                <w:color w:val="000000"/>
                <w:sz w:val="14"/>
                <w:szCs w:val="14"/>
                <w:lang w:val="en-US" w:eastAsia="en-US"/>
              </w:rPr>
            </w:pPr>
            <w:r w:rsidRPr="001720A8">
              <w:rPr>
                <w:color w:val="000000"/>
                <w:sz w:val="14"/>
                <w:szCs w:val="14"/>
              </w:rPr>
              <w:t>G01A</w:t>
            </w:r>
          </w:p>
        </w:tc>
        <w:tc>
          <w:tcPr>
            <w:tcW w:w="5304" w:type="dxa"/>
            <w:tcBorders>
              <w:top w:val="nil"/>
              <w:left w:val="nil"/>
              <w:bottom w:val="nil"/>
              <w:right w:val="nil"/>
            </w:tcBorders>
            <w:shd w:val="clear" w:color="000000" w:fill="FFFFFF"/>
            <w:noWrap/>
            <w:hideMark/>
          </w:tcPr>
          <w:p w14:paraId="49DC5CEB" w14:textId="77777777" w:rsidR="009A6275" w:rsidRPr="001720A8" w:rsidRDefault="009A6275" w:rsidP="00F467C8">
            <w:pPr>
              <w:rPr>
                <w:color w:val="000000"/>
                <w:sz w:val="14"/>
                <w:szCs w:val="14"/>
                <w:lang w:val="en-US" w:eastAsia="en-US"/>
              </w:rPr>
            </w:pPr>
            <w:r w:rsidRPr="001720A8">
              <w:rPr>
                <w:color w:val="000000"/>
                <w:sz w:val="14"/>
                <w:szCs w:val="14"/>
              </w:rPr>
              <w:t>Rectal Resection, Major Complexity</w:t>
            </w:r>
          </w:p>
        </w:tc>
        <w:tc>
          <w:tcPr>
            <w:tcW w:w="761" w:type="dxa"/>
            <w:tcBorders>
              <w:top w:val="nil"/>
              <w:left w:val="nil"/>
              <w:bottom w:val="nil"/>
              <w:right w:val="nil"/>
            </w:tcBorders>
            <w:shd w:val="clear" w:color="000000" w:fill="FFFFFF"/>
            <w:noWrap/>
            <w:hideMark/>
          </w:tcPr>
          <w:p w14:paraId="25E57C8A"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2.38</w:t>
            </w:r>
          </w:p>
        </w:tc>
        <w:tc>
          <w:tcPr>
            <w:tcW w:w="968" w:type="dxa"/>
            <w:tcBorders>
              <w:top w:val="nil"/>
              <w:left w:val="nil"/>
              <w:bottom w:val="nil"/>
              <w:right w:val="nil"/>
            </w:tcBorders>
            <w:shd w:val="clear" w:color="000000" w:fill="FFFFFF"/>
            <w:noWrap/>
            <w:hideMark/>
          </w:tcPr>
          <w:p w14:paraId="6FE77373" w14:textId="77777777" w:rsidR="009A6275" w:rsidRPr="001720A8" w:rsidRDefault="009A6275" w:rsidP="00F467C8">
            <w:pPr>
              <w:jc w:val="right"/>
              <w:rPr>
                <w:color w:val="000000"/>
                <w:sz w:val="14"/>
                <w:szCs w:val="14"/>
                <w:lang w:val="en-US" w:eastAsia="en-US"/>
              </w:rPr>
            </w:pPr>
            <w:r w:rsidRPr="001720A8">
              <w:rPr>
                <w:color w:val="000000"/>
                <w:sz w:val="14"/>
                <w:szCs w:val="14"/>
              </w:rPr>
              <w:t>285</w:t>
            </w:r>
          </w:p>
        </w:tc>
        <w:tc>
          <w:tcPr>
            <w:tcW w:w="797" w:type="dxa"/>
            <w:tcBorders>
              <w:top w:val="nil"/>
              <w:left w:val="nil"/>
              <w:bottom w:val="nil"/>
              <w:right w:val="nil"/>
            </w:tcBorders>
            <w:shd w:val="clear" w:color="000000" w:fill="FFFFFF"/>
            <w:noWrap/>
            <w:hideMark/>
          </w:tcPr>
          <w:p w14:paraId="1D450142" w14:textId="77777777" w:rsidR="009A6275" w:rsidRPr="001720A8" w:rsidRDefault="009A6275" w:rsidP="00F467C8">
            <w:pPr>
              <w:jc w:val="right"/>
              <w:rPr>
                <w:color w:val="000000"/>
                <w:sz w:val="14"/>
                <w:szCs w:val="14"/>
                <w:lang w:val="en-US" w:eastAsia="en-US"/>
              </w:rPr>
            </w:pPr>
            <w:r w:rsidRPr="001720A8">
              <w:rPr>
                <w:color w:val="000000"/>
                <w:sz w:val="14"/>
                <w:szCs w:val="14"/>
              </w:rPr>
              <w:t>14.00</w:t>
            </w:r>
          </w:p>
        </w:tc>
        <w:tc>
          <w:tcPr>
            <w:tcW w:w="725" w:type="dxa"/>
            <w:tcBorders>
              <w:top w:val="nil"/>
              <w:left w:val="nil"/>
              <w:bottom w:val="nil"/>
              <w:right w:val="nil"/>
            </w:tcBorders>
            <w:shd w:val="clear" w:color="000000" w:fill="FFFFFF"/>
            <w:noWrap/>
            <w:hideMark/>
          </w:tcPr>
          <w:p w14:paraId="7B4E0BD4" w14:textId="77777777" w:rsidR="009A6275" w:rsidRPr="001720A8" w:rsidRDefault="009A6275" w:rsidP="00F467C8">
            <w:pPr>
              <w:jc w:val="right"/>
              <w:rPr>
                <w:color w:val="000000"/>
                <w:sz w:val="14"/>
                <w:szCs w:val="14"/>
                <w:lang w:val="en-US" w:eastAsia="en-US"/>
              </w:rPr>
            </w:pPr>
            <w:r w:rsidRPr="001720A8">
              <w:rPr>
                <w:color w:val="000000"/>
                <w:sz w:val="14"/>
                <w:szCs w:val="14"/>
              </w:rPr>
              <w:t>32.1</w:t>
            </w:r>
          </w:p>
        </w:tc>
        <w:tc>
          <w:tcPr>
            <w:tcW w:w="645" w:type="dxa"/>
            <w:tcBorders>
              <w:top w:val="nil"/>
              <w:left w:val="single" w:sz="4" w:space="0" w:color="000000"/>
              <w:bottom w:val="nil"/>
              <w:right w:val="nil"/>
            </w:tcBorders>
            <w:shd w:val="clear" w:color="000000" w:fill="FFFFFF"/>
            <w:noWrap/>
            <w:hideMark/>
          </w:tcPr>
          <w:p w14:paraId="7C28AF76" w14:textId="77777777" w:rsidR="009A6275" w:rsidRPr="001720A8" w:rsidRDefault="009A6275" w:rsidP="00F467C8">
            <w:pPr>
              <w:jc w:val="right"/>
              <w:rPr>
                <w:color w:val="000000"/>
                <w:sz w:val="14"/>
                <w:szCs w:val="14"/>
                <w:lang w:val="en-US" w:eastAsia="en-US"/>
              </w:rPr>
            </w:pPr>
            <w:r w:rsidRPr="001720A8">
              <w:rPr>
                <w:color w:val="000000"/>
                <w:sz w:val="14"/>
                <w:szCs w:val="14"/>
              </w:rPr>
              <w:t>17%</w:t>
            </w:r>
          </w:p>
        </w:tc>
        <w:tc>
          <w:tcPr>
            <w:tcW w:w="797" w:type="dxa"/>
            <w:tcBorders>
              <w:top w:val="nil"/>
              <w:left w:val="nil"/>
              <w:bottom w:val="nil"/>
              <w:right w:val="nil"/>
            </w:tcBorders>
            <w:shd w:val="clear" w:color="000000" w:fill="FFFFFF"/>
            <w:noWrap/>
            <w:hideMark/>
          </w:tcPr>
          <w:p w14:paraId="3FE02DFD" w14:textId="77777777" w:rsidR="009A6275" w:rsidRPr="001720A8" w:rsidRDefault="009A6275" w:rsidP="00F467C8">
            <w:pPr>
              <w:jc w:val="right"/>
              <w:rPr>
                <w:color w:val="000000"/>
                <w:sz w:val="14"/>
                <w:szCs w:val="14"/>
                <w:lang w:val="en-US" w:eastAsia="en-US"/>
              </w:rPr>
            </w:pPr>
            <w:r w:rsidRPr="001720A8">
              <w:rPr>
                <w:color w:val="000000"/>
                <w:sz w:val="14"/>
                <w:szCs w:val="14"/>
              </w:rPr>
              <w:t>25%</w:t>
            </w:r>
          </w:p>
        </w:tc>
        <w:tc>
          <w:tcPr>
            <w:tcW w:w="814" w:type="dxa"/>
            <w:tcBorders>
              <w:top w:val="nil"/>
              <w:left w:val="nil"/>
              <w:bottom w:val="nil"/>
              <w:right w:val="nil"/>
            </w:tcBorders>
            <w:shd w:val="clear" w:color="000000" w:fill="FFFFFF"/>
            <w:noWrap/>
            <w:hideMark/>
          </w:tcPr>
          <w:p w14:paraId="165120F3" w14:textId="77777777" w:rsidR="009A6275" w:rsidRPr="001720A8" w:rsidRDefault="009A6275" w:rsidP="00F467C8">
            <w:pPr>
              <w:jc w:val="right"/>
              <w:rPr>
                <w:color w:val="000000"/>
                <w:sz w:val="14"/>
                <w:szCs w:val="14"/>
                <w:lang w:val="en-US" w:eastAsia="en-US"/>
              </w:rPr>
            </w:pPr>
            <w:r w:rsidRPr="001720A8">
              <w:rPr>
                <w:color w:val="000000"/>
                <w:sz w:val="14"/>
                <w:szCs w:val="14"/>
              </w:rPr>
              <w:t>4%</w:t>
            </w:r>
          </w:p>
        </w:tc>
        <w:tc>
          <w:tcPr>
            <w:tcW w:w="845" w:type="dxa"/>
            <w:tcBorders>
              <w:top w:val="nil"/>
              <w:left w:val="nil"/>
              <w:bottom w:val="nil"/>
              <w:right w:val="nil"/>
            </w:tcBorders>
            <w:shd w:val="clear" w:color="000000" w:fill="FFFFFF"/>
            <w:noWrap/>
            <w:hideMark/>
          </w:tcPr>
          <w:p w14:paraId="4169BC2E" w14:textId="77777777" w:rsidR="009A6275" w:rsidRPr="001720A8" w:rsidRDefault="009A6275" w:rsidP="00F467C8">
            <w:pPr>
              <w:jc w:val="right"/>
              <w:rPr>
                <w:color w:val="000000"/>
                <w:sz w:val="14"/>
                <w:szCs w:val="14"/>
                <w:lang w:val="en-US" w:eastAsia="en-US"/>
              </w:rPr>
            </w:pPr>
            <w:r w:rsidRPr="001720A8">
              <w:rPr>
                <w:color w:val="000000"/>
                <w:sz w:val="14"/>
                <w:szCs w:val="14"/>
              </w:rPr>
              <w:t>54%</w:t>
            </w:r>
          </w:p>
        </w:tc>
        <w:tc>
          <w:tcPr>
            <w:tcW w:w="761" w:type="dxa"/>
            <w:tcBorders>
              <w:top w:val="nil"/>
              <w:left w:val="single" w:sz="4" w:space="0" w:color="auto"/>
              <w:bottom w:val="nil"/>
              <w:right w:val="nil"/>
            </w:tcBorders>
            <w:shd w:val="clear" w:color="000000" w:fill="FFFFFF"/>
            <w:noWrap/>
            <w:hideMark/>
          </w:tcPr>
          <w:p w14:paraId="10650981" w14:textId="77777777" w:rsidR="009A6275" w:rsidRPr="001720A8" w:rsidRDefault="009A6275" w:rsidP="00F467C8">
            <w:pPr>
              <w:jc w:val="right"/>
              <w:rPr>
                <w:color w:val="000000"/>
                <w:sz w:val="14"/>
                <w:szCs w:val="14"/>
                <w:lang w:val="en-US" w:eastAsia="en-US"/>
              </w:rPr>
            </w:pPr>
            <w:r w:rsidRPr="001720A8">
              <w:rPr>
                <w:color w:val="000000"/>
                <w:sz w:val="14"/>
                <w:szCs w:val="14"/>
              </w:rPr>
              <w:t>1.82</w:t>
            </w:r>
          </w:p>
        </w:tc>
        <w:tc>
          <w:tcPr>
            <w:tcW w:w="761" w:type="dxa"/>
            <w:tcBorders>
              <w:top w:val="nil"/>
              <w:left w:val="nil"/>
              <w:bottom w:val="nil"/>
              <w:right w:val="nil"/>
            </w:tcBorders>
            <w:shd w:val="clear" w:color="000000" w:fill="FFFFFF"/>
            <w:noWrap/>
            <w:hideMark/>
          </w:tcPr>
          <w:p w14:paraId="0F2A56B5"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25 </w:t>
            </w:r>
          </w:p>
        </w:tc>
      </w:tr>
      <w:tr w:rsidR="009A6275" w:rsidRPr="00E4527E" w14:paraId="69BEEC68" w14:textId="77777777" w:rsidTr="00F467C8">
        <w:trPr>
          <w:trHeight w:hRule="exact" w:val="284"/>
        </w:trPr>
        <w:tc>
          <w:tcPr>
            <w:tcW w:w="689" w:type="dxa"/>
            <w:tcBorders>
              <w:top w:val="nil"/>
              <w:left w:val="nil"/>
              <w:bottom w:val="nil"/>
              <w:right w:val="nil"/>
            </w:tcBorders>
            <w:shd w:val="clear" w:color="000000" w:fill="FFFFFF"/>
            <w:noWrap/>
            <w:hideMark/>
          </w:tcPr>
          <w:p w14:paraId="386F3584"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1D64DFA6" w14:textId="77777777" w:rsidR="009A6275" w:rsidRPr="001720A8" w:rsidRDefault="009A6275" w:rsidP="00F467C8">
            <w:pPr>
              <w:jc w:val="center"/>
              <w:rPr>
                <w:color w:val="000000"/>
                <w:sz w:val="14"/>
                <w:szCs w:val="14"/>
                <w:lang w:val="en-US" w:eastAsia="en-US"/>
              </w:rPr>
            </w:pPr>
            <w:r w:rsidRPr="001720A8">
              <w:rPr>
                <w:color w:val="000000"/>
                <w:sz w:val="14"/>
                <w:szCs w:val="14"/>
              </w:rPr>
              <w:t>14</w:t>
            </w:r>
          </w:p>
        </w:tc>
        <w:tc>
          <w:tcPr>
            <w:tcW w:w="574" w:type="dxa"/>
            <w:tcBorders>
              <w:top w:val="nil"/>
              <w:left w:val="nil"/>
              <w:bottom w:val="nil"/>
              <w:right w:val="nil"/>
            </w:tcBorders>
            <w:shd w:val="clear" w:color="000000" w:fill="FFFFFF"/>
            <w:noWrap/>
            <w:hideMark/>
          </w:tcPr>
          <w:p w14:paraId="41E49CDA" w14:textId="77777777" w:rsidR="009A6275" w:rsidRPr="001720A8" w:rsidRDefault="009A6275" w:rsidP="00F467C8">
            <w:pPr>
              <w:rPr>
                <w:color w:val="000000"/>
                <w:sz w:val="14"/>
                <w:szCs w:val="14"/>
                <w:lang w:val="en-US" w:eastAsia="en-US"/>
              </w:rPr>
            </w:pPr>
            <w:r w:rsidRPr="001720A8">
              <w:rPr>
                <w:color w:val="000000"/>
                <w:sz w:val="14"/>
                <w:szCs w:val="14"/>
              </w:rPr>
              <w:t>F03B</w:t>
            </w:r>
          </w:p>
        </w:tc>
        <w:tc>
          <w:tcPr>
            <w:tcW w:w="5304" w:type="dxa"/>
            <w:tcBorders>
              <w:top w:val="nil"/>
              <w:left w:val="nil"/>
              <w:bottom w:val="nil"/>
              <w:right w:val="nil"/>
            </w:tcBorders>
            <w:shd w:val="clear" w:color="000000" w:fill="FFFFFF"/>
            <w:noWrap/>
            <w:hideMark/>
          </w:tcPr>
          <w:p w14:paraId="7A621DD9" w14:textId="77777777" w:rsidR="009A6275" w:rsidRPr="001720A8" w:rsidRDefault="009A6275" w:rsidP="00F467C8">
            <w:pPr>
              <w:rPr>
                <w:color w:val="000000"/>
                <w:sz w:val="14"/>
                <w:szCs w:val="14"/>
                <w:lang w:val="en-US" w:eastAsia="en-US"/>
              </w:rPr>
            </w:pPr>
            <w:r w:rsidRPr="001720A8">
              <w:rPr>
                <w:color w:val="000000"/>
                <w:sz w:val="14"/>
                <w:szCs w:val="14"/>
              </w:rPr>
              <w:t>Cardiac Valve Procedures W CPB Pump W Invasive Cardiac Investigation, Minor Comp</w:t>
            </w:r>
          </w:p>
        </w:tc>
        <w:tc>
          <w:tcPr>
            <w:tcW w:w="761" w:type="dxa"/>
            <w:tcBorders>
              <w:top w:val="nil"/>
              <w:left w:val="nil"/>
              <w:bottom w:val="nil"/>
              <w:right w:val="nil"/>
            </w:tcBorders>
            <w:shd w:val="clear" w:color="000000" w:fill="FFFFFF"/>
            <w:noWrap/>
            <w:hideMark/>
          </w:tcPr>
          <w:p w14:paraId="2120190D"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2.24</w:t>
            </w:r>
          </w:p>
        </w:tc>
        <w:tc>
          <w:tcPr>
            <w:tcW w:w="968" w:type="dxa"/>
            <w:tcBorders>
              <w:top w:val="nil"/>
              <w:left w:val="nil"/>
              <w:bottom w:val="nil"/>
              <w:right w:val="nil"/>
            </w:tcBorders>
            <w:shd w:val="clear" w:color="000000" w:fill="FFFFFF"/>
            <w:noWrap/>
            <w:hideMark/>
          </w:tcPr>
          <w:p w14:paraId="676DCE14" w14:textId="77777777" w:rsidR="009A6275" w:rsidRPr="001720A8" w:rsidRDefault="009A6275" w:rsidP="00F467C8">
            <w:pPr>
              <w:jc w:val="right"/>
              <w:rPr>
                <w:color w:val="000000"/>
                <w:sz w:val="14"/>
                <w:szCs w:val="14"/>
                <w:lang w:val="en-US" w:eastAsia="en-US"/>
              </w:rPr>
            </w:pPr>
            <w:r w:rsidRPr="001720A8">
              <w:rPr>
                <w:color w:val="000000"/>
                <w:sz w:val="14"/>
                <w:szCs w:val="14"/>
              </w:rPr>
              <w:t>351</w:t>
            </w:r>
          </w:p>
        </w:tc>
        <w:tc>
          <w:tcPr>
            <w:tcW w:w="797" w:type="dxa"/>
            <w:tcBorders>
              <w:top w:val="nil"/>
              <w:left w:val="nil"/>
              <w:bottom w:val="nil"/>
              <w:right w:val="nil"/>
            </w:tcBorders>
            <w:shd w:val="clear" w:color="000000" w:fill="FFFFFF"/>
            <w:noWrap/>
            <w:hideMark/>
          </w:tcPr>
          <w:p w14:paraId="7A87C49B" w14:textId="77777777" w:rsidR="009A6275" w:rsidRPr="001720A8" w:rsidRDefault="009A6275" w:rsidP="00F467C8">
            <w:pPr>
              <w:jc w:val="right"/>
              <w:rPr>
                <w:color w:val="000000"/>
                <w:sz w:val="14"/>
                <w:szCs w:val="14"/>
                <w:lang w:val="en-US" w:eastAsia="en-US"/>
              </w:rPr>
            </w:pPr>
            <w:r w:rsidRPr="001720A8">
              <w:rPr>
                <w:color w:val="000000"/>
                <w:sz w:val="14"/>
                <w:szCs w:val="14"/>
              </w:rPr>
              <w:t>9.96</w:t>
            </w:r>
          </w:p>
        </w:tc>
        <w:tc>
          <w:tcPr>
            <w:tcW w:w="725" w:type="dxa"/>
            <w:tcBorders>
              <w:top w:val="nil"/>
              <w:left w:val="nil"/>
              <w:bottom w:val="nil"/>
              <w:right w:val="nil"/>
            </w:tcBorders>
            <w:shd w:val="clear" w:color="000000" w:fill="FFFFFF"/>
            <w:noWrap/>
            <w:hideMark/>
          </w:tcPr>
          <w:p w14:paraId="458E6B5D" w14:textId="77777777" w:rsidR="009A6275" w:rsidRPr="001720A8" w:rsidRDefault="009A6275" w:rsidP="00F467C8">
            <w:pPr>
              <w:jc w:val="right"/>
              <w:rPr>
                <w:color w:val="000000"/>
                <w:sz w:val="14"/>
                <w:szCs w:val="14"/>
                <w:lang w:val="en-US" w:eastAsia="en-US"/>
              </w:rPr>
            </w:pPr>
            <w:r w:rsidRPr="001720A8">
              <w:rPr>
                <w:color w:val="000000"/>
                <w:sz w:val="14"/>
                <w:szCs w:val="14"/>
              </w:rPr>
              <w:t>12.5</w:t>
            </w:r>
          </w:p>
        </w:tc>
        <w:tc>
          <w:tcPr>
            <w:tcW w:w="645" w:type="dxa"/>
            <w:tcBorders>
              <w:top w:val="nil"/>
              <w:left w:val="single" w:sz="4" w:space="0" w:color="000000"/>
              <w:bottom w:val="nil"/>
              <w:right w:val="nil"/>
            </w:tcBorders>
            <w:shd w:val="clear" w:color="000000" w:fill="FFFFFF"/>
            <w:noWrap/>
            <w:hideMark/>
          </w:tcPr>
          <w:p w14:paraId="03B9AEC6" w14:textId="77777777" w:rsidR="009A6275" w:rsidRPr="001720A8" w:rsidRDefault="009A6275" w:rsidP="00F467C8">
            <w:pPr>
              <w:jc w:val="right"/>
              <w:rPr>
                <w:color w:val="000000"/>
                <w:sz w:val="14"/>
                <w:szCs w:val="14"/>
                <w:lang w:val="en-US" w:eastAsia="en-US"/>
              </w:rPr>
            </w:pPr>
            <w:r w:rsidRPr="001720A8">
              <w:rPr>
                <w:color w:val="000000"/>
                <w:sz w:val="14"/>
                <w:szCs w:val="14"/>
              </w:rPr>
              <w:t>22%</w:t>
            </w:r>
          </w:p>
        </w:tc>
        <w:tc>
          <w:tcPr>
            <w:tcW w:w="797" w:type="dxa"/>
            <w:tcBorders>
              <w:top w:val="nil"/>
              <w:left w:val="nil"/>
              <w:bottom w:val="nil"/>
              <w:right w:val="nil"/>
            </w:tcBorders>
            <w:shd w:val="clear" w:color="000000" w:fill="FFFFFF"/>
            <w:noWrap/>
            <w:hideMark/>
          </w:tcPr>
          <w:p w14:paraId="05728932" w14:textId="77777777" w:rsidR="009A6275" w:rsidRPr="001720A8" w:rsidRDefault="009A6275" w:rsidP="00F467C8">
            <w:pPr>
              <w:jc w:val="right"/>
              <w:rPr>
                <w:color w:val="000000"/>
                <w:sz w:val="14"/>
                <w:szCs w:val="14"/>
                <w:lang w:val="en-US" w:eastAsia="en-US"/>
              </w:rPr>
            </w:pPr>
            <w:r w:rsidRPr="001720A8">
              <w:rPr>
                <w:color w:val="000000"/>
                <w:sz w:val="14"/>
                <w:szCs w:val="14"/>
              </w:rPr>
              <w:t>27%</w:t>
            </w:r>
          </w:p>
        </w:tc>
        <w:tc>
          <w:tcPr>
            <w:tcW w:w="814" w:type="dxa"/>
            <w:tcBorders>
              <w:top w:val="nil"/>
              <w:left w:val="nil"/>
              <w:bottom w:val="nil"/>
              <w:right w:val="nil"/>
            </w:tcBorders>
            <w:shd w:val="clear" w:color="000000" w:fill="FFFFFF"/>
            <w:noWrap/>
            <w:hideMark/>
          </w:tcPr>
          <w:p w14:paraId="1605FD89" w14:textId="77777777" w:rsidR="009A6275" w:rsidRPr="001720A8" w:rsidRDefault="009A6275" w:rsidP="00F467C8">
            <w:pPr>
              <w:jc w:val="right"/>
              <w:rPr>
                <w:color w:val="000000"/>
                <w:sz w:val="14"/>
                <w:szCs w:val="14"/>
                <w:lang w:val="en-US" w:eastAsia="en-US"/>
              </w:rPr>
            </w:pPr>
            <w:r w:rsidRPr="001720A8">
              <w:rPr>
                <w:color w:val="000000"/>
                <w:sz w:val="14"/>
                <w:szCs w:val="14"/>
              </w:rPr>
              <w:t>19%</w:t>
            </w:r>
          </w:p>
        </w:tc>
        <w:tc>
          <w:tcPr>
            <w:tcW w:w="845" w:type="dxa"/>
            <w:tcBorders>
              <w:top w:val="nil"/>
              <w:left w:val="nil"/>
              <w:bottom w:val="nil"/>
              <w:right w:val="nil"/>
            </w:tcBorders>
            <w:shd w:val="clear" w:color="000000" w:fill="FFFFFF"/>
            <w:noWrap/>
            <w:hideMark/>
          </w:tcPr>
          <w:p w14:paraId="7EDC3759" w14:textId="77777777" w:rsidR="009A6275" w:rsidRPr="001720A8" w:rsidRDefault="009A6275" w:rsidP="00F467C8">
            <w:pPr>
              <w:jc w:val="right"/>
              <w:rPr>
                <w:color w:val="000000"/>
                <w:sz w:val="14"/>
                <w:szCs w:val="14"/>
                <w:lang w:val="en-US" w:eastAsia="en-US"/>
              </w:rPr>
            </w:pPr>
            <w:r w:rsidRPr="001720A8">
              <w:rPr>
                <w:color w:val="000000"/>
                <w:sz w:val="14"/>
                <w:szCs w:val="14"/>
              </w:rPr>
              <w:t>32%</w:t>
            </w:r>
          </w:p>
        </w:tc>
        <w:tc>
          <w:tcPr>
            <w:tcW w:w="761" w:type="dxa"/>
            <w:tcBorders>
              <w:top w:val="nil"/>
              <w:left w:val="single" w:sz="4" w:space="0" w:color="auto"/>
              <w:bottom w:val="nil"/>
              <w:right w:val="nil"/>
            </w:tcBorders>
            <w:shd w:val="clear" w:color="000000" w:fill="FFFFFF"/>
            <w:noWrap/>
            <w:hideMark/>
          </w:tcPr>
          <w:p w14:paraId="61445594" w14:textId="77777777" w:rsidR="009A6275" w:rsidRPr="001720A8" w:rsidRDefault="009A6275" w:rsidP="00F467C8">
            <w:pPr>
              <w:jc w:val="right"/>
              <w:rPr>
                <w:color w:val="000000"/>
                <w:sz w:val="14"/>
                <w:szCs w:val="14"/>
                <w:lang w:val="en-US" w:eastAsia="en-US"/>
              </w:rPr>
            </w:pPr>
            <w:r w:rsidRPr="001720A8">
              <w:rPr>
                <w:color w:val="000000"/>
                <w:sz w:val="14"/>
                <w:szCs w:val="14"/>
              </w:rPr>
              <w:t>2.32</w:t>
            </w:r>
          </w:p>
        </w:tc>
        <w:tc>
          <w:tcPr>
            <w:tcW w:w="761" w:type="dxa"/>
            <w:tcBorders>
              <w:top w:val="nil"/>
              <w:left w:val="nil"/>
              <w:bottom w:val="nil"/>
              <w:right w:val="nil"/>
            </w:tcBorders>
            <w:shd w:val="clear" w:color="000000" w:fill="FFFFFF"/>
            <w:noWrap/>
            <w:hideMark/>
          </w:tcPr>
          <w:p w14:paraId="1593FF89"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13 </w:t>
            </w:r>
          </w:p>
        </w:tc>
      </w:tr>
      <w:tr w:rsidR="009A6275" w:rsidRPr="00E4527E" w14:paraId="048005EC" w14:textId="77777777" w:rsidTr="00F467C8">
        <w:trPr>
          <w:trHeight w:hRule="exact" w:val="284"/>
        </w:trPr>
        <w:tc>
          <w:tcPr>
            <w:tcW w:w="689" w:type="dxa"/>
            <w:tcBorders>
              <w:top w:val="nil"/>
              <w:left w:val="nil"/>
              <w:bottom w:val="nil"/>
              <w:right w:val="nil"/>
            </w:tcBorders>
            <w:shd w:val="clear" w:color="000000" w:fill="FFFFFF"/>
            <w:noWrap/>
            <w:hideMark/>
          </w:tcPr>
          <w:p w14:paraId="5C80301D" w14:textId="77777777" w:rsidR="009A6275" w:rsidRPr="001720A8" w:rsidRDefault="009A6275" w:rsidP="00F467C8">
            <w:pPr>
              <w:jc w:val="center"/>
              <w:rPr>
                <w:color w:val="000000"/>
                <w:sz w:val="14"/>
                <w:szCs w:val="14"/>
                <w:lang w:val="en-US" w:eastAsia="en-US"/>
              </w:rPr>
            </w:pPr>
            <w:r w:rsidRPr="001720A8">
              <w:rPr>
                <w:color w:val="000000"/>
                <w:sz w:val="14"/>
                <w:szCs w:val="14"/>
              </w:rPr>
              <w:t>No</w:t>
            </w:r>
          </w:p>
        </w:tc>
        <w:tc>
          <w:tcPr>
            <w:tcW w:w="689" w:type="dxa"/>
            <w:tcBorders>
              <w:top w:val="nil"/>
              <w:left w:val="nil"/>
              <w:bottom w:val="nil"/>
              <w:right w:val="nil"/>
            </w:tcBorders>
            <w:shd w:val="clear" w:color="000000" w:fill="FFFFFF"/>
            <w:noWrap/>
            <w:hideMark/>
          </w:tcPr>
          <w:p w14:paraId="3CC2BCAD" w14:textId="77777777" w:rsidR="009A6275" w:rsidRPr="001720A8" w:rsidRDefault="009A6275" w:rsidP="00F467C8">
            <w:pPr>
              <w:jc w:val="center"/>
              <w:rPr>
                <w:color w:val="000000"/>
                <w:sz w:val="14"/>
                <w:szCs w:val="14"/>
                <w:lang w:val="en-US" w:eastAsia="en-US"/>
              </w:rPr>
            </w:pPr>
            <w:r w:rsidRPr="001720A8">
              <w:rPr>
                <w:color w:val="000000"/>
                <w:sz w:val="14"/>
                <w:szCs w:val="14"/>
              </w:rPr>
              <w:t>15</w:t>
            </w:r>
          </w:p>
        </w:tc>
        <w:tc>
          <w:tcPr>
            <w:tcW w:w="574" w:type="dxa"/>
            <w:tcBorders>
              <w:top w:val="nil"/>
              <w:left w:val="nil"/>
              <w:bottom w:val="nil"/>
              <w:right w:val="nil"/>
            </w:tcBorders>
            <w:shd w:val="clear" w:color="000000" w:fill="FFFFFF"/>
            <w:noWrap/>
            <w:hideMark/>
          </w:tcPr>
          <w:p w14:paraId="15CD0128" w14:textId="77777777" w:rsidR="009A6275" w:rsidRPr="001720A8" w:rsidRDefault="009A6275" w:rsidP="00F467C8">
            <w:pPr>
              <w:rPr>
                <w:color w:val="000000"/>
                <w:sz w:val="14"/>
                <w:szCs w:val="14"/>
                <w:lang w:val="en-US" w:eastAsia="en-US"/>
              </w:rPr>
            </w:pPr>
            <w:r w:rsidRPr="001720A8">
              <w:rPr>
                <w:color w:val="000000"/>
                <w:sz w:val="14"/>
                <w:szCs w:val="14"/>
              </w:rPr>
              <w:t>F11A</w:t>
            </w:r>
          </w:p>
        </w:tc>
        <w:tc>
          <w:tcPr>
            <w:tcW w:w="5304" w:type="dxa"/>
            <w:tcBorders>
              <w:top w:val="nil"/>
              <w:left w:val="nil"/>
              <w:bottom w:val="nil"/>
              <w:right w:val="nil"/>
            </w:tcBorders>
            <w:shd w:val="clear" w:color="000000" w:fill="FFFFFF"/>
            <w:noWrap/>
            <w:hideMark/>
          </w:tcPr>
          <w:p w14:paraId="74B219DE" w14:textId="77777777" w:rsidR="009A6275" w:rsidRPr="001720A8" w:rsidRDefault="009A6275" w:rsidP="00F467C8">
            <w:pPr>
              <w:rPr>
                <w:color w:val="000000"/>
                <w:sz w:val="14"/>
                <w:szCs w:val="14"/>
                <w:lang w:val="en-US" w:eastAsia="en-US"/>
              </w:rPr>
            </w:pPr>
            <w:r w:rsidRPr="001720A8">
              <w:rPr>
                <w:color w:val="000000"/>
                <w:sz w:val="14"/>
                <w:szCs w:val="14"/>
              </w:rPr>
              <w:t>Amputation, Except Upper Limb and Toe, for Circulatory Disorders, Major Comp</w:t>
            </w:r>
          </w:p>
        </w:tc>
        <w:tc>
          <w:tcPr>
            <w:tcW w:w="761" w:type="dxa"/>
            <w:tcBorders>
              <w:top w:val="nil"/>
              <w:left w:val="nil"/>
              <w:bottom w:val="nil"/>
              <w:right w:val="nil"/>
            </w:tcBorders>
            <w:shd w:val="clear" w:color="000000" w:fill="FFFFFF"/>
            <w:noWrap/>
            <w:hideMark/>
          </w:tcPr>
          <w:p w14:paraId="6F975EA5"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2.22</w:t>
            </w:r>
          </w:p>
        </w:tc>
        <w:tc>
          <w:tcPr>
            <w:tcW w:w="968" w:type="dxa"/>
            <w:tcBorders>
              <w:top w:val="nil"/>
              <w:left w:val="nil"/>
              <w:bottom w:val="nil"/>
              <w:right w:val="nil"/>
            </w:tcBorders>
            <w:shd w:val="clear" w:color="000000" w:fill="FFFFFF"/>
            <w:noWrap/>
            <w:hideMark/>
          </w:tcPr>
          <w:p w14:paraId="1D16C9AB" w14:textId="77777777" w:rsidR="009A6275" w:rsidRPr="001720A8" w:rsidRDefault="009A6275" w:rsidP="00F467C8">
            <w:pPr>
              <w:jc w:val="right"/>
              <w:rPr>
                <w:color w:val="000000"/>
                <w:sz w:val="14"/>
                <w:szCs w:val="14"/>
                <w:lang w:val="en-US" w:eastAsia="en-US"/>
              </w:rPr>
            </w:pPr>
            <w:r w:rsidRPr="001720A8">
              <w:rPr>
                <w:color w:val="000000"/>
                <w:sz w:val="14"/>
                <w:szCs w:val="14"/>
              </w:rPr>
              <w:t>62</w:t>
            </w:r>
          </w:p>
        </w:tc>
        <w:tc>
          <w:tcPr>
            <w:tcW w:w="797" w:type="dxa"/>
            <w:tcBorders>
              <w:top w:val="nil"/>
              <w:left w:val="nil"/>
              <w:bottom w:val="nil"/>
              <w:right w:val="nil"/>
            </w:tcBorders>
            <w:shd w:val="clear" w:color="000000" w:fill="FFFFFF"/>
            <w:noWrap/>
            <w:hideMark/>
          </w:tcPr>
          <w:p w14:paraId="0E4363FD" w14:textId="77777777" w:rsidR="009A6275" w:rsidRPr="001720A8" w:rsidRDefault="009A6275" w:rsidP="00F467C8">
            <w:pPr>
              <w:jc w:val="right"/>
              <w:rPr>
                <w:color w:val="000000"/>
                <w:sz w:val="14"/>
                <w:szCs w:val="14"/>
                <w:lang w:val="en-US" w:eastAsia="en-US"/>
              </w:rPr>
            </w:pPr>
            <w:r w:rsidRPr="001720A8">
              <w:rPr>
                <w:color w:val="000000"/>
                <w:sz w:val="14"/>
                <w:szCs w:val="14"/>
              </w:rPr>
              <w:t>15.16</w:t>
            </w:r>
          </w:p>
        </w:tc>
        <w:tc>
          <w:tcPr>
            <w:tcW w:w="725" w:type="dxa"/>
            <w:tcBorders>
              <w:top w:val="nil"/>
              <w:left w:val="nil"/>
              <w:bottom w:val="nil"/>
              <w:right w:val="nil"/>
            </w:tcBorders>
            <w:shd w:val="clear" w:color="000000" w:fill="FFFFFF"/>
            <w:noWrap/>
            <w:hideMark/>
          </w:tcPr>
          <w:p w14:paraId="4A5FA399" w14:textId="77777777" w:rsidR="009A6275" w:rsidRPr="001720A8" w:rsidRDefault="009A6275" w:rsidP="00F467C8">
            <w:pPr>
              <w:jc w:val="right"/>
              <w:rPr>
                <w:color w:val="000000"/>
                <w:sz w:val="14"/>
                <w:szCs w:val="14"/>
                <w:lang w:val="en-US" w:eastAsia="en-US"/>
              </w:rPr>
            </w:pPr>
            <w:r w:rsidRPr="001720A8">
              <w:rPr>
                <w:color w:val="000000"/>
                <w:sz w:val="14"/>
                <w:szCs w:val="14"/>
              </w:rPr>
              <w:t>46.5</w:t>
            </w:r>
          </w:p>
        </w:tc>
        <w:tc>
          <w:tcPr>
            <w:tcW w:w="645" w:type="dxa"/>
            <w:tcBorders>
              <w:top w:val="nil"/>
              <w:left w:val="single" w:sz="4" w:space="0" w:color="000000"/>
              <w:bottom w:val="nil"/>
              <w:right w:val="nil"/>
            </w:tcBorders>
            <w:shd w:val="clear" w:color="000000" w:fill="FFFFFF"/>
            <w:noWrap/>
            <w:hideMark/>
          </w:tcPr>
          <w:p w14:paraId="5213F162" w14:textId="77777777" w:rsidR="009A6275" w:rsidRPr="001720A8" w:rsidRDefault="009A6275" w:rsidP="00F467C8">
            <w:pPr>
              <w:jc w:val="right"/>
              <w:rPr>
                <w:color w:val="000000"/>
                <w:sz w:val="14"/>
                <w:szCs w:val="14"/>
                <w:lang w:val="en-US" w:eastAsia="en-US"/>
              </w:rPr>
            </w:pPr>
            <w:r w:rsidRPr="001720A8">
              <w:rPr>
                <w:color w:val="000000"/>
                <w:sz w:val="14"/>
                <w:szCs w:val="14"/>
              </w:rPr>
              <w:t>15%</w:t>
            </w:r>
          </w:p>
        </w:tc>
        <w:tc>
          <w:tcPr>
            <w:tcW w:w="797" w:type="dxa"/>
            <w:tcBorders>
              <w:top w:val="nil"/>
              <w:left w:val="nil"/>
              <w:bottom w:val="nil"/>
              <w:right w:val="nil"/>
            </w:tcBorders>
            <w:shd w:val="clear" w:color="000000" w:fill="FFFFFF"/>
            <w:noWrap/>
            <w:hideMark/>
          </w:tcPr>
          <w:p w14:paraId="62201D68" w14:textId="77777777" w:rsidR="009A6275" w:rsidRPr="001720A8" w:rsidRDefault="009A6275" w:rsidP="00F467C8">
            <w:pPr>
              <w:jc w:val="right"/>
              <w:rPr>
                <w:color w:val="000000"/>
                <w:sz w:val="14"/>
                <w:szCs w:val="14"/>
                <w:lang w:val="en-US" w:eastAsia="en-US"/>
              </w:rPr>
            </w:pPr>
            <w:r w:rsidRPr="001720A8">
              <w:rPr>
                <w:color w:val="000000"/>
                <w:sz w:val="14"/>
                <w:szCs w:val="14"/>
              </w:rPr>
              <w:t>11%</w:t>
            </w:r>
          </w:p>
        </w:tc>
        <w:tc>
          <w:tcPr>
            <w:tcW w:w="814" w:type="dxa"/>
            <w:tcBorders>
              <w:top w:val="nil"/>
              <w:left w:val="nil"/>
              <w:bottom w:val="nil"/>
              <w:right w:val="nil"/>
            </w:tcBorders>
            <w:shd w:val="clear" w:color="000000" w:fill="FFFFFF"/>
            <w:noWrap/>
            <w:hideMark/>
          </w:tcPr>
          <w:p w14:paraId="051512B3" w14:textId="77777777" w:rsidR="009A6275" w:rsidRPr="001720A8" w:rsidRDefault="009A6275" w:rsidP="00F467C8">
            <w:pPr>
              <w:jc w:val="right"/>
              <w:rPr>
                <w:color w:val="000000"/>
                <w:sz w:val="14"/>
                <w:szCs w:val="14"/>
                <w:lang w:val="en-US" w:eastAsia="en-US"/>
              </w:rPr>
            </w:pPr>
            <w:r w:rsidRPr="001720A8">
              <w:rPr>
                <w:color w:val="000000"/>
                <w:sz w:val="14"/>
                <w:szCs w:val="14"/>
              </w:rPr>
              <w:t>3%</w:t>
            </w:r>
          </w:p>
        </w:tc>
        <w:tc>
          <w:tcPr>
            <w:tcW w:w="845" w:type="dxa"/>
            <w:tcBorders>
              <w:top w:val="nil"/>
              <w:left w:val="nil"/>
              <w:bottom w:val="nil"/>
              <w:right w:val="nil"/>
            </w:tcBorders>
            <w:shd w:val="clear" w:color="000000" w:fill="FFFFFF"/>
            <w:noWrap/>
            <w:hideMark/>
          </w:tcPr>
          <w:p w14:paraId="147B106E" w14:textId="77777777" w:rsidR="009A6275" w:rsidRPr="001720A8" w:rsidRDefault="009A6275" w:rsidP="00F467C8">
            <w:pPr>
              <w:jc w:val="right"/>
              <w:rPr>
                <w:color w:val="000000"/>
                <w:sz w:val="14"/>
                <w:szCs w:val="14"/>
                <w:lang w:val="en-US" w:eastAsia="en-US"/>
              </w:rPr>
            </w:pPr>
            <w:r w:rsidRPr="001720A8">
              <w:rPr>
                <w:color w:val="000000"/>
                <w:sz w:val="14"/>
                <w:szCs w:val="14"/>
              </w:rPr>
              <w:t>72%</w:t>
            </w:r>
          </w:p>
        </w:tc>
        <w:tc>
          <w:tcPr>
            <w:tcW w:w="761" w:type="dxa"/>
            <w:tcBorders>
              <w:top w:val="nil"/>
              <w:left w:val="single" w:sz="4" w:space="0" w:color="auto"/>
              <w:bottom w:val="nil"/>
              <w:right w:val="nil"/>
            </w:tcBorders>
            <w:shd w:val="clear" w:color="000000" w:fill="FFFFFF"/>
            <w:noWrap/>
            <w:hideMark/>
          </w:tcPr>
          <w:p w14:paraId="503216AA" w14:textId="77777777" w:rsidR="009A6275" w:rsidRPr="001720A8" w:rsidRDefault="009A6275" w:rsidP="00F467C8">
            <w:pPr>
              <w:jc w:val="right"/>
              <w:rPr>
                <w:color w:val="000000"/>
                <w:sz w:val="14"/>
                <w:szCs w:val="14"/>
                <w:lang w:val="en-US" w:eastAsia="en-US"/>
              </w:rPr>
            </w:pPr>
            <w:r w:rsidRPr="001720A8">
              <w:rPr>
                <w:color w:val="000000"/>
                <w:sz w:val="14"/>
                <w:szCs w:val="14"/>
              </w:rPr>
              <w:t>1.58</w:t>
            </w:r>
          </w:p>
        </w:tc>
        <w:tc>
          <w:tcPr>
            <w:tcW w:w="761" w:type="dxa"/>
            <w:tcBorders>
              <w:top w:val="nil"/>
              <w:left w:val="nil"/>
              <w:bottom w:val="nil"/>
              <w:right w:val="nil"/>
            </w:tcBorders>
            <w:shd w:val="clear" w:color="000000" w:fill="FFFFFF"/>
            <w:noWrap/>
            <w:hideMark/>
          </w:tcPr>
          <w:p w14:paraId="2C9C5545"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38 </w:t>
            </w:r>
          </w:p>
        </w:tc>
      </w:tr>
      <w:tr w:rsidR="009A6275" w:rsidRPr="00E4527E" w14:paraId="5D9EDCAF" w14:textId="77777777" w:rsidTr="00F467C8">
        <w:trPr>
          <w:trHeight w:hRule="exact" w:val="284"/>
        </w:trPr>
        <w:tc>
          <w:tcPr>
            <w:tcW w:w="689" w:type="dxa"/>
            <w:tcBorders>
              <w:top w:val="nil"/>
              <w:left w:val="nil"/>
              <w:bottom w:val="nil"/>
              <w:right w:val="nil"/>
            </w:tcBorders>
            <w:shd w:val="clear" w:color="000000" w:fill="FFFFFF"/>
            <w:noWrap/>
            <w:hideMark/>
          </w:tcPr>
          <w:p w14:paraId="3E6FD7A5"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63B0B586" w14:textId="77777777" w:rsidR="009A6275" w:rsidRPr="001720A8" w:rsidRDefault="009A6275" w:rsidP="00F467C8">
            <w:pPr>
              <w:jc w:val="center"/>
              <w:rPr>
                <w:color w:val="000000"/>
                <w:sz w:val="14"/>
                <w:szCs w:val="14"/>
                <w:lang w:val="en-US" w:eastAsia="en-US"/>
              </w:rPr>
            </w:pPr>
            <w:r w:rsidRPr="001720A8">
              <w:rPr>
                <w:color w:val="000000"/>
                <w:sz w:val="14"/>
                <w:szCs w:val="14"/>
              </w:rPr>
              <w:t>16</w:t>
            </w:r>
          </w:p>
        </w:tc>
        <w:tc>
          <w:tcPr>
            <w:tcW w:w="574" w:type="dxa"/>
            <w:tcBorders>
              <w:top w:val="nil"/>
              <w:left w:val="nil"/>
              <w:bottom w:val="nil"/>
              <w:right w:val="nil"/>
            </w:tcBorders>
            <w:shd w:val="clear" w:color="000000" w:fill="FFFFFF"/>
            <w:noWrap/>
            <w:hideMark/>
          </w:tcPr>
          <w:p w14:paraId="0D30B4B1" w14:textId="77777777" w:rsidR="009A6275" w:rsidRPr="001720A8" w:rsidRDefault="009A6275" w:rsidP="00F467C8">
            <w:pPr>
              <w:rPr>
                <w:color w:val="000000"/>
                <w:sz w:val="14"/>
                <w:szCs w:val="14"/>
                <w:lang w:val="en-US" w:eastAsia="en-US"/>
              </w:rPr>
            </w:pPr>
            <w:r w:rsidRPr="001720A8">
              <w:rPr>
                <w:color w:val="000000"/>
                <w:sz w:val="14"/>
                <w:szCs w:val="14"/>
              </w:rPr>
              <w:t>F04A</w:t>
            </w:r>
          </w:p>
        </w:tc>
        <w:tc>
          <w:tcPr>
            <w:tcW w:w="5304" w:type="dxa"/>
            <w:tcBorders>
              <w:top w:val="nil"/>
              <w:left w:val="nil"/>
              <w:bottom w:val="nil"/>
              <w:right w:val="nil"/>
            </w:tcBorders>
            <w:shd w:val="clear" w:color="000000" w:fill="FFFFFF"/>
            <w:noWrap/>
            <w:hideMark/>
          </w:tcPr>
          <w:p w14:paraId="2090AA11" w14:textId="77777777" w:rsidR="009A6275" w:rsidRPr="001720A8" w:rsidRDefault="009A6275" w:rsidP="00F467C8">
            <w:pPr>
              <w:rPr>
                <w:color w:val="000000"/>
                <w:sz w:val="14"/>
                <w:szCs w:val="14"/>
                <w:lang w:val="en-US" w:eastAsia="en-US"/>
              </w:rPr>
            </w:pPr>
            <w:r w:rsidRPr="001720A8">
              <w:rPr>
                <w:color w:val="000000"/>
                <w:sz w:val="14"/>
                <w:szCs w:val="14"/>
              </w:rPr>
              <w:t>Cardiac Valve Procedures W CPB Pump W/O Invasive Cardiac Invest, Major Comp</w:t>
            </w:r>
          </w:p>
        </w:tc>
        <w:tc>
          <w:tcPr>
            <w:tcW w:w="761" w:type="dxa"/>
            <w:tcBorders>
              <w:top w:val="nil"/>
              <w:left w:val="nil"/>
              <w:bottom w:val="nil"/>
              <w:right w:val="nil"/>
            </w:tcBorders>
            <w:shd w:val="clear" w:color="000000" w:fill="FFFFFF"/>
            <w:noWrap/>
            <w:hideMark/>
          </w:tcPr>
          <w:p w14:paraId="68D917C1"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2.22</w:t>
            </w:r>
          </w:p>
        </w:tc>
        <w:tc>
          <w:tcPr>
            <w:tcW w:w="968" w:type="dxa"/>
            <w:tcBorders>
              <w:top w:val="nil"/>
              <w:left w:val="nil"/>
              <w:bottom w:val="nil"/>
              <w:right w:val="nil"/>
            </w:tcBorders>
            <w:shd w:val="clear" w:color="000000" w:fill="FFFFFF"/>
            <w:noWrap/>
            <w:hideMark/>
          </w:tcPr>
          <w:p w14:paraId="6B712F30" w14:textId="77777777" w:rsidR="009A6275" w:rsidRPr="001720A8" w:rsidRDefault="009A6275" w:rsidP="00F467C8">
            <w:pPr>
              <w:jc w:val="right"/>
              <w:rPr>
                <w:color w:val="000000"/>
                <w:sz w:val="14"/>
                <w:szCs w:val="14"/>
                <w:lang w:val="en-US" w:eastAsia="en-US"/>
              </w:rPr>
            </w:pPr>
            <w:r w:rsidRPr="001720A8">
              <w:rPr>
                <w:color w:val="000000"/>
                <w:sz w:val="14"/>
                <w:szCs w:val="14"/>
              </w:rPr>
              <w:t>177</w:t>
            </w:r>
          </w:p>
        </w:tc>
        <w:tc>
          <w:tcPr>
            <w:tcW w:w="797" w:type="dxa"/>
            <w:tcBorders>
              <w:top w:val="nil"/>
              <w:left w:val="nil"/>
              <w:bottom w:val="nil"/>
              <w:right w:val="nil"/>
            </w:tcBorders>
            <w:shd w:val="clear" w:color="000000" w:fill="FFFFFF"/>
            <w:noWrap/>
            <w:hideMark/>
          </w:tcPr>
          <w:p w14:paraId="702C29BD" w14:textId="77777777" w:rsidR="009A6275" w:rsidRPr="001720A8" w:rsidRDefault="009A6275" w:rsidP="00F467C8">
            <w:pPr>
              <w:jc w:val="right"/>
              <w:rPr>
                <w:color w:val="000000"/>
                <w:sz w:val="14"/>
                <w:szCs w:val="14"/>
                <w:lang w:val="en-US" w:eastAsia="en-US"/>
              </w:rPr>
            </w:pPr>
            <w:r w:rsidRPr="001720A8">
              <w:rPr>
                <w:color w:val="000000"/>
                <w:sz w:val="14"/>
                <w:szCs w:val="14"/>
              </w:rPr>
              <w:t>16.69</w:t>
            </w:r>
          </w:p>
        </w:tc>
        <w:tc>
          <w:tcPr>
            <w:tcW w:w="725" w:type="dxa"/>
            <w:tcBorders>
              <w:top w:val="nil"/>
              <w:left w:val="nil"/>
              <w:bottom w:val="nil"/>
              <w:right w:val="nil"/>
            </w:tcBorders>
            <w:shd w:val="clear" w:color="000000" w:fill="FFFFFF"/>
            <w:noWrap/>
            <w:hideMark/>
          </w:tcPr>
          <w:p w14:paraId="694A27AD" w14:textId="77777777" w:rsidR="009A6275" w:rsidRPr="001720A8" w:rsidRDefault="009A6275" w:rsidP="00F467C8">
            <w:pPr>
              <w:jc w:val="right"/>
              <w:rPr>
                <w:color w:val="000000"/>
                <w:sz w:val="14"/>
                <w:szCs w:val="14"/>
                <w:lang w:val="en-US" w:eastAsia="en-US"/>
              </w:rPr>
            </w:pPr>
            <w:r w:rsidRPr="001720A8">
              <w:rPr>
                <w:color w:val="000000"/>
                <w:sz w:val="14"/>
                <w:szCs w:val="14"/>
              </w:rPr>
              <w:t>22.0</w:t>
            </w:r>
          </w:p>
        </w:tc>
        <w:tc>
          <w:tcPr>
            <w:tcW w:w="645" w:type="dxa"/>
            <w:tcBorders>
              <w:top w:val="nil"/>
              <w:left w:val="single" w:sz="4" w:space="0" w:color="000000"/>
              <w:bottom w:val="nil"/>
              <w:right w:val="nil"/>
            </w:tcBorders>
            <w:shd w:val="clear" w:color="000000" w:fill="FFFFFF"/>
            <w:noWrap/>
            <w:hideMark/>
          </w:tcPr>
          <w:p w14:paraId="5CE106F7" w14:textId="77777777" w:rsidR="009A6275" w:rsidRPr="001720A8" w:rsidRDefault="009A6275" w:rsidP="00F467C8">
            <w:pPr>
              <w:jc w:val="right"/>
              <w:rPr>
                <w:color w:val="000000"/>
                <w:sz w:val="14"/>
                <w:szCs w:val="14"/>
                <w:lang w:val="en-US" w:eastAsia="en-US"/>
              </w:rPr>
            </w:pPr>
            <w:r w:rsidRPr="001720A8">
              <w:rPr>
                <w:color w:val="000000"/>
                <w:sz w:val="14"/>
                <w:szCs w:val="14"/>
              </w:rPr>
              <w:t>13%</w:t>
            </w:r>
          </w:p>
        </w:tc>
        <w:tc>
          <w:tcPr>
            <w:tcW w:w="797" w:type="dxa"/>
            <w:tcBorders>
              <w:top w:val="nil"/>
              <w:left w:val="nil"/>
              <w:bottom w:val="nil"/>
              <w:right w:val="nil"/>
            </w:tcBorders>
            <w:shd w:val="clear" w:color="000000" w:fill="FFFFFF"/>
            <w:noWrap/>
            <w:hideMark/>
          </w:tcPr>
          <w:p w14:paraId="3FD519E2" w14:textId="77777777" w:rsidR="009A6275" w:rsidRPr="001720A8" w:rsidRDefault="009A6275" w:rsidP="00F467C8">
            <w:pPr>
              <w:jc w:val="right"/>
              <w:rPr>
                <w:color w:val="000000"/>
                <w:sz w:val="14"/>
                <w:szCs w:val="14"/>
                <w:lang w:val="en-US" w:eastAsia="en-US"/>
              </w:rPr>
            </w:pPr>
            <w:r w:rsidRPr="001720A8">
              <w:rPr>
                <w:color w:val="000000"/>
                <w:sz w:val="14"/>
                <w:szCs w:val="14"/>
              </w:rPr>
              <w:t>37%</w:t>
            </w:r>
          </w:p>
        </w:tc>
        <w:tc>
          <w:tcPr>
            <w:tcW w:w="814" w:type="dxa"/>
            <w:tcBorders>
              <w:top w:val="nil"/>
              <w:left w:val="nil"/>
              <w:bottom w:val="nil"/>
              <w:right w:val="nil"/>
            </w:tcBorders>
            <w:shd w:val="clear" w:color="000000" w:fill="FFFFFF"/>
            <w:noWrap/>
            <w:hideMark/>
          </w:tcPr>
          <w:p w14:paraId="6D4EB902" w14:textId="77777777" w:rsidR="009A6275" w:rsidRPr="001720A8" w:rsidRDefault="009A6275" w:rsidP="00F467C8">
            <w:pPr>
              <w:jc w:val="right"/>
              <w:rPr>
                <w:color w:val="000000"/>
                <w:sz w:val="14"/>
                <w:szCs w:val="14"/>
                <w:lang w:val="en-US" w:eastAsia="en-US"/>
              </w:rPr>
            </w:pPr>
            <w:r w:rsidRPr="001720A8">
              <w:rPr>
                <w:color w:val="000000"/>
                <w:sz w:val="14"/>
                <w:szCs w:val="14"/>
              </w:rPr>
              <w:t>14%</w:t>
            </w:r>
          </w:p>
        </w:tc>
        <w:tc>
          <w:tcPr>
            <w:tcW w:w="845" w:type="dxa"/>
            <w:tcBorders>
              <w:top w:val="nil"/>
              <w:left w:val="nil"/>
              <w:bottom w:val="nil"/>
              <w:right w:val="nil"/>
            </w:tcBorders>
            <w:shd w:val="clear" w:color="000000" w:fill="FFFFFF"/>
            <w:noWrap/>
            <w:hideMark/>
          </w:tcPr>
          <w:p w14:paraId="001C6DA1" w14:textId="77777777" w:rsidR="009A6275" w:rsidRPr="001720A8" w:rsidRDefault="009A6275" w:rsidP="00F467C8">
            <w:pPr>
              <w:jc w:val="right"/>
              <w:rPr>
                <w:color w:val="000000"/>
                <w:sz w:val="14"/>
                <w:szCs w:val="14"/>
                <w:lang w:val="en-US" w:eastAsia="en-US"/>
              </w:rPr>
            </w:pPr>
            <w:r w:rsidRPr="001720A8">
              <w:rPr>
                <w:color w:val="000000"/>
                <w:sz w:val="14"/>
                <w:szCs w:val="14"/>
              </w:rPr>
              <w:t>36%</w:t>
            </w:r>
          </w:p>
        </w:tc>
        <w:tc>
          <w:tcPr>
            <w:tcW w:w="761" w:type="dxa"/>
            <w:tcBorders>
              <w:top w:val="nil"/>
              <w:left w:val="single" w:sz="4" w:space="0" w:color="auto"/>
              <w:bottom w:val="nil"/>
              <w:right w:val="nil"/>
            </w:tcBorders>
            <w:shd w:val="clear" w:color="000000" w:fill="FFFFFF"/>
            <w:noWrap/>
            <w:hideMark/>
          </w:tcPr>
          <w:p w14:paraId="5DA65C2E" w14:textId="77777777" w:rsidR="009A6275" w:rsidRPr="001720A8" w:rsidRDefault="009A6275" w:rsidP="00F467C8">
            <w:pPr>
              <w:jc w:val="right"/>
              <w:rPr>
                <w:color w:val="000000"/>
                <w:sz w:val="14"/>
                <w:szCs w:val="14"/>
                <w:lang w:val="en-US" w:eastAsia="en-US"/>
              </w:rPr>
            </w:pPr>
            <w:r w:rsidRPr="001720A8">
              <w:rPr>
                <w:color w:val="000000"/>
                <w:sz w:val="14"/>
                <w:szCs w:val="14"/>
              </w:rPr>
              <w:t>2.35</w:t>
            </w:r>
          </w:p>
        </w:tc>
        <w:tc>
          <w:tcPr>
            <w:tcW w:w="761" w:type="dxa"/>
            <w:tcBorders>
              <w:top w:val="nil"/>
              <w:left w:val="nil"/>
              <w:bottom w:val="nil"/>
              <w:right w:val="nil"/>
            </w:tcBorders>
            <w:shd w:val="clear" w:color="000000" w:fill="FFFFFF"/>
            <w:noWrap/>
            <w:hideMark/>
          </w:tcPr>
          <w:p w14:paraId="522B2E5F"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10 </w:t>
            </w:r>
          </w:p>
        </w:tc>
      </w:tr>
      <w:tr w:rsidR="009A6275" w:rsidRPr="00E4527E" w14:paraId="2A8A8354" w14:textId="77777777" w:rsidTr="00F467C8">
        <w:trPr>
          <w:trHeight w:hRule="exact" w:val="284"/>
        </w:trPr>
        <w:tc>
          <w:tcPr>
            <w:tcW w:w="689" w:type="dxa"/>
            <w:tcBorders>
              <w:top w:val="nil"/>
              <w:left w:val="nil"/>
              <w:bottom w:val="nil"/>
              <w:right w:val="nil"/>
            </w:tcBorders>
            <w:shd w:val="clear" w:color="000000" w:fill="FFFFFF"/>
            <w:noWrap/>
            <w:hideMark/>
          </w:tcPr>
          <w:p w14:paraId="32850E2D"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nil"/>
              <w:right w:val="nil"/>
            </w:tcBorders>
            <w:shd w:val="clear" w:color="000000" w:fill="FFFFFF"/>
            <w:noWrap/>
            <w:hideMark/>
          </w:tcPr>
          <w:p w14:paraId="357D9DB4" w14:textId="77777777" w:rsidR="009A6275" w:rsidRPr="001720A8" w:rsidRDefault="009A6275" w:rsidP="00F467C8">
            <w:pPr>
              <w:jc w:val="center"/>
              <w:rPr>
                <w:color w:val="000000"/>
                <w:sz w:val="14"/>
                <w:szCs w:val="14"/>
                <w:lang w:val="en-US" w:eastAsia="en-US"/>
              </w:rPr>
            </w:pPr>
            <w:r w:rsidRPr="001720A8">
              <w:rPr>
                <w:color w:val="000000"/>
                <w:sz w:val="14"/>
                <w:szCs w:val="14"/>
              </w:rPr>
              <w:t>17</w:t>
            </w:r>
          </w:p>
        </w:tc>
        <w:tc>
          <w:tcPr>
            <w:tcW w:w="574" w:type="dxa"/>
            <w:tcBorders>
              <w:top w:val="nil"/>
              <w:left w:val="nil"/>
              <w:bottom w:val="nil"/>
              <w:right w:val="nil"/>
            </w:tcBorders>
            <w:shd w:val="clear" w:color="000000" w:fill="FFFFFF"/>
            <w:noWrap/>
            <w:hideMark/>
          </w:tcPr>
          <w:p w14:paraId="2F17D590" w14:textId="77777777" w:rsidR="009A6275" w:rsidRPr="001720A8" w:rsidRDefault="009A6275" w:rsidP="00F467C8">
            <w:pPr>
              <w:rPr>
                <w:color w:val="000000"/>
                <w:sz w:val="14"/>
                <w:szCs w:val="14"/>
                <w:lang w:val="en-US" w:eastAsia="en-US"/>
              </w:rPr>
            </w:pPr>
            <w:r w:rsidRPr="001720A8">
              <w:rPr>
                <w:color w:val="000000"/>
                <w:sz w:val="14"/>
                <w:szCs w:val="14"/>
              </w:rPr>
              <w:t>F05B</w:t>
            </w:r>
          </w:p>
        </w:tc>
        <w:tc>
          <w:tcPr>
            <w:tcW w:w="5304" w:type="dxa"/>
            <w:tcBorders>
              <w:top w:val="nil"/>
              <w:left w:val="nil"/>
              <w:bottom w:val="nil"/>
              <w:right w:val="nil"/>
            </w:tcBorders>
            <w:shd w:val="clear" w:color="000000" w:fill="FFFFFF"/>
            <w:noWrap/>
            <w:hideMark/>
          </w:tcPr>
          <w:p w14:paraId="4068C09E" w14:textId="77777777" w:rsidR="009A6275" w:rsidRPr="001720A8" w:rsidRDefault="009A6275" w:rsidP="00F467C8">
            <w:pPr>
              <w:rPr>
                <w:color w:val="000000"/>
                <w:sz w:val="14"/>
                <w:szCs w:val="14"/>
                <w:lang w:val="en-US" w:eastAsia="en-US"/>
              </w:rPr>
            </w:pPr>
            <w:r w:rsidRPr="001720A8">
              <w:rPr>
                <w:color w:val="000000"/>
                <w:sz w:val="14"/>
                <w:szCs w:val="14"/>
              </w:rPr>
              <w:t>Coronary Bypass W Invasive Cardiac Investigation, Minor Complexity</w:t>
            </w:r>
          </w:p>
        </w:tc>
        <w:tc>
          <w:tcPr>
            <w:tcW w:w="761" w:type="dxa"/>
            <w:tcBorders>
              <w:top w:val="nil"/>
              <w:left w:val="nil"/>
              <w:bottom w:val="nil"/>
              <w:right w:val="nil"/>
            </w:tcBorders>
            <w:shd w:val="clear" w:color="000000" w:fill="FFFFFF"/>
            <w:noWrap/>
            <w:hideMark/>
          </w:tcPr>
          <w:p w14:paraId="0DB235EF"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2.20</w:t>
            </w:r>
          </w:p>
        </w:tc>
        <w:tc>
          <w:tcPr>
            <w:tcW w:w="968" w:type="dxa"/>
            <w:tcBorders>
              <w:top w:val="nil"/>
              <w:left w:val="nil"/>
              <w:bottom w:val="nil"/>
              <w:right w:val="nil"/>
            </w:tcBorders>
            <w:shd w:val="clear" w:color="000000" w:fill="FFFFFF"/>
            <w:noWrap/>
            <w:hideMark/>
          </w:tcPr>
          <w:p w14:paraId="08CBBEB6" w14:textId="77777777" w:rsidR="009A6275" w:rsidRPr="001720A8" w:rsidRDefault="009A6275" w:rsidP="00F467C8">
            <w:pPr>
              <w:jc w:val="right"/>
              <w:rPr>
                <w:color w:val="000000"/>
                <w:sz w:val="14"/>
                <w:szCs w:val="14"/>
                <w:lang w:val="en-US" w:eastAsia="en-US"/>
              </w:rPr>
            </w:pPr>
            <w:r w:rsidRPr="001720A8">
              <w:rPr>
                <w:color w:val="000000"/>
                <w:sz w:val="14"/>
                <w:szCs w:val="14"/>
              </w:rPr>
              <w:t>761</w:t>
            </w:r>
          </w:p>
        </w:tc>
        <w:tc>
          <w:tcPr>
            <w:tcW w:w="797" w:type="dxa"/>
            <w:tcBorders>
              <w:top w:val="nil"/>
              <w:left w:val="nil"/>
              <w:bottom w:val="nil"/>
              <w:right w:val="nil"/>
            </w:tcBorders>
            <w:shd w:val="clear" w:color="000000" w:fill="FFFFFF"/>
            <w:noWrap/>
            <w:hideMark/>
          </w:tcPr>
          <w:p w14:paraId="0B5FF807" w14:textId="77777777" w:rsidR="009A6275" w:rsidRPr="001720A8" w:rsidRDefault="009A6275" w:rsidP="00F467C8">
            <w:pPr>
              <w:jc w:val="right"/>
              <w:rPr>
                <w:color w:val="000000"/>
                <w:sz w:val="14"/>
                <w:szCs w:val="14"/>
                <w:lang w:val="en-US" w:eastAsia="en-US"/>
              </w:rPr>
            </w:pPr>
            <w:r w:rsidRPr="001720A8">
              <w:rPr>
                <w:color w:val="000000"/>
                <w:sz w:val="14"/>
                <w:szCs w:val="14"/>
              </w:rPr>
              <w:t>9.17</w:t>
            </w:r>
          </w:p>
        </w:tc>
        <w:tc>
          <w:tcPr>
            <w:tcW w:w="725" w:type="dxa"/>
            <w:tcBorders>
              <w:top w:val="nil"/>
              <w:left w:val="nil"/>
              <w:bottom w:val="nil"/>
              <w:right w:val="nil"/>
            </w:tcBorders>
            <w:shd w:val="clear" w:color="000000" w:fill="FFFFFF"/>
            <w:noWrap/>
            <w:hideMark/>
          </w:tcPr>
          <w:p w14:paraId="7BBAE8F3" w14:textId="77777777" w:rsidR="009A6275" w:rsidRPr="001720A8" w:rsidRDefault="009A6275" w:rsidP="00F467C8">
            <w:pPr>
              <w:jc w:val="right"/>
              <w:rPr>
                <w:color w:val="000000"/>
                <w:sz w:val="14"/>
                <w:szCs w:val="14"/>
                <w:lang w:val="en-US" w:eastAsia="en-US"/>
              </w:rPr>
            </w:pPr>
            <w:r w:rsidRPr="001720A8">
              <w:rPr>
                <w:color w:val="000000"/>
                <w:sz w:val="14"/>
                <w:szCs w:val="14"/>
              </w:rPr>
              <w:t>12.3</w:t>
            </w:r>
          </w:p>
        </w:tc>
        <w:tc>
          <w:tcPr>
            <w:tcW w:w="645" w:type="dxa"/>
            <w:tcBorders>
              <w:top w:val="nil"/>
              <w:left w:val="single" w:sz="4" w:space="0" w:color="000000"/>
              <w:bottom w:val="nil"/>
              <w:right w:val="nil"/>
            </w:tcBorders>
            <w:shd w:val="clear" w:color="000000" w:fill="FFFFFF"/>
            <w:noWrap/>
            <w:hideMark/>
          </w:tcPr>
          <w:p w14:paraId="4C87AC43" w14:textId="77777777" w:rsidR="009A6275" w:rsidRPr="001720A8" w:rsidRDefault="009A6275" w:rsidP="00F467C8">
            <w:pPr>
              <w:jc w:val="right"/>
              <w:rPr>
                <w:color w:val="000000"/>
                <w:sz w:val="14"/>
                <w:szCs w:val="14"/>
                <w:lang w:val="en-US" w:eastAsia="en-US"/>
              </w:rPr>
            </w:pPr>
            <w:r w:rsidRPr="001720A8">
              <w:rPr>
                <w:color w:val="000000"/>
                <w:sz w:val="14"/>
                <w:szCs w:val="14"/>
              </w:rPr>
              <w:t>24%</w:t>
            </w:r>
          </w:p>
        </w:tc>
        <w:tc>
          <w:tcPr>
            <w:tcW w:w="797" w:type="dxa"/>
            <w:tcBorders>
              <w:top w:val="nil"/>
              <w:left w:val="nil"/>
              <w:bottom w:val="nil"/>
              <w:right w:val="nil"/>
            </w:tcBorders>
            <w:shd w:val="clear" w:color="000000" w:fill="FFFFFF"/>
            <w:noWrap/>
            <w:hideMark/>
          </w:tcPr>
          <w:p w14:paraId="0BE85518" w14:textId="77777777" w:rsidR="009A6275" w:rsidRPr="001720A8" w:rsidRDefault="009A6275" w:rsidP="00F467C8">
            <w:pPr>
              <w:jc w:val="right"/>
              <w:rPr>
                <w:color w:val="000000"/>
                <w:sz w:val="14"/>
                <w:szCs w:val="14"/>
                <w:lang w:val="en-US" w:eastAsia="en-US"/>
              </w:rPr>
            </w:pPr>
            <w:r w:rsidRPr="001720A8">
              <w:rPr>
                <w:color w:val="000000"/>
                <w:sz w:val="14"/>
                <w:szCs w:val="14"/>
              </w:rPr>
              <w:t>36%</w:t>
            </w:r>
          </w:p>
        </w:tc>
        <w:tc>
          <w:tcPr>
            <w:tcW w:w="814" w:type="dxa"/>
            <w:tcBorders>
              <w:top w:val="nil"/>
              <w:left w:val="nil"/>
              <w:bottom w:val="nil"/>
              <w:right w:val="nil"/>
            </w:tcBorders>
            <w:shd w:val="clear" w:color="000000" w:fill="FFFFFF"/>
            <w:noWrap/>
            <w:hideMark/>
          </w:tcPr>
          <w:p w14:paraId="6B152985" w14:textId="77777777" w:rsidR="009A6275" w:rsidRPr="001720A8" w:rsidRDefault="009A6275" w:rsidP="00F467C8">
            <w:pPr>
              <w:jc w:val="right"/>
              <w:rPr>
                <w:color w:val="000000"/>
                <w:sz w:val="14"/>
                <w:szCs w:val="14"/>
                <w:lang w:val="en-US" w:eastAsia="en-US"/>
              </w:rPr>
            </w:pPr>
            <w:r w:rsidRPr="001720A8">
              <w:rPr>
                <w:color w:val="000000"/>
                <w:sz w:val="14"/>
                <w:szCs w:val="14"/>
              </w:rPr>
              <w:t>6%</w:t>
            </w:r>
          </w:p>
        </w:tc>
        <w:tc>
          <w:tcPr>
            <w:tcW w:w="845" w:type="dxa"/>
            <w:tcBorders>
              <w:top w:val="nil"/>
              <w:left w:val="nil"/>
              <w:bottom w:val="nil"/>
              <w:right w:val="nil"/>
            </w:tcBorders>
            <w:shd w:val="clear" w:color="000000" w:fill="FFFFFF"/>
            <w:noWrap/>
            <w:hideMark/>
          </w:tcPr>
          <w:p w14:paraId="25E6CF2D" w14:textId="77777777" w:rsidR="009A6275" w:rsidRPr="001720A8" w:rsidRDefault="009A6275" w:rsidP="00F467C8">
            <w:pPr>
              <w:jc w:val="right"/>
              <w:rPr>
                <w:color w:val="000000"/>
                <w:sz w:val="14"/>
                <w:szCs w:val="14"/>
                <w:lang w:val="en-US" w:eastAsia="en-US"/>
              </w:rPr>
            </w:pPr>
            <w:r w:rsidRPr="001720A8">
              <w:rPr>
                <w:color w:val="000000"/>
                <w:sz w:val="14"/>
                <w:szCs w:val="14"/>
              </w:rPr>
              <w:t>35%</w:t>
            </w:r>
          </w:p>
        </w:tc>
        <w:tc>
          <w:tcPr>
            <w:tcW w:w="761" w:type="dxa"/>
            <w:tcBorders>
              <w:top w:val="nil"/>
              <w:left w:val="single" w:sz="4" w:space="0" w:color="auto"/>
              <w:bottom w:val="nil"/>
              <w:right w:val="nil"/>
            </w:tcBorders>
            <w:shd w:val="clear" w:color="000000" w:fill="FFFFFF"/>
            <w:noWrap/>
            <w:hideMark/>
          </w:tcPr>
          <w:p w14:paraId="22A6AE91" w14:textId="77777777" w:rsidR="009A6275" w:rsidRPr="001720A8" w:rsidRDefault="009A6275" w:rsidP="00F467C8">
            <w:pPr>
              <w:jc w:val="right"/>
              <w:rPr>
                <w:color w:val="000000"/>
                <w:sz w:val="14"/>
                <w:szCs w:val="14"/>
                <w:lang w:val="en-US" w:eastAsia="en-US"/>
              </w:rPr>
            </w:pPr>
            <w:r w:rsidRPr="001720A8">
              <w:rPr>
                <w:color w:val="000000"/>
                <w:sz w:val="14"/>
                <w:szCs w:val="14"/>
              </w:rPr>
              <w:t>2.21</w:t>
            </w:r>
          </w:p>
        </w:tc>
        <w:tc>
          <w:tcPr>
            <w:tcW w:w="761" w:type="dxa"/>
            <w:tcBorders>
              <w:top w:val="nil"/>
              <w:left w:val="nil"/>
              <w:bottom w:val="nil"/>
              <w:right w:val="nil"/>
            </w:tcBorders>
            <w:shd w:val="clear" w:color="000000" w:fill="FFFFFF"/>
            <w:noWrap/>
            <w:hideMark/>
          </w:tcPr>
          <w:p w14:paraId="6F83B382"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14 </w:t>
            </w:r>
          </w:p>
        </w:tc>
      </w:tr>
      <w:tr w:rsidR="009A6275" w:rsidRPr="00E4527E" w14:paraId="2410ECDA" w14:textId="77777777" w:rsidTr="00F467C8">
        <w:trPr>
          <w:trHeight w:hRule="exact" w:val="284"/>
        </w:trPr>
        <w:tc>
          <w:tcPr>
            <w:tcW w:w="689" w:type="dxa"/>
            <w:tcBorders>
              <w:top w:val="nil"/>
              <w:left w:val="nil"/>
              <w:bottom w:val="nil"/>
              <w:right w:val="nil"/>
            </w:tcBorders>
            <w:shd w:val="clear" w:color="000000" w:fill="FFFFFF"/>
            <w:noWrap/>
            <w:hideMark/>
          </w:tcPr>
          <w:p w14:paraId="1EDD0628" w14:textId="77777777" w:rsidR="009A6275" w:rsidRPr="001720A8" w:rsidRDefault="009A6275" w:rsidP="00F467C8">
            <w:pPr>
              <w:jc w:val="center"/>
              <w:rPr>
                <w:color w:val="000000"/>
                <w:sz w:val="14"/>
                <w:szCs w:val="14"/>
                <w:lang w:val="en-US" w:eastAsia="en-US"/>
              </w:rPr>
            </w:pPr>
            <w:r w:rsidRPr="001720A8">
              <w:rPr>
                <w:color w:val="000000"/>
                <w:sz w:val="14"/>
                <w:szCs w:val="14"/>
              </w:rPr>
              <w:t>No</w:t>
            </w:r>
          </w:p>
        </w:tc>
        <w:tc>
          <w:tcPr>
            <w:tcW w:w="689" w:type="dxa"/>
            <w:tcBorders>
              <w:top w:val="nil"/>
              <w:left w:val="nil"/>
              <w:bottom w:val="nil"/>
              <w:right w:val="nil"/>
            </w:tcBorders>
            <w:shd w:val="clear" w:color="000000" w:fill="FFFFFF"/>
            <w:noWrap/>
            <w:hideMark/>
          </w:tcPr>
          <w:p w14:paraId="204201CD" w14:textId="77777777" w:rsidR="009A6275" w:rsidRPr="001720A8" w:rsidRDefault="009A6275" w:rsidP="00F467C8">
            <w:pPr>
              <w:jc w:val="center"/>
              <w:rPr>
                <w:color w:val="000000"/>
                <w:sz w:val="14"/>
                <w:szCs w:val="14"/>
                <w:lang w:val="en-US" w:eastAsia="en-US"/>
              </w:rPr>
            </w:pPr>
            <w:r w:rsidRPr="001720A8">
              <w:rPr>
                <w:color w:val="000000"/>
                <w:sz w:val="14"/>
                <w:szCs w:val="14"/>
              </w:rPr>
              <w:t>18</w:t>
            </w:r>
          </w:p>
        </w:tc>
        <w:tc>
          <w:tcPr>
            <w:tcW w:w="574" w:type="dxa"/>
            <w:tcBorders>
              <w:top w:val="nil"/>
              <w:left w:val="nil"/>
              <w:bottom w:val="nil"/>
              <w:right w:val="nil"/>
            </w:tcBorders>
            <w:shd w:val="clear" w:color="000000" w:fill="FFFFFF"/>
            <w:noWrap/>
            <w:hideMark/>
          </w:tcPr>
          <w:p w14:paraId="1F4BE413" w14:textId="77777777" w:rsidR="009A6275" w:rsidRPr="001720A8" w:rsidRDefault="009A6275" w:rsidP="00F467C8">
            <w:pPr>
              <w:rPr>
                <w:color w:val="000000"/>
                <w:sz w:val="14"/>
                <w:szCs w:val="14"/>
                <w:lang w:val="en-US" w:eastAsia="en-US"/>
              </w:rPr>
            </w:pPr>
            <w:r w:rsidRPr="001720A8">
              <w:rPr>
                <w:color w:val="000000"/>
                <w:sz w:val="14"/>
                <w:szCs w:val="14"/>
              </w:rPr>
              <w:t>I09A</w:t>
            </w:r>
          </w:p>
        </w:tc>
        <w:tc>
          <w:tcPr>
            <w:tcW w:w="5304" w:type="dxa"/>
            <w:tcBorders>
              <w:top w:val="nil"/>
              <w:left w:val="nil"/>
              <w:bottom w:val="nil"/>
              <w:right w:val="nil"/>
            </w:tcBorders>
            <w:shd w:val="clear" w:color="000000" w:fill="FFFFFF"/>
            <w:noWrap/>
            <w:hideMark/>
          </w:tcPr>
          <w:p w14:paraId="3D797522" w14:textId="77777777" w:rsidR="009A6275" w:rsidRPr="001720A8" w:rsidRDefault="009A6275" w:rsidP="00F467C8">
            <w:pPr>
              <w:rPr>
                <w:color w:val="000000"/>
                <w:sz w:val="14"/>
                <w:szCs w:val="14"/>
                <w:lang w:val="en-US" w:eastAsia="en-US"/>
              </w:rPr>
            </w:pPr>
            <w:r w:rsidRPr="001720A8">
              <w:rPr>
                <w:color w:val="000000"/>
                <w:sz w:val="14"/>
                <w:szCs w:val="14"/>
              </w:rPr>
              <w:t>Spinal Fusion, Major Complexity</w:t>
            </w:r>
          </w:p>
        </w:tc>
        <w:tc>
          <w:tcPr>
            <w:tcW w:w="761" w:type="dxa"/>
            <w:tcBorders>
              <w:top w:val="nil"/>
              <w:left w:val="nil"/>
              <w:bottom w:val="nil"/>
              <w:right w:val="nil"/>
            </w:tcBorders>
            <w:shd w:val="clear" w:color="000000" w:fill="FFFFFF"/>
            <w:noWrap/>
            <w:hideMark/>
          </w:tcPr>
          <w:p w14:paraId="778F7715"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2.16</w:t>
            </w:r>
          </w:p>
        </w:tc>
        <w:tc>
          <w:tcPr>
            <w:tcW w:w="968" w:type="dxa"/>
            <w:tcBorders>
              <w:top w:val="nil"/>
              <w:left w:val="nil"/>
              <w:bottom w:val="nil"/>
              <w:right w:val="nil"/>
            </w:tcBorders>
            <w:shd w:val="clear" w:color="000000" w:fill="FFFFFF"/>
            <w:noWrap/>
            <w:hideMark/>
          </w:tcPr>
          <w:p w14:paraId="55D869BF" w14:textId="77777777" w:rsidR="009A6275" w:rsidRPr="001720A8" w:rsidRDefault="009A6275" w:rsidP="00F467C8">
            <w:pPr>
              <w:jc w:val="right"/>
              <w:rPr>
                <w:color w:val="000000"/>
                <w:sz w:val="14"/>
                <w:szCs w:val="14"/>
                <w:lang w:val="en-US" w:eastAsia="en-US"/>
              </w:rPr>
            </w:pPr>
            <w:r w:rsidRPr="001720A8">
              <w:rPr>
                <w:color w:val="000000"/>
                <w:sz w:val="14"/>
                <w:szCs w:val="14"/>
              </w:rPr>
              <w:t>547</w:t>
            </w:r>
          </w:p>
        </w:tc>
        <w:tc>
          <w:tcPr>
            <w:tcW w:w="797" w:type="dxa"/>
            <w:tcBorders>
              <w:top w:val="nil"/>
              <w:left w:val="nil"/>
              <w:bottom w:val="nil"/>
              <w:right w:val="nil"/>
            </w:tcBorders>
            <w:shd w:val="clear" w:color="000000" w:fill="FFFFFF"/>
            <w:noWrap/>
            <w:hideMark/>
          </w:tcPr>
          <w:p w14:paraId="6A5DADCF" w14:textId="77777777" w:rsidR="009A6275" w:rsidRPr="001720A8" w:rsidRDefault="009A6275" w:rsidP="00F467C8">
            <w:pPr>
              <w:jc w:val="right"/>
              <w:rPr>
                <w:color w:val="000000"/>
                <w:sz w:val="14"/>
                <w:szCs w:val="14"/>
                <w:lang w:val="en-US" w:eastAsia="en-US"/>
              </w:rPr>
            </w:pPr>
            <w:r w:rsidRPr="001720A8">
              <w:rPr>
                <w:color w:val="000000"/>
                <w:sz w:val="14"/>
                <w:szCs w:val="14"/>
              </w:rPr>
              <w:t>14.00</w:t>
            </w:r>
          </w:p>
        </w:tc>
        <w:tc>
          <w:tcPr>
            <w:tcW w:w="725" w:type="dxa"/>
            <w:tcBorders>
              <w:top w:val="nil"/>
              <w:left w:val="nil"/>
              <w:bottom w:val="nil"/>
              <w:right w:val="nil"/>
            </w:tcBorders>
            <w:shd w:val="clear" w:color="000000" w:fill="FFFFFF"/>
            <w:noWrap/>
            <w:hideMark/>
          </w:tcPr>
          <w:p w14:paraId="26E1CDD8" w14:textId="77777777" w:rsidR="009A6275" w:rsidRPr="001720A8" w:rsidRDefault="009A6275" w:rsidP="00F467C8">
            <w:pPr>
              <w:jc w:val="right"/>
              <w:rPr>
                <w:color w:val="000000"/>
                <w:sz w:val="14"/>
                <w:szCs w:val="14"/>
                <w:lang w:val="en-US" w:eastAsia="en-US"/>
              </w:rPr>
            </w:pPr>
            <w:r w:rsidRPr="001720A8">
              <w:rPr>
                <w:color w:val="000000"/>
                <w:sz w:val="14"/>
                <w:szCs w:val="14"/>
              </w:rPr>
              <w:t>17.4</w:t>
            </w:r>
          </w:p>
        </w:tc>
        <w:tc>
          <w:tcPr>
            <w:tcW w:w="645" w:type="dxa"/>
            <w:tcBorders>
              <w:top w:val="nil"/>
              <w:left w:val="single" w:sz="4" w:space="0" w:color="000000"/>
              <w:bottom w:val="nil"/>
              <w:right w:val="nil"/>
            </w:tcBorders>
            <w:shd w:val="clear" w:color="000000" w:fill="FFFFFF"/>
            <w:noWrap/>
            <w:hideMark/>
          </w:tcPr>
          <w:p w14:paraId="3FA2A3AC" w14:textId="77777777" w:rsidR="009A6275" w:rsidRPr="001720A8" w:rsidRDefault="009A6275" w:rsidP="00F467C8">
            <w:pPr>
              <w:jc w:val="right"/>
              <w:rPr>
                <w:color w:val="000000"/>
                <w:sz w:val="14"/>
                <w:szCs w:val="14"/>
                <w:lang w:val="en-US" w:eastAsia="en-US"/>
              </w:rPr>
            </w:pPr>
            <w:r w:rsidRPr="001720A8">
              <w:rPr>
                <w:color w:val="000000"/>
                <w:sz w:val="14"/>
                <w:szCs w:val="14"/>
              </w:rPr>
              <w:t>15%</w:t>
            </w:r>
          </w:p>
        </w:tc>
        <w:tc>
          <w:tcPr>
            <w:tcW w:w="797" w:type="dxa"/>
            <w:tcBorders>
              <w:top w:val="nil"/>
              <w:left w:val="nil"/>
              <w:bottom w:val="nil"/>
              <w:right w:val="nil"/>
            </w:tcBorders>
            <w:shd w:val="clear" w:color="000000" w:fill="FFFFFF"/>
            <w:noWrap/>
            <w:hideMark/>
          </w:tcPr>
          <w:p w14:paraId="5D6DCCE8" w14:textId="77777777" w:rsidR="009A6275" w:rsidRPr="001720A8" w:rsidRDefault="009A6275" w:rsidP="00F467C8">
            <w:pPr>
              <w:jc w:val="right"/>
              <w:rPr>
                <w:color w:val="000000"/>
                <w:sz w:val="14"/>
                <w:szCs w:val="14"/>
                <w:lang w:val="en-US" w:eastAsia="en-US"/>
              </w:rPr>
            </w:pPr>
            <w:r w:rsidRPr="001720A8">
              <w:rPr>
                <w:color w:val="000000"/>
                <w:sz w:val="14"/>
                <w:szCs w:val="14"/>
              </w:rPr>
              <w:t>9%</w:t>
            </w:r>
          </w:p>
        </w:tc>
        <w:tc>
          <w:tcPr>
            <w:tcW w:w="814" w:type="dxa"/>
            <w:tcBorders>
              <w:top w:val="nil"/>
              <w:left w:val="nil"/>
              <w:bottom w:val="nil"/>
              <w:right w:val="nil"/>
            </w:tcBorders>
            <w:shd w:val="clear" w:color="000000" w:fill="FFFFFF"/>
            <w:noWrap/>
            <w:hideMark/>
          </w:tcPr>
          <w:p w14:paraId="585ACECD" w14:textId="77777777" w:rsidR="009A6275" w:rsidRPr="001720A8" w:rsidRDefault="009A6275" w:rsidP="00F467C8">
            <w:pPr>
              <w:jc w:val="right"/>
              <w:rPr>
                <w:color w:val="000000"/>
                <w:sz w:val="14"/>
                <w:szCs w:val="14"/>
                <w:lang w:val="en-US" w:eastAsia="en-US"/>
              </w:rPr>
            </w:pPr>
            <w:r w:rsidRPr="001720A8">
              <w:rPr>
                <w:color w:val="000000"/>
                <w:sz w:val="14"/>
                <w:szCs w:val="14"/>
              </w:rPr>
              <w:t>46%</w:t>
            </w:r>
          </w:p>
        </w:tc>
        <w:tc>
          <w:tcPr>
            <w:tcW w:w="845" w:type="dxa"/>
            <w:tcBorders>
              <w:top w:val="nil"/>
              <w:left w:val="nil"/>
              <w:bottom w:val="nil"/>
              <w:right w:val="nil"/>
            </w:tcBorders>
            <w:shd w:val="clear" w:color="000000" w:fill="FFFFFF"/>
            <w:noWrap/>
            <w:hideMark/>
          </w:tcPr>
          <w:p w14:paraId="2EBC653E" w14:textId="77777777" w:rsidR="009A6275" w:rsidRPr="001720A8" w:rsidRDefault="009A6275" w:rsidP="00F467C8">
            <w:pPr>
              <w:jc w:val="right"/>
              <w:rPr>
                <w:color w:val="000000"/>
                <w:sz w:val="14"/>
                <w:szCs w:val="14"/>
                <w:lang w:val="en-US" w:eastAsia="en-US"/>
              </w:rPr>
            </w:pPr>
            <w:r w:rsidRPr="001720A8">
              <w:rPr>
                <w:color w:val="000000"/>
                <w:sz w:val="14"/>
                <w:szCs w:val="14"/>
              </w:rPr>
              <w:t>29%</w:t>
            </w:r>
          </w:p>
        </w:tc>
        <w:tc>
          <w:tcPr>
            <w:tcW w:w="761" w:type="dxa"/>
            <w:tcBorders>
              <w:top w:val="nil"/>
              <w:left w:val="single" w:sz="4" w:space="0" w:color="auto"/>
              <w:bottom w:val="nil"/>
              <w:right w:val="nil"/>
            </w:tcBorders>
            <w:shd w:val="clear" w:color="000000" w:fill="FFFFFF"/>
            <w:noWrap/>
            <w:hideMark/>
          </w:tcPr>
          <w:p w14:paraId="0C84BC0A" w14:textId="77777777" w:rsidR="009A6275" w:rsidRPr="001720A8" w:rsidRDefault="009A6275" w:rsidP="00F467C8">
            <w:pPr>
              <w:jc w:val="right"/>
              <w:rPr>
                <w:color w:val="000000"/>
                <w:sz w:val="14"/>
                <w:szCs w:val="14"/>
                <w:lang w:val="en-US" w:eastAsia="en-US"/>
              </w:rPr>
            </w:pPr>
            <w:r w:rsidRPr="001720A8">
              <w:rPr>
                <w:color w:val="000000"/>
                <w:sz w:val="14"/>
                <w:szCs w:val="14"/>
              </w:rPr>
              <w:t>1.96</w:t>
            </w:r>
          </w:p>
        </w:tc>
        <w:tc>
          <w:tcPr>
            <w:tcW w:w="761" w:type="dxa"/>
            <w:tcBorders>
              <w:top w:val="nil"/>
              <w:left w:val="nil"/>
              <w:bottom w:val="nil"/>
              <w:right w:val="nil"/>
            </w:tcBorders>
            <w:shd w:val="clear" w:color="000000" w:fill="FFFFFF"/>
            <w:noWrap/>
            <w:hideMark/>
          </w:tcPr>
          <w:p w14:paraId="5B2E8E2B"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22 </w:t>
            </w:r>
          </w:p>
        </w:tc>
      </w:tr>
      <w:tr w:rsidR="009A6275" w:rsidRPr="00E4527E" w14:paraId="3662294F" w14:textId="77777777" w:rsidTr="00F467C8">
        <w:trPr>
          <w:trHeight w:hRule="exact" w:val="284"/>
        </w:trPr>
        <w:tc>
          <w:tcPr>
            <w:tcW w:w="689" w:type="dxa"/>
            <w:tcBorders>
              <w:top w:val="nil"/>
              <w:left w:val="nil"/>
              <w:bottom w:val="nil"/>
              <w:right w:val="nil"/>
            </w:tcBorders>
            <w:shd w:val="clear" w:color="000000" w:fill="FFFFFF"/>
            <w:noWrap/>
            <w:hideMark/>
          </w:tcPr>
          <w:p w14:paraId="385B29E2" w14:textId="77777777" w:rsidR="009A6275" w:rsidRPr="001720A8" w:rsidRDefault="009A6275" w:rsidP="00F467C8">
            <w:pPr>
              <w:jc w:val="center"/>
              <w:rPr>
                <w:color w:val="000000"/>
                <w:sz w:val="14"/>
                <w:szCs w:val="14"/>
                <w:lang w:val="en-US" w:eastAsia="en-US"/>
              </w:rPr>
            </w:pPr>
            <w:r w:rsidRPr="001720A8">
              <w:rPr>
                <w:color w:val="000000"/>
                <w:sz w:val="14"/>
                <w:szCs w:val="14"/>
              </w:rPr>
              <w:t>No</w:t>
            </w:r>
          </w:p>
        </w:tc>
        <w:tc>
          <w:tcPr>
            <w:tcW w:w="689" w:type="dxa"/>
            <w:tcBorders>
              <w:top w:val="nil"/>
              <w:left w:val="nil"/>
              <w:bottom w:val="nil"/>
              <w:right w:val="nil"/>
            </w:tcBorders>
            <w:shd w:val="clear" w:color="000000" w:fill="FFFFFF"/>
            <w:noWrap/>
            <w:hideMark/>
          </w:tcPr>
          <w:p w14:paraId="1C628FE8" w14:textId="77777777" w:rsidR="009A6275" w:rsidRPr="001720A8" w:rsidRDefault="009A6275" w:rsidP="00F467C8">
            <w:pPr>
              <w:jc w:val="center"/>
              <w:rPr>
                <w:color w:val="000000"/>
                <w:sz w:val="14"/>
                <w:szCs w:val="14"/>
                <w:lang w:val="en-US" w:eastAsia="en-US"/>
              </w:rPr>
            </w:pPr>
            <w:r w:rsidRPr="001720A8">
              <w:rPr>
                <w:color w:val="000000"/>
                <w:sz w:val="14"/>
                <w:szCs w:val="14"/>
              </w:rPr>
              <w:t>19</w:t>
            </w:r>
          </w:p>
        </w:tc>
        <w:tc>
          <w:tcPr>
            <w:tcW w:w="574" w:type="dxa"/>
            <w:tcBorders>
              <w:top w:val="nil"/>
              <w:left w:val="nil"/>
              <w:bottom w:val="nil"/>
              <w:right w:val="nil"/>
            </w:tcBorders>
            <w:shd w:val="clear" w:color="000000" w:fill="FFFFFF"/>
            <w:noWrap/>
            <w:hideMark/>
          </w:tcPr>
          <w:p w14:paraId="0C3771BB" w14:textId="77777777" w:rsidR="009A6275" w:rsidRPr="001720A8" w:rsidRDefault="009A6275" w:rsidP="00F467C8">
            <w:pPr>
              <w:rPr>
                <w:color w:val="000000"/>
                <w:sz w:val="14"/>
                <w:szCs w:val="14"/>
                <w:lang w:val="en-US" w:eastAsia="en-US"/>
              </w:rPr>
            </w:pPr>
            <w:r w:rsidRPr="001720A8">
              <w:rPr>
                <w:color w:val="000000"/>
                <w:sz w:val="14"/>
                <w:szCs w:val="14"/>
              </w:rPr>
              <w:t>L03A</w:t>
            </w:r>
          </w:p>
        </w:tc>
        <w:tc>
          <w:tcPr>
            <w:tcW w:w="5304" w:type="dxa"/>
            <w:tcBorders>
              <w:top w:val="nil"/>
              <w:left w:val="nil"/>
              <w:bottom w:val="nil"/>
              <w:right w:val="nil"/>
            </w:tcBorders>
            <w:shd w:val="clear" w:color="000000" w:fill="FFFFFF"/>
            <w:noWrap/>
            <w:hideMark/>
          </w:tcPr>
          <w:p w14:paraId="4612BA1F" w14:textId="77777777" w:rsidR="009A6275" w:rsidRPr="001720A8" w:rsidRDefault="009A6275" w:rsidP="00F467C8">
            <w:pPr>
              <w:rPr>
                <w:color w:val="000000"/>
                <w:sz w:val="14"/>
                <w:szCs w:val="14"/>
                <w:lang w:val="en-US" w:eastAsia="en-US"/>
              </w:rPr>
            </w:pPr>
            <w:r w:rsidRPr="001720A8">
              <w:rPr>
                <w:color w:val="000000"/>
                <w:sz w:val="14"/>
                <w:szCs w:val="14"/>
              </w:rPr>
              <w:t>Kidney, Ureter and Major Bladder Procedures for Neoplasm, Major Complexity</w:t>
            </w:r>
          </w:p>
        </w:tc>
        <w:tc>
          <w:tcPr>
            <w:tcW w:w="761" w:type="dxa"/>
            <w:tcBorders>
              <w:top w:val="nil"/>
              <w:left w:val="nil"/>
              <w:bottom w:val="nil"/>
              <w:right w:val="nil"/>
            </w:tcBorders>
            <w:shd w:val="clear" w:color="000000" w:fill="FFFFFF"/>
            <w:noWrap/>
            <w:hideMark/>
          </w:tcPr>
          <w:p w14:paraId="577B1106"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2.14</w:t>
            </w:r>
          </w:p>
        </w:tc>
        <w:tc>
          <w:tcPr>
            <w:tcW w:w="968" w:type="dxa"/>
            <w:tcBorders>
              <w:top w:val="nil"/>
              <w:left w:val="nil"/>
              <w:bottom w:val="nil"/>
              <w:right w:val="nil"/>
            </w:tcBorders>
            <w:shd w:val="clear" w:color="000000" w:fill="FFFFFF"/>
            <w:noWrap/>
            <w:hideMark/>
          </w:tcPr>
          <w:p w14:paraId="27490440" w14:textId="77777777" w:rsidR="009A6275" w:rsidRPr="001720A8" w:rsidRDefault="009A6275" w:rsidP="00F467C8">
            <w:pPr>
              <w:jc w:val="right"/>
              <w:rPr>
                <w:color w:val="000000"/>
                <w:sz w:val="14"/>
                <w:szCs w:val="14"/>
                <w:lang w:val="en-US" w:eastAsia="en-US"/>
              </w:rPr>
            </w:pPr>
            <w:r w:rsidRPr="001720A8">
              <w:rPr>
                <w:color w:val="000000"/>
                <w:sz w:val="14"/>
                <w:szCs w:val="14"/>
              </w:rPr>
              <w:t>427</w:t>
            </w:r>
          </w:p>
        </w:tc>
        <w:tc>
          <w:tcPr>
            <w:tcW w:w="797" w:type="dxa"/>
            <w:tcBorders>
              <w:top w:val="nil"/>
              <w:left w:val="nil"/>
              <w:bottom w:val="nil"/>
              <w:right w:val="nil"/>
            </w:tcBorders>
            <w:shd w:val="clear" w:color="000000" w:fill="FFFFFF"/>
            <w:noWrap/>
            <w:hideMark/>
          </w:tcPr>
          <w:p w14:paraId="3734C266" w14:textId="77777777" w:rsidR="009A6275" w:rsidRPr="001720A8" w:rsidRDefault="009A6275" w:rsidP="00F467C8">
            <w:pPr>
              <w:jc w:val="right"/>
              <w:rPr>
                <w:color w:val="000000"/>
                <w:sz w:val="14"/>
                <w:szCs w:val="14"/>
                <w:lang w:val="en-US" w:eastAsia="en-US"/>
              </w:rPr>
            </w:pPr>
            <w:r w:rsidRPr="001720A8">
              <w:rPr>
                <w:color w:val="000000"/>
                <w:sz w:val="14"/>
                <w:szCs w:val="14"/>
              </w:rPr>
              <w:t>8.17</w:t>
            </w:r>
          </w:p>
        </w:tc>
        <w:tc>
          <w:tcPr>
            <w:tcW w:w="725" w:type="dxa"/>
            <w:tcBorders>
              <w:top w:val="nil"/>
              <w:left w:val="nil"/>
              <w:bottom w:val="nil"/>
              <w:right w:val="nil"/>
            </w:tcBorders>
            <w:shd w:val="clear" w:color="000000" w:fill="FFFFFF"/>
            <w:noWrap/>
            <w:hideMark/>
          </w:tcPr>
          <w:p w14:paraId="7E1290E7" w14:textId="77777777" w:rsidR="009A6275" w:rsidRPr="001720A8" w:rsidRDefault="009A6275" w:rsidP="00F467C8">
            <w:pPr>
              <w:jc w:val="right"/>
              <w:rPr>
                <w:color w:val="000000"/>
                <w:sz w:val="14"/>
                <w:szCs w:val="14"/>
                <w:lang w:val="en-US" w:eastAsia="en-US"/>
              </w:rPr>
            </w:pPr>
            <w:r w:rsidRPr="001720A8">
              <w:rPr>
                <w:color w:val="000000"/>
                <w:sz w:val="14"/>
                <w:szCs w:val="14"/>
              </w:rPr>
              <w:t>15.0</w:t>
            </w:r>
          </w:p>
        </w:tc>
        <w:tc>
          <w:tcPr>
            <w:tcW w:w="645" w:type="dxa"/>
            <w:tcBorders>
              <w:top w:val="nil"/>
              <w:left w:val="single" w:sz="4" w:space="0" w:color="000000"/>
              <w:bottom w:val="nil"/>
              <w:right w:val="nil"/>
            </w:tcBorders>
            <w:shd w:val="clear" w:color="000000" w:fill="FFFFFF"/>
            <w:noWrap/>
            <w:hideMark/>
          </w:tcPr>
          <w:p w14:paraId="294DE38F" w14:textId="77777777" w:rsidR="009A6275" w:rsidRPr="001720A8" w:rsidRDefault="009A6275" w:rsidP="00F467C8">
            <w:pPr>
              <w:jc w:val="right"/>
              <w:rPr>
                <w:color w:val="000000"/>
                <w:sz w:val="14"/>
                <w:szCs w:val="14"/>
                <w:lang w:val="en-US" w:eastAsia="en-US"/>
              </w:rPr>
            </w:pPr>
            <w:r w:rsidRPr="001720A8">
              <w:rPr>
                <w:color w:val="000000"/>
                <w:sz w:val="14"/>
                <w:szCs w:val="14"/>
              </w:rPr>
              <w:t>26%</w:t>
            </w:r>
          </w:p>
        </w:tc>
        <w:tc>
          <w:tcPr>
            <w:tcW w:w="797" w:type="dxa"/>
            <w:tcBorders>
              <w:top w:val="nil"/>
              <w:left w:val="nil"/>
              <w:bottom w:val="nil"/>
              <w:right w:val="nil"/>
            </w:tcBorders>
            <w:shd w:val="clear" w:color="000000" w:fill="FFFFFF"/>
            <w:noWrap/>
            <w:hideMark/>
          </w:tcPr>
          <w:p w14:paraId="2C1F9F52" w14:textId="77777777" w:rsidR="009A6275" w:rsidRPr="001720A8" w:rsidRDefault="009A6275" w:rsidP="00F467C8">
            <w:pPr>
              <w:jc w:val="right"/>
              <w:rPr>
                <w:color w:val="000000"/>
                <w:sz w:val="14"/>
                <w:szCs w:val="14"/>
                <w:lang w:val="en-US" w:eastAsia="en-US"/>
              </w:rPr>
            </w:pPr>
            <w:r w:rsidRPr="001720A8">
              <w:rPr>
                <w:color w:val="000000"/>
                <w:sz w:val="14"/>
                <w:szCs w:val="14"/>
              </w:rPr>
              <w:t>20%</w:t>
            </w:r>
          </w:p>
        </w:tc>
        <w:tc>
          <w:tcPr>
            <w:tcW w:w="814" w:type="dxa"/>
            <w:tcBorders>
              <w:top w:val="nil"/>
              <w:left w:val="nil"/>
              <w:bottom w:val="nil"/>
              <w:right w:val="nil"/>
            </w:tcBorders>
            <w:shd w:val="clear" w:color="000000" w:fill="FFFFFF"/>
            <w:noWrap/>
            <w:hideMark/>
          </w:tcPr>
          <w:p w14:paraId="542FD35F" w14:textId="77777777" w:rsidR="009A6275" w:rsidRPr="001720A8" w:rsidRDefault="009A6275" w:rsidP="00F467C8">
            <w:pPr>
              <w:jc w:val="right"/>
              <w:rPr>
                <w:color w:val="000000"/>
                <w:sz w:val="14"/>
                <w:szCs w:val="14"/>
                <w:lang w:val="en-US" w:eastAsia="en-US"/>
              </w:rPr>
            </w:pPr>
            <w:r w:rsidRPr="001720A8">
              <w:rPr>
                <w:color w:val="000000"/>
                <w:sz w:val="14"/>
                <w:szCs w:val="14"/>
              </w:rPr>
              <w:t>6%</w:t>
            </w:r>
          </w:p>
        </w:tc>
        <w:tc>
          <w:tcPr>
            <w:tcW w:w="845" w:type="dxa"/>
            <w:tcBorders>
              <w:top w:val="nil"/>
              <w:left w:val="nil"/>
              <w:bottom w:val="nil"/>
              <w:right w:val="nil"/>
            </w:tcBorders>
            <w:shd w:val="clear" w:color="000000" w:fill="FFFFFF"/>
            <w:noWrap/>
            <w:hideMark/>
          </w:tcPr>
          <w:p w14:paraId="49CCC166" w14:textId="77777777" w:rsidR="009A6275" w:rsidRPr="001720A8" w:rsidRDefault="009A6275" w:rsidP="00F467C8">
            <w:pPr>
              <w:jc w:val="right"/>
              <w:rPr>
                <w:color w:val="000000"/>
                <w:sz w:val="14"/>
                <w:szCs w:val="14"/>
                <w:lang w:val="en-US" w:eastAsia="en-US"/>
              </w:rPr>
            </w:pPr>
            <w:r w:rsidRPr="001720A8">
              <w:rPr>
                <w:color w:val="000000"/>
                <w:sz w:val="14"/>
                <w:szCs w:val="14"/>
              </w:rPr>
              <w:t>48%</w:t>
            </w:r>
          </w:p>
        </w:tc>
        <w:tc>
          <w:tcPr>
            <w:tcW w:w="761" w:type="dxa"/>
            <w:tcBorders>
              <w:top w:val="nil"/>
              <w:left w:val="single" w:sz="4" w:space="0" w:color="auto"/>
              <w:bottom w:val="nil"/>
              <w:right w:val="nil"/>
            </w:tcBorders>
            <w:shd w:val="clear" w:color="000000" w:fill="FFFFFF"/>
            <w:noWrap/>
            <w:hideMark/>
          </w:tcPr>
          <w:p w14:paraId="4F243062" w14:textId="77777777" w:rsidR="009A6275" w:rsidRPr="001720A8" w:rsidRDefault="009A6275" w:rsidP="00F467C8">
            <w:pPr>
              <w:jc w:val="right"/>
              <w:rPr>
                <w:color w:val="000000"/>
                <w:sz w:val="14"/>
                <w:szCs w:val="14"/>
                <w:lang w:val="en-US" w:eastAsia="en-US"/>
              </w:rPr>
            </w:pPr>
            <w:r w:rsidRPr="001720A8">
              <w:rPr>
                <w:color w:val="000000"/>
                <w:sz w:val="14"/>
                <w:szCs w:val="14"/>
              </w:rPr>
              <w:t>1.71</w:t>
            </w:r>
          </w:p>
        </w:tc>
        <w:tc>
          <w:tcPr>
            <w:tcW w:w="761" w:type="dxa"/>
            <w:tcBorders>
              <w:top w:val="nil"/>
              <w:left w:val="nil"/>
              <w:bottom w:val="nil"/>
              <w:right w:val="nil"/>
            </w:tcBorders>
            <w:shd w:val="clear" w:color="000000" w:fill="FFFFFF"/>
            <w:noWrap/>
            <w:hideMark/>
          </w:tcPr>
          <w:p w14:paraId="3A6100A2"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29 </w:t>
            </w:r>
          </w:p>
        </w:tc>
      </w:tr>
      <w:tr w:rsidR="009A6275" w:rsidRPr="00E4527E" w14:paraId="1388F026" w14:textId="77777777" w:rsidTr="00F467C8">
        <w:trPr>
          <w:trHeight w:hRule="exact" w:val="284"/>
        </w:trPr>
        <w:tc>
          <w:tcPr>
            <w:tcW w:w="689" w:type="dxa"/>
            <w:tcBorders>
              <w:top w:val="nil"/>
              <w:left w:val="nil"/>
              <w:bottom w:val="nil"/>
              <w:right w:val="nil"/>
            </w:tcBorders>
            <w:shd w:val="clear" w:color="000000" w:fill="FFFFFF"/>
            <w:noWrap/>
            <w:hideMark/>
          </w:tcPr>
          <w:p w14:paraId="6ED78919" w14:textId="77777777" w:rsidR="009A6275" w:rsidRPr="001720A8" w:rsidRDefault="009A6275" w:rsidP="00F467C8">
            <w:pPr>
              <w:jc w:val="center"/>
              <w:rPr>
                <w:color w:val="000000"/>
                <w:sz w:val="14"/>
                <w:szCs w:val="14"/>
                <w:lang w:val="en-US" w:eastAsia="en-US"/>
              </w:rPr>
            </w:pPr>
            <w:r w:rsidRPr="001720A8">
              <w:rPr>
                <w:color w:val="000000"/>
                <w:sz w:val="14"/>
                <w:szCs w:val="14"/>
              </w:rPr>
              <w:t>Yes</w:t>
            </w:r>
          </w:p>
        </w:tc>
        <w:tc>
          <w:tcPr>
            <w:tcW w:w="689" w:type="dxa"/>
            <w:tcBorders>
              <w:top w:val="nil"/>
              <w:left w:val="nil"/>
              <w:bottom w:val="single" w:sz="4" w:space="0" w:color="auto"/>
              <w:right w:val="nil"/>
            </w:tcBorders>
            <w:shd w:val="clear" w:color="000000" w:fill="FFFFFF"/>
            <w:noWrap/>
            <w:hideMark/>
          </w:tcPr>
          <w:p w14:paraId="5DB37645" w14:textId="77777777" w:rsidR="009A6275" w:rsidRPr="001720A8" w:rsidRDefault="009A6275" w:rsidP="00F467C8">
            <w:pPr>
              <w:jc w:val="center"/>
              <w:rPr>
                <w:color w:val="000000"/>
                <w:sz w:val="14"/>
                <w:szCs w:val="14"/>
                <w:lang w:val="en-US" w:eastAsia="en-US"/>
              </w:rPr>
            </w:pPr>
            <w:r w:rsidRPr="001720A8">
              <w:rPr>
                <w:color w:val="000000"/>
                <w:sz w:val="14"/>
                <w:szCs w:val="14"/>
              </w:rPr>
              <w:t>20</w:t>
            </w:r>
          </w:p>
        </w:tc>
        <w:tc>
          <w:tcPr>
            <w:tcW w:w="574" w:type="dxa"/>
            <w:tcBorders>
              <w:top w:val="nil"/>
              <w:left w:val="nil"/>
              <w:bottom w:val="single" w:sz="4" w:space="0" w:color="auto"/>
              <w:right w:val="nil"/>
            </w:tcBorders>
            <w:shd w:val="clear" w:color="000000" w:fill="FFFFFF"/>
            <w:noWrap/>
            <w:hideMark/>
          </w:tcPr>
          <w:p w14:paraId="48CD2E60" w14:textId="77777777" w:rsidR="009A6275" w:rsidRPr="001720A8" w:rsidRDefault="009A6275" w:rsidP="00F467C8">
            <w:pPr>
              <w:rPr>
                <w:color w:val="000000"/>
                <w:sz w:val="14"/>
                <w:szCs w:val="14"/>
                <w:lang w:val="en-US" w:eastAsia="en-US"/>
              </w:rPr>
            </w:pPr>
            <w:r w:rsidRPr="001720A8">
              <w:rPr>
                <w:color w:val="000000"/>
                <w:sz w:val="14"/>
                <w:szCs w:val="14"/>
              </w:rPr>
              <w:t>H01A</w:t>
            </w:r>
          </w:p>
        </w:tc>
        <w:tc>
          <w:tcPr>
            <w:tcW w:w="5304" w:type="dxa"/>
            <w:tcBorders>
              <w:top w:val="nil"/>
              <w:left w:val="nil"/>
              <w:bottom w:val="single" w:sz="4" w:space="0" w:color="auto"/>
              <w:right w:val="nil"/>
            </w:tcBorders>
            <w:shd w:val="clear" w:color="000000" w:fill="FFFFFF"/>
            <w:noWrap/>
            <w:hideMark/>
          </w:tcPr>
          <w:p w14:paraId="0278F5A4" w14:textId="77777777" w:rsidR="009A6275" w:rsidRPr="001720A8" w:rsidRDefault="009A6275" w:rsidP="00F467C8">
            <w:pPr>
              <w:rPr>
                <w:color w:val="000000"/>
                <w:sz w:val="14"/>
                <w:szCs w:val="14"/>
                <w:lang w:val="en-US" w:eastAsia="en-US"/>
              </w:rPr>
            </w:pPr>
            <w:r w:rsidRPr="001720A8">
              <w:rPr>
                <w:color w:val="000000"/>
                <w:sz w:val="14"/>
                <w:szCs w:val="14"/>
              </w:rPr>
              <w:t>Pancreas, Liver and Shunt Procedures, Major Complexity</w:t>
            </w:r>
          </w:p>
        </w:tc>
        <w:tc>
          <w:tcPr>
            <w:tcW w:w="761" w:type="dxa"/>
            <w:tcBorders>
              <w:top w:val="nil"/>
              <w:left w:val="nil"/>
              <w:bottom w:val="single" w:sz="4" w:space="0" w:color="auto"/>
              <w:right w:val="nil"/>
            </w:tcBorders>
            <w:shd w:val="clear" w:color="000000" w:fill="FFFFFF"/>
            <w:noWrap/>
            <w:hideMark/>
          </w:tcPr>
          <w:p w14:paraId="7574431B" w14:textId="77777777" w:rsidR="009A6275" w:rsidRPr="001720A8" w:rsidRDefault="009A6275" w:rsidP="00F467C8">
            <w:pPr>
              <w:jc w:val="right"/>
              <w:rPr>
                <w:b/>
                <w:bCs/>
                <w:color w:val="000000"/>
                <w:sz w:val="14"/>
                <w:szCs w:val="14"/>
                <w:lang w:val="en-US" w:eastAsia="en-US"/>
              </w:rPr>
            </w:pPr>
            <w:r w:rsidRPr="001720A8">
              <w:rPr>
                <w:b/>
                <w:bCs/>
                <w:color w:val="000000"/>
                <w:sz w:val="14"/>
                <w:szCs w:val="14"/>
              </w:rPr>
              <w:t>2.12</w:t>
            </w:r>
          </w:p>
        </w:tc>
        <w:tc>
          <w:tcPr>
            <w:tcW w:w="968" w:type="dxa"/>
            <w:tcBorders>
              <w:top w:val="nil"/>
              <w:left w:val="nil"/>
              <w:bottom w:val="single" w:sz="4" w:space="0" w:color="auto"/>
              <w:right w:val="nil"/>
            </w:tcBorders>
            <w:shd w:val="clear" w:color="000000" w:fill="FFFFFF"/>
            <w:noWrap/>
            <w:hideMark/>
          </w:tcPr>
          <w:p w14:paraId="083F5B4D" w14:textId="77777777" w:rsidR="009A6275" w:rsidRPr="001720A8" w:rsidRDefault="009A6275" w:rsidP="00F467C8">
            <w:pPr>
              <w:jc w:val="right"/>
              <w:rPr>
                <w:color w:val="000000"/>
                <w:sz w:val="14"/>
                <w:szCs w:val="14"/>
                <w:lang w:val="en-US" w:eastAsia="en-US"/>
              </w:rPr>
            </w:pPr>
            <w:r w:rsidRPr="001720A8">
              <w:rPr>
                <w:color w:val="000000"/>
                <w:sz w:val="14"/>
                <w:szCs w:val="14"/>
              </w:rPr>
              <w:t>283</w:t>
            </w:r>
          </w:p>
        </w:tc>
        <w:tc>
          <w:tcPr>
            <w:tcW w:w="797" w:type="dxa"/>
            <w:tcBorders>
              <w:top w:val="nil"/>
              <w:left w:val="nil"/>
              <w:bottom w:val="single" w:sz="4" w:space="0" w:color="auto"/>
              <w:right w:val="nil"/>
            </w:tcBorders>
            <w:shd w:val="clear" w:color="000000" w:fill="FFFFFF"/>
            <w:noWrap/>
            <w:hideMark/>
          </w:tcPr>
          <w:p w14:paraId="019E402A" w14:textId="77777777" w:rsidR="009A6275" w:rsidRPr="001720A8" w:rsidRDefault="009A6275" w:rsidP="00F467C8">
            <w:pPr>
              <w:jc w:val="right"/>
              <w:rPr>
                <w:color w:val="000000"/>
                <w:sz w:val="14"/>
                <w:szCs w:val="14"/>
                <w:lang w:val="en-US" w:eastAsia="en-US"/>
              </w:rPr>
            </w:pPr>
            <w:r w:rsidRPr="001720A8">
              <w:rPr>
                <w:color w:val="000000"/>
                <w:sz w:val="14"/>
                <w:szCs w:val="14"/>
              </w:rPr>
              <w:t>11.22</w:t>
            </w:r>
          </w:p>
        </w:tc>
        <w:tc>
          <w:tcPr>
            <w:tcW w:w="725" w:type="dxa"/>
            <w:tcBorders>
              <w:top w:val="nil"/>
              <w:left w:val="nil"/>
              <w:bottom w:val="single" w:sz="4" w:space="0" w:color="auto"/>
              <w:right w:val="nil"/>
            </w:tcBorders>
            <w:shd w:val="clear" w:color="000000" w:fill="FFFFFF"/>
            <w:noWrap/>
            <w:hideMark/>
          </w:tcPr>
          <w:p w14:paraId="2F103EA9" w14:textId="77777777" w:rsidR="009A6275" w:rsidRPr="001720A8" w:rsidRDefault="009A6275" w:rsidP="00F467C8">
            <w:pPr>
              <w:jc w:val="right"/>
              <w:rPr>
                <w:color w:val="000000"/>
                <w:sz w:val="14"/>
                <w:szCs w:val="14"/>
                <w:lang w:val="en-US" w:eastAsia="en-US"/>
              </w:rPr>
            </w:pPr>
            <w:r w:rsidRPr="001720A8">
              <w:rPr>
                <w:color w:val="000000"/>
                <w:sz w:val="14"/>
                <w:szCs w:val="14"/>
              </w:rPr>
              <w:t>22.4</w:t>
            </w:r>
          </w:p>
        </w:tc>
        <w:tc>
          <w:tcPr>
            <w:tcW w:w="645" w:type="dxa"/>
            <w:tcBorders>
              <w:top w:val="nil"/>
              <w:left w:val="single" w:sz="4" w:space="0" w:color="000000"/>
              <w:bottom w:val="nil"/>
              <w:right w:val="nil"/>
            </w:tcBorders>
            <w:shd w:val="clear" w:color="000000" w:fill="FFFFFF"/>
            <w:noWrap/>
            <w:hideMark/>
          </w:tcPr>
          <w:p w14:paraId="1D40A41A" w14:textId="77777777" w:rsidR="009A6275" w:rsidRPr="001720A8" w:rsidRDefault="009A6275" w:rsidP="00F467C8">
            <w:pPr>
              <w:jc w:val="right"/>
              <w:rPr>
                <w:color w:val="000000"/>
                <w:sz w:val="14"/>
                <w:szCs w:val="14"/>
                <w:lang w:val="en-US" w:eastAsia="en-US"/>
              </w:rPr>
            </w:pPr>
            <w:r w:rsidRPr="001720A8">
              <w:rPr>
                <w:color w:val="000000"/>
                <w:sz w:val="14"/>
                <w:szCs w:val="14"/>
              </w:rPr>
              <w:t>19%</w:t>
            </w:r>
          </w:p>
        </w:tc>
        <w:tc>
          <w:tcPr>
            <w:tcW w:w="797" w:type="dxa"/>
            <w:tcBorders>
              <w:top w:val="nil"/>
              <w:left w:val="nil"/>
              <w:bottom w:val="nil"/>
              <w:right w:val="nil"/>
            </w:tcBorders>
            <w:shd w:val="clear" w:color="000000" w:fill="FFFFFF"/>
            <w:noWrap/>
            <w:hideMark/>
          </w:tcPr>
          <w:p w14:paraId="53E43C18" w14:textId="77777777" w:rsidR="009A6275" w:rsidRPr="001720A8" w:rsidRDefault="009A6275" w:rsidP="00F467C8">
            <w:pPr>
              <w:jc w:val="right"/>
              <w:rPr>
                <w:color w:val="000000"/>
                <w:sz w:val="14"/>
                <w:szCs w:val="14"/>
                <w:lang w:val="en-US" w:eastAsia="en-US"/>
              </w:rPr>
            </w:pPr>
            <w:r w:rsidRPr="001720A8">
              <w:rPr>
                <w:color w:val="000000"/>
                <w:sz w:val="14"/>
                <w:szCs w:val="14"/>
              </w:rPr>
              <w:t>22%</w:t>
            </w:r>
          </w:p>
        </w:tc>
        <w:tc>
          <w:tcPr>
            <w:tcW w:w="814" w:type="dxa"/>
            <w:tcBorders>
              <w:top w:val="nil"/>
              <w:left w:val="nil"/>
              <w:bottom w:val="nil"/>
              <w:right w:val="nil"/>
            </w:tcBorders>
            <w:shd w:val="clear" w:color="000000" w:fill="FFFFFF"/>
            <w:noWrap/>
            <w:hideMark/>
          </w:tcPr>
          <w:p w14:paraId="75E24137" w14:textId="77777777" w:rsidR="009A6275" w:rsidRPr="001720A8" w:rsidRDefault="009A6275" w:rsidP="00F467C8">
            <w:pPr>
              <w:jc w:val="right"/>
              <w:rPr>
                <w:color w:val="000000"/>
                <w:sz w:val="14"/>
                <w:szCs w:val="14"/>
                <w:lang w:val="en-US" w:eastAsia="en-US"/>
              </w:rPr>
            </w:pPr>
            <w:r w:rsidRPr="001720A8">
              <w:rPr>
                <w:color w:val="000000"/>
                <w:sz w:val="14"/>
                <w:szCs w:val="14"/>
              </w:rPr>
              <w:t>7%</w:t>
            </w:r>
          </w:p>
        </w:tc>
        <w:tc>
          <w:tcPr>
            <w:tcW w:w="845" w:type="dxa"/>
            <w:tcBorders>
              <w:top w:val="nil"/>
              <w:left w:val="nil"/>
              <w:bottom w:val="nil"/>
              <w:right w:val="nil"/>
            </w:tcBorders>
            <w:shd w:val="clear" w:color="000000" w:fill="FFFFFF"/>
            <w:noWrap/>
            <w:hideMark/>
          </w:tcPr>
          <w:p w14:paraId="03ECD112" w14:textId="77777777" w:rsidR="009A6275" w:rsidRPr="001720A8" w:rsidRDefault="009A6275" w:rsidP="00F467C8">
            <w:pPr>
              <w:jc w:val="right"/>
              <w:rPr>
                <w:color w:val="000000"/>
                <w:sz w:val="14"/>
                <w:szCs w:val="14"/>
                <w:lang w:val="en-US" w:eastAsia="en-US"/>
              </w:rPr>
            </w:pPr>
            <w:r w:rsidRPr="001720A8">
              <w:rPr>
                <w:color w:val="000000"/>
                <w:sz w:val="14"/>
                <w:szCs w:val="14"/>
              </w:rPr>
              <w:t>52%</w:t>
            </w:r>
          </w:p>
        </w:tc>
        <w:tc>
          <w:tcPr>
            <w:tcW w:w="761" w:type="dxa"/>
            <w:tcBorders>
              <w:top w:val="nil"/>
              <w:left w:val="single" w:sz="4" w:space="0" w:color="auto"/>
              <w:bottom w:val="nil"/>
              <w:right w:val="nil"/>
            </w:tcBorders>
            <w:shd w:val="clear" w:color="000000" w:fill="FFFFFF"/>
            <w:noWrap/>
            <w:hideMark/>
          </w:tcPr>
          <w:p w14:paraId="2F1D5D35" w14:textId="77777777" w:rsidR="009A6275" w:rsidRPr="001720A8" w:rsidRDefault="009A6275" w:rsidP="00F467C8">
            <w:pPr>
              <w:jc w:val="right"/>
              <w:rPr>
                <w:color w:val="000000"/>
                <w:sz w:val="14"/>
                <w:szCs w:val="14"/>
                <w:lang w:val="en-US" w:eastAsia="en-US"/>
              </w:rPr>
            </w:pPr>
            <w:r w:rsidRPr="001720A8">
              <w:rPr>
                <w:color w:val="000000"/>
                <w:sz w:val="14"/>
                <w:szCs w:val="14"/>
              </w:rPr>
              <w:t>2.02</w:t>
            </w:r>
          </w:p>
        </w:tc>
        <w:tc>
          <w:tcPr>
            <w:tcW w:w="761" w:type="dxa"/>
            <w:tcBorders>
              <w:top w:val="nil"/>
              <w:left w:val="nil"/>
              <w:bottom w:val="nil"/>
              <w:right w:val="nil"/>
            </w:tcBorders>
            <w:shd w:val="clear" w:color="000000" w:fill="FFFFFF"/>
            <w:noWrap/>
            <w:hideMark/>
          </w:tcPr>
          <w:p w14:paraId="148D808A" w14:textId="77777777" w:rsidR="009A6275" w:rsidRPr="001720A8" w:rsidRDefault="009A6275" w:rsidP="00F467C8">
            <w:pPr>
              <w:jc w:val="right"/>
              <w:rPr>
                <w:color w:val="000000"/>
                <w:sz w:val="14"/>
                <w:szCs w:val="14"/>
                <w:lang w:val="en-US" w:eastAsia="en-US"/>
              </w:rPr>
            </w:pPr>
            <w:r w:rsidRPr="001720A8">
              <w:rPr>
                <w:color w:val="000000"/>
                <w:sz w:val="14"/>
                <w:szCs w:val="14"/>
              </w:rPr>
              <w:t xml:space="preserve">20 </w:t>
            </w:r>
          </w:p>
        </w:tc>
      </w:tr>
      <w:tr w:rsidR="009A6275" w:rsidRPr="00E4527E" w14:paraId="32D14F76" w14:textId="77777777" w:rsidTr="00F467C8">
        <w:trPr>
          <w:trHeight w:val="232"/>
        </w:trPr>
        <w:tc>
          <w:tcPr>
            <w:tcW w:w="689" w:type="dxa"/>
            <w:tcBorders>
              <w:top w:val="single" w:sz="4" w:space="0" w:color="auto"/>
              <w:left w:val="nil"/>
              <w:bottom w:val="nil"/>
              <w:right w:val="nil"/>
            </w:tcBorders>
            <w:shd w:val="clear" w:color="000000" w:fill="FFFFFF"/>
            <w:noWrap/>
            <w:hideMark/>
          </w:tcPr>
          <w:p w14:paraId="07719642" w14:textId="77777777" w:rsidR="009A6275" w:rsidRPr="001720A8" w:rsidRDefault="009A6275" w:rsidP="00F467C8">
            <w:pPr>
              <w:spacing w:after="0"/>
              <w:jc w:val="center"/>
              <w:rPr>
                <w:color w:val="000000"/>
                <w:sz w:val="14"/>
                <w:szCs w:val="14"/>
                <w:lang w:val="en-US" w:eastAsia="en-US"/>
              </w:rPr>
            </w:pPr>
            <w:r w:rsidRPr="001720A8">
              <w:rPr>
                <w:color w:val="000000"/>
                <w:sz w:val="14"/>
                <w:szCs w:val="14"/>
                <w:lang w:val="en-US" w:eastAsia="en-US"/>
              </w:rPr>
              <w:t>16</w:t>
            </w:r>
          </w:p>
        </w:tc>
        <w:tc>
          <w:tcPr>
            <w:tcW w:w="6567" w:type="dxa"/>
            <w:gridSpan w:val="3"/>
            <w:tcBorders>
              <w:top w:val="single" w:sz="4" w:space="0" w:color="auto"/>
              <w:left w:val="nil"/>
              <w:bottom w:val="nil"/>
              <w:right w:val="nil"/>
            </w:tcBorders>
            <w:shd w:val="clear" w:color="000000" w:fill="FFFFFF"/>
            <w:noWrap/>
            <w:hideMark/>
          </w:tcPr>
          <w:p w14:paraId="2B9E1B26"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Sub-total, top 20 highest ORSPS cost</w:t>
            </w:r>
            <w:r>
              <w:rPr>
                <w:b/>
                <w:bCs/>
                <w:color w:val="000000"/>
                <w:sz w:val="14"/>
                <w:szCs w:val="14"/>
                <w:lang w:val="en-US" w:eastAsia="en-US"/>
              </w:rPr>
              <w:t xml:space="preserve"> </w:t>
            </w:r>
            <w:r w:rsidRPr="001720A8">
              <w:rPr>
                <w:b/>
                <w:bCs/>
                <w:color w:val="000000"/>
                <w:sz w:val="14"/>
                <w:szCs w:val="14"/>
                <w:lang w:val="en-US" w:eastAsia="en-US"/>
              </w:rPr>
              <w:t>weight DRGs</w:t>
            </w:r>
          </w:p>
        </w:tc>
        <w:tc>
          <w:tcPr>
            <w:tcW w:w="761" w:type="dxa"/>
            <w:tcBorders>
              <w:top w:val="nil"/>
              <w:left w:val="nil"/>
              <w:bottom w:val="nil"/>
              <w:right w:val="nil"/>
            </w:tcBorders>
            <w:shd w:val="clear" w:color="000000" w:fill="FFFFFF"/>
            <w:noWrap/>
            <w:hideMark/>
          </w:tcPr>
          <w:p w14:paraId="6B844AFB"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lang w:val="en-US" w:eastAsia="en-US"/>
              </w:rPr>
              <w:t>2.44</w:t>
            </w:r>
          </w:p>
        </w:tc>
        <w:tc>
          <w:tcPr>
            <w:tcW w:w="968" w:type="dxa"/>
            <w:tcBorders>
              <w:top w:val="nil"/>
              <w:left w:val="nil"/>
              <w:bottom w:val="nil"/>
              <w:right w:val="nil"/>
            </w:tcBorders>
            <w:shd w:val="clear" w:color="000000" w:fill="FFFFFF"/>
            <w:noWrap/>
            <w:hideMark/>
          </w:tcPr>
          <w:p w14:paraId="4D3D78A4"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lang w:val="en-US" w:eastAsia="en-US"/>
              </w:rPr>
              <w:t>4,470</w:t>
            </w:r>
          </w:p>
        </w:tc>
        <w:tc>
          <w:tcPr>
            <w:tcW w:w="797" w:type="dxa"/>
            <w:tcBorders>
              <w:top w:val="nil"/>
              <w:left w:val="nil"/>
              <w:bottom w:val="nil"/>
              <w:right w:val="nil"/>
            </w:tcBorders>
            <w:shd w:val="clear" w:color="000000" w:fill="FFFFFF"/>
            <w:noWrap/>
            <w:hideMark/>
          </w:tcPr>
          <w:p w14:paraId="4A4A165A"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rPr>
              <w:t>13.16</w:t>
            </w:r>
          </w:p>
        </w:tc>
        <w:tc>
          <w:tcPr>
            <w:tcW w:w="725" w:type="dxa"/>
            <w:tcBorders>
              <w:top w:val="nil"/>
              <w:left w:val="nil"/>
              <w:bottom w:val="nil"/>
              <w:right w:val="nil"/>
            </w:tcBorders>
            <w:shd w:val="clear" w:color="000000" w:fill="FFFFFF"/>
            <w:noWrap/>
            <w:hideMark/>
          </w:tcPr>
          <w:p w14:paraId="17484E51"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rPr>
              <w:t>19.8</w:t>
            </w:r>
          </w:p>
        </w:tc>
        <w:tc>
          <w:tcPr>
            <w:tcW w:w="645" w:type="dxa"/>
            <w:tcBorders>
              <w:top w:val="single" w:sz="4" w:space="0" w:color="auto"/>
              <w:left w:val="single" w:sz="4" w:space="0" w:color="000000"/>
              <w:bottom w:val="nil"/>
              <w:right w:val="nil"/>
            </w:tcBorders>
            <w:shd w:val="clear" w:color="000000" w:fill="FFFFFF"/>
            <w:noWrap/>
            <w:hideMark/>
          </w:tcPr>
          <w:p w14:paraId="4BF1482D"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19%</w:t>
            </w:r>
          </w:p>
        </w:tc>
        <w:tc>
          <w:tcPr>
            <w:tcW w:w="797" w:type="dxa"/>
            <w:tcBorders>
              <w:top w:val="single" w:sz="4" w:space="0" w:color="auto"/>
              <w:left w:val="nil"/>
              <w:bottom w:val="nil"/>
              <w:right w:val="nil"/>
            </w:tcBorders>
            <w:shd w:val="clear" w:color="000000" w:fill="FFFFFF"/>
            <w:noWrap/>
            <w:hideMark/>
          </w:tcPr>
          <w:p w14:paraId="026ABC85"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31%</w:t>
            </w:r>
          </w:p>
        </w:tc>
        <w:tc>
          <w:tcPr>
            <w:tcW w:w="814" w:type="dxa"/>
            <w:tcBorders>
              <w:top w:val="single" w:sz="4" w:space="0" w:color="auto"/>
              <w:left w:val="nil"/>
              <w:bottom w:val="nil"/>
              <w:right w:val="nil"/>
            </w:tcBorders>
            <w:shd w:val="clear" w:color="000000" w:fill="FFFFFF"/>
            <w:noWrap/>
            <w:hideMark/>
          </w:tcPr>
          <w:p w14:paraId="53CEE972"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13%</w:t>
            </w:r>
          </w:p>
        </w:tc>
        <w:tc>
          <w:tcPr>
            <w:tcW w:w="845" w:type="dxa"/>
            <w:tcBorders>
              <w:top w:val="single" w:sz="4" w:space="0" w:color="auto"/>
              <w:left w:val="nil"/>
              <w:bottom w:val="nil"/>
              <w:right w:val="nil"/>
            </w:tcBorders>
            <w:shd w:val="clear" w:color="000000" w:fill="FFFFFF"/>
            <w:noWrap/>
            <w:hideMark/>
          </w:tcPr>
          <w:p w14:paraId="43DE9DEC"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37%</w:t>
            </w:r>
          </w:p>
        </w:tc>
        <w:tc>
          <w:tcPr>
            <w:tcW w:w="761" w:type="dxa"/>
            <w:tcBorders>
              <w:top w:val="single" w:sz="4" w:space="0" w:color="auto"/>
              <w:left w:val="single" w:sz="4" w:space="0" w:color="auto"/>
              <w:bottom w:val="nil"/>
              <w:right w:val="nil"/>
            </w:tcBorders>
            <w:shd w:val="clear" w:color="000000" w:fill="FFFFFF"/>
            <w:noWrap/>
            <w:hideMark/>
          </w:tcPr>
          <w:p w14:paraId="4E5D399B"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 </w:t>
            </w:r>
          </w:p>
        </w:tc>
        <w:tc>
          <w:tcPr>
            <w:tcW w:w="761" w:type="dxa"/>
            <w:tcBorders>
              <w:top w:val="single" w:sz="4" w:space="0" w:color="auto"/>
              <w:left w:val="nil"/>
              <w:bottom w:val="nil"/>
              <w:right w:val="nil"/>
            </w:tcBorders>
            <w:shd w:val="clear" w:color="000000" w:fill="FFFFFF"/>
            <w:noWrap/>
            <w:hideMark/>
          </w:tcPr>
          <w:p w14:paraId="6977C519"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 </w:t>
            </w:r>
          </w:p>
        </w:tc>
      </w:tr>
      <w:tr w:rsidR="009A6275" w:rsidRPr="00E4527E" w14:paraId="40A7A769" w14:textId="77777777" w:rsidTr="00F467C8">
        <w:trPr>
          <w:trHeight w:val="232"/>
        </w:trPr>
        <w:tc>
          <w:tcPr>
            <w:tcW w:w="689" w:type="dxa"/>
            <w:tcBorders>
              <w:top w:val="nil"/>
              <w:left w:val="nil"/>
              <w:bottom w:val="nil"/>
              <w:right w:val="nil"/>
            </w:tcBorders>
            <w:shd w:val="clear" w:color="000000" w:fill="FFFFFF"/>
            <w:noWrap/>
            <w:hideMark/>
          </w:tcPr>
          <w:p w14:paraId="22E2339E" w14:textId="77777777" w:rsidR="009A6275" w:rsidRPr="001720A8" w:rsidRDefault="009A6275" w:rsidP="00F467C8">
            <w:pPr>
              <w:spacing w:after="0"/>
              <w:jc w:val="center"/>
              <w:rPr>
                <w:color w:val="000000"/>
                <w:sz w:val="14"/>
                <w:szCs w:val="14"/>
                <w:lang w:val="en-US" w:eastAsia="en-US"/>
              </w:rPr>
            </w:pPr>
            <w:r w:rsidRPr="001720A8">
              <w:rPr>
                <w:color w:val="000000"/>
                <w:sz w:val="14"/>
                <w:szCs w:val="14"/>
                <w:lang w:val="en-US" w:eastAsia="en-US"/>
              </w:rPr>
              <w:t xml:space="preserve">in </w:t>
            </w:r>
          </w:p>
        </w:tc>
        <w:tc>
          <w:tcPr>
            <w:tcW w:w="1263" w:type="dxa"/>
            <w:gridSpan w:val="2"/>
            <w:tcBorders>
              <w:top w:val="nil"/>
              <w:left w:val="nil"/>
              <w:bottom w:val="nil"/>
              <w:right w:val="nil"/>
            </w:tcBorders>
            <w:shd w:val="clear" w:color="000000" w:fill="FFFFFF"/>
            <w:noWrap/>
            <w:hideMark/>
          </w:tcPr>
          <w:p w14:paraId="4EE062CB" w14:textId="69A726D5" w:rsidR="009A6275" w:rsidRPr="001720A8" w:rsidRDefault="00F32225" w:rsidP="00F467C8">
            <w:pPr>
              <w:spacing w:after="0"/>
              <w:rPr>
                <w:b/>
                <w:bCs/>
                <w:color w:val="000000"/>
                <w:sz w:val="14"/>
                <w:szCs w:val="14"/>
                <w:lang w:val="en-US" w:eastAsia="en-US"/>
              </w:rPr>
            </w:pPr>
            <w:r>
              <w:rPr>
                <w:b/>
                <w:bCs/>
                <w:color w:val="000000"/>
                <w:sz w:val="14"/>
                <w:szCs w:val="14"/>
                <w:lang w:val="en-US" w:eastAsia="en-US"/>
              </w:rPr>
              <w:t>All DRGs</w:t>
            </w:r>
          </w:p>
        </w:tc>
        <w:tc>
          <w:tcPr>
            <w:tcW w:w="5304" w:type="dxa"/>
            <w:tcBorders>
              <w:top w:val="nil"/>
              <w:left w:val="nil"/>
              <w:bottom w:val="nil"/>
              <w:right w:val="nil"/>
            </w:tcBorders>
            <w:shd w:val="clear" w:color="000000" w:fill="FFFFFF"/>
            <w:noWrap/>
            <w:hideMark/>
          </w:tcPr>
          <w:p w14:paraId="113AF83D"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761" w:type="dxa"/>
            <w:tcBorders>
              <w:top w:val="nil"/>
              <w:left w:val="nil"/>
              <w:bottom w:val="nil"/>
              <w:right w:val="nil"/>
            </w:tcBorders>
            <w:shd w:val="clear" w:color="000000" w:fill="FFFFFF"/>
            <w:noWrap/>
            <w:hideMark/>
          </w:tcPr>
          <w:p w14:paraId="1E52049E"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lang w:val="en-US" w:eastAsia="en-US"/>
              </w:rPr>
              <w:t>0.28</w:t>
            </w:r>
          </w:p>
        </w:tc>
        <w:tc>
          <w:tcPr>
            <w:tcW w:w="968" w:type="dxa"/>
            <w:tcBorders>
              <w:top w:val="nil"/>
              <w:left w:val="nil"/>
              <w:bottom w:val="nil"/>
              <w:right w:val="nil"/>
            </w:tcBorders>
            <w:shd w:val="clear" w:color="000000" w:fill="FFFFFF"/>
            <w:noWrap/>
            <w:hideMark/>
          </w:tcPr>
          <w:p w14:paraId="4B87EDAD"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lang w:val="en-US" w:eastAsia="en-US"/>
              </w:rPr>
              <w:t>3,242,411</w:t>
            </w:r>
          </w:p>
        </w:tc>
        <w:tc>
          <w:tcPr>
            <w:tcW w:w="797" w:type="dxa"/>
            <w:tcBorders>
              <w:top w:val="nil"/>
              <w:left w:val="nil"/>
              <w:bottom w:val="nil"/>
              <w:right w:val="nil"/>
            </w:tcBorders>
            <w:shd w:val="clear" w:color="000000" w:fill="FFFFFF"/>
            <w:noWrap/>
            <w:hideMark/>
          </w:tcPr>
          <w:p w14:paraId="38B5DC3E"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rPr>
              <w:t>1.00</w:t>
            </w:r>
          </w:p>
        </w:tc>
        <w:tc>
          <w:tcPr>
            <w:tcW w:w="725" w:type="dxa"/>
            <w:tcBorders>
              <w:top w:val="nil"/>
              <w:left w:val="nil"/>
              <w:bottom w:val="nil"/>
              <w:right w:val="nil"/>
            </w:tcBorders>
            <w:shd w:val="clear" w:color="000000" w:fill="FFFFFF"/>
            <w:noWrap/>
            <w:hideMark/>
          </w:tcPr>
          <w:p w14:paraId="33CEFA8F"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rPr>
              <w:t>2.3</w:t>
            </w:r>
          </w:p>
        </w:tc>
        <w:tc>
          <w:tcPr>
            <w:tcW w:w="645" w:type="dxa"/>
            <w:tcBorders>
              <w:top w:val="nil"/>
              <w:left w:val="single" w:sz="4" w:space="0" w:color="000000"/>
              <w:bottom w:val="nil"/>
              <w:right w:val="nil"/>
            </w:tcBorders>
            <w:shd w:val="clear" w:color="000000" w:fill="FFFFFF"/>
            <w:noWrap/>
            <w:hideMark/>
          </w:tcPr>
          <w:p w14:paraId="266F1718"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28%</w:t>
            </w:r>
          </w:p>
        </w:tc>
        <w:tc>
          <w:tcPr>
            <w:tcW w:w="797" w:type="dxa"/>
            <w:tcBorders>
              <w:top w:val="nil"/>
              <w:left w:val="nil"/>
              <w:bottom w:val="nil"/>
              <w:right w:val="nil"/>
            </w:tcBorders>
            <w:shd w:val="clear" w:color="000000" w:fill="FFFFFF"/>
            <w:noWrap/>
            <w:hideMark/>
          </w:tcPr>
          <w:p w14:paraId="0ED5B0B7"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6%</w:t>
            </w:r>
          </w:p>
        </w:tc>
        <w:tc>
          <w:tcPr>
            <w:tcW w:w="814" w:type="dxa"/>
            <w:tcBorders>
              <w:top w:val="nil"/>
              <w:left w:val="nil"/>
              <w:bottom w:val="nil"/>
              <w:right w:val="nil"/>
            </w:tcBorders>
            <w:shd w:val="clear" w:color="000000" w:fill="FFFFFF"/>
            <w:noWrap/>
            <w:hideMark/>
          </w:tcPr>
          <w:p w14:paraId="36E90A6A"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18%</w:t>
            </w:r>
          </w:p>
        </w:tc>
        <w:tc>
          <w:tcPr>
            <w:tcW w:w="845" w:type="dxa"/>
            <w:tcBorders>
              <w:top w:val="nil"/>
              <w:left w:val="nil"/>
              <w:bottom w:val="nil"/>
              <w:right w:val="nil"/>
            </w:tcBorders>
            <w:shd w:val="clear" w:color="000000" w:fill="FFFFFF"/>
            <w:noWrap/>
            <w:hideMark/>
          </w:tcPr>
          <w:p w14:paraId="2541453F" w14:textId="77777777" w:rsidR="009A6275" w:rsidRPr="001720A8" w:rsidRDefault="009A6275" w:rsidP="00F467C8">
            <w:pPr>
              <w:spacing w:after="0"/>
              <w:jc w:val="right"/>
              <w:rPr>
                <w:color w:val="000000"/>
                <w:sz w:val="14"/>
                <w:szCs w:val="14"/>
                <w:lang w:val="en-US" w:eastAsia="en-US"/>
              </w:rPr>
            </w:pPr>
            <w:r w:rsidRPr="001720A8">
              <w:rPr>
                <w:color w:val="000000"/>
                <w:sz w:val="14"/>
                <w:szCs w:val="14"/>
              </w:rPr>
              <w:t>49%</w:t>
            </w:r>
          </w:p>
        </w:tc>
        <w:tc>
          <w:tcPr>
            <w:tcW w:w="761" w:type="dxa"/>
            <w:tcBorders>
              <w:top w:val="nil"/>
              <w:left w:val="single" w:sz="4" w:space="0" w:color="auto"/>
              <w:bottom w:val="nil"/>
              <w:right w:val="nil"/>
            </w:tcBorders>
            <w:shd w:val="clear" w:color="000000" w:fill="FFFFFF"/>
            <w:noWrap/>
            <w:hideMark/>
          </w:tcPr>
          <w:p w14:paraId="540A5954"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 </w:t>
            </w:r>
          </w:p>
        </w:tc>
        <w:tc>
          <w:tcPr>
            <w:tcW w:w="761" w:type="dxa"/>
            <w:tcBorders>
              <w:top w:val="nil"/>
              <w:left w:val="nil"/>
              <w:bottom w:val="nil"/>
              <w:right w:val="nil"/>
            </w:tcBorders>
            <w:shd w:val="clear" w:color="000000" w:fill="FFFFFF"/>
            <w:noWrap/>
            <w:hideMark/>
          </w:tcPr>
          <w:p w14:paraId="2C11C462"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 </w:t>
            </w:r>
          </w:p>
        </w:tc>
      </w:tr>
      <w:tr w:rsidR="009A6275" w:rsidRPr="00E4527E" w14:paraId="6C5EAD37" w14:textId="77777777" w:rsidTr="00F467C8">
        <w:trPr>
          <w:trHeight w:val="232"/>
        </w:trPr>
        <w:tc>
          <w:tcPr>
            <w:tcW w:w="689" w:type="dxa"/>
            <w:tcBorders>
              <w:top w:val="nil"/>
              <w:left w:val="nil"/>
              <w:bottom w:val="single" w:sz="4" w:space="0" w:color="auto"/>
              <w:right w:val="nil"/>
            </w:tcBorders>
            <w:shd w:val="clear" w:color="000000" w:fill="FFFFFF"/>
            <w:noWrap/>
            <w:hideMark/>
          </w:tcPr>
          <w:p w14:paraId="7ACE4FBE" w14:textId="77777777" w:rsidR="009A6275" w:rsidRPr="001720A8" w:rsidRDefault="009A6275" w:rsidP="00F467C8">
            <w:pPr>
              <w:spacing w:after="0"/>
              <w:jc w:val="center"/>
              <w:rPr>
                <w:color w:val="000000"/>
                <w:sz w:val="14"/>
                <w:szCs w:val="14"/>
                <w:lang w:val="en-US" w:eastAsia="en-US"/>
              </w:rPr>
            </w:pPr>
            <w:r w:rsidRPr="001720A8">
              <w:rPr>
                <w:color w:val="000000"/>
                <w:sz w:val="14"/>
                <w:szCs w:val="14"/>
                <w:lang w:val="en-US" w:eastAsia="en-US"/>
              </w:rPr>
              <w:t>Top 20</w:t>
            </w:r>
          </w:p>
        </w:tc>
        <w:tc>
          <w:tcPr>
            <w:tcW w:w="6567" w:type="dxa"/>
            <w:gridSpan w:val="3"/>
            <w:tcBorders>
              <w:top w:val="nil"/>
              <w:left w:val="nil"/>
              <w:bottom w:val="single" w:sz="4" w:space="0" w:color="auto"/>
              <w:right w:val="nil"/>
            </w:tcBorders>
            <w:shd w:val="clear" w:color="000000" w:fill="FFFFFF"/>
            <w:noWrap/>
            <w:hideMark/>
          </w:tcPr>
          <w:p w14:paraId="57D61BBE"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Top 20 OR and SPS cost</w:t>
            </w:r>
            <w:r>
              <w:rPr>
                <w:b/>
                <w:bCs/>
                <w:color w:val="000000"/>
                <w:sz w:val="14"/>
                <w:szCs w:val="14"/>
                <w:lang w:val="en-US" w:eastAsia="en-US"/>
              </w:rPr>
              <w:t xml:space="preserve"> </w:t>
            </w:r>
            <w:r w:rsidRPr="001720A8">
              <w:rPr>
                <w:b/>
                <w:bCs/>
                <w:color w:val="000000"/>
                <w:sz w:val="14"/>
                <w:szCs w:val="14"/>
                <w:lang w:val="en-US" w:eastAsia="en-US"/>
              </w:rPr>
              <w:t>weight DRGs, % of all DRGs</w:t>
            </w:r>
          </w:p>
        </w:tc>
        <w:tc>
          <w:tcPr>
            <w:tcW w:w="761" w:type="dxa"/>
            <w:tcBorders>
              <w:top w:val="nil"/>
              <w:left w:val="nil"/>
              <w:bottom w:val="single" w:sz="4" w:space="0" w:color="auto"/>
              <w:right w:val="nil"/>
            </w:tcBorders>
            <w:shd w:val="clear" w:color="000000" w:fill="FFFFFF"/>
            <w:noWrap/>
            <w:hideMark/>
          </w:tcPr>
          <w:p w14:paraId="4BF31B45" w14:textId="77777777" w:rsidR="009A6275" w:rsidRPr="001720A8" w:rsidRDefault="009A6275" w:rsidP="00F467C8">
            <w:pPr>
              <w:spacing w:after="0"/>
              <w:rPr>
                <w:b/>
                <w:bCs/>
                <w:color w:val="000000"/>
                <w:sz w:val="14"/>
                <w:szCs w:val="14"/>
                <w:lang w:val="en-US" w:eastAsia="en-US"/>
              </w:rPr>
            </w:pPr>
            <w:r w:rsidRPr="001720A8">
              <w:rPr>
                <w:b/>
                <w:bCs/>
                <w:color w:val="000000"/>
                <w:sz w:val="14"/>
                <w:szCs w:val="14"/>
                <w:lang w:val="en-US" w:eastAsia="en-US"/>
              </w:rPr>
              <w:t> </w:t>
            </w:r>
          </w:p>
        </w:tc>
        <w:tc>
          <w:tcPr>
            <w:tcW w:w="968" w:type="dxa"/>
            <w:tcBorders>
              <w:top w:val="nil"/>
              <w:left w:val="nil"/>
              <w:bottom w:val="single" w:sz="4" w:space="0" w:color="auto"/>
              <w:right w:val="nil"/>
            </w:tcBorders>
            <w:shd w:val="clear" w:color="000000" w:fill="FFFFFF"/>
            <w:noWrap/>
            <w:hideMark/>
          </w:tcPr>
          <w:p w14:paraId="4869F856" w14:textId="77777777" w:rsidR="009A6275" w:rsidRPr="001720A8" w:rsidRDefault="009A6275" w:rsidP="00F467C8">
            <w:pPr>
              <w:spacing w:after="0"/>
              <w:jc w:val="right"/>
              <w:rPr>
                <w:b/>
                <w:bCs/>
                <w:color w:val="000000"/>
                <w:sz w:val="14"/>
                <w:szCs w:val="14"/>
                <w:lang w:val="en-US" w:eastAsia="en-US"/>
              </w:rPr>
            </w:pPr>
            <w:r w:rsidRPr="001720A8">
              <w:rPr>
                <w:b/>
                <w:bCs/>
                <w:color w:val="000000"/>
                <w:sz w:val="14"/>
                <w:szCs w:val="14"/>
                <w:lang w:val="en-US" w:eastAsia="en-US"/>
              </w:rPr>
              <w:t>0.1%</w:t>
            </w:r>
          </w:p>
        </w:tc>
        <w:tc>
          <w:tcPr>
            <w:tcW w:w="797" w:type="dxa"/>
            <w:tcBorders>
              <w:top w:val="nil"/>
              <w:left w:val="nil"/>
              <w:bottom w:val="single" w:sz="4" w:space="0" w:color="auto"/>
              <w:right w:val="nil"/>
            </w:tcBorders>
            <w:shd w:val="clear" w:color="000000" w:fill="FFFFFF"/>
            <w:noWrap/>
            <w:hideMark/>
          </w:tcPr>
          <w:p w14:paraId="2468E604"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725" w:type="dxa"/>
            <w:tcBorders>
              <w:top w:val="nil"/>
              <w:left w:val="nil"/>
              <w:bottom w:val="single" w:sz="4" w:space="0" w:color="auto"/>
              <w:right w:val="nil"/>
            </w:tcBorders>
            <w:shd w:val="clear" w:color="000000" w:fill="FFFFFF"/>
            <w:noWrap/>
            <w:hideMark/>
          </w:tcPr>
          <w:p w14:paraId="674CFB12"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645" w:type="dxa"/>
            <w:tcBorders>
              <w:top w:val="nil"/>
              <w:left w:val="single" w:sz="4" w:space="0" w:color="000000"/>
              <w:bottom w:val="single" w:sz="4" w:space="0" w:color="000000"/>
              <w:right w:val="nil"/>
            </w:tcBorders>
            <w:shd w:val="clear" w:color="000000" w:fill="FFFFFF"/>
            <w:noWrap/>
            <w:hideMark/>
          </w:tcPr>
          <w:p w14:paraId="0F48D6A8"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797" w:type="dxa"/>
            <w:tcBorders>
              <w:top w:val="nil"/>
              <w:left w:val="nil"/>
              <w:bottom w:val="single" w:sz="4" w:space="0" w:color="000000"/>
              <w:right w:val="nil"/>
            </w:tcBorders>
            <w:shd w:val="clear" w:color="000000" w:fill="FFFFFF"/>
            <w:noWrap/>
            <w:hideMark/>
          </w:tcPr>
          <w:p w14:paraId="785F9AD5"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814" w:type="dxa"/>
            <w:tcBorders>
              <w:top w:val="nil"/>
              <w:left w:val="nil"/>
              <w:bottom w:val="single" w:sz="4" w:space="0" w:color="000000"/>
              <w:right w:val="nil"/>
            </w:tcBorders>
            <w:shd w:val="clear" w:color="000000" w:fill="FFFFFF"/>
            <w:noWrap/>
            <w:hideMark/>
          </w:tcPr>
          <w:p w14:paraId="06C3D93D"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845" w:type="dxa"/>
            <w:tcBorders>
              <w:top w:val="nil"/>
              <w:left w:val="nil"/>
              <w:bottom w:val="single" w:sz="4" w:space="0" w:color="000000"/>
              <w:right w:val="nil"/>
            </w:tcBorders>
            <w:shd w:val="clear" w:color="000000" w:fill="FFFFFF"/>
            <w:noWrap/>
            <w:hideMark/>
          </w:tcPr>
          <w:p w14:paraId="2271B661"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761" w:type="dxa"/>
            <w:tcBorders>
              <w:top w:val="nil"/>
              <w:left w:val="single" w:sz="4" w:space="0" w:color="auto"/>
              <w:bottom w:val="single" w:sz="4" w:space="0" w:color="auto"/>
              <w:right w:val="nil"/>
            </w:tcBorders>
            <w:shd w:val="clear" w:color="000000" w:fill="FFFFFF"/>
            <w:noWrap/>
            <w:hideMark/>
          </w:tcPr>
          <w:p w14:paraId="7F6E6A12"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c>
          <w:tcPr>
            <w:tcW w:w="761" w:type="dxa"/>
            <w:tcBorders>
              <w:top w:val="nil"/>
              <w:left w:val="nil"/>
              <w:bottom w:val="single" w:sz="4" w:space="0" w:color="auto"/>
              <w:right w:val="nil"/>
            </w:tcBorders>
            <w:shd w:val="clear" w:color="000000" w:fill="FFFFFF"/>
            <w:noWrap/>
            <w:hideMark/>
          </w:tcPr>
          <w:p w14:paraId="49E835A4" w14:textId="77777777" w:rsidR="009A6275" w:rsidRPr="001720A8" w:rsidRDefault="009A6275" w:rsidP="00F467C8">
            <w:pPr>
              <w:spacing w:after="0"/>
              <w:rPr>
                <w:color w:val="000000"/>
                <w:sz w:val="14"/>
                <w:szCs w:val="14"/>
                <w:lang w:val="en-US" w:eastAsia="en-US"/>
              </w:rPr>
            </w:pPr>
            <w:r w:rsidRPr="001720A8">
              <w:rPr>
                <w:color w:val="000000"/>
                <w:sz w:val="14"/>
                <w:szCs w:val="14"/>
                <w:lang w:val="en-US" w:eastAsia="en-US"/>
              </w:rPr>
              <w:t> </w:t>
            </w:r>
          </w:p>
        </w:tc>
      </w:tr>
    </w:tbl>
    <w:p w14:paraId="0728129E" w14:textId="77777777" w:rsidR="009A6275" w:rsidRPr="00F039A3" w:rsidRDefault="009A6275" w:rsidP="00674A8F">
      <w:pPr>
        <w:spacing w:before="60" w:after="0" w:line="240" w:lineRule="auto"/>
        <w:rPr>
          <w:rFonts w:asciiTheme="minorHAnsi" w:hAnsiTheme="minorHAnsi" w:cstheme="minorHAnsi"/>
          <w:color w:val="008A00" w:themeColor="accent2"/>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color w:val="008A00" w:themeColor="accent2"/>
          <w:sz w:val="14"/>
        </w:rPr>
        <w:tab/>
      </w:r>
      <w:r w:rsidRPr="00F039A3">
        <w:rPr>
          <w:rFonts w:asciiTheme="minorHAnsi" w:hAnsiTheme="minorHAnsi" w:cstheme="minorHAnsi"/>
          <w:color w:val="008A00" w:themeColor="accent2"/>
          <w:sz w:val="14"/>
        </w:rPr>
        <w:tab/>
      </w:r>
    </w:p>
    <w:p w14:paraId="275EDFC9" w14:textId="3C88818E" w:rsidR="009A6275" w:rsidRPr="00DF0CF9" w:rsidRDefault="009A6275" w:rsidP="0093692C">
      <w:pPr>
        <w:spacing w:after="0" w:line="240" w:lineRule="auto"/>
        <w:rPr>
          <w:rFonts w:asciiTheme="minorHAnsi" w:hAnsiTheme="minorHAnsi" w:cstheme="minorHAnsi"/>
          <w:sz w:val="14"/>
        </w:rPr>
      </w:pPr>
      <w:r w:rsidRPr="00DF0CF9">
        <w:rPr>
          <w:rFonts w:asciiTheme="minorHAnsi" w:hAnsiTheme="minorHAnsi" w:cstheme="minorHAnsi"/>
          <w:sz w:val="14"/>
        </w:rPr>
        <w:t xml:space="preserve">(a) For cost weight (cost bucket specific) calculations please refer to </w:t>
      </w:r>
      <w:r w:rsidRPr="00DF0CF9">
        <w:rPr>
          <w:rFonts w:asciiTheme="minorHAnsi" w:hAnsiTheme="minorHAnsi" w:cstheme="minorHAnsi"/>
          <w:sz w:val="14"/>
        </w:rPr>
        <w:fldChar w:fldCharType="begin"/>
      </w:r>
      <w:r w:rsidRPr="00DF0CF9">
        <w:rPr>
          <w:rFonts w:asciiTheme="minorHAnsi" w:hAnsiTheme="minorHAnsi" w:cstheme="minorHAnsi"/>
          <w:sz w:val="14"/>
        </w:rPr>
        <w:instrText xml:space="preserve"> REF _Ref497335615 \h  \* MERGEFORMAT </w:instrText>
      </w:r>
      <w:r w:rsidRPr="00DF0CF9">
        <w:rPr>
          <w:rFonts w:asciiTheme="minorHAnsi" w:hAnsiTheme="minorHAnsi" w:cstheme="minorHAnsi"/>
          <w:sz w:val="14"/>
        </w:rPr>
      </w:r>
      <w:r w:rsidRPr="00DF0CF9">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Pr="00DF0CF9">
        <w:rPr>
          <w:rFonts w:asciiTheme="minorHAnsi" w:hAnsiTheme="minorHAnsi" w:cstheme="minorHAnsi"/>
          <w:sz w:val="14"/>
        </w:rPr>
        <w:fldChar w:fldCharType="end"/>
      </w:r>
      <w:r w:rsidRPr="00DF0CF9">
        <w:rPr>
          <w:rFonts w:asciiTheme="minorHAnsi" w:hAnsiTheme="minorHAnsi" w:cstheme="minorHAnsi"/>
          <w:sz w:val="14"/>
        </w:rPr>
        <w:tab/>
      </w:r>
    </w:p>
    <w:p w14:paraId="7DBBF82F" w14:textId="77777777" w:rsidR="009A6275" w:rsidRPr="00235DEA" w:rsidRDefault="009A6275" w:rsidP="00235DEA">
      <w:pPr>
        <w:spacing w:after="0" w:line="240" w:lineRule="auto"/>
        <w:rPr>
          <w:rFonts w:asciiTheme="minorHAnsi" w:hAnsiTheme="minorHAnsi" w:cstheme="minorHAnsi"/>
          <w:sz w:val="14"/>
        </w:rPr>
      </w:pPr>
      <w:bookmarkStart w:id="175" w:name="_Toc497332778"/>
      <w:bookmarkStart w:id="176" w:name="_Toc497332917"/>
      <w:bookmarkStart w:id="177" w:name="_Toc497486122"/>
      <w:bookmarkStart w:id="178" w:name="_Toc497488041"/>
      <w:r w:rsidRPr="00235DEA">
        <w:rPr>
          <w:rFonts w:asciiTheme="minorHAnsi" w:hAnsiTheme="minorHAnsi" w:cstheme="minorHAnsi"/>
          <w:sz w:val="14"/>
        </w:rPr>
        <w:t>(b) Separations shown are strata weighted</w:t>
      </w:r>
      <w:bookmarkEnd w:id="175"/>
      <w:bookmarkEnd w:id="176"/>
      <w:bookmarkEnd w:id="177"/>
      <w:bookmarkEnd w:id="178"/>
      <w:r w:rsidRPr="00235DEA">
        <w:rPr>
          <w:rFonts w:asciiTheme="minorHAnsi" w:hAnsiTheme="minorHAnsi" w:cstheme="minorHAnsi"/>
          <w:sz w:val="14"/>
        </w:rPr>
        <w:tab/>
      </w:r>
    </w:p>
    <w:p w14:paraId="2F2D1EEF" w14:textId="2D2256C0" w:rsidR="009A6275" w:rsidRPr="00F039A3" w:rsidRDefault="009A6275" w:rsidP="00235DEA">
      <w:pPr>
        <w:spacing w:after="0" w:line="240" w:lineRule="auto"/>
        <w:rPr>
          <w:sz w:val="18"/>
        </w:rPr>
      </w:pPr>
      <w:bookmarkStart w:id="179" w:name="_Toc497332780"/>
      <w:bookmarkStart w:id="180" w:name="_Toc497332919"/>
      <w:bookmarkStart w:id="181" w:name="_Toc497486124"/>
      <w:bookmarkStart w:id="182" w:name="_Toc497488043"/>
      <w:r w:rsidRPr="00235DEA">
        <w:rPr>
          <w:rFonts w:asciiTheme="minorHAnsi" w:hAnsiTheme="minorHAnsi" w:cstheme="minorHAnsi"/>
          <w:sz w:val="14"/>
        </w:rPr>
        <w:t xml:space="preserve">(d) ALoS means </w:t>
      </w:r>
      <w:r w:rsidR="008C3232" w:rsidRPr="00235DEA">
        <w:rPr>
          <w:rFonts w:asciiTheme="minorHAnsi" w:hAnsiTheme="minorHAnsi" w:cstheme="minorHAnsi"/>
          <w:sz w:val="14"/>
        </w:rPr>
        <w:t>A</w:t>
      </w:r>
      <w:r w:rsidRPr="00235DEA">
        <w:rPr>
          <w:rFonts w:asciiTheme="minorHAnsi" w:hAnsiTheme="minorHAnsi" w:cstheme="minorHAnsi"/>
          <w:sz w:val="14"/>
        </w:rPr>
        <w:t xml:space="preserve">verage </w:t>
      </w:r>
      <w:r w:rsidR="008C3232" w:rsidRPr="00235DEA">
        <w:rPr>
          <w:rFonts w:asciiTheme="minorHAnsi" w:hAnsiTheme="minorHAnsi" w:cstheme="minorHAnsi"/>
          <w:sz w:val="14"/>
        </w:rPr>
        <w:t>L</w:t>
      </w:r>
      <w:r w:rsidRPr="00235DEA">
        <w:rPr>
          <w:rFonts w:asciiTheme="minorHAnsi" w:hAnsiTheme="minorHAnsi" w:cstheme="minorHAnsi"/>
          <w:sz w:val="14"/>
        </w:rPr>
        <w:t xml:space="preserve">ength of </w:t>
      </w:r>
      <w:r w:rsidR="008C3232" w:rsidRPr="00235DEA">
        <w:rPr>
          <w:rFonts w:asciiTheme="minorHAnsi" w:hAnsiTheme="minorHAnsi" w:cstheme="minorHAnsi"/>
          <w:sz w:val="14"/>
        </w:rPr>
        <w:t>S</w:t>
      </w:r>
      <w:r w:rsidRPr="00235DEA">
        <w:rPr>
          <w:rFonts w:asciiTheme="minorHAnsi" w:hAnsiTheme="minorHAnsi" w:cstheme="minorHAnsi"/>
          <w:sz w:val="14"/>
        </w:rPr>
        <w:t>tay</w:t>
      </w:r>
      <w:bookmarkEnd w:id="179"/>
      <w:bookmarkEnd w:id="180"/>
      <w:bookmarkEnd w:id="181"/>
      <w:bookmarkEnd w:id="182"/>
      <w:r w:rsidRPr="00F039A3">
        <w:tab/>
      </w:r>
      <w:r w:rsidRPr="00F039A3">
        <w:rPr>
          <w:sz w:val="18"/>
        </w:rPr>
        <w:br w:type="page"/>
      </w:r>
    </w:p>
    <w:p w14:paraId="7108740A" w14:textId="77777777" w:rsidR="009A6275" w:rsidRPr="00F039A3" w:rsidRDefault="009A6275" w:rsidP="006200A2">
      <w:pPr>
        <w:pStyle w:val="Figureheadings"/>
        <w:rPr>
          <w:highlight w:val="yellow"/>
        </w:rPr>
        <w:sectPr w:rsidR="009A6275" w:rsidRPr="00F039A3" w:rsidSect="00384647">
          <w:pgSz w:w="16840" w:h="11907" w:orient="landscape" w:code="9"/>
          <w:pgMar w:top="1843" w:right="1440" w:bottom="1021" w:left="1021" w:header="680" w:footer="510" w:gutter="0"/>
          <w:cols w:space="708"/>
          <w:docGrid w:linePitch="360"/>
        </w:sectPr>
      </w:pPr>
    </w:p>
    <w:p w14:paraId="4889CFEA" w14:textId="52A905B3" w:rsidR="005D7320" w:rsidRPr="001A18E0" w:rsidRDefault="005D7320" w:rsidP="00302DDA">
      <w:pPr>
        <w:pStyle w:val="Heading3"/>
        <w:rPr>
          <w:rFonts w:ascii="Georgia" w:hAnsi="Georgia"/>
          <w:color w:val="333132" w:themeColor="text2"/>
          <w:sz w:val="20"/>
          <w:szCs w:val="20"/>
          <w:lang w:eastAsia="en-US"/>
        </w:rPr>
      </w:pPr>
      <w:r w:rsidRPr="001A18E0">
        <w:lastRenderedPageBreak/>
        <w:t>Critical care cost bucket</w:t>
      </w:r>
      <w:bookmarkEnd w:id="172"/>
    </w:p>
    <w:p w14:paraId="69FA2842" w14:textId="77777777" w:rsidR="005D7320" w:rsidRPr="001A18E0" w:rsidRDefault="005D7320" w:rsidP="005D7320">
      <w:pPr>
        <w:pStyle w:val="Intro"/>
      </w:pPr>
      <w:r w:rsidRPr="001A18E0">
        <w:t>Key findings</w:t>
      </w:r>
    </w:p>
    <w:p w14:paraId="7C4E576C" w14:textId="4C562D5F" w:rsidR="00E7439E" w:rsidRPr="000F4588" w:rsidRDefault="00F467C8" w:rsidP="005D7320">
      <w:r>
        <w:t>Table 11</w:t>
      </w:r>
      <w:r w:rsidR="00281672" w:rsidRPr="000F4588">
        <w:t xml:space="preserve"> demonstrates </w:t>
      </w:r>
      <w:r w:rsidR="005D7320" w:rsidRPr="000F4588">
        <w:t xml:space="preserve">that the highest </w:t>
      </w:r>
      <w:r w:rsidR="008C0756" w:rsidRPr="000F4588">
        <w:t xml:space="preserve">critical care </w:t>
      </w:r>
      <w:r w:rsidR="005D7320" w:rsidRPr="000F4588">
        <w:t>cost weigh</w:t>
      </w:r>
      <w:r w:rsidR="008C0756" w:rsidRPr="000F4588">
        <w:t>t</w:t>
      </w:r>
      <w:r w:rsidR="005D7320" w:rsidRPr="000F4588">
        <w:t xml:space="preserve"> DRG </w:t>
      </w:r>
      <w:r w:rsidR="006512A0">
        <w:t>was</w:t>
      </w:r>
      <w:r w:rsidR="005D7320" w:rsidRPr="000F4588">
        <w:t xml:space="preserve"> </w:t>
      </w:r>
      <w:r w:rsidR="00272A9E" w:rsidRPr="000F4588">
        <w:t>A</w:t>
      </w:r>
      <w:r w:rsidR="001A18E0" w:rsidRPr="000F4588">
        <w:t>13</w:t>
      </w:r>
      <w:r w:rsidR="00272A9E" w:rsidRPr="000F4588">
        <w:t xml:space="preserve">A </w:t>
      </w:r>
      <w:r w:rsidR="000F4588">
        <w:t>(</w:t>
      </w:r>
      <w:r w:rsidR="001A18E0" w:rsidRPr="000F4588">
        <w:rPr>
          <w:color w:val="000000"/>
          <w:szCs w:val="22"/>
        </w:rPr>
        <w:t>Ventilation &gt;=336hours, Major Complexity</w:t>
      </w:r>
      <w:r w:rsidR="000F4588">
        <w:rPr>
          <w:color w:val="000000"/>
          <w:szCs w:val="22"/>
        </w:rPr>
        <w:t>)</w:t>
      </w:r>
      <w:r w:rsidR="005D7320" w:rsidRPr="000F4588">
        <w:t xml:space="preserve">. This was ranked number </w:t>
      </w:r>
      <w:r w:rsidR="00272A9E" w:rsidRPr="000F4588">
        <w:t>one</w:t>
      </w:r>
      <w:r w:rsidR="005D7320" w:rsidRPr="000F4588">
        <w:t xml:space="preserve"> </w:t>
      </w:r>
      <w:r w:rsidR="001A18E0" w:rsidRPr="000F4588">
        <w:t>in Round 20</w:t>
      </w:r>
      <w:r w:rsidR="005D7320" w:rsidRPr="000F4588">
        <w:t xml:space="preserve"> and is </w:t>
      </w:r>
      <w:r w:rsidR="001A18E0" w:rsidRPr="000F4588">
        <w:t xml:space="preserve">expected </w:t>
      </w:r>
      <w:r w:rsidR="005D7320" w:rsidRPr="000F4588">
        <w:t xml:space="preserve">to be </w:t>
      </w:r>
      <w:r w:rsidR="001A18E0" w:rsidRPr="000F4588">
        <w:t xml:space="preserve">highly ranked </w:t>
      </w:r>
      <w:r w:rsidR="005D7320" w:rsidRPr="000F4588">
        <w:t xml:space="preserve">given </w:t>
      </w:r>
      <w:r w:rsidR="001A18E0" w:rsidRPr="000F4588">
        <w:t>its complex and resource intensive nature</w:t>
      </w:r>
      <w:r w:rsidR="005D7320" w:rsidRPr="000F4588">
        <w:t>.</w:t>
      </w:r>
    </w:p>
    <w:p w14:paraId="647CB335" w14:textId="5C903DF7" w:rsidR="00E7439E" w:rsidRPr="000F4588" w:rsidRDefault="00AA16B4" w:rsidP="005D7320">
      <w:r w:rsidRPr="000F4588">
        <w:t xml:space="preserve">As seen in </w:t>
      </w:r>
      <w:r w:rsidR="00F467C8">
        <w:t>Table 11</w:t>
      </w:r>
      <w:r w:rsidR="005D7320" w:rsidRPr="000F4588">
        <w:t xml:space="preserve"> the DRGs listed in the top 20 </w:t>
      </w:r>
      <w:r w:rsidR="006512A0">
        <w:t>were</w:t>
      </w:r>
      <w:r w:rsidR="005D7320" w:rsidRPr="000F4588">
        <w:t xml:space="preserve"> </w:t>
      </w:r>
      <w:r w:rsidR="0060596E" w:rsidRPr="000F4588">
        <w:t xml:space="preserve">expected </w:t>
      </w:r>
      <w:r w:rsidR="005D7320" w:rsidRPr="000F4588">
        <w:t xml:space="preserve">to be within this ranking given that they </w:t>
      </w:r>
      <w:r w:rsidR="000F4588">
        <w:t>include</w:t>
      </w:r>
      <w:r w:rsidR="005D7320" w:rsidRPr="000F4588">
        <w:t xml:space="preserve"> either mechanical ventilation or neonatal DRGs.</w:t>
      </w:r>
    </w:p>
    <w:p w14:paraId="3AECE964" w14:textId="599A4713" w:rsidR="00953369" w:rsidRPr="00953369" w:rsidRDefault="00953369" w:rsidP="005D7320">
      <w:r>
        <w:t xml:space="preserve">The DRGs with the highest critical care costs </w:t>
      </w:r>
      <w:r w:rsidR="006512A0">
        <w:t>were</w:t>
      </w:r>
      <w:r>
        <w:t xml:space="preserve"> low-volume, high complexity DRGs.</w:t>
      </w:r>
    </w:p>
    <w:p w14:paraId="607DEC26" w14:textId="7483E66B" w:rsidR="005D7320" w:rsidRPr="00F512F0" w:rsidRDefault="00162614" w:rsidP="005D7320">
      <w:pPr>
        <w:pStyle w:val="Intro"/>
      </w:pPr>
      <w:r>
        <w:t>Consistencies between Round 21 and Round 20</w:t>
      </w:r>
    </w:p>
    <w:p w14:paraId="2730E324" w14:textId="25375A3F" w:rsidR="00F512F0" w:rsidRPr="00F512F0" w:rsidRDefault="00F512F0" w:rsidP="005D7320">
      <w:pPr>
        <w:rPr>
          <w:szCs w:val="22"/>
          <w:highlight w:val="yellow"/>
        </w:rPr>
      </w:pPr>
      <w:r w:rsidRPr="00953369">
        <w:t>The top 8 DRGs were the same as in Round 20, although in a slightly different order. A13B</w:t>
      </w:r>
      <w:r w:rsidR="000F4588">
        <w:t xml:space="preserve"> (</w:t>
      </w:r>
      <w:r w:rsidRPr="00F512F0">
        <w:rPr>
          <w:color w:val="000000"/>
          <w:szCs w:val="22"/>
        </w:rPr>
        <w:t>Ventilation &gt;=336hours, Minor Complexity</w:t>
      </w:r>
      <w:r w:rsidR="000F4588">
        <w:rPr>
          <w:color w:val="000000"/>
          <w:szCs w:val="22"/>
        </w:rPr>
        <w:t>)</w:t>
      </w:r>
      <w:r>
        <w:rPr>
          <w:color w:val="000000"/>
          <w:szCs w:val="22"/>
        </w:rPr>
        <w:t xml:space="preserve"> had the largest movement in critical care cost weight, moving from 21.56 in Round 20 to 14.28 in Round 21, </w:t>
      </w:r>
      <w:r w:rsidR="000F4588">
        <w:rPr>
          <w:color w:val="000000"/>
          <w:szCs w:val="22"/>
        </w:rPr>
        <w:t xml:space="preserve">which </w:t>
      </w:r>
      <w:r w:rsidR="006512A0">
        <w:rPr>
          <w:color w:val="000000"/>
          <w:szCs w:val="22"/>
        </w:rPr>
        <w:t>was</w:t>
      </w:r>
      <w:r>
        <w:rPr>
          <w:color w:val="000000"/>
          <w:szCs w:val="22"/>
        </w:rPr>
        <w:t xml:space="preserve"> a drop of 7.28 (or 34%). This was likely due to volatility from the small separation count, with only 8 population-weighted separations in Round 21.</w:t>
      </w:r>
    </w:p>
    <w:p w14:paraId="2719637B" w14:textId="20F556FB" w:rsidR="00BF794D" w:rsidRPr="00953369" w:rsidRDefault="00162614" w:rsidP="00BF794D">
      <w:pPr>
        <w:pStyle w:val="Intro"/>
      </w:pPr>
      <w:r>
        <w:t>Differences between Round 21 and Round 20</w:t>
      </w:r>
    </w:p>
    <w:p w14:paraId="40418B21" w14:textId="523A6F77" w:rsidR="00236EF2" w:rsidRPr="00236EF2" w:rsidRDefault="00E94858" w:rsidP="00426D7B">
      <w:r w:rsidRPr="007A3DBB">
        <w:t xml:space="preserve">There </w:t>
      </w:r>
      <w:r w:rsidR="006512A0">
        <w:t>were</w:t>
      </w:r>
      <w:r w:rsidRPr="007A3DBB">
        <w:t xml:space="preserve"> </w:t>
      </w:r>
      <w:r w:rsidR="007A3DBB" w:rsidRPr="007A3DBB">
        <w:t>five</w:t>
      </w:r>
      <w:r w:rsidRPr="007A3DBB">
        <w:t xml:space="preserve"> new DRGs</w:t>
      </w:r>
      <w:r w:rsidR="00880E0D" w:rsidRPr="007A3DBB">
        <w:t xml:space="preserve"> entering the top 20</w:t>
      </w:r>
      <w:r w:rsidRPr="007A3DBB">
        <w:t xml:space="preserve"> </w:t>
      </w:r>
      <w:r w:rsidR="00236EF2">
        <w:t>critical care cost w</w:t>
      </w:r>
      <w:r w:rsidR="00236EF2" w:rsidRPr="00DF0CF9">
        <w:t xml:space="preserve">eights </w:t>
      </w:r>
      <w:r w:rsidRPr="00DF0CF9">
        <w:t>(</w:t>
      </w:r>
      <w:r w:rsidR="00281672" w:rsidRPr="00DF0CF9">
        <w:t xml:space="preserve">see </w:t>
      </w:r>
      <w:r w:rsidR="006654BA" w:rsidRPr="00DF0CF9">
        <w:t>Table 1</w:t>
      </w:r>
      <w:r w:rsidR="00F467C8" w:rsidRPr="00DF0CF9">
        <w:t>1</w:t>
      </w:r>
      <w:r w:rsidRPr="00DF0CF9">
        <w:t>)</w:t>
      </w:r>
      <w:r w:rsidR="007A3DBB" w:rsidRPr="00DF0CF9">
        <w:t xml:space="preserve"> in Round</w:t>
      </w:r>
      <w:r w:rsidR="007A3DBB" w:rsidRPr="007A3DBB">
        <w:t xml:space="preserve"> </w:t>
      </w:r>
      <w:r w:rsidR="007A3DBB" w:rsidRPr="00236EF2">
        <w:t xml:space="preserve">21. </w:t>
      </w:r>
      <w:r w:rsidR="00236EF2" w:rsidRPr="00236EF2">
        <w:t>These were:</w:t>
      </w:r>
    </w:p>
    <w:p w14:paraId="0098A109" w14:textId="3DB6F71E" w:rsidR="00236EF2" w:rsidRPr="00236EF2" w:rsidRDefault="00162614" w:rsidP="00235DEA">
      <w:pPr>
        <w:pStyle w:val="ListBullet"/>
      </w:pPr>
      <w:r>
        <w:t>A40Z (</w:t>
      </w:r>
      <w:r w:rsidR="00236EF2" w:rsidRPr="00236EF2">
        <w:rPr>
          <w:color w:val="000000"/>
        </w:rPr>
        <w:t>ECMO</w:t>
      </w:r>
      <w:r>
        <w:rPr>
          <w:color w:val="000000"/>
        </w:rPr>
        <w:t>)</w:t>
      </w:r>
    </w:p>
    <w:p w14:paraId="03EDDC1E" w14:textId="6DBEBAC6" w:rsidR="00236EF2" w:rsidRPr="00236EF2" w:rsidRDefault="00162614" w:rsidP="00235DEA">
      <w:pPr>
        <w:pStyle w:val="ListBullet"/>
      </w:pPr>
      <w:r>
        <w:t>B42B (</w:t>
      </w:r>
      <w:r w:rsidR="00236EF2" w:rsidRPr="00236EF2">
        <w:rPr>
          <w:color w:val="000000"/>
        </w:rPr>
        <w:t>Nervous System Disorders W Ventilator Support, Intermediate Complexity</w:t>
      </w:r>
      <w:r>
        <w:rPr>
          <w:color w:val="000000"/>
        </w:rPr>
        <w:t>)</w:t>
      </w:r>
    </w:p>
    <w:p w14:paraId="5AC4F87B" w14:textId="0673BEB0" w:rsidR="00236EF2" w:rsidRPr="00236EF2" w:rsidRDefault="00162614" w:rsidP="00235DEA">
      <w:pPr>
        <w:pStyle w:val="ListBullet"/>
      </w:pPr>
      <w:r>
        <w:t>E40B (</w:t>
      </w:r>
      <w:r w:rsidR="00236EF2" w:rsidRPr="00236EF2">
        <w:rPr>
          <w:color w:val="000000"/>
        </w:rPr>
        <w:t>Respiratory System Disorders W Ventilator Support, Minor Complexity</w:t>
      </w:r>
      <w:r>
        <w:rPr>
          <w:color w:val="000000"/>
        </w:rPr>
        <w:t>)</w:t>
      </w:r>
    </w:p>
    <w:p w14:paraId="09CC76D5" w14:textId="427E9AE1" w:rsidR="00236EF2" w:rsidRPr="00236EF2" w:rsidRDefault="00162614" w:rsidP="00235DEA">
      <w:pPr>
        <w:pStyle w:val="ListBullet"/>
      </w:pPr>
      <w:r>
        <w:t>P64B (</w:t>
      </w:r>
      <w:r w:rsidR="00236EF2" w:rsidRPr="00236EF2">
        <w:rPr>
          <w:color w:val="000000"/>
        </w:rPr>
        <w:t>Neonate, AdmWt 1250-1499g W/O Significant GI/Vent&gt;=96hrs, Minor Complexity</w:t>
      </w:r>
      <w:r>
        <w:rPr>
          <w:color w:val="000000"/>
        </w:rPr>
        <w:t>)</w:t>
      </w:r>
    </w:p>
    <w:p w14:paraId="38BC6EB7" w14:textId="3F175A02" w:rsidR="00236EF2" w:rsidRPr="00236EF2" w:rsidRDefault="00162614" w:rsidP="00235DEA">
      <w:pPr>
        <w:pStyle w:val="ListBullet"/>
      </w:pPr>
      <w:r>
        <w:t>F03A (</w:t>
      </w:r>
      <w:r w:rsidR="00236EF2" w:rsidRPr="00236EF2">
        <w:rPr>
          <w:color w:val="000000"/>
        </w:rPr>
        <w:t>Cardiac Valve Procedures W CPB Pump W Invasive Cardiac Investigation, Major Comp</w:t>
      </w:r>
      <w:r>
        <w:rPr>
          <w:color w:val="000000"/>
        </w:rPr>
        <w:t>).</w:t>
      </w:r>
    </w:p>
    <w:p w14:paraId="623027F3" w14:textId="0344D2CE" w:rsidR="00E7439E" w:rsidRPr="00236EF2" w:rsidRDefault="007A3DBB" w:rsidP="00235DEA">
      <w:pPr>
        <w:spacing w:before="120"/>
      </w:pPr>
      <w:r w:rsidRPr="00236EF2">
        <w:t xml:space="preserve">These DRGs </w:t>
      </w:r>
      <w:r w:rsidR="00FB5C92" w:rsidRPr="00236EF2">
        <w:t xml:space="preserve">were all highly ranked in Round 20 (ranging from </w:t>
      </w:r>
      <w:r w:rsidR="00236EF2" w:rsidRPr="00236EF2">
        <w:t xml:space="preserve">rank </w:t>
      </w:r>
      <w:r w:rsidR="00FB5C92" w:rsidRPr="00236EF2">
        <w:t>21 to 34), and</w:t>
      </w:r>
      <w:r w:rsidR="00236EF2" w:rsidRPr="00236EF2">
        <w:t xml:space="preserve"> the reason for their movement into the top 20 in Round 21 </w:t>
      </w:r>
      <w:r w:rsidR="006512A0">
        <w:t>was</w:t>
      </w:r>
      <w:r w:rsidR="00236EF2" w:rsidRPr="00236EF2">
        <w:t xml:space="preserve"> most likely the low separation counts leading to volatility.</w:t>
      </w:r>
    </w:p>
    <w:p w14:paraId="79EFE2DB" w14:textId="401C23CF" w:rsidR="005D7320" w:rsidRPr="00E4527E" w:rsidRDefault="005D7320" w:rsidP="005D7320">
      <w:pPr>
        <w:rPr>
          <w:highlight w:val="yellow"/>
        </w:rPr>
      </w:pPr>
    </w:p>
    <w:p w14:paraId="561D24CD" w14:textId="77777777" w:rsidR="00272A9E" w:rsidRPr="00E4527E" w:rsidRDefault="00272A9E" w:rsidP="00E94858">
      <w:pPr>
        <w:rPr>
          <w:highlight w:val="yellow"/>
        </w:rPr>
        <w:sectPr w:rsidR="00272A9E" w:rsidRPr="00E4527E" w:rsidSect="00384647">
          <w:pgSz w:w="11907" w:h="16840" w:code="9"/>
          <w:pgMar w:top="1843" w:right="1440" w:bottom="1021" w:left="1021" w:header="680" w:footer="510" w:gutter="0"/>
          <w:cols w:space="708"/>
          <w:docGrid w:linePitch="360"/>
        </w:sectPr>
      </w:pPr>
    </w:p>
    <w:p w14:paraId="403B8381" w14:textId="6EAB64DD" w:rsidR="00272A9E" w:rsidRPr="008F119C" w:rsidRDefault="006654BA" w:rsidP="00E763E2">
      <w:pPr>
        <w:pStyle w:val="TableHeadings3"/>
      </w:pPr>
      <w:bookmarkStart w:id="183" w:name="_Toc497488036"/>
      <w:bookmarkStart w:id="184" w:name="_Toc162001"/>
      <w:r w:rsidRPr="008F119C">
        <w:lastRenderedPageBreak/>
        <w:t>Table 1</w:t>
      </w:r>
      <w:r w:rsidR="00F467C8">
        <w:t>1</w:t>
      </w:r>
      <w:r w:rsidR="008C0756" w:rsidRPr="008F119C">
        <w:t>.</w:t>
      </w:r>
      <w:r w:rsidR="005D7320" w:rsidRPr="008F119C">
        <w:t xml:space="preserve"> Top 20 DRG</w:t>
      </w:r>
      <w:r w:rsidR="008F119C" w:rsidRPr="008F119C">
        <w:t>s</w:t>
      </w:r>
      <w:r w:rsidR="005D7320" w:rsidRPr="008F119C">
        <w:t xml:space="preserve"> for critical care cost bucket</w:t>
      </w:r>
      <w:bookmarkEnd w:id="183"/>
      <w:bookmarkEnd w:id="184"/>
    </w:p>
    <w:tbl>
      <w:tblPr>
        <w:tblStyle w:val="Tables-APBase"/>
        <w:tblW w:w="148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5"/>
        <w:gridCol w:w="660"/>
        <w:gridCol w:w="574"/>
        <w:gridCol w:w="5571"/>
        <w:gridCol w:w="691"/>
        <w:gridCol w:w="839"/>
        <w:gridCol w:w="691"/>
        <w:gridCol w:w="655"/>
        <w:gridCol w:w="666"/>
        <w:gridCol w:w="691"/>
        <w:gridCol w:w="706"/>
        <w:gridCol w:w="730"/>
        <w:gridCol w:w="969"/>
        <w:gridCol w:w="660"/>
      </w:tblGrid>
      <w:tr w:rsidR="00272A9E" w:rsidRPr="00E4527E" w14:paraId="159FD878" w14:textId="77777777" w:rsidTr="00162614">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09" w:type="dxa"/>
            <w:gridSpan w:val="2"/>
            <w:vMerge w:val="restart"/>
            <w:tcBorders>
              <w:top w:val="single" w:sz="4" w:space="0" w:color="808080" w:themeColor="background1" w:themeShade="80"/>
              <w:bottom w:val="single" w:sz="4" w:space="0" w:color="808080" w:themeColor="background1" w:themeShade="80"/>
            </w:tcBorders>
            <w:vAlign w:val="top"/>
            <w:hideMark/>
          </w:tcPr>
          <w:p w14:paraId="1D94B47C" w14:textId="06233282" w:rsidR="00272A9E" w:rsidRPr="008F119C" w:rsidRDefault="008F119C" w:rsidP="0093692C">
            <w:pPr>
              <w:spacing w:after="0" w:line="240" w:lineRule="auto"/>
              <w:jc w:val="center"/>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Top 20 Round 20</w:t>
            </w:r>
          </w:p>
        </w:tc>
        <w:tc>
          <w:tcPr>
            <w:tcW w:w="660" w:type="dxa"/>
            <w:vMerge w:val="restart"/>
            <w:tcBorders>
              <w:top w:val="single" w:sz="4" w:space="0" w:color="808080" w:themeColor="background1" w:themeShade="80"/>
              <w:bottom w:val="single" w:sz="4" w:space="0" w:color="808080" w:themeColor="background1" w:themeShade="80"/>
            </w:tcBorders>
            <w:hideMark/>
          </w:tcPr>
          <w:p w14:paraId="6CDCAAF2" w14:textId="6FA1E631"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Rank Round 2</w:t>
            </w:r>
            <w:r w:rsidR="008F119C" w:rsidRPr="008F119C">
              <w:rPr>
                <w:rFonts w:asciiTheme="minorHAnsi" w:hAnsiTheme="minorHAnsi" w:cstheme="minorHAnsi"/>
                <w:b/>
                <w:bCs/>
                <w:sz w:val="14"/>
                <w:szCs w:val="14"/>
                <w:lang w:val="en-US" w:eastAsia="en-US"/>
              </w:rPr>
              <w:t>1</w:t>
            </w:r>
          </w:p>
        </w:tc>
        <w:tc>
          <w:tcPr>
            <w:tcW w:w="574" w:type="dxa"/>
            <w:vMerge w:val="restart"/>
            <w:tcBorders>
              <w:top w:val="single" w:sz="4" w:space="0" w:color="808080" w:themeColor="background1" w:themeShade="80"/>
              <w:bottom w:val="single" w:sz="4" w:space="0" w:color="808080" w:themeColor="background1" w:themeShade="80"/>
            </w:tcBorders>
            <w:hideMark/>
          </w:tcPr>
          <w:p w14:paraId="68970511" w14:textId="62F31839"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DRG</w:t>
            </w:r>
          </w:p>
        </w:tc>
        <w:tc>
          <w:tcPr>
            <w:tcW w:w="5571" w:type="dxa"/>
            <w:vMerge w:val="restart"/>
            <w:tcBorders>
              <w:top w:val="single" w:sz="4" w:space="0" w:color="808080" w:themeColor="background1" w:themeShade="80"/>
              <w:bottom w:val="single" w:sz="4" w:space="0" w:color="808080" w:themeColor="background1" w:themeShade="80"/>
            </w:tcBorders>
            <w:noWrap/>
            <w:hideMark/>
          </w:tcPr>
          <w:p w14:paraId="04AA4076" w14:textId="22F51EA5"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DRG Description</w:t>
            </w:r>
          </w:p>
        </w:tc>
        <w:tc>
          <w:tcPr>
            <w:tcW w:w="691" w:type="dxa"/>
            <w:vMerge w:val="restart"/>
            <w:tcBorders>
              <w:top w:val="single" w:sz="4" w:space="0" w:color="808080" w:themeColor="background1" w:themeShade="80"/>
              <w:bottom w:val="single" w:sz="4" w:space="0" w:color="808080" w:themeColor="background1" w:themeShade="80"/>
            </w:tcBorders>
            <w:hideMark/>
          </w:tcPr>
          <w:p w14:paraId="127795D5" w14:textId="77777777"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Critical care cost weight</w:t>
            </w:r>
            <w:r w:rsidRPr="008F119C">
              <w:rPr>
                <w:rFonts w:asciiTheme="minorHAnsi" w:hAnsiTheme="minorHAnsi" w:cstheme="minorHAnsi"/>
                <w:b/>
                <w:bCs/>
                <w:sz w:val="14"/>
                <w:szCs w:val="14"/>
                <w:lang w:val="en-US" w:eastAsia="en-US"/>
              </w:rPr>
              <w:br/>
              <w:t>(a)</w:t>
            </w:r>
          </w:p>
        </w:tc>
        <w:tc>
          <w:tcPr>
            <w:tcW w:w="839" w:type="dxa"/>
            <w:vMerge w:val="restart"/>
            <w:tcBorders>
              <w:top w:val="single" w:sz="4" w:space="0" w:color="808080" w:themeColor="background1" w:themeShade="80"/>
              <w:bottom w:val="single" w:sz="4" w:space="0" w:color="808080" w:themeColor="background1" w:themeShade="80"/>
            </w:tcBorders>
            <w:hideMark/>
          </w:tcPr>
          <w:p w14:paraId="10BBD13E" w14:textId="77777777"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No. of weighted seps</w:t>
            </w:r>
            <w:r w:rsidRPr="008F119C">
              <w:rPr>
                <w:rFonts w:asciiTheme="minorHAnsi" w:hAnsiTheme="minorHAnsi" w:cstheme="minorHAnsi"/>
                <w:b/>
                <w:bCs/>
                <w:sz w:val="14"/>
                <w:szCs w:val="14"/>
                <w:lang w:val="en-US" w:eastAsia="en-US"/>
              </w:rPr>
              <w:br/>
              <w:t>(b)</w:t>
            </w:r>
          </w:p>
        </w:tc>
        <w:tc>
          <w:tcPr>
            <w:tcW w:w="691" w:type="dxa"/>
            <w:vMerge w:val="restart"/>
            <w:tcBorders>
              <w:top w:val="single" w:sz="4" w:space="0" w:color="808080" w:themeColor="background1" w:themeShade="80"/>
              <w:bottom w:val="single" w:sz="4" w:space="0" w:color="808080" w:themeColor="background1" w:themeShade="80"/>
            </w:tcBorders>
            <w:hideMark/>
          </w:tcPr>
          <w:p w14:paraId="1056E83B" w14:textId="77777777"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Overall cost weight</w:t>
            </w:r>
            <w:r w:rsidRPr="008F119C">
              <w:rPr>
                <w:rFonts w:asciiTheme="minorHAnsi" w:hAnsiTheme="minorHAnsi" w:cstheme="minorHAnsi"/>
                <w:b/>
                <w:bCs/>
                <w:sz w:val="14"/>
                <w:szCs w:val="14"/>
                <w:lang w:val="en-US" w:eastAsia="en-US"/>
              </w:rPr>
              <w:br/>
              <w:t>(c)</w:t>
            </w:r>
          </w:p>
        </w:tc>
        <w:tc>
          <w:tcPr>
            <w:tcW w:w="655" w:type="dxa"/>
            <w:vMerge w:val="restart"/>
            <w:tcBorders>
              <w:top w:val="single" w:sz="4" w:space="0" w:color="808080" w:themeColor="background1" w:themeShade="80"/>
              <w:bottom w:val="single" w:sz="4" w:space="0" w:color="808080" w:themeColor="background1" w:themeShade="80"/>
            </w:tcBorders>
            <w:hideMark/>
          </w:tcPr>
          <w:p w14:paraId="7117D574" w14:textId="77777777"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ALoS (days)</w:t>
            </w:r>
            <w:r w:rsidRPr="008F119C">
              <w:rPr>
                <w:rFonts w:asciiTheme="minorHAnsi" w:hAnsiTheme="minorHAnsi" w:cstheme="minorHAnsi"/>
                <w:b/>
                <w:bCs/>
                <w:sz w:val="14"/>
                <w:szCs w:val="14"/>
                <w:lang w:val="en-US" w:eastAsia="en-US"/>
              </w:rPr>
              <w:br/>
              <w:t>(d)</w:t>
            </w:r>
          </w:p>
        </w:tc>
        <w:tc>
          <w:tcPr>
            <w:tcW w:w="2793" w:type="dxa"/>
            <w:gridSpan w:val="4"/>
            <w:tcBorders>
              <w:top w:val="single" w:sz="4" w:space="0" w:color="808080" w:themeColor="background1" w:themeShade="80"/>
              <w:bottom w:val="single" w:sz="4" w:space="0" w:color="808080" w:themeColor="background1" w:themeShade="80"/>
            </w:tcBorders>
            <w:noWrap/>
            <w:hideMark/>
          </w:tcPr>
          <w:p w14:paraId="3A64C1EC" w14:textId="206EB667" w:rsidR="00272A9E" w:rsidRPr="008F119C" w:rsidRDefault="00D61C39"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 xml:space="preserve">% of </w:t>
            </w:r>
            <w:r w:rsidR="00272A9E" w:rsidRPr="008F119C">
              <w:rPr>
                <w:rFonts w:asciiTheme="minorHAnsi" w:hAnsiTheme="minorHAnsi" w:cstheme="minorHAnsi"/>
                <w:b/>
                <w:bCs/>
                <w:sz w:val="14"/>
                <w:szCs w:val="14"/>
                <w:lang w:val="en-US" w:eastAsia="en-US"/>
              </w:rPr>
              <w:t>DRG total cost</w:t>
            </w:r>
          </w:p>
        </w:tc>
        <w:tc>
          <w:tcPr>
            <w:tcW w:w="969" w:type="dxa"/>
            <w:vMerge w:val="restart"/>
            <w:tcBorders>
              <w:top w:val="single" w:sz="4" w:space="0" w:color="808080" w:themeColor="background1" w:themeShade="80"/>
              <w:bottom w:val="single" w:sz="4" w:space="0" w:color="808080" w:themeColor="background1" w:themeShade="80"/>
            </w:tcBorders>
            <w:hideMark/>
          </w:tcPr>
          <w:p w14:paraId="46703B19" w14:textId="5A6A41CE" w:rsidR="00272A9E" w:rsidRPr="008F119C" w:rsidRDefault="00A330F5"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C</w:t>
            </w:r>
            <w:r w:rsidR="00272A9E" w:rsidRPr="008F119C">
              <w:rPr>
                <w:rFonts w:asciiTheme="minorHAnsi" w:hAnsiTheme="minorHAnsi" w:cstheme="minorHAnsi"/>
                <w:b/>
                <w:bCs/>
                <w:sz w:val="14"/>
                <w:szCs w:val="14"/>
                <w:lang w:val="en-US" w:eastAsia="en-US"/>
              </w:rPr>
              <w:t>ritical care cost weight</w:t>
            </w:r>
            <w:r>
              <w:rPr>
                <w:rFonts w:asciiTheme="minorHAnsi" w:hAnsiTheme="minorHAnsi" w:cstheme="minorHAnsi"/>
                <w:b/>
                <w:bCs/>
                <w:sz w:val="14"/>
                <w:szCs w:val="14"/>
                <w:lang w:val="en-US" w:eastAsia="en-US"/>
              </w:rPr>
              <w:t xml:space="preserve"> </w:t>
            </w:r>
            <w:r w:rsidRPr="008F119C">
              <w:rPr>
                <w:rFonts w:asciiTheme="minorHAnsi" w:hAnsiTheme="minorHAnsi" w:cstheme="minorHAnsi"/>
                <w:b/>
                <w:bCs/>
                <w:sz w:val="14"/>
                <w:szCs w:val="14"/>
                <w:lang w:val="en-US" w:eastAsia="en-US"/>
              </w:rPr>
              <w:t>Round 20</w:t>
            </w:r>
          </w:p>
        </w:tc>
        <w:tc>
          <w:tcPr>
            <w:tcW w:w="660" w:type="dxa"/>
            <w:vMerge w:val="restart"/>
            <w:tcBorders>
              <w:top w:val="single" w:sz="4" w:space="0" w:color="808080" w:themeColor="background1" w:themeShade="80"/>
              <w:bottom w:val="single" w:sz="4" w:space="0" w:color="808080" w:themeColor="background1" w:themeShade="80"/>
            </w:tcBorders>
            <w:hideMark/>
          </w:tcPr>
          <w:p w14:paraId="5A98090B" w14:textId="1553900C" w:rsidR="00272A9E" w:rsidRPr="008F119C" w:rsidRDefault="00272A9E" w:rsidP="0093692C">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R</w:t>
            </w:r>
            <w:r w:rsidR="008F119C" w:rsidRPr="008F119C">
              <w:rPr>
                <w:rFonts w:asciiTheme="minorHAnsi" w:hAnsiTheme="minorHAnsi" w:cstheme="minorHAnsi"/>
                <w:b/>
                <w:bCs/>
                <w:sz w:val="14"/>
                <w:szCs w:val="14"/>
                <w:lang w:val="en-US" w:eastAsia="en-US"/>
              </w:rPr>
              <w:t>ank Round 20</w:t>
            </w:r>
          </w:p>
        </w:tc>
      </w:tr>
      <w:tr w:rsidR="00272A9E" w:rsidRPr="00E4527E" w14:paraId="1F4B7DC8" w14:textId="77777777" w:rsidTr="006B3A78">
        <w:trPr>
          <w:trHeight w:val="380"/>
        </w:trPr>
        <w:tc>
          <w:tcPr>
            <w:tcW w:w="709" w:type="dxa"/>
            <w:gridSpan w:val="2"/>
            <w:vMerge/>
            <w:tcBorders>
              <w:top w:val="single" w:sz="4" w:space="0" w:color="808080" w:themeColor="background1" w:themeShade="80"/>
            </w:tcBorders>
            <w:hideMark/>
          </w:tcPr>
          <w:p w14:paraId="30403588"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60" w:type="dxa"/>
            <w:vMerge/>
            <w:tcBorders>
              <w:top w:val="single" w:sz="4" w:space="0" w:color="808080" w:themeColor="background1" w:themeShade="80"/>
            </w:tcBorders>
            <w:hideMark/>
          </w:tcPr>
          <w:p w14:paraId="2A527641"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574" w:type="dxa"/>
            <w:vMerge/>
            <w:tcBorders>
              <w:top w:val="single" w:sz="4" w:space="0" w:color="808080" w:themeColor="background1" w:themeShade="80"/>
            </w:tcBorders>
            <w:hideMark/>
          </w:tcPr>
          <w:p w14:paraId="388F58E8"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5571" w:type="dxa"/>
            <w:vMerge/>
            <w:tcBorders>
              <w:top w:val="single" w:sz="4" w:space="0" w:color="808080" w:themeColor="background1" w:themeShade="80"/>
            </w:tcBorders>
            <w:hideMark/>
          </w:tcPr>
          <w:p w14:paraId="6E528615"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91" w:type="dxa"/>
            <w:vMerge/>
            <w:tcBorders>
              <w:top w:val="single" w:sz="4" w:space="0" w:color="808080" w:themeColor="background1" w:themeShade="80"/>
            </w:tcBorders>
            <w:hideMark/>
          </w:tcPr>
          <w:p w14:paraId="6EEED09B"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839" w:type="dxa"/>
            <w:vMerge/>
            <w:tcBorders>
              <w:top w:val="single" w:sz="4" w:space="0" w:color="808080" w:themeColor="background1" w:themeShade="80"/>
            </w:tcBorders>
            <w:hideMark/>
          </w:tcPr>
          <w:p w14:paraId="5AC5C99C"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91" w:type="dxa"/>
            <w:vMerge/>
            <w:tcBorders>
              <w:top w:val="single" w:sz="4" w:space="0" w:color="808080" w:themeColor="background1" w:themeShade="80"/>
            </w:tcBorders>
            <w:hideMark/>
          </w:tcPr>
          <w:p w14:paraId="70D456E3"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55" w:type="dxa"/>
            <w:vMerge/>
            <w:tcBorders>
              <w:top w:val="single" w:sz="4" w:space="0" w:color="808080" w:themeColor="background1" w:themeShade="80"/>
            </w:tcBorders>
            <w:hideMark/>
          </w:tcPr>
          <w:p w14:paraId="1D162DEA"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66" w:type="dxa"/>
            <w:tcBorders>
              <w:top w:val="single" w:sz="4" w:space="0" w:color="808080" w:themeColor="background1" w:themeShade="80"/>
            </w:tcBorders>
            <w:hideMark/>
          </w:tcPr>
          <w:p w14:paraId="76EC2FC3" w14:textId="77777777" w:rsidR="00272A9E" w:rsidRPr="008F119C" w:rsidRDefault="00272A9E" w:rsidP="00162614">
            <w:pPr>
              <w:spacing w:after="0" w:line="240" w:lineRule="auto"/>
              <w:jc w:val="center"/>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OR and SPS</w:t>
            </w:r>
          </w:p>
        </w:tc>
        <w:tc>
          <w:tcPr>
            <w:tcW w:w="691" w:type="dxa"/>
            <w:tcBorders>
              <w:top w:val="single" w:sz="4" w:space="0" w:color="808080" w:themeColor="background1" w:themeShade="80"/>
            </w:tcBorders>
            <w:hideMark/>
          </w:tcPr>
          <w:p w14:paraId="5DF15029" w14:textId="77777777" w:rsidR="00272A9E" w:rsidRPr="008F119C" w:rsidRDefault="00272A9E" w:rsidP="00162614">
            <w:pPr>
              <w:spacing w:after="0" w:line="240" w:lineRule="auto"/>
              <w:jc w:val="center"/>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Critical care</w:t>
            </w:r>
          </w:p>
        </w:tc>
        <w:tc>
          <w:tcPr>
            <w:tcW w:w="706" w:type="dxa"/>
            <w:tcBorders>
              <w:top w:val="single" w:sz="4" w:space="0" w:color="808080" w:themeColor="background1" w:themeShade="80"/>
            </w:tcBorders>
            <w:hideMark/>
          </w:tcPr>
          <w:p w14:paraId="0D9D2CB5" w14:textId="77777777" w:rsidR="00272A9E" w:rsidRPr="008F119C" w:rsidRDefault="00272A9E" w:rsidP="00162614">
            <w:pPr>
              <w:spacing w:after="0" w:line="240" w:lineRule="auto"/>
              <w:jc w:val="center"/>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Prosth-esis</w:t>
            </w:r>
          </w:p>
        </w:tc>
        <w:tc>
          <w:tcPr>
            <w:tcW w:w="730" w:type="dxa"/>
            <w:tcBorders>
              <w:top w:val="single" w:sz="4" w:space="0" w:color="808080" w:themeColor="background1" w:themeShade="80"/>
            </w:tcBorders>
            <w:hideMark/>
          </w:tcPr>
          <w:p w14:paraId="61C8E03D" w14:textId="77777777" w:rsidR="00272A9E" w:rsidRPr="008F119C" w:rsidRDefault="00272A9E" w:rsidP="00162614">
            <w:pPr>
              <w:spacing w:after="0" w:line="240" w:lineRule="auto"/>
              <w:jc w:val="center"/>
              <w:rPr>
                <w:rFonts w:asciiTheme="minorHAnsi" w:hAnsiTheme="minorHAnsi" w:cstheme="minorHAnsi"/>
                <w:b/>
                <w:bCs/>
                <w:sz w:val="14"/>
                <w:szCs w:val="14"/>
                <w:lang w:val="en-US" w:eastAsia="en-US"/>
              </w:rPr>
            </w:pPr>
            <w:r w:rsidRPr="008F119C">
              <w:rPr>
                <w:rFonts w:asciiTheme="minorHAnsi" w:hAnsiTheme="minorHAnsi" w:cstheme="minorHAnsi"/>
                <w:b/>
                <w:bCs/>
                <w:sz w:val="14"/>
                <w:szCs w:val="14"/>
                <w:lang w:val="en-US" w:eastAsia="en-US"/>
              </w:rPr>
              <w:t xml:space="preserve">Miscell-aneous </w:t>
            </w:r>
          </w:p>
        </w:tc>
        <w:tc>
          <w:tcPr>
            <w:tcW w:w="969" w:type="dxa"/>
            <w:vMerge/>
            <w:tcBorders>
              <w:top w:val="single" w:sz="4" w:space="0" w:color="808080" w:themeColor="background1" w:themeShade="80"/>
            </w:tcBorders>
            <w:hideMark/>
          </w:tcPr>
          <w:p w14:paraId="724F5EBF"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c>
          <w:tcPr>
            <w:tcW w:w="660" w:type="dxa"/>
            <w:vMerge/>
            <w:tcBorders>
              <w:top w:val="single" w:sz="4" w:space="0" w:color="808080" w:themeColor="background1" w:themeShade="80"/>
            </w:tcBorders>
            <w:hideMark/>
          </w:tcPr>
          <w:p w14:paraId="69F2B660" w14:textId="77777777" w:rsidR="00272A9E" w:rsidRPr="00E4527E" w:rsidRDefault="00272A9E" w:rsidP="00162614">
            <w:pPr>
              <w:spacing w:after="0" w:line="240" w:lineRule="auto"/>
              <w:rPr>
                <w:rFonts w:asciiTheme="minorHAnsi" w:hAnsiTheme="minorHAnsi" w:cstheme="minorHAnsi"/>
                <w:b/>
                <w:bCs/>
                <w:color w:val="A32020"/>
                <w:sz w:val="14"/>
                <w:szCs w:val="14"/>
                <w:highlight w:val="yellow"/>
                <w:lang w:val="en-US" w:eastAsia="en-US"/>
              </w:rPr>
            </w:pPr>
          </w:p>
        </w:tc>
      </w:tr>
      <w:tr w:rsidR="008F119C" w:rsidRPr="00E4527E" w14:paraId="7A196E2D" w14:textId="77777777" w:rsidTr="003A166C">
        <w:trPr>
          <w:trHeight w:hRule="exact" w:val="300"/>
        </w:trPr>
        <w:tc>
          <w:tcPr>
            <w:tcW w:w="709" w:type="dxa"/>
            <w:gridSpan w:val="2"/>
            <w:tcBorders>
              <w:top w:val="single" w:sz="4" w:space="0" w:color="808080" w:themeColor="background1" w:themeShade="80"/>
            </w:tcBorders>
            <w:noWrap/>
            <w:hideMark/>
          </w:tcPr>
          <w:p w14:paraId="79D20214" w14:textId="5FD0A6B2"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tcBorders>
              <w:top w:val="single" w:sz="4" w:space="0" w:color="808080" w:themeColor="background1" w:themeShade="80"/>
            </w:tcBorders>
            <w:noWrap/>
            <w:hideMark/>
          </w:tcPr>
          <w:p w14:paraId="08A6B5F3" w14:textId="7AA57225"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574" w:type="dxa"/>
            <w:tcBorders>
              <w:top w:val="single" w:sz="4" w:space="0" w:color="808080" w:themeColor="background1" w:themeShade="80"/>
            </w:tcBorders>
            <w:noWrap/>
            <w:hideMark/>
          </w:tcPr>
          <w:p w14:paraId="7E9EE857" w14:textId="3174C29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A13A</w:t>
            </w:r>
          </w:p>
        </w:tc>
        <w:tc>
          <w:tcPr>
            <w:tcW w:w="5571" w:type="dxa"/>
            <w:tcBorders>
              <w:top w:val="single" w:sz="4" w:space="0" w:color="808080" w:themeColor="background1" w:themeShade="80"/>
            </w:tcBorders>
            <w:noWrap/>
            <w:hideMark/>
          </w:tcPr>
          <w:p w14:paraId="3144533C" w14:textId="1118C988"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Ventilation &gt;=336hours, Major Complexity</w:t>
            </w:r>
          </w:p>
        </w:tc>
        <w:tc>
          <w:tcPr>
            <w:tcW w:w="691" w:type="dxa"/>
            <w:tcBorders>
              <w:top w:val="single" w:sz="4" w:space="0" w:color="808080" w:themeColor="background1" w:themeShade="80"/>
            </w:tcBorders>
            <w:noWrap/>
            <w:hideMark/>
          </w:tcPr>
          <w:p w14:paraId="2539E191" w14:textId="11CBC4D5"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29.90</w:t>
            </w:r>
          </w:p>
        </w:tc>
        <w:tc>
          <w:tcPr>
            <w:tcW w:w="839" w:type="dxa"/>
            <w:tcBorders>
              <w:top w:val="single" w:sz="4" w:space="0" w:color="808080" w:themeColor="background1" w:themeShade="80"/>
            </w:tcBorders>
            <w:noWrap/>
            <w:hideMark/>
          </w:tcPr>
          <w:p w14:paraId="388F3711" w14:textId="41288EF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98</w:t>
            </w:r>
          </w:p>
        </w:tc>
        <w:tc>
          <w:tcPr>
            <w:tcW w:w="691" w:type="dxa"/>
            <w:tcBorders>
              <w:top w:val="single" w:sz="4" w:space="0" w:color="808080" w:themeColor="background1" w:themeShade="80"/>
            </w:tcBorders>
            <w:noWrap/>
            <w:hideMark/>
          </w:tcPr>
          <w:p w14:paraId="69405446" w14:textId="73A0C15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46.60</w:t>
            </w:r>
          </w:p>
        </w:tc>
        <w:tc>
          <w:tcPr>
            <w:tcW w:w="655" w:type="dxa"/>
            <w:tcBorders>
              <w:top w:val="single" w:sz="4" w:space="0" w:color="808080" w:themeColor="background1" w:themeShade="80"/>
            </w:tcBorders>
            <w:noWrap/>
            <w:hideMark/>
          </w:tcPr>
          <w:p w14:paraId="63EDFE1C" w14:textId="2BCD25E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56.7</w:t>
            </w:r>
          </w:p>
        </w:tc>
        <w:tc>
          <w:tcPr>
            <w:tcW w:w="666" w:type="dxa"/>
            <w:tcBorders>
              <w:top w:val="single" w:sz="4" w:space="0" w:color="808080" w:themeColor="background1" w:themeShade="80"/>
            </w:tcBorders>
            <w:noWrap/>
            <w:hideMark/>
          </w:tcPr>
          <w:p w14:paraId="3C3A5B9A" w14:textId="2742682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7%</w:t>
            </w:r>
          </w:p>
        </w:tc>
        <w:tc>
          <w:tcPr>
            <w:tcW w:w="691" w:type="dxa"/>
            <w:tcBorders>
              <w:top w:val="single" w:sz="4" w:space="0" w:color="808080" w:themeColor="background1" w:themeShade="80"/>
            </w:tcBorders>
            <w:noWrap/>
            <w:hideMark/>
          </w:tcPr>
          <w:p w14:paraId="25D8FE36" w14:textId="1458606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64%</w:t>
            </w:r>
          </w:p>
        </w:tc>
        <w:tc>
          <w:tcPr>
            <w:tcW w:w="706" w:type="dxa"/>
            <w:tcBorders>
              <w:top w:val="single" w:sz="4" w:space="0" w:color="808080" w:themeColor="background1" w:themeShade="80"/>
            </w:tcBorders>
            <w:noWrap/>
            <w:hideMark/>
          </w:tcPr>
          <w:p w14:paraId="109D1A3D" w14:textId="240BB54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w:t>
            </w:r>
          </w:p>
        </w:tc>
        <w:tc>
          <w:tcPr>
            <w:tcW w:w="730" w:type="dxa"/>
            <w:tcBorders>
              <w:top w:val="single" w:sz="4" w:space="0" w:color="808080" w:themeColor="background1" w:themeShade="80"/>
            </w:tcBorders>
            <w:noWrap/>
            <w:hideMark/>
          </w:tcPr>
          <w:p w14:paraId="7604479C" w14:textId="14574E8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26%</w:t>
            </w:r>
          </w:p>
        </w:tc>
        <w:tc>
          <w:tcPr>
            <w:tcW w:w="969" w:type="dxa"/>
            <w:tcBorders>
              <w:top w:val="single" w:sz="4" w:space="0" w:color="808080" w:themeColor="background1" w:themeShade="80"/>
            </w:tcBorders>
            <w:noWrap/>
            <w:hideMark/>
          </w:tcPr>
          <w:p w14:paraId="1D3C2762" w14:textId="594ADC0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26.58</w:t>
            </w:r>
          </w:p>
        </w:tc>
        <w:tc>
          <w:tcPr>
            <w:tcW w:w="660" w:type="dxa"/>
            <w:tcBorders>
              <w:top w:val="single" w:sz="4" w:space="0" w:color="808080" w:themeColor="background1" w:themeShade="80"/>
            </w:tcBorders>
            <w:noWrap/>
            <w:hideMark/>
          </w:tcPr>
          <w:p w14:paraId="27BF89E2" w14:textId="098F057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 </w:t>
            </w:r>
          </w:p>
        </w:tc>
      </w:tr>
      <w:tr w:rsidR="008F119C" w:rsidRPr="00E4527E" w14:paraId="598FBB74" w14:textId="77777777" w:rsidTr="003A166C">
        <w:trPr>
          <w:trHeight w:hRule="exact" w:val="300"/>
        </w:trPr>
        <w:tc>
          <w:tcPr>
            <w:tcW w:w="709" w:type="dxa"/>
            <w:gridSpan w:val="2"/>
            <w:noWrap/>
            <w:hideMark/>
          </w:tcPr>
          <w:p w14:paraId="3CA4B4B3" w14:textId="2DD01502"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15B516B7" w14:textId="25CAD336"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2</w:t>
            </w:r>
          </w:p>
        </w:tc>
        <w:tc>
          <w:tcPr>
            <w:tcW w:w="574" w:type="dxa"/>
            <w:noWrap/>
            <w:hideMark/>
          </w:tcPr>
          <w:p w14:paraId="5F351C3B" w14:textId="61F16FEB"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A14A</w:t>
            </w:r>
          </w:p>
        </w:tc>
        <w:tc>
          <w:tcPr>
            <w:tcW w:w="5571" w:type="dxa"/>
            <w:noWrap/>
            <w:hideMark/>
          </w:tcPr>
          <w:p w14:paraId="1388F4A7" w14:textId="18938F40"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Ventilation &gt;=96hours &amp; &lt;336hours, Major Complexity</w:t>
            </w:r>
          </w:p>
        </w:tc>
        <w:tc>
          <w:tcPr>
            <w:tcW w:w="691" w:type="dxa"/>
            <w:noWrap/>
            <w:hideMark/>
          </w:tcPr>
          <w:p w14:paraId="081E6FC1" w14:textId="32F5E8D7"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20.93</w:t>
            </w:r>
          </w:p>
        </w:tc>
        <w:tc>
          <w:tcPr>
            <w:tcW w:w="839" w:type="dxa"/>
            <w:noWrap/>
            <w:hideMark/>
          </w:tcPr>
          <w:p w14:paraId="12B204BA" w14:textId="522C6DB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165</w:t>
            </w:r>
          </w:p>
        </w:tc>
        <w:tc>
          <w:tcPr>
            <w:tcW w:w="691" w:type="dxa"/>
            <w:noWrap/>
            <w:hideMark/>
          </w:tcPr>
          <w:p w14:paraId="526BFD3B" w14:textId="727C887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38.79</w:t>
            </w:r>
          </w:p>
        </w:tc>
        <w:tc>
          <w:tcPr>
            <w:tcW w:w="655" w:type="dxa"/>
            <w:noWrap/>
            <w:hideMark/>
          </w:tcPr>
          <w:p w14:paraId="13DE99FA" w14:textId="48ACAC5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51.2</w:t>
            </w:r>
          </w:p>
        </w:tc>
        <w:tc>
          <w:tcPr>
            <w:tcW w:w="666" w:type="dxa"/>
            <w:noWrap/>
            <w:hideMark/>
          </w:tcPr>
          <w:p w14:paraId="5DC5C19E" w14:textId="4D616FF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w:t>
            </w:r>
          </w:p>
        </w:tc>
        <w:tc>
          <w:tcPr>
            <w:tcW w:w="691" w:type="dxa"/>
            <w:noWrap/>
            <w:hideMark/>
          </w:tcPr>
          <w:p w14:paraId="06A1B447" w14:textId="0EC79BC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54%</w:t>
            </w:r>
          </w:p>
        </w:tc>
        <w:tc>
          <w:tcPr>
            <w:tcW w:w="706" w:type="dxa"/>
            <w:noWrap/>
            <w:hideMark/>
          </w:tcPr>
          <w:p w14:paraId="048DAE29" w14:textId="0C22C9D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w:t>
            </w:r>
          </w:p>
        </w:tc>
        <w:tc>
          <w:tcPr>
            <w:tcW w:w="730" w:type="dxa"/>
            <w:noWrap/>
            <w:hideMark/>
          </w:tcPr>
          <w:p w14:paraId="4A5F0E5F" w14:textId="002322E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32%</w:t>
            </w:r>
          </w:p>
        </w:tc>
        <w:tc>
          <w:tcPr>
            <w:tcW w:w="969" w:type="dxa"/>
            <w:noWrap/>
            <w:hideMark/>
          </w:tcPr>
          <w:p w14:paraId="3BB7242F" w14:textId="07E066D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15.37</w:t>
            </w:r>
          </w:p>
        </w:tc>
        <w:tc>
          <w:tcPr>
            <w:tcW w:w="660" w:type="dxa"/>
            <w:noWrap/>
            <w:hideMark/>
          </w:tcPr>
          <w:p w14:paraId="7BF3F876" w14:textId="48DDDD0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3 </w:t>
            </w:r>
          </w:p>
        </w:tc>
      </w:tr>
      <w:tr w:rsidR="008F119C" w:rsidRPr="00E4527E" w14:paraId="300AFB4E" w14:textId="77777777" w:rsidTr="003A166C">
        <w:trPr>
          <w:trHeight w:hRule="exact" w:val="300"/>
        </w:trPr>
        <w:tc>
          <w:tcPr>
            <w:tcW w:w="709" w:type="dxa"/>
            <w:gridSpan w:val="2"/>
            <w:noWrap/>
            <w:hideMark/>
          </w:tcPr>
          <w:p w14:paraId="7A174341" w14:textId="0CE2E4E7"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697C06F4" w14:textId="3E585605"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3</w:t>
            </w:r>
          </w:p>
        </w:tc>
        <w:tc>
          <w:tcPr>
            <w:tcW w:w="574" w:type="dxa"/>
            <w:noWrap/>
            <w:hideMark/>
          </w:tcPr>
          <w:p w14:paraId="56239FAC" w14:textId="4930137F"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P03B</w:t>
            </w:r>
          </w:p>
        </w:tc>
        <w:tc>
          <w:tcPr>
            <w:tcW w:w="5571" w:type="dxa"/>
            <w:noWrap/>
            <w:hideMark/>
          </w:tcPr>
          <w:p w14:paraId="2FB16BF1" w14:textId="51FBBB9D"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Neonate, AdmWt 1000-1499g W Significant GI/Vent&gt;=96hrs, Minor Complexity</w:t>
            </w:r>
          </w:p>
        </w:tc>
        <w:tc>
          <w:tcPr>
            <w:tcW w:w="691" w:type="dxa"/>
            <w:noWrap/>
            <w:hideMark/>
          </w:tcPr>
          <w:p w14:paraId="4486C9F4" w14:textId="1BA7870C"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15.87</w:t>
            </w:r>
          </w:p>
        </w:tc>
        <w:tc>
          <w:tcPr>
            <w:tcW w:w="839" w:type="dxa"/>
            <w:noWrap/>
            <w:hideMark/>
          </w:tcPr>
          <w:p w14:paraId="01FE6179" w14:textId="3787227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46</w:t>
            </w:r>
          </w:p>
        </w:tc>
        <w:tc>
          <w:tcPr>
            <w:tcW w:w="691" w:type="dxa"/>
            <w:noWrap/>
            <w:hideMark/>
          </w:tcPr>
          <w:p w14:paraId="16EE0B8B" w14:textId="6C49B886"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19.34</w:t>
            </w:r>
          </w:p>
        </w:tc>
        <w:tc>
          <w:tcPr>
            <w:tcW w:w="655" w:type="dxa"/>
            <w:noWrap/>
            <w:hideMark/>
          </w:tcPr>
          <w:p w14:paraId="453D89E5" w14:textId="190435F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35.6</w:t>
            </w:r>
          </w:p>
        </w:tc>
        <w:tc>
          <w:tcPr>
            <w:tcW w:w="666" w:type="dxa"/>
            <w:noWrap/>
            <w:hideMark/>
          </w:tcPr>
          <w:p w14:paraId="64E00216" w14:textId="02A6661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691" w:type="dxa"/>
            <w:noWrap/>
            <w:hideMark/>
          </w:tcPr>
          <w:p w14:paraId="00BCF56A" w14:textId="6219AEE6"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82%</w:t>
            </w:r>
          </w:p>
        </w:tc>
        <w:tc>
          <w:tcPr>
            <w:tcW w:w="706" w:type="dxa"/>
            <w:noWrap/>
            <w:hideMark/>
          </w:tcPr>
          <w:p w14:paraId="6C1F9ACD" w14:textId="5175E26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730" w:type="dxa"/>
            <w:noWrap/>
            <w:hideMark/>
          </w:tcPr>
          <w:p w14:paraId="1382ACA1" w14:textId="36AEF5F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w:t>
            </w:r>
          </w:p>
        </w:tc>
        <w:tc>
          <w:tcPr>
            <w:tcW w:w="969" w:type="dxa"/>
            <w:noWrap/>
            <w:hideMark/>
          </w:tcPr>
          <w:p w14:paraId="172548C6" w14:textId="70F3048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12.40</w:t>
            </w:r>
          </w:p>
        </w:tc>
        <w:tc>
          <w:tcPr>
            <w:tcW w:w="660" w:type="dxa"/>
            <w:noWrap/>
            <w:hideMark/>
          </w:tcPr>
          <w:p w14:paraId="0C6594D2" w14:textId="1723824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4 </w:t>
            </w:r>
          </w:p>
        </w:tc>
      </w:tr>
      <w:tr w:rsidR="008F119C" w:rsidRPr="00E4527E" w14:paraId="32285B60" w14:textId="77777777" w:rsidTr="003A166C">
        <w:trPr>
          <w:trHeight w:hRule="exact" w:val="300"/>
        </w:trPr>
        <w:tc>
          <w:tcPr>
            <w:tcW w:w="709" w:type="dxa"/>
            <w:gridSpan w:val="2"/>
            <w:noWrap/>
            <w:hideMark/>
          </w:tcPr>
          <w:p w14:paraId="3057AFF6" w14:textId="56885DC8"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2F0634EE" w14:textId="543E1833"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4</w:t>
            </w:r>
          </w:p>
        </w:tc>
        <w:tc>
          <w:tcPr>
            <w:tcW w:w="574" w:type="dxa"/>
            <w:noWrap/>
            <w:hideMark/>
          </w:tcPr>
          <w:p w14:paraId="1C2949A8" w14:textId="5F6934F3"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A13B</w:t>
            </w:r>
          </w:p>
        </w:tc>
        <w:tc>
          <w:tcPr>
            <w:tcW w:w="5571" w:type="dxa"/>
            <w:noWrap/>
            <w:hideMark/>
          </w:tcPr>
          <w:p w14:paraId="76FB7889" w14:textId="3042F396"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Ventilation &gt;=336hours, Minor Complexity</w:t>
            </w:r>
          </w:p>
        </w:tc>
        <w:tc>
          <w:tcPr>
            <w:tcW w:w="691" w:type="dxa"/>
            <w:noWrap/>
            <w:hideMark/>
          </w:tcPr>
          <w:p w14:paraId="284C1D0D" w14:textId="50260E2D"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14.28</w:t>
            </w:r>
          </w:p>
        </w:tc>
        <w:tc>
          <w:tcPr>
            <w:tcW w:w="839" w:type="dxa"/>
            <w:noWrap/>
            <w:hideMark/>
          </w:tcPr>
          <w:p w14:paraId="0B034A2D" w14:textId="5426E00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w:t>
            </w:r>
          </w:p>
        </w:tc>
        <w:tc>
          <w:tcPr>
            <w:tcW w:w="691" w:type="dxa"/>
            <w:noWrap/>
            <w:hideMark/>
          </w:tcPr>
          <w:p w14:paraId="18415AA5" w14:textId="5A8CE9D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21.63</w:t>
            </w:r>
          </w:p>
        </w:tc>
        <w:tc>
          <w:tcPr>
            <w:tcW w:w="655" w:type="dxa"/>
            <w:noWrap/>
            <w:hideMark/>
          </w:tcPr>
          <w:p w14:paraId="1E3F2B8F" w14:textId="557EEB0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30.6</w:t>
            </w:r>
          </w:p>
        </w:tc>
        <w:tc>
          <w:tcPr>
            <w:tcW w:w="666" w:type="dxa"/>
            <w:noWrap/>
            <w:hideMark/>
          </w:tcPr>
          <w:p w14:paraId="7876C897" w14:textId="30C0B29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w:t>
            </w:r>
          </w:p>
        </w:tc>
        <w:tc>
          <w:tcPr>
            <w:tcW w:w="691" w:type="dxa"/>
            <w:noWrap/>
            <w:hideMark/>
          </w:tcPr>
          <w:p w14:paraId="7FFA392B" w14:textId="79F8080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66%</w:t>
            </w:r>
          </w:p>
        </w:tc>
        <w:tc>
          <w:tcPr>
            <w:tcW w:w="706" w:type="dxa"/>
            <w:noWrap/>
            <w:hideMark/>
          </w:tcPr>
          <w:p w14:paraId="3D70319D" w14:textId="0D2E7DB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730" w:type="dxa"/>
            <w:noWrap/>
            <w:hideMark/>
          </w:tcPr>
          <w:p w14:paraId="142C2BC7" w14:textId="6FF3ACA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29%</w:t>
            </w:r>
          </w:p>
        </w:tc>
        <w:tc>
          <w:tcPr>
            <w:tcW w:w="969" w:type="dxa"/>
            <w:noWrap/>
            <w:hideMark/>
          </w:tcPr>
          <w:p w14:paraId="7D983FAA" w14:textId="57A7A5D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21.56</w:t>
            </w:r>
          </w:p>
        </w:tc>
        <w:tc>
          <w:tcPr>
            <w:tcW w:w="660" w:type="dxa"/>
            <w:noWrap/>
            <w:hideMark/>
          </w:tcPr>
          <w:p w14:paraId="54CF5CCF" w14:textId="7EDB4FB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2 </w:t>
            </w:r>
          </w:p>
        </w:tc>
      </w:tr>
      <w:tr w:rsidR="008F119C" w:rsidRPr="00E4527E" w14:paraId="0C6340AA" w14:textId="77777777" w:rsidTr="003A166C">
        <w:trPr>
          <w:trHeight w:hRule="exact" w:val="300"/>
        </w:trPr>
        <w:tc>
          <w:tcPr>
            <w:tcW w:w="709" w:type="dxa"/>
            <w:gridSpan w:val="2"/>
            <w:noWrap/>
            <w:hideMark/>
          </w:tcPr>
          <w:p w14:paraId="5146341C" w14:textId="168C3437"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0D4A05E5" w14:textId="120C8341"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5</w:t>
            </w:r>
          </w:p>
        </w:tc>
        <w:tc>
          <w:tcPr>
            <w:tcW w:w="574" w:type="dxa"/>
            <w:noWrap/>
            <w:hideMark/>
          </w:tcPr>
          <w:p w14:paraId="6BD0CEFF" w14:textId="6D30C465"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P64A</w:t>
            </w:r>
          </w:p>
        </w:tc>
        <w:tc>
          <w:tcPr>
            <w:tcW w:w="5571" w:type="dxa"/>
            <w:noWrap/>
            <w:hideMark/>
          </w:tcPr>
          <w:p w14:paraId="44A1FE4E" w14:textId="176ED804"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Neonate, AdmWt 1250-1499g W/O Significant GI/Vent&gt;=96hrs, Major Complexity</w:t>
            </w:r>
          </w:p>
        </w:tc>
        <w:tc>
          <w:tcPr>
            <w:tcW w:w="691" w:type="dxa"/>
            <w:noWrap/>
            <w:hideMark/>
          </w:tcPr>
          <w:p w14:paraId="15A5BEF2" w14:textId="4D0BD8C8"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13.55</w:t>
            </w:r>
          </w:p>
        </w:tc>
        <w:tc>
          <w:tcPr>
            <w:tcW w:w="839" w:type="dxa"/>
            <w:noWrap/>
            <w:hideMark/>
          </w:tcPr>
          <w:p w14:paraId="129AFDC4" w14:textId="38A1C73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w:t>
            </w:r>
          </w:p>
        </w:tc>
        <w:tc>
          <w:tcPr>
            <w:tcW w:w="691" w:type="dxa"/>
            <w:noWrap/>
            <w:hideMark/>
          </w:tcPr>
          <w:p w14:paraId="5F06165A" w14:textId="4D7B563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16.93</w:t>
            </w:r>
          </w:p>
        </w:tc>
        <w:tc>
          <w:tcPr>
            <w:tcW w:w="655" w:type="dxa"/>
            <w:noWrap/>
            <w:hideMark/>
          </w:tcPr>
          <w:p w14:paraId="079465D9" w14:textId="426930D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35.3</w:t>
            </w:r>
          </w:p>
        </w:tc>
        <w:tc>
          <w:tcPr>
            <w:tcW w:w="666" w:type="dxa"/>
            <w:noWrap/>
            <w:hideMark/>
          </w:tcPr>
          <w:p w14:paraId="6313DF91" w14:textId="1F38099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691" w:type="dxa"/>
            <w:noWrap/>
            <w:hideMark/>
          </w:tcPr>
          <w:p w14:paraId="0C749E30" w14:textId="550CD2D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80%</w:t>
            </w:r>
          </w:p>
        </w:tc>
        <w:tc>
          <w:tcPr>
            <w:tcW w:w="706" w:type="dxa"/>
            <w:noWrap/>
            <w:hideMark/>
          </w:tcPr>
          <w:p w14:paraId="70E5491D" w14:textId="283120C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730" w:type="dxa"/>
            <w:noWrap/>
            <w:hideMark/>
          </w:tcPr>
          <w:p w14:paraId="2732C7C9" w14:textId="0FD16A5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20%</w:t>
            </w:r>
          </w:p>
        </w:tc>
        <w:tc>
          <w:tcPr>
            <w:tcW w:w="969" w:type="dxa"/>
            <w:noWrap/>
            <w:hideMark/>
          </w:tcPr>
          <w:p w14:paraId="6227335F" w14:textId="436D3C2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10.59</w:t>
            </w:r>
          </w:p>
        </w:tc>
        <w:tc>
          <w:tcPr>
            <w:tcW w:w="660" w:type="dxa"/>
            <w:noWrap/>
            <w:hideMark/>
          </w:tcPr>
          <w:p w14:paraId="14EABD0C" w14:textId="79BF73F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6 </w:t>
            </w:r>
          </w:p>
        </w:tc>
      </w:tr>
      <w:tr w:rsidR="008F119C" w:rsidRPr="00E4527E" w14:paraId="357C416E" w14:textId="77777777" w:rsidTr="003A166C">
        <w:trPr>
          <w:trHeight w:hRule="exact" w:val="300"/>
        </w:trPr>
        <w:tc>
          <w:tcPr>
            <w:tcW w:w="709" w:type="dxa"/>
            <w:gridSpan w:val="2"/>
            <w:noWrap/>
            <w:hideMark/>
          </w:tcPr>
          <w:p w14:paraId="56B4824A" w14:textId="399257E8"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65F72420" w14:textId="3194A739"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6</w:t>
            </w:r>
          </w:p>
        </w:tc>
        <w:tc>
          <w:tcPr>
            <w:tcW w:w="574" w:type="dxa"/>
            <w:noWrap/>
            <w:hideMark/>
          </w:tcPr>
          <w:p w14:paraId="5531D842" w14:textId="62C4766C"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A14B</w:t>
            </w:r>
          </w:p>
        </w:tc>
        <w:tc>
          <w:tcPr>
            <w:tcW w:w="5571" w:type="dxa"/>
            <w:noWrap/>
            <w:hideMark/>
          </w:tcPr>
          <w:p w14:paraId="744246BF" w14:textId="65537571"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Ventilation &gt;=96hours &amp; &lt;336hours, Intermediate Complexity</w:t>
            </w:r>
          </w:p>
        </w:tc>
        <w:tc>
          <w:tcPr>
            <w:tcW w:w="691" w:type="dxa"/>
            <w:noWrap/>
            <w:hideMark/>
          </w:tcPr>
          <w:p w14:paraId="2DA1075F" w14:textId="5CA8E72C"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12.99</w:t>
            </w:r>
          </w:p>
        </w:tc>
        <w:tc>
          <w:tcPr>
            <w:tcW w:w="839" w:type="dxa"/>
            <w:noWrap/>
            <w:hideMark/>
          </w:tcPr>
          <w:p w14:paraId="15A49644" w14:textId="2347188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288</w:t>
            </w:r>
          </w:p>
        </w:tc>
        <w:tc>
          <w:tcPr>
            <w:tcW w:w="691" w:type="dxa"/>
            <w:noWrap/>
            <w:hideMark/>
          </w:tcPr>
          <w:p w14:paraId="66255E81" w14:textId="4FCCABE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23.16</w:t>
            </w:r>
          </w:p>
        </w:tc>
        <w:tc>
          <w:tcPr>
            <w:tcW w:w="655" w:type="dxa"/>
            <w:noWrap/>
            <w:hideMark/>
          </w:tcPr>
          <w:p w14:paraId="42A776B8" w14:textId="48351D4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27.8</w:t>
            </w:r>
          </w:p>
        </w:tc>
        <w:tc>
          <w:tcPr>
            <w:tcW w:w="666" w:type="dxa"/>
            <w:noWrap/>
            <w:hideMark/>
          </w:tcPr>
          <w:p w14:paraId="2D82545A" w14:textId="1A8C539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w:t>
            </w:r>
          </w:p>
        </w:tc>
        <w:tc>
          <w:tcPr>
            <w:tcW w:w="691" w:type="dxa"/>
            <w:noWrap/>
            <w:hideMark/>
          </w:tcPr>
          <w:p w14:paraId="7BEABC8F" w14:textId="4149724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56%</w:t>
            </w:r>
          </w:p>
        </w:tc>
        <w:tc>
          <w:tcPr>
            <w:tcW w:w="706" w:type="dxa"/>
            <w:noWrap/>
            <w:hideMark/>
          </w:tcPr>
          <w:p w14:paraId="7750BF2B" w14:textId="17DFA0A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w:t>
            </w:r>
          </w:p>
        </w:tc>
        <w:tc>
          <w:tcPr>
            <w:tcW w:w="730" w:type="dxa"/>
            <w:noWrap/>
            <w:hideMark/>
          </w:tcPr>
          <w:p w14:paraId="6FC2D352" w14:textId="501EFE2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30%</w:t>
            </w:r>
          </w:p>
        </w:tc>
        <w:tc>
          <w:tcPr>
            <w:tcW w:w="969" w:type="dxa"/>
            <w:noWrap/>
            <w:hideMark/>
          </w:tcPr>
          <w:p w14:paraId="2031F6FD" w14:textId="0763854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10.87</w:t>
            </w:r>
          </w:p>
        </w:tc>
        <w:tc>
          <w:tcPr>
            <w:tcW w:w="660" w:type="dxa"/>
            <w:noWrap/>
            <w:hideMark/>
          </w:tcPr>
          <w:p w14:paraId="37DD07AD" w14:textId="4F08B0B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5 </w:t>
            </w:r>
          </w:p>
        </w:tc>
      </w:tr>
      <w:tr w:rsidR="008F119C" w:rsidRPr="00E4527E" w14:paraId="4C7BBE1F" w14:textId="77777777" w:rsidTr="003A166C">
        <w:trPr>
          <w:trHeight w:hRule="exact" w:val="300"/>
        </w:trPr>
        <w:tc>
          <w:tcPr>
            <w:tcW w:w="709" w:type="dxa"/>
            <w:gridSpan w:val="2"/>
            <w:noWrap/>
            <w:hideMark/>
          </w:tcPr>
          <w:p w14:paraId="7AE6DAAB" w14:textId="16F2574E"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055FDDCB" w14:textId="6D79D259"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7</w:t>
            </w:r>
          </w:p>
        </w:tc>
        <w:tc>
          <w:tcPr>
            <w:tcW w:w="574" w:type="dxa"/>
            <w:noWrap/>
            <w:hideMark/>
          </w:tcPr>
          <w:p w14:paraId="49CC5809" w14:textId="6B9A2262"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A14C</w:t>
            </w:r>
          </w:p>
        </w:tc>
        <w:tc>
          <w:tcPr>
            <w:tcW w:w="5571" w:type="dxa"/>
            <w:noWrap/>
            <w:hideMark/>
          </w:tcPr>
          <w:p w14:paraId="3F5A4050" w14:textId="303FB00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Ventilation &gt;=96hours &amp; &lt;336hours, Minor Complexity</w:t>
            </w:r>
          </w:p>
        </w:tc>
        <w:tc>
          <w:tcPr>
            <w:tcW w:w="691" w:type="dxa"/>
            <w:noWrap/>
            <w:hideMark/>
          </w:tcPr>
          <w:p w14:paraId="04621E40" w14:textId="45E72ADD"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9.85</w:t>
            </w:r>
          </w:p>
        </w:tc>
        <w:tc>
          <w:tcPr>
            <w:tcW w:w="839" w:type="dxa"/>
            <w:noWrap/>
            <w:hideMark/>
          </w:tcPr>
          <w:p w14:paraId="432F20EA" w14:textId="30DD066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172</w:t>
            </w:r>
          </w:p>
        </w:tc>
        <w:tc>
          <w:tcPr>
            <w:tcW w:w="691" w:type="dxa"/>
            <w:noWrap/>
            <w:hideMark/>
          </w:tcPr>
          <w:p w14:paraId="020E9C89" w14:textId="017CFC3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15.87</w:t>
            </w:r>
          </w:p>
        </w:tc>
        <w:tc>
          <w:tcPr>
            <w:tcW w:w="655" w:type="dxa"/>
            <w:noWrap/>
            <w:hideMark/>
          </w:tcPr>
          <w:p w14:paraId="0597D9FD" w14:textId="0A254D2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18.4</w:t>
            </w:r>
          </w:p>
        </w:tc>
        <w:tc>
          <w:tcPr>
            <w:tcW w:w="666" w:type="dxa"/>
            <w:noWrap/>
            <w:hideMark/>
          </w:tcPr>
          <w:p w14:paraId="2D926474" w14:textId="4D0BA9D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w:t>
            </w:r>
          </w:p>
        </w:tc>
        <w:tc>
          <w:tcPr>
            <w:tcW w:w="691" w:type="dxa"/>
            <w:noWrap/>
            <w:hideMark/>
          </w:tcPr>
          <w:p w14:paraId="642480AF" w14:textId="0D735A2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62%</w:t>
            </w:r>
          </w:p>
        </w:tc>
        <w:tc>
          <w:tcPr>
            <w:tcW w:w="706" w:type="dxa"/>
            <w:noWrap/>
            <w:hideMark/>
          </w:tcPr>
          <w:p w14:paraId="6769A043" w14:textId="27950B1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w:t>
            </w:r>
          </w:p>
        </w:tc>
        <w:tc>
          <w:tcPr>
            <w:tcW w:w="730" w:type="dxa"/>
            <w:noWrap/>
            <w:hideMark/>
          </w:tcPr>
          <w:p w14:paraId="5A361509" w14:textId="4703881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30%</w:t>
            </w:r>
          </w:p>
        </w:tc>
        <w:tc>
          <w:tcPr>
            <w:tcW w:w="969" w:type="dxa"/>
            <w:noWrap/>
            <w:hideMark/>
          </w:tcPr>
          <w:p w14:paraId="67D1ED48" w14:textId="42B4C1A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9.86</w:t>
            </w:r>
          </w:p>
        </w:tc>
        <w:tc>
          <w:tcPr>
            <w:tcW w:w="660" w:type="dxa"/>
            <w:noWrap/>
            <w:hideMark/>
          </w:tcPr>
          <w:p w14:paraId="7B88DC63" w14:textId="1341C9F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8 </w:t>
            </w:r>
          </w:p>
        </w:tc>
      </w:tr>
      <w:tr w:rsidR="008F119C" w:rsidRPr="00E4527E" w14:paraId="0C2EF2F5" w14:textId="77777777" w:rsidTr="003A166C">
        <w:trPr>
          <w:trHeight w:hRule="exact" w:val="300"/>
        </w:trPr>
        <w:tc>
          <w:tcPr>
            <w:tcW w:w="709" w:type="dxa"/>
            <w:gridSpan w:val="2"/>
            <w:noWrap/>
            <w:hideMark/>
          </w:tcPr>
          <w:p w14:paraId="4239845A" w14:textId="69A68276"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33974969" w14:textId="5FA94E75"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8</w:t>
            </w:r>
          </w:p>
        </w:tc>
        <w:tc>
          <w:tcPr>
            <w:tcW w:w="574" w:type="dxa"/>
            <w:noWrap/>
            <w:hideMark/>
          </w:tcPr>
          <w:p w14:paraId="4DE81D61" w14:textId="43C69E8E"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A15A</w:t>
            </w:r>
          </w:p>
        </w:tc>
        <w:tc>
          <w:tcPr>
            <w:tcW w:w="5571" w:type="dxa"/>
            <w:noWrap/>
            <w:hideMark/>
          </w:tcPr>
          <w:p w14:paraId="5CBC0314" w14:textId="4368AD9D"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Tracheostomy, Major Complexity</w:t>
            </w:r>
          </w:p>
        </w:tc>
        <w:tc>
          <w:tcPr>
            <w:tcW w:w="691" w:type="dxa"/>
            <w:noWrap/>
            <w:hideMark/>
          </w:tcPr>
          <w:p w14:paraId="33CF053C" w14:textId="26405008"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8.95</w:t>
            </w:r>
          </w:p>
        </w:tc>
        <w:tc>
          <w:tcPr>
            <w:tcW w:w="839" w:type="dxa"/>
            <w:noWrap/>
            <w:hideMark/>
          </w:tcPr>
          <w:p w14:paraId="2808A903" w14:textId="34BDC98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11</w:t>
            </w:r>
          </w:p>
        </w:tc>
        <w:tc>
          <w:tcPr>
            <w:tcW w:w="691" w:type="dxa"/>
            <w:noWrap/>
            <w:hideMark/>
          </w:tcPr>
          <w:p w14:paraId="6F48A63D" w14:textId="78FB3D9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21.86</w:t>
            </w:r>
          </w:p>
        </w:tc>
        <w:tc>
          <w:tcPr>
            <w:tcW w:w="655" w:type="dxa"/>
            <w:noWrap/>
            <w:hideMark/>
          </w:tcPr>
          <w:p w14:paraId="511E5D4F" w14:textId="2769EE1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24.2</w:t>
            </w:r>
          </w:p>
        </w:tc>
        <w:tc>
          <w:tcPr>
            <w:tcW w:w="666" w:type="dxa"/>
            <w:noWrap/>
            <w:hideMark/>
          </w:tcPr>
          <w:p w14:paraId="14EE6FF3" w14:textId="11AE866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19%</w:t>
            </w:r>
          </w:p>
        </w:tc>
        <w:tc>
          <w:tcPr>
            <w:tcW w:w="691" w:type="dxa"/>
            <w:noWrap/>
            <w:hideMark/>
          </w:tcPr>
          <w:p w14:paraId="1A49855C" w14:textId="7197D9C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41%</w:t>
            </w:r>
          </w:p>
        </w:tc>
        <w:tc>
          <w:tcPr>
            <w:tcW w:w="706" w:type="dxa"/>
            <w:noWrap/>
            <w:hideMark/>
          </w:tcPr>
          <w:p w14:paraId="118DEA39" w14:textId="6FD692E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w:t>
            </w:r>
          </w:p>
        </w:tc>
        <w:tc>
          <w:tcPr>
            <w:tcW w:w="730" w:type="dxa"/>
            <w:noWrap/>
            <w:hideMark/>
          </w:tcPr>
          <w:p w14:paraId="0C5F5158" w14:textId="4242FBB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31%</w:t>
            </w:r>
          </w:p>
        </w:tc>
        <w:tc>
          <w:tcPr>
            <w:tcW w:w="969" w:type="dxa"/>
            <w:noWrap/>
            <w:hideMark/>
          </w:tcPr>
          <w:p w14:paraId="3FC05F21" w14:textId="5E28401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10.50</w:t>
            </w:r>
          </w:p>
        </w:tc>
        <w:tc>
          <w:tcPr>
            <w:tcW w:w="660" w:type="dxa"/>
            <w:noWrap/>
            <w:hideMark/>
          </w:tcPr>
          <w:p w14:paraId="520E5DBD" w14:textId="32FC234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7 </w:t>
            </w:r>
          </w:p>
        </w:tc>
      </w:tr>
      <w:tr w:rsidR="008F119C" w:rsidRPr="00E4527E" w14:paraId="48163CE6" w14:textId="77777777" w:rsidTr="003A166C">
        <w:trPr>
          <w:trHeight w:hRule="exact" w:val="300"/>
        </w:trPr>
        <w:tc>
          <w:tcPr>
            <w:tcW w:w="709" w:type="dxa"/>
            <w:gridSpan w:val="2"/>
            <w:noWrap/>
            <w:hideMark/>
          </w:tcPr>
          <w:p w14:paraId="002B4593" w14:textId="38C52B23"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No</w:t>
            </w:r>
          </w:p>
        </w:tc>
        <w:tc>
          <w:tcPr>
            <w:tcW w:w="660" w:type="dxa"/>
            <w:noWrap/>
            <w:hideMark/>
          </w:tcPr>
          <w:p w14:paraId="1718BE18" w14:textId="598D6BDA"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9</w:t>
            </w:r>
          </w:p>
        </w:tc>
        <w:tc>
          <w:tcPr>
            <w:tcW w:w="574" w:type="dxa"/>
            <w:noWrap/>
            <w:hideMark/>
          </w:tcPr>
          <w:p w14:paraId="2B416036" w14:textId="4968FE6C"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A40Z</w:t>
            </w:r>
          </w:p>
        </w:tc>
        <w:tc>
          <w:tcPr>
            <w:tcW w:w="5571" w:type="dxa"/>
            <w:noWrap/>
            <w:hideMark/>
          </w:tcPr>
          <w:p w14:paraId="0614B006" w14:textId="701D7896"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ECMO</w:t>
            </w:r>
          </w:p>
        </w:tc>
        <w:tc>
          <w:tcPr>
            <w:tcW w:w="691" w:type="dxa"/>
            <w:noWrap/>
            <w:hideMark/>
          </w:tcPr>
          <w:p w14:paraId="62B188E8" w14:textId="07A9390B"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8.83</w:t>
            </w:r>
          </w:p>
        </w:tc>
        <w:tc>
          <w:tcPr>
            <w:tcW w:w="839" w:type="dxa"/>
            <w:noWrap/>
            <w:hideMark/>
          </w:tcPr>
          <w:p w14:paraId="4FDE04FF" w14:textId="07F746B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13</w:t>
            </w:r>
          </w:p>
        </w:tc>
        <w:tc>
          <w:tcPr>
            <w:tcW w:w="691" w:type="dxa"/>
            <w:noWrap/>
            <w:hideMark/>
          </w:tcPr>
          <w:p w14:paraId="137286E0" w14:textId="0F1AA55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16.45</w:t>
            </w:r>
          </w:p>
        </w:tc>
        <w:tc>
          <w:tcPr>
            <w:tcW w:w="655" w:type="dxa"/>
            <w:noWrap/>
            <w:hideMark/>
          </w:tcPr>
          <w:p w14:paraId="2BAD09DB" w14:textId="6635F44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17.9</w:t>
            </w:r>
          </w:p>
        </w:tc>
        <w:tc>
          <w:tcPr>
            <w:tcW w:w="666" w:type="dxa"/>
            <w:noWrap/>
            <w:hideMark/>
          </w:tcPr>
          <w:p w14:paraId="285FDF2A" w14:textId="716F6DF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w:t>
            </w:r>
          </w:p>
        </w:tc>
        <w:tc>
          <w:tcPr>
            <w:tcW w:w="691" w:type="dxa"/>
            <w:noWrap/>
            <w:hideMark/>
          </w:tcPr>
          <w:p w14:paraId="0101287A" w14:textId="22F0F1A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54%</w:t>
            </w:r>
          </w:p>
        </w:tc>
        <w:tc>
          <w:tcPr>
            <w:tcW w:w="706" w:type="dxa"/>
            <w:noWrap/>
            <w:hideMark/>
          </w:tcPr>
          <w:p w14:paraId="247A781C" w14:textId="6377887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w:t>
            </w:r>
          </w:p>
        </w:tc>
        <w:tc>
          <w:tcPr>
            <w:tcW w:w="730" w:type="dxa"/>
            <w:noWrap/>
            <w:hideMark/>
          </w:tcPr>
          <w:p w14:paraId="095E8EF6" w14:textId="6F57FDD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w:t>
            </w:r>
          </w:p>
        </w:tc>
        <w:tc>
          <w:tcPr>
            <w:tcW w:w="969" w:type="dxa"/>
            <w:noWrap/>
            <w:hideMark/>
          </w:tcPr>
          <w:p w14:paraId="0B9F289B" w14:textId="4A7A26C6"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3.59</w:t>
            </w:r>
          </w:p>
        </w:tc>
        <w:tc>
          <w:tcPr>
            <w:tcW w:w="660" w:type="dxa"/>
            <w:noWrap/>
            <w:hideMark/>
          </w:tcPr>
          <w:p w14:paraId="73E58B19" w14:textId="48F7B94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28 </w:t>
            </w:r>
          </w:p>
        </w:tc>
      </w:tr>
      <w:tr w:rsidR="008F119C" w:rsidRPr="00E4527E" w14:paraId="24CF88B2" w14:textId="77777777" w:rsidTr="003A166C">
        <w:trPr>
          <w:trHeight w:hRule="exact" w:val="300"/>
        </w:trPr>
        <w:tc>
          <w:tcPr>
            <w:tcW w:w="709" w:type="dxa"/>
            <w:gridSpan w:val="2"/>
            <w:noWrap/>
            <w:hideMark/>
          </w:tcPr>
          <w:p w14:paraId="182B1AB3" w14:textId="15984C13"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48AC0205" w14:textId="562D8EF0"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10</w:t>
            </w:r>
          </w:p>
        </w:tc>
        <w:tc>
          <w:tcPr>
            <w:tcW w:w="574" w:type="dxa"/>
            <w:noWrap/>
            <w:hideMark/>
          </w:tcPr>
          <w:p w14:paraId="09D64E1D" w14:textId="784AAAA2"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P65A</w:t>
            </w:r>
          </w:p>
        </w:tc>
        <w:tc>
          <w:tcPr>
            <w:tcW w:w="5571" w:type="dxa"/>
            <w:noWrap/>
            <w:hideMark/>
          </w:tcPr>
          <w:p w14:paraId="7D7F6F45" w14:textId="693F44A7"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Neonate, AdmWt 1500-1999g W/O Significant GI/Vent&gt;=96hrs, Extreme Comp</w:t>
            </w:r>
          </w:p>
        </w:tc>
        <w:tc>
          <w:tcPr>
            <w:tcW w:w="691" w:type="dxa"/>
            <w:noWrap/>
            <w:hideMark/>
          </w:tcPr>
          <w:p w14:paraId="1CDCA7E0" w14:textId="30CB6E4C"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6.41</w:t>
            </w:r>
          </w:p>
        </w:tc>
        <w:tc>
          <w:tcPr>
            <w:tcW w:w="839" w:type="dxa"/>
            <w:noWrap/>
            <w:hideMark/>
          </w:tcPr>
          <w:p w14:paraId="5820EEF3" w14:textId="1BFE0A9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91</w:t>
            </w:r>
          </w:p>
        </w:tc>
        <w:tc>
          <w:tcPr>
            <w:tcW w:w="691" w:type="dxa"/>
            <w:noWrap/>
            <w:hideMark/>
          </w:tcPr>
          <w:p w14:paraId="027BD16C" w14:textId="12CE822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10.10</w:t>
            </w:r>
          </w:p>
        </w:tc>
        <w:tc>
          <w:tcPr>
            <w:tcW w:w="655" w:type="dxa"/>
            <w:noWrap/>
            <w:hideMark/>
          </w:tcPr>
          <w:p w14:paraId="631DDA59" w14:textId="0E09395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31.2</w:t>
            </w:r>
          </w:p>
        </w:tc>
        <w:tc>
          <w:tcPr>
            <w:tcW w:w="666" w:type="dxa"/>
            <w:noWrap/>
            <w:hideMark/>
          </w:tcPr>
          <w:p w14:paraId="0B4E786E" w14:textId="24F7B13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691" w:type="dxa"/>
            <w:noWrap/>
            <w:hideMark/>
          </w:tcPr>
          <w:p w14:paraId="5C6ED43F" w14:textId="6410697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63%</w:t>
            </w:r>
          </w:p>
        </w:tc>
        <w:tc>
          <w:tcPr>
            <w:tcW w:w="706" w:type="dxa"/>
            <w:noWrap/>
            <w:hideMark/>
          </w:tcPr>
          <w:p w14:paraId="22D16F3F" w14:textId="632137A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730" w:type="dxa"/>
            <w:noWrap/>
            <w:hideMark/>
          </w:tcPr>
          <w:p w14:paraId="57A58F1D" w14:textId="6B924B8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37%</w:t>
            </w:r>
          </w:p>
        </w:tc>
        <w:tc>
          <w:tcPr>
            <w:tcW w:w="969" w:type="dxa"/>
            <w:noWrap/>
            <w:hideMark/>
          </w:tcPr>
          <w:p w14:paraId="05703377" w14:textId="44E3A1D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7.82</w:t>
            </w:r>
          </w:p>
        </w:tc>
        <w:tc>
          <w:tcPr>
            <w:tcW w:w="660" w:type="dxa"/>
            <w:noWrap/>
            <w:hideMark/>
          </w:tcPr>
          <w:p w14:paraId="3C730D3C" w14:textId="0866234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11 </w:t>
            </w:r>
          </w:p>
        </w:tc>
      </w:tr>
      <w:tr w:rsidR="008F119C" w:rsidRPr="00E4527E" w14:paraId="5C625561" w14:textId="77777777" w:rsidTr="003A166C">
        <w:trPr>
          <w:trHeight w:hRule="exact" w:val="300"/>
        </w:trPr>
        <w:tc>
          <w:tcPr>
            <w:tcW w:w="709" w:type="dxa"/>
            <w:gridSpan w:val="2"/>
            <w:noWrap/>
            <w:hideMark/>
          </w:tcPr>
          <w:p w14:paraId="48BBDC98" w14:textId="2E1BB6BD"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6A0A9B71" w14:textId="043F15E8"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11</w:t>
            </w:r>
          </w:p>
        </w:tc>
        <w:tc>
          <w:tcPr>
            <w:tcW w:w="574" w:type="dxa"/>
            <w:noWrap/>
            <w:hideMark/>
          </w:tcPr>
          <w:p w14:paraId="33FA314B" w14:textId="19E11EBD"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E40A</w:t>
            </w:r>
          </w:p>
        </w:tc>
        <w:tc>
          <w:tcPr>
            <w:tcW w:w="5571" w:type="dxa"/>
            <w:noWrap/>
            <w:hideMark/>
          </w:tcPr>
          <w:p w14:paraId="2041CBA9" w14:textId="778D1A55"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Respiratory System Disorders W Ventilator Support, Major Complexity</w:t>
            </w:r>
          </w:p>
        </w:tc>
        <w:tc>
          <w:tcPr>
            <w:tcW w:w="691" w:type="dxa"/>
            <w:noWrap/>
            <w:hideMark/>
          </w:tcPr>
          <w:p w14:paraId="172EDBD4" w14:textId="36CBFADC"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6.25</w:t>
            </w:r>
          </w:p>
        </w:tc>
        <w:tc>
          <w:tcPr>
            <w:tcW w:w="839" w:type="dxa"/>
            <w:noWrap/>
            <w:hideMark/>
          </w:tcPr>
          <w:p w14:paraId="7BB407CA" w14:textId="676C711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w:t>
            </w:r>
          </w:p>
        </w:tc>
        <w:tc>
          <w:tcPr>
            <w:tcW w:w="691" w:type="dxa"/>
            <w:noWrap/>
            <w:hideMark/>
          </w:tcPr>
          <w:p w14:paraId="449BBDEE" w14:textId="02157BC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9.97</w:t>
            </w:r>
          </w:p>
        </w:tc>
        <w:tc>
          <w:tcPr>
            <w:tcW w:w="655" w:type="dxa"/>
            <w:noWrap/>
            <w:hideMark/>
          </w:tcPr>
          <w:p w14:paraId="25D21C85" w14:textId="266796F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15.7</w:t>
            </w:r>
          </w:p>
        </w:tc>
        <w:tc>
          <w:tcPr>
            <w:tcW w:w="666" w:type="dxa"/>
            <w:noWrap/>
            <w:hideMark/>
          </w:tcPr>
          <w:p w14:paraId="089CD19E" w14:textId="6D0F520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691" w:type="dxa"/>
            <w:noWrap/>
            <w:hideMark/>
          </w:tcPr>
          <w:p w14:paraId="03224FD4" w14:textId="1691056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63%</w:t>
            </w:r>
          </w:p>
        </w:tc>
        <w:tc>
          <w:tcPr>
            <w:tcW w:w="706" w:type="dxa"/>
            <w:noWrap/>
            <w:hideMark/>
          </w:tcPr>
          <w:p w14:paraId="565D18AF" w14:textId="363AE37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w:t>
            </w:r>
          </w:p>
        </w:tc>
        <w:tc>
          <w:tcPr>
            <w:tcW w:w="730" w:type="dxa"/>
            <w:noWrap/>
            <w:hideMark/>
          </w:tcPr>
          <w:p w14:paraId="4C88D2E8" w14:textId="006C7E1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29%</w:t>
            </w:r>
          </w:p>
        </w:tc>
        <w:tc>
          <w:tcPr>
            <w:tcW w:w="969" w:type="dxa"/>
            <w:noWrap/>
            <w:hideMark/>
          </w:tcPr>
          <w:p w14:paraId="380FFD40" w14:textId="72ACD67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4.56</w:t>
            </w:r>
          </w:p>
        </w:tc>
        <w:tc>
          <w:tcPr>
            <w:tcW w:w="660" w:type="dxa"/>
            <w:noWrap/>
            <w:hideMark/>
          </w:tcPr>
          <w:p w14:paraId="58735A76" w14:textId="7595D67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20 </w:t>
            </w:r>
          </w:p>
        </w:tc>
      </w:tr>
      <w:tr w:rsidR="008F119C" w:rsidRPr="00E4527E" w14:paraId="7A509A17" w14:textId="77777777" w:rsidTr="003A166C">
        <w:trPr>
          <w:trHeight w:hRule="exact" w:val="300"/>
        </w:trPr>
        <w:tc>
          <w:tcPr>
            <w:tcW w:w="709" w:type="dxa"/>
            <w:gridSpan w:val="2"/>
            <w:noWrap/>
            <w:hideMark/>
          </w:tcPr>
          <w:p w14:paraId="43725563" w14:textId="011673BF"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14428711" w14:textId="53B93DEB"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12</w:t>
            </w:r>
          </w:p>
        </w:tc>
        <w:tc>
          <w:tcPr>
            <w:tcW w:w="574" w:type="dxa"/>
            <w:noWrap/>
            <w:hideMark/>
          </w:tcPr>
          <w:p w14:paraId="57445152" w14:textId="1FA7BA00"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F04A</w:t>
            </w:r>
          </w:p>
        </w:tc>
        <w:tc>
          <w:tcPr>
            <w:tcW w:w="5571" w:type="dxa"/>
            <w:noWrap/>
            <w:hideMark/>
          </w:tcPr>
          <w:p w14:paraId="72F08ED4" w14:textId="45D2B0AF"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Cardiac Valve Procedures W CPB Pump W/O Invasive Cardiac Invest, Major Comp</w:t>
            </w:r>
          </w:p>
        </w:tc>
        <w:tc>
          <w:tcPr>
            <w:tcW w:w="691" w:type="dxa"/>
            <w:noWrap/>
            <w:hideMark/>
          </w:tcPr>
          <w:p w14:paraId="11A44544" w14:textId="71D92986"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6.24</w:t>
            </w:r>
          </w:p>
        </w:tc>
        <w:tc>
          <w:tcPr>
            <w:tcW w:w="839" w:type="dxa"/>
            <w:noWrap/>
            <w:hideMark/>
          </w:tcPr>
          <w:p w14:paraId="66020B0E" w14:textId="29DAA85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177</w:t>
            </w:r>
          </w:p>
        </w:tc>
        <w:tc>
          <w:tcPr>
            <w:tcW w:w="691" w:type="dxa"/>
            <w:noWrap/>
            <w:hideMark/>
          </w:tcPr>
          <w:p w14:paraId="776F119E" w14:textId="6B38854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16.69</w:t>
            </w:r>
          </w:p>
        </w:tc>
        <w:tc>
          <w:tcPr>
            <w:tcW w:w="655" w:type="dxa"/>
            <w:noWrap/>
            <w:hideMark/>
          </w:tcPr>
          <w:p w14:paraId="7B03CC10" w14:textId="709963F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22.0</w:t>
            </w:r>
          </w:p>
        </w:tc>
        <w:tc>
          <w:tcPr>
            <w:tcW w:w="666" w:type="dxa"/>
            <w:noWrap/>
            <w:hideMark/>
          </w:tcPr>
          <w:p w14:paraId="5BB870C8" w14:textId="5F6F890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13%</w:t>
            </w:r>
          </w:p>
        </w:tc>
        <w:tc>
          <w:tcPr>
            <w:tcW w:w="691" w:type="dxa"/>
            <w:noWrap/>
            <w:hideMark/>
          </w:tcPr>
          <w:p w14:paraId="4DCB82F2" w14:textId="0B549B6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37%</w:t>
            </w:r>
          </w:p>
        </w:tc>
        <w:tc>
          <w:tcPr>
            <w:tcW w:w="706" w:type="dxa"/>
            <w:noWrap/>
            <w:hideMark/>
          </w:tcPr>
          <w:p w14:paraId="136B5309" w14:textId="0B76970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14%</w:t>
            </w:r>
          </w:p>
        </w:tc>
        <w:tc>
          <w:tcPr>
            <w:tcW w:w="730" w:type="dxa"/>
            <w:noWrap/>
            <w:hideMark/>
          </w:tcPr>
          <w:p w14:paraId="175D40EF" w14:textId="4A89D07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36%</w:t>
            </w:r>
          </w:p>
        </w:tc>
        <w:tc>
          <w:tcPr>
            <w:tcW w:w="969" w:type="dxa"/>
            <w:noWrap/>
            <w:hideMark/>
          </w:tcPr>
          <w:p w14:paraId="6F90E14B" w14:textId="57FBB76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5.88</w:t>
            </w:r>
          </w:p>
        </w:tc>
        <w:tc>
          <w:tcPr>
            <w:tcW w:w="660" w:type="dxa"/>
            <w:noWrap/>
            <w:hideMark/>
          </w:tcPr>
          <w:p w14:paraId="241FFD99" w14:textId="19E595A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14 </w:t>
            </w:r>
          </w:p>
        </w:tc>
      </w:tr>
      <w:tr w:rsidR="008F119C" w:rsidRPr="00E4527E" w14:paraId="0B7E7A6A" w14:textId="77777777" w:rsidTr="003A166C">
        <w:trPr>
          <w:trHeight w:hRule="exact" w:val="300"/>
        </w:trPr>
        <w:tc>
          <w:tcPr>
            <w:tcW w:w="709" w:type="dxa"/>
            <w:gridSpan w:val="2"/>
            <w:noWrap/>
            <w:hideMark/>
          </w:tcPr>
          <w:p w14:paraId="01345773" w14:textId="38C75DE7"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No</w:t>
            </w:r>
          </w:p>
        </w:tc>
        <w:tc>
          <w:tcPr>
            <w:tcW w:w="660" w:type="dxa"/>
            <w:noWrap/>
            <w:hideMark/>
          </w:tcPr>
          <w:p w14:paraId="500B8A41" w14:textId="2E9F2003"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13</w:t>
            </w:r>
          </w:p>
        </w:tc>
        <w:tc>
          <w:tcPr>
            <w:tcW w:w="574" w:type="dxa"/>
            <w:noWrap/>
            <w:hideMark/>
          </w:tcPr>
          <w:p w14:paraId="65C3B149" w14:textId="5B4815E0"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B42B</w:t>
            </w:r>
          </w:p>
        </w:tc>
        <w:tc>
          <w:tcPr>
            <w:tcW w:w="5571" w:type="dxa"/>
            <w:noWrap/>
            <w:hideMark/>
          </w:tcPr>
          <w:p w14:paraId="1F752260" w14:textId="70ECBD9C"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Nervous System Disorders W Ventilator Support, Intermediate Complexity</w:t>
            </w:r>
          </w:p>
        </w:tc>
        <w:tc>
          <w:tcPr>
            <w:tcW w:w="691" w:type="dxa"/>
            <w:noWrap/>
            <w:hideMark/>
          </w:tcPr>
          <w:p w14:paraId="6BB48315" w14:textId="509EB8AD"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6.04</w:t>
            </w:r>
          </w:p>
        </w:tc>
        <w:tc>
          <w:tcPr>
            <w:tcW w:w="839" w:type="dxa"/>
            <w:noWrap/>
            <w:hideMark/>
          </w:tcPr>
          <w:p w14:paraId="07159E0A" w14:textId="7BA1BCE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11</w:t>
            </w:r>
          </w:p>
        </w:tc>
        <w:tc>
          <w:tcPr>
            <w:tcW w:w="691" w:type="dxa"/>
            <w:noWrap/>
            <w:hideMark/>
          </w:tcPr>
          <w:p w14:paraId="635C9E34" w14:textId="529EDCA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9.94</w:t>
            </w:r>
          </w:p>
        </w:tc>
        <w:tc>
          <w:tcPr>
            <w:tcW w:w="655" w:type="dxa"/>
            <w:noWrap/>
            <w:hideMark/>
          </w:tcPr>
          <w:p w14:paraId="732E100C" w14:textId="7BFD20D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12.2</w:t>
            </w:r>
          </w:p>
        </w:tc>
        <w:tc>
          <w:tcPr>
            <w:tcW w:w="666" w:type="dxa"/>
            <w:noWrap/>
            <w:hideMark/>
          </w:tcPr>
          <w:p w14:paraId="492A906C" w14:textId="7404EA6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691" w:type="dxa"/>
            <w:noWrap/>
            <w:hideMark/>
          </w:tcPr>
          <w:p w14:paraId="00F36704" w14:textId="11D4D22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61%</w:t>
            </w:r>
          </w:p>
        </w:tc>
        <w:tc>
          <w:tcPr>
            <w:tcW w:w="706" w:type="dxa"/>
            <w:noWrap/>
            <w:hideMark/>
          </w:tcPr>
          <w:p w14:paraId="14C3A786" w14:textId="63D6A17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730" w:type="dxa"/>
            <w:noWrap/>
            <w:hideMark/>
          </w:tcPr>
          <w:p w14:paraId="30FE7375" w14:textId="5B032B9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38%</w:t>
            </w:r>
          </w:p>
        </w:tc>
        <w:tc>
          <w:tcPr>
            <w:tcW w:w="969" w:type="dxa"/>
            <w:noWrap/>
            <w:hideMark/>
          </w:tcPr>
          <w:p w14:paraId="2CA02230" w14:textId="43BACE2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4.30</w:t>
            </w:r>
          </w:p>
        </w:tc>
        <w:tc>
          <w:tcPr>
            <w:tcW w:w="660" w:type="dxa"/>
            <w:noWrap/>
            <w:hideMark/>
          </w:tcPr>
          <w:p w14:paraId="164C62FE" w14:textId="26DC929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22 </w:t>
            </w:r>
          </w:p>
        </w:tc>
      </w:tr>
      <w:tr w:rsidR="008F119C" w:rsidRPr="00E4527E" w14:paraId="59A7202D" w14:textId="77777777" w:rsidTr="003A166C">
        <w:trPr>
          <w:trHeight w:hRule="exact" w:val="300"/>
        </w:trPr>
        <w:tc>
          <w:tcPr>
            <w:tcW w:w="709" w:type="dxa"/>
            <w:gridSpan w:val="2"/>
            <w:noWrap/>
            <w:hideMark/>
          </w:tcPr>
          <w:p w14:paraId="0E2ADEF5" w14:textId="673E3EF6"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1DB81FCE" w14:textId="2490D94E"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14</w:t>
            </w:r>
          </w:p>
        </w:tc>
        <w:tc>
          <w:tcPr>
            <w:tcW w:w="574" w:type="dxa"/>
            <w:noWrap/>
            <w:hideMark/>
          </w:tcPr>
          <w:p w14:paraId="3BA8E5E9" w14:textId="21A5F2D6"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F05A</w:t>
            </w:r>
          </w:p>
        </w:tc>
        <w:tc>
          <w:tcPr>
            <w:tcW w:w="5571" w:type="dxa"/>
            <w:noWrap/>
            <w:hideMark/>
          </w:tcPr>
          <w:p w14:paraId="5988E316" w14:textId="1EED2D9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Coronary Bypass W Invasive Cardiac Investigation, Major Complexity</w:t>
            </w:r>
          </w:p>
        </w:tc>
        <w:tc>
          <w:tcPr>
            <w:tcW w:w="691" w:type="dxa"/>
            <w:noWrap/>
            <w:hideMark/>
          </w:tcPr>
          <w:p w14:paraId="737CB76E" w14:textId="3D59926C"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5.68</w:t>
            </w:r>
          </w:p>
        </w:tc>
        <w:tc>
          <w:tcPr>
            <w:tcW w:w="839" w:type="dxa"/>
            <w:noWrap/>
            <w:hideMark/>
          </w:tcPr>
          <w:p w14:paraId="1295DB25" w14:textId="7DD0546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269</w:t>
            </w:r>
          </w:p>
        </w:tc>
        <w:tc>
          <w:tcPr>
            <w:tcW w:w="691" w:type="dxa"/>
            <w:noWrap/>
            <w:hideMark/>
          </w:tcPr>
          <w:p w14:paraId="1A04C860" w14:textId="02CD8E9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13.74</w:t>
            </w:r>
          </w:p>
        </w:tc>
        <w:tc>
          <w:tcPr>
            <w:tcW w:w="655" w:type="dxa"/>
            <w:noWrap/>
            <w:hideMark/>
          </w:tcPr>
          <w:p w14:paraId="4487CB9D" w14:textId="1BAD3B8C"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19.7</w:t>
            </w:r>
          </w:p>
        </w:tc>
        <w:tc>
          <w:tcPr>
            <w:tcW w:w="666" w:type="dxa"/>
            <w:noWrap/>
            <w:hideMark/>
          </w:tcPr>
          <w:p w14:paraId="289B1D7A" w14:textId="1EDE0E5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w:t>
            </w:r>
          </w:p>
        </w:tc>
        <w:tc>
          <w:tcPr>
            <w:tcW w:w="691" w:type="dxa"/>
            <w:noWrap/>
            <w:hideMark/>
          </w:tcPr>
          <w:p w14:paraId="61C6AA2F" w14:textId="4FC848E6"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41%</w:t>
            </w:r>
          </w:p>
        </w:tc>
        <w:tc>
          <w:tcPr>
            <w:tcW w:w="706" w:type="dxa"/>
            <w:noWrap/>
            <w:hideMark/>
          </w:tcPr>
          <w:p w14:paraId="1D7BB740" w14:textId="39E0733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w:t>
            </w:r>
          </w:p>
        </w:tc>
        <w:tc>
          <w:tcPr>
            <w:tcW w:w="730" w:type="dxa"/>
            <w:noWrap/>
            <w:hideMark/>
          </w:tcPr>
          <w:p w14:paraId="2E31D47D" w14:textId="64C2B32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34%</w:t>
            </w:r>
          </w:p>
        </w:tc>
        <w:tc>
          <w:tcPr>
            <w:tcW w:w="969" w:type="dxa"/>
            <w:noWrap/>
            <w:hideMark/>
          </w:tcPr>
          <w:p w14:paraId="48B188C4" w14:textId="2E49A69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4.80</w:t>
            </w:r>
          </w:p>
        </w:tc>
        <w:tc>
          <w:tcPr>
            <w:tcW w:w="660" w:type="dxa"/>
            <w:noWrap/>
            <w:hideMark/>
          </w:tcPr>
          <w:p w14:paraId="5DD89A5F" w14:textId="777DF78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19 </w:t>
            </w:r>
          </w:p>
        </w:tc>
      </w:tr>
      <w:tr w:rsidR="008F119C" w:rsidRPr="00E4527E" w14:paraId="5F2B96AF" w14:textId="77777777" w:rsidTr="003A166C">
        <w:trPr>
          <w:trHeight w:hRule="exact" w:val="300"/>
        </w:trPr>
        <w:tc>
          <w:tcPr>
            <w:tcW w:w="709" w:type="dxa"/>
            <w:gridSpan w:val="2"/>
            <w:noWrap/>
            <w:hideMark/>
          </w:tcPr>
          <w:p w14:paraId="7B8A4D3D" w14:textId="04E0DEF1"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No</w:t>
            </w:r>
          </w:p>
        </w:tc>
        <w:tc>
          <w:tcPr>
            <w:tcW w:w="660" w:type="dxa"/>
            <w:noWrap/>
            <w:hideMark/>
          </w:tcPr>
          <w:p w14:paraId="03C216C6" w14:textId="32F6D3BA"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15</w:t>
            </w:r>
          </w:p>
        </w:tc>
        <w:tc>
          <w:tcPr>
            <w:tcW w:w="574" w:type="dxa"/>
            <w:noWrap/>
            <w:hideMark/>
          </w:tcPr>
          <w:p w14:paraId="47F055EA" w14:textId="2EFECD2C"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E40B</w:t>
            </w:r>
          </w:p>
        </w:tc>
        <w:tc>
          <w:tcPr>
            <w:tcW w:w="5571" w:type="dxa"/>
            <w:noWrap/>
            <w:hideMark/>
          </w:tcPr>
          <w:p w14:paraId="6A1CBD62" w14:textId="4742B6A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Respiratory System Disorders W Ventilator Support, Minor Complexity</w:t>
            </w:r>
          </w:p>
        </w:tc>
        <w:tc>
          <w:tcPr>
            <w:tcW w:w="691" w:type="dxa"/>
            <w:noWrap/>
            <w:hideMark/>
          </w:tcPr>
          <w:p w14:paraId="6B9A4E76" w14:textId="2720AE62"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5.66</w:t>
            </w:r>
          </w:p>
        </w:tc>
        <w:tc>
          <w:tcPr>
            <w:tcW w:w="839" w:type="dxa"/>
            <w:noWrap/>
            <w:hideMark/>
          </w:tcPr>
          <w:p w14:paraId="19C0FA5B" w14:textId="329F25B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61</w:t>
            </w:r>
          </w:p>
        </w:tc>
        <w:tc>
          <w:tcPr>
            <w:tcW w:w="691" w:type="dxa"/>
            <w:noWrap/>
            <w:hideMark/>
          </w:tcPr>
          <w:p w14:paraId="1B5147B5" w14:textId="6983DB7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8.48</w:t>
            </w:r>
          </w:p>
        </w:tc>
        <w:tc>
          <w:tcPr>
            <w:tcW w:w="655" w:type="dxa"/>
            <w:noWrap/>
            <w:hideMark/>
          </w:tcPr>
          <w:p w14:paraId="1838ABA5" w14:textId="2F19703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9.5</w:t>
            </w:r>
          </w:p>
        </w:tc>
        <w:tc>
          <w:tcPr>
            <w:tcW w:w="666" w:type="dxa"/>
            <w:noWrap/>
            <w:hideMark/>
          </w:tcPr>
          <w:p w14:paraId="511D97F5" w14:textId="735F30E6"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691" w:type="dxa"/>
            <w:noWrap/>
            <w:hideMark/>
          </w:tcPr>
          <w:p w14:paraId="775B62A0" w14:textId="32F9D25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67%</w:t>
            </w:r>
          </w:p>
        </w:tc>
        <w:tc>
          <w:tcPr>
            <w:tcW w:w="706" w:type="dxa"/>
            <w:noWrap/>
            <w:hideMark/>
          </w:tcPr>
          <w:p w14:paraId="07E37F0D" w14:textId="5CB5376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w:t>
            </w:r>
          </w:p>
        </w:tc>
        <w:tc>
          <w:tcPr>
            <w:tcW w:w="730" w:type="dxa"/>
            <w:noWrap/>
            <w:hideMark/>
          </w:tcPr>
          <w:p w14:paraId="3D8DD0FE" w14:textId="54728D3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30%</w:t>
            </w:r>
          </w:p>
        </w:tc>
        <w:tc>
          <w:tcPr>
            <w:tcW w:w="969" w:type="dxa"/>
            <w:noWrap/>
            <w:hideMark/>
          </w:tcPr>
          <w:p w14:paraId="04976DC1" w14:textId="2EC3985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4.53</w:t>
            </w:r>
          </w:p>
        </w:tc>
        <w:tc>
          <w:tcPr>
            <w:tcW w:w="660" w:type="dxa"/>
            <w:noWrap/>
            <w:hideMark/>
          </w:tcPr>
          <w:p w14:paraId="405A318C" w14:textId="349968C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21 </w:t>
            </w:r>
          </w:p>
        </w:tc>
      </w:tr>
      <w:tr w:rsidR="008F119C" w:rsidRPr="00E4527E" w14:paraId="782F3F9D" w14:textId="77777777" w:rsidTr="003A166C">
        <w:trPr>
          <w:trHeight w:hRule="exact" w:val="300"/>
        </w:trPr>
        <w:tc>
          <w:tcPr>
            <w:tcW w:w="709" w:type="dxa"/>
            <w:gridSpan w:val="2"/>
            <w:noWrap/>
            <w:hideMark/>
          </w:tcPr>
          <w:p w14:paraId="264094B6" w14:textId="087451C9"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1695DB7E" w14:textId="47457972"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16</w:t>
            </w:r>
          </w:p>
        </w:tc>
        <w:tc>
          <w:tcPr>
            <w:tcW w:w="574" w:type="dxa"/>
            <w:noWrap/>
            <w:hideMark/>
          </w:tcPr>
          <w:p w14:paraId="0E122E4B" w14:textId="6E70D65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F06A</w:t>
            </w:r>
          </w:p>
        </w:tc>
        <w:tc>
          <w:tcPr>
            <w:tcW w:w="5571" w:type="dxa"/>
            <w:noWrap/>
            <w:hideMark/>
          </w:tcPr>
          <w:p w14:paraId="6A86AB97" w14:textId="0C76CD3A"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Coronary Bypass W/O Invasive Cardiac Investigation, Major Complexity</w:t>
            </w:r>
          </w:p>
        </w:tc>
        <w:tc>
          <w:tcPr>
            <w:tcW w:w="691" w:type="dxa"/>
            <w:noWrap/>
            <w:hideMark/>
          </w:tcPr>
          <w:p w14:paraId="4B71B079" w14:textId="0E486D97"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5.47</w:t>
            </w:r>
          </w:p>
        </w:tc>
        <w:tc>
          <w:tcPr>
            <w:tcW w:w="839" w:type="dxa"/>
            <w:noWrap/>
            <w:hideMark/>
          </w:tcPr>
          <w:p w14:paraId="638BEC05" w14:textId="378FA99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182</w:t>
            </w:r>
          </w:p>
        </w:tc>
        <w:tc>
          <w:tcPr>
            <w:tcW w:w="691" w:type="dxa"/>
            <w:noWrap/>
            <w:hideMark/>
          </w:tcPr>
          <w:p w14:paraId="09EA6266" w14:textId="2E06430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13.16</w:t>
            </w:r>
          </w:p>
        </w:tc>
        <w:tc>
          <w:tcPr>
            <w:tcW w:w="655" w:type="dxa"/>
            <w:noWrap/>
            <w:hideMark/>
          </w:tcPr>
          <w:p w14:paraId="7FCD89B7" w14:textId="2E03EA32"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19.6</w:t>
            </w:r>
          </w:p>
        </w:tc>
        <w:tc>
          <w:tcPr>
            <w:tcW w:w="666" w:type="dxa"/>
            <w:noWrap/>
            <w:hideMark/>
          </w:tcPr>
          <w:p w14:paraId="0B292732" w14:textId="0DE6119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16%</w:t>
            </w:r>
          </w:p>
        </w:tc>
        <w:tc>
          <w:tcPr>
            <w:tcW w:w="691" w:type="dxa"/>
            <w:noWrap/>
            <w:hideMark/>
          </w:tcPr>
          <w:p w14:paraId="44D16A6D" w14:textId="4A46E79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42%</w:t>
            </w:r>
          </w:p>
        </w:tc>
        <w:tc>
          <w:tcPr>
            <w:tcW w:w="706" w:type="dxa"/>
            <w:noWrap/>
            <w:hideMark/>
          </w:tcPr>
          <w:p w14:paraId="30ECB975" w14:textId="25C60A9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w:t>
            </w:r>
          </w:p>
        </w:tc>
        <w:tc>
          <w:tcPr>
            <w:tcW w:w="730" w:type="dxa"/>
            <w:noWrap/>
            <w:hideMark/>
          </w:tcPr>
          <w:p w14:paraId="04937987" w14:textId="626D2C0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34%</w:t>
            </w:r>
          </w:p>
        </w:tc>
        <w:tc>
          <w:tcPr>
            <w:tcW w:w="969" w:type="dxa"/>
            <w:noWrap/>
            <w:hideMark/>
          </w:tcPr>
          <w:p w14:paraId="28A9D01D" w14:textId="271775B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5.79</w:t>
            </w:r>
          </w:p>
        </w:tc>
        <w:tc>
          <w:tcPr>
            <w:tcW w:w="660" w:type="dxa"/>
            <w:noWrap/>
            <w:hideMark/>
          </w:tcPr>
          <w:p w14:paraId="15A1B87D" w14:textId="1A1C256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15 </w:t>
            </w:r>
          </w:p>
        </w:tc>
      </w:tr>
      <w:tr w:rsidR="008F119C" w:rsidRPr="00E4527E" w14:paraId="630EF801" w14:textId="77777777" w:rsidTr="003A166C">
        <w:trPr>
          <w:trHeight w:hRule="exact" w:val="300"/>
        </w:trPr>
        <w:tc>
          <w:tcPr>
            <w:tcW w:w="709" w:type="dxa"/>
            <w:gridSpan w:val="2"/>
            <w:noWrap/>
            <w:hideMark/>
          </w:tcPr>
          <w:p w14:paraId="47A870AE" w14:textId="167B7372"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23F7ACC9" w14:textId="77D87742"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17</w:t>
            </w:r>
          </w:p>
        </w:tc>
        <w:tc>
          <w:tcPr>
            <w:tcW w:w="574" w:type="dxa"/>
            <w:noWrap/>
            <w:hideMark/>
          </w:tcPr>
          <w:p w14:paraId="6FAC723C" w14:textId="06CB5EF7"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P05B</w:t>
            </w:r>
          </w:p>
        </w:tc>
        <w:tc>
          <w:tcPr>
            <w:tcW w:w="5571" w:type="dxa"/>
            <w:noWrap/>
            <w:hideMark/>
          </w:tcPr>
          <w:p w14:paraId="45A7521F" w14:textId="7B3B5695"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Neonate, AdmWt 2000-2499g W Significant GI/Vent&gt;=96hrs, Minor Complexity</w:t>
            </w:r>
          </w:p>
        </w:tc>
        <w:tc>
          <w:tcPr>
            <w:tcW w:w="691" w:type="dxa"/>
            <w:noWrap/>
            <w:hideMark/>
          </w:tcPr>
          <w:p w14:paraId="3F063F83" w14:textId="70FFA73D"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5.12</w:t>
            </w:r>
          </w:p>
        </w:tc>
        <w:tc>
          <w:tcPr>
            <w:tcW w:w="839" w:type="dxa"/>
            <w:noWrap/>
            <w:hideMark/>
          </w:tcPr>
          <w:p w14:paraId="6DBF4CAB" w14:textId="4AA59E91"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27</w:t>
            </w:r>
          </w:p>
        </w:tc>
        <w:tc>
          <w:tcPr>
            <w:tcW w:w="691" w:type="dxa"/>
            <w:noWrap/>
            <w:hideMark/>
          </w:tcPr>
          <w:p w14:paraId="5EED3248" w14:textId="5A2CA495"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8.43</w:t>
            </w:r>
          </w:p>
        </w:tc>
        <w:tc>
          <w:tcPr>
            <w:tcW w:w="655" w:type="dxa"/>
            <w:noWrap/>
            <w:hideMark/>
          </w:tcPr>
          <w:p w14:paraId="4CAEDF3A" w14:textId="51ECC90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21.7</w:t>
            </w:r>
          </w:p>
        </w:tc>
        <w:tc>
          <w:tcPr>
            <w:tcW w:w="666" w:type="dxa"/>
            <w:noWrap/>
            <w:hideMark/>
          </w:tcPr>
          <w:p w14:paraId="6BB6A390" w14:textId="329F402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691" w:type="dxa"/>
            <w:noWrap/>
            <w:hideMark/>
          </w:tcPr>
          <w:p w14:paraId="58ADAFF1" w14:textId="2F8E6847"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61%</w:t>
            </w:r>
          </w:p>
        </w:tc>
        <w:tc>
          <w:tcPr>
            <w:tcW w:w="706" w:type="dxa"/>
            <w:noWrap/>
            <w:hideMark/>
          </w:tcPr>
          <w:p w14:paraId="1A43884B" w14:textId="01742249"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0%</w:t>
            </w:r>
          </w:p>
        </w:tc>
        <w:tc>
          <w:tcPr>
            <w:tcW w:w="730" w:type="dxa"/>
            <w:noWrap/>
            <w:hideMark/>
          </w:tcPr>
          <w:p w14:paraId="2BD0739F" w14:textId="341BB31F"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39%</w:t>
            </w:r>
          </w:p>
        </w:tc>
        <w:tc>
          <w:tcPr>
            <w:tcW w:w="969" w:type="dxa"/>
            <w:noWrap/>
            <w:hideMark/>
          </w:tcPr>
          <w:p w14:paraId="76F07473" w14:textId="71F8D2F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7.76</w:t>
            </w:r>
          </w:p>
        </w:tc>
        <w:tc>
          <w:tcPr>
            <w:tcW w:w="660" w:type="dxa"/>
            <w:noWrap/>
            <w:hideMark/>
          </w:tcPr>
          <w:p w14:paraId="01B049E1" w14:textId="31FBA490"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12 </w:t>
            </w:r>
          </w:p>
        </w:tc>
      </w:tr>
      <w:tr w:rsidR="008F119C" w:rsidRPr="00E4527E" w14:paraId="6602DAB1" w14:textId="77777777" w:rsidTr="003A166C">
        <w:trPr>
          <w:trHeight w:hRule="exact" w:val="300"/>
        </w:trPr>
        <w:tc>
          <w:tcPr>
            <w:tcW w:w="709" w:type="dxa"/>
            <w:gridSpan w:val="2"/>
            <w:noWrap/>
            <w:hideMark/>
          </w:tcPr>
          <w:p w14:paraId="504D3234" w14:textId="7487EFBC"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Yes</w:t>
            </w:r>
          </w:p>
        </w:tc>
        <w:tc>
          <w:tcPr>
            <w:tcW w:w="660" w:type="dxa"/>
            <w:noWrap/>
            <w:hideMark/>
          </w:tcPr>
          <w:p w14:paraId="3C8BDEB1" w14:textId="400CEBC8" w:rsidR="008F119C" w:rsidRPr="00E4527E" w:rsidRDefault="008F119C" w:rsidP="00162614">
            <w:pPr>
              <w:spacing w:after="0" w:line="240" w:lineRule="auto"/>
              <w:jc w:val="center"/>
              <w:rPr>
                <w:rFonts w:asciiTheme="minorHAnsi" w:hAnsiTheme="minorHAnsi" w:cstheme="minorHAnsi"/>
                <w:color w:val="000000"/>
                <w:sz w:val="14"/>
                <w:szCs w:val="14"/>
                <w:highlight w:val="yellow"/>
                <w:lang w:val="en-US" w:eastAsia="en-US"/>
              </w:rPr>
            </w:pPr>
            <w:r>
              <w:rPr>
                <w:rFonts w:ascii="Arial" w:hAnsi="Arial"/>
                <w:color w:val="000000"/>
                <w:sz w:val="14"/>
                <w:szCs w:val="14"/>
              </w:rPr>
              <w:t>18</w:t>
            </w:r>
          </w:p>
        </w:tc>
        <w:tc>
          <w:tcPr>
            <w:tcW w:w="574" w:type="dxa"/>
            <w:noWrap/>
            <w:hideMark/>
          </w:tcPr>
          <w:p w14:paraId="5CEAF20F" w14:textId="7EFBF59B"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E41A</w:t>
            </w:r>
          </w:p>
        </w:tc>
        <w:tc>
          <w:tcPr>
            <w:tcW w:w="5571" w:type="dxa"/>
            <w:noWrap/>
            <w:hideMark/>
          </w:tcPr>
          <w:p w14:paraId="3C550769" w14:textId="58E21632" w:rsidR="008F119C" w:rsidRPr="00E4527E" w:rsidRDefault="008F119C" w:rsidP="00162614">
            <w:pPr>
              <w:spacing w:after="0" w:line="240" w:lineRule="auto"/>
              <w:rPr>
                <w:rFonts w:asciiTheme="minorHAnsi" w:hAnsiTheme="minorHAnsi" w:cstheme="minorHAnsi"/>
                <w:color w:val="000000"/>
                <w:sz w:val="14"/>
                <w:szCs w:val="14"/>
                <w:highlight w:val="yellow"/>
                <w:lang w:val="en-US" w:eastAsia="en-US"/>
              </w:rPr>
            </w:pPr>
            <w:r>
              <w:rPr>
                <w:rFonts w:ascii="Arial" w:hAnsi="Arial"/>
                <w:color w:val="000000"/>
                <w:sz w:val="14"/>
                <w:szCs w:val="14"/>
              </w:rPr>
              <w:t>Respiratory System Disorders W Non-Invasive Ventilation, Major Complexity</w:t>
            </w:r>
          </w:p>
        </w:tc>
        <w:tc>
          <w:tcPr>
            <w:tcW w:w="691" w:type="dxa"/>
            <w:noWrap/>
            <w:hideMark/>
          </w:tcPr>
          <w:p w14:paraId="250A1872" w14:textId="18C8A1EB" w:rsidR="008F119C" w:rsidRPr="00E4527E" w:rsidRDefault="008F119C" w:rsidP="00162614">
            <w:pPr>
              <w:spacing w:after="0" w:line="240" w:lineRule="auto"/>
              <w:jc w:val="right"/>
              <w:rPr>
                <w:rFonts w:asciiTheme="minorHAnsi" w:hAnsiTheme="minorHAnsi" w:cstheme="minorHAnsi"/>
                <w:b/>
                <w:color w:val="000000"/>
                <w:sz w:val="14"/>
                <w:szCs w:val="14"/>
                <w:highlight w:val="yellow"/>
                <w:lang w:val="en-US" w:eastAsia="en-US"/>
              </w:rPr>
            </w:pPr>
            <w:r>
              <w:rPr>
                <w:rFonts w:ascii="Arial" w:hAnsi="Arial"/>
                <w:b/>
                <w:bCs/>
                <w:color w:val="000000"/>
                <w:sz w:val="14"/>
                <w:szCs w:val="14"/>
              </w:rPr>
              <w:t>4.98</w:t>
            </w:r>
          </w:p>
        </w:tc>
        <w:tc>
          <w:tcPr>
            <w:tcW w:w="839" w:type="dxa"/>
            <w:noWrap/>
            <w:hideMark/>
          </w:tcPr>
          <w:p w14:paraId="0F5883F7" w14:textId="4FB9D33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212</w:t>
            </w:r>
          </w:p>
        </w:tc>
        <w:tc>
          <w:tcPr>
            <w:tcW w:w="691" w:type="dxa"/>
            <w:noWrap/>
            <w:hideMark/>
          </w:tcPr>
          <w:p w14:paraId="51CB5732" w14:textId="3BBBF36E"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9.28</w:t>
            </w:r>
          </w:p>
        </w:tc>
        <w:tc>
          <w:tcPr>
            <w:tcW w:w="655" w:type="dxa"/>
            <w:noWrap/>
            <w:hideMark/>
          </w:tcPr>
          <w:p w14:paraId="00DD0969" w14:textId="44170568"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18.9</w:t>
            </w:r>
          </w:p>
        </w:tc>
        <w:tc>
          <w:tcPr>
            <w:tcW w:w="666" w:type="dxa"/>
            <w:noWrap/>
            <w:hideMark/>
          </w:tcPr>
          <w:p w14:paraId="3ABEB85E" w14:textId="5AC87BA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1%</w:t>
            </w:r>
          </w:p>
        </w:tc>
        <w:tc>
          <w:tcPr>
            <w:tcW w:w="691" w:type="dxa"/>
            <w:noWrap/>
            <w:hideMark/>
          </w:tcPr>
          <w:p w14:paraId="41B3C2F8" w14:textId="4B84D3D4"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54%</w:t>
            </w:r>
          </w:p>
        </w:tc>
        <w:tc>
          <w:tcPr>
            <w:tcW w:w="706" w:type="dxa"/>
            <w:noWrap/>
            <w:hideMark/>
          </w:tcPr>
          <w:p w14:paraId="284B7AB6" w14:textId="6454984B"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2%</w:t>
            </w:r>
          </w:p>
        </w:tc>
        <w:tc>
          <w:tcPr>
            <w:tcW w:w="730" w:type="dxa"/>
            <w:noWrap/>
            <w:hideMark/>
          </w:tcPr>
          <w:p w14:paraId="72AF710E" w14:textId="2D615CAD"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44%</w:t>
            </w:r>
          </w:p>
        </w:tc>
        <w:tc>
          <w:tcPr>
            <w:tcW w:w="969" w:type="dxa"/>
            <w:noWrap/>
            <w:hideMark/>
          </w:tcPr>
          <w:p w14:paraId="4F91173A" w14:textId="5EDEE88A"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5.32</w:t>
            </w:r>
          </w:p>
        </w:tc>
        <w:tc>
          <w:tcPr>
            <w:tcW w:w="660" w:type="dxa"/>
            <w:noWrap/>
            <w:hideMark/>
          </w:tcPr>
          <w:p w14:paraId="0C34F0B4" w14:textId="1AE964C3" w:rsidR="008F119C" w:rsidRPr="00E4527E" w:rsidRDefault="008F119C" w:rsidP="00162614">
            <w:pPr>
              <w:spacing w:after="0" w:line="240" w:lineRule="auto"/>
              <w:jc w:val="right"/>
              <w:rPr>
                <w:rFonts w:asciiTheme="minorHAnsi" w:hAnsiTheme="minorHAnsi" w:cstheme="minorHAnsi"/>
                <w:color w:val="000000"/>
                <w:sz w:val="14"/>
                <w:szCs w:val="14"/>
                <w:highlight w:val="yellow"/>
                <w:lang w:val="en-US" w:eastAsia="en-US"/>
              </w:rPr>
            </w:pPr>
            <w:r>
              <w:rPr>
                <w:rFonts w:ascii="Arial" w:hAnsi="Arial"/>
                <w:color w:val="000000"/>
                <w:sz w:val="14"/>
                <w:szCs w:val="14"/>
              </w:rPr>
              <w:t xml:space="preserve">18 </w:t>
            </w:r>
          </w:p>
        </w:tc>
      </w:tr>
      <w:tr w:rsidR="008F119C" w:rsidRPr="00E4527E" w14:paraId="1BB5F384" w14:textId="77777777" w:rsidTr="003A166C">
        <w:trPr>
          <w:trHeight w:hRule="exact" w:val="300"/>
        </w:trPr>
        <w:tc>
          <w:tcPr>
            <w:tcW w:w="709" w:type="dxa"/>
            <w:gridSpan w:val="2"/>
            <w:noWrap/>
            <w:hideMark/>
          </w:tcPr>
          <w:p w14:paraId="168CA613" w14:textId="431AFF4C" w:rsidR="008F119C" w:rsidRPr="008F119C" w:rsidRDefault="008F119C" w:rsidP="00162614">
            <w:pPr>
              <w:spacing w:after="0" w:line="240" w:lineRule="auto"/>
              <w:jc w:val="center"/>
              <w:rPr>
                <w:rFonts w:asciiTheme="minorHAnsi" w:hAnsiTheme="minorHAnsi" w:cstheme="minorHAnsi"/>
                <w:color w:val="000000"/>
                <w:sz w:val="14"/>
                <w:szCs w:val="14"/>
                <w:lang w:val="en-US" w:eastAsia="en-US"/>
              </w:rPr>
            </w:pPr>
            <w:r w:rsidRPr="008F119C">
              <w:rPr>
                <w:rFonts w:ascii="Arial" w:hAnsi="Arial"/>
                <w:color w:val="000000"/>
                <w:sz w:val="14"/>
                <w:szCs w:val="14"/>
              </w:rPr>
              <w:t>No</w:t>
            </w:r>
          </w:p>
        </w:tc>
        <w:tc>
          <w:tcPr>
            <w:tcW w:w="660" w:type="dxa"/>
            <w:noWrap/>
            <w:hideMark/>
          </w:tcPr>
          <w:p w14:paraId="2CCBDE5A" w14:textId="6D2A1988" w:rsidR="008F119C" w:rsidRPr="008F119C" w:rsidRDefault="008F119C" w:rsidP="00162614">
            <w:pPr>
              <w:spacing w:after="0" w:line="240" w:lineRule="auto"/>
              <w:jc w:val="center"/>
              <w:rPr>
                <w:rFonts w:asciiTheme="minorHAnsi" w:hAnsiTheme="minorHAnsi" w:cstheme="minorHAnsi"/>
                <w:color w:val="000000"/>
                <w:sz w:val="14"/>
                <w:szCs w:val="14"/>
                <w:lang w:val="en-US" w:eastAsia="en-US"/>
              </w:rPr>
            </w:pPr>
            <w:r w:rsidRPr="008F119C">
              <w:rPr>
                <w:rFonts w:ascii="Arial" w:hAnsi="Arial"/>
                <w:color w:val="000000"/>
                <w:sz w:val="14"/>
                <w:szCs w:val="14"/>
              </w:rPr>
              <w:t>19</w:t>
            </w:r>
          </w:p>
        </w:tc>
        <w:tc>
          <w:tcPr>
            <w:tcW w:w="574" w:type="dxa"/>
            <w:noWrap/>
            <w:hideMark/>
          </w:tcPr>
          <w:p w14:paraId="241DE60F" w14:textId="58FCB525" w:rsidR="008F119C" w:rsidRPr="008F119C" w:rsidRDefault="008F119C" w:rsidP="00162614">
            <w:pPr>
              <w:spacing w:after="0" w:line="240" w:lineRule="auto"/>
              <w:rPr>
                <w:rFonts w:asciiTheme="minorHAnsi" w:hAnsiTheme="minorHAnsi" w:cstheme="minorHAnsi"/>
                <w:color w:val="000000"/>
                <w:sz w:val="14"/>
                <w:szCs w:val="14"/>
                <w:lang w:val="en-US" w:eastAsia="en-US"/>
              </w:rPr>
            </w:pPr>
            <w:r w:rsidRPr="008F119C">
              <w:rPr>
                <w:rFonts w:ascii="Arial" w:hAnsi="Arial"/>
                <w:color w:val="000000"/>
                <w:sz w:val="14"/>
                <w:szCs w:val="14"/>
              </w:rPr>
              <w:t>P64B</w:t>
            </w:r>
          </w:p>
        </w:tc>
        <w:tc>
          <w:tcPr>
            <w:tcW w:w="5571" w:type="dxa"/>
            <w:noWrap/>
            <w:hideMark/>
          </w:tcPr>
          <w:p w14:paraId="2A0F8C3E" w14:textId="2AB4F3F5" w:rsidR="008F119C" w:rsidRPr="008F119C" w:rsidRDefault="008F119C" w:rsidP="00162614">
            <w:pPr>
              <w:spacing w:after="0" w:line="240" w:lineRule="auto"/>
              <w:rPr>
                <w:rFonts w:asciiTheme="minorHAnsi" w:hAnsiTheme="minorHAnsi" w:cstheme="minorHAnsi"/>
                <w:color w:val="000000"/>
                <w:sz w:val="14"/>
                <w:szCs w:val="14"/>
                <w:lang w:val="en-US" w:eastAsia="en-US"/>
              </w:rPr>
            </w:pPr>
            <w:r w:rsidRPr="008F119C">
              <w:rPr>
                <w:rFonts w:ascii="Arial" w:hAnsi="Arial"/>
                <w:color w:val="000000"/>
                <w:sz w:val="14"/>
                <w:szCs w:val="14"/>
              </w:rPr>
              <w:t>Neonate, AdmWt 1250-1499g W/O Significant GI/Vent&gt;=96hrs, Minor Complexity</w:t>
            </w:r>
          </w:p>
        </w:tc>
        <w:tc>
          <w:tcPr>
            <w:tcW w:w="691" w:type="dxa"/>
            <w:noWrap/>
            <w:hideMark/>
          </w:tcPr>
          <w:p w14:paraId="3183E23E" w14:textId="4105EDCD" w:rsidR="008F119C" w:rsidRPr="008F119C" w:rsidRDefault="008F119C" w:rsidP="00162614">
            <w:pPr>
              <w:spacing w:after="0" w:line="240" w:lineRule="auto"/>
              <w:jc w:val="right"/>
              <w:rPr>
                <w:rFonts w:asciiTheme="minorHAnsi" w:hAnsiTheme="minorHAnsi" w:cstheme="minorHAnsi"/>
                <w:b/>
                <w:color w:val="000000"/>
                <w:sz w:val="14"/>
                <w:szCs w:val="14"/>
                <w:lang w:val="en-US" w:eastAsia="en-US"/>
              </w:rPr>
            </w:pPr>
            <w:r w:rsidRPr="008F119C">
              <w:rPr>
                <w:rFonts w:ascii="Arial" w:hAnsi="Arial"/>
                <w:b/>
                <w:bCs/>
                <w:color w:val="000000"/>
                <w:sz w:val="14"/>
                <w:szCs w:val="14"/>
              </w:rPr>
              <w:t>4.88</w:t>
            </w:r>
          </w:p>
        </w:tc>
        <w:tc>
          <w:tcPr>
            <w:tcW w:w="839" w:type="dxa"/>
            <w:noWrap/>
            <w:hideMark/>
          </w:tcPr>
          <w:p w14:paraId="2B8B3573" w14:textId="30F6FC38"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50</w:t>
            </w:r>
          </w:p>
        </w:tc>
        <w:tc>
          <w:tcPr>
            <w:tcW w:w="691" w:type="dxa"/>
            <w:noWrap/>
            <w:hideMark/>
          </w:tcPr>
          <w:p w14:paraId="168E36DA" w14:textId="6713FD73"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9.03</w:t>
            </w:r>
          </w:p>
        </w:tc>
        <w:tc>
          <w:tcPr>
            <w:tcW w:w="655" w:type="dxa"/>
            <w:noWrap/>
            <w:hideMark/>
          </w:tcPr>
          <w:p w14:paraId="68DAF3E7" w14:textId="64EC088B"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31.3</w:t>
            </w:r>
          </w:p>
        </w:tc>
        <w:tc>
          <w:tcPr>
            <w:tcW w:w="666" w:type="dxa"/>
            <w:noWrap/>
            <w:hideMark/>
          </w:tcPr>
          <w:p w14:paraId="32CBD34A" w14:textId="71804394"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0%</w:t>
            </w:r>
          </w:p>
        </w:tc>
        <w:tc>
          <w:tcPr>
            <w:tcW w:w="691" w:type="dxa"/>
            <w:noWrap/>
            <w:hideMark/>
          </w:tcPr>
          <w:p w14:paraId="507586B6" w14:textId="79F00590"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54%</w:t>
            </w:r>
          </w:p>
        </w:tc>
        <w:tc>
          <w:tcPr>
            <w:tcW w:w="706" w:type="dxa"/>
            <w:noWrap/>
            <w:hideMark/>
          </w:tcPr>
          <w:p w14:paraId="47BDE33C" w14:textId="460C5C6B"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0%</w:t>
            </w:r>
          </w:p>
        </w:tc>
        <w:tc>
          <w:tcPr>
            <w:tcW w:w="730" w:type="dxa"/>
            <w:noWrap/>
            <w:hideMark/>
          </w:tcPr>
          <w:p w14:paraId="5AC35CF2" w14:textId="0447F178"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46%</w:t>
            </w:r>
          </w:p>
        </w:tc>
        <w:tc>
          <w:tcPr>
            <w:tcW w:w="969" w:type="dxa"/>
            <w:noWrap/>
            <w:hideMark/>
          </w:tcPr>
          <w:p w14:paraId="13D19C30" w14:textId="4E41918F"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3.24</w:t>
            </w:r>
          </w:p>
        </w:tc>
        <w:tc>
          <w:tcPr>
            <w:tcW w:w="660" w:type="dxa"/>
            <w:noWrap/>
            <w:hideMark/>
          </w:tcPr>
          <w:p w14:paraId="6B61A2F8" w14:textId="18BBB803"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 xml:space="preserve">34 </w:t>
            </w:r>
          </w:p>
        </w:tc>
      </w:tr>
      <w:tr w:rsidR="008F119C" w:rsidRPr="00E4527E" w14:paraId="43DCBA5A" w14:textId="77777777" w:rsidTr="003A166C">
        <w:trPr>
          <w:trHeight w:hRule="exact" w:val="300"/>
        </w:trPr>
        <w:tc>
          <w:tcPr>
            <w:tcW w:w="709" w:type="dxa"/>
            <w:gridSpan w:val="2"/>
            <w:tcBorders>
              <w:bottom w:val="single" w:sz="4" w:space="0" w:color="808080" w:themeColor="background1" w:themeShade="80"/>
            </w:tcBorders>
            <w:noWrap/>
            <w:hideMark/>
          </w:tcPr>
          <w:p w14:paraId="2E4BC654" w14:textId="2C13BA7F" w:rsidR="008F119C" w:rsidRPr="008F119C" w:rsidRDefault="008F119C" w:rsidP="00162614">
            <w:pPr>
              <w:spacing w:after="0" w:line="240" w:lineRule="auto"/>
              <w:jc w:val="center"/>
              <w:rPr>
                <w:rFonts w:asciiTheme="minorHAnsi" w:hAnsiTheme="minorHAnsi" w:cstheme="minorHAnsi"/>
                <w:color w:val="000000"/>
                <w:sz w:val="14"/>
                <w:szCs w:val="14"/>
                <w:lang w:val="en-US" w:eastAsia="en-US"/>
              </w:rPr>
            </w:pPr>
            <w:r w:rsidRPr="008F119C">
              <w:rPr>
                <w:rFonts w:ascii="Arial" w:hAnsi="Arial"/>
                <w:color w:val="000000"/>
                <w:sz w:val="14"/>
                <w:szCs w:val="14"/>
              </w:rPr>
              <w:t>No</w:t>
            </w:r>
          </w:p>
        </w:tc>
        <w:tc>
          <w:tcPr>
            <w:tcW w:w="660" w:type="dxa"/>
            <w:tcBorders>
              <w:bottom w:val="single" w:sz="4" w:space="0" w:color="808080" w:themeColor="background1" w:themeShade="80"/>
            </w:tcBorders>
            <w:noWrap/>
            <w:hideMark/>
          </w:tcPr>
          <w:p w14:paraId="2C0440E9" w14:textId="21979F88" w:rsidR="008F119C" w:rsidRPr="008F119C" w:rsidRDefault="008F119C" w:rsidP="00162614">
            <w:pPr>
              <w:spacing w:after="0" w:line="240" w:lineRule="auto"/>
              <w:jc w:val="center"/>
              <w:rPr>
                <w:rFonts w:asciiTheme="minorHAnsi" w:hAnsiTheme="minorHAnsi" w:cstheme="minorHAnsi"/>
                <w:color w:val="000000"/>
                <w:sz w:val="14"/>
                <w:szCs w:val="14"/>
                <w:lang w:val="en-US" w:eastAsia="en-US"/>
              </w:rPr>
            </w:pPr>
            <w:r w:rsidRPr="008F119C">
              <w:rPr>
                <w:rFonts w:ascii="Arial" w:hAnsi="Arial"/>
                <w:color w:val="000000"/>
                <w:sz w:val="14"/>
                <w:szCs w:val="14"/>
              </w:rPr>
              <w:t>20</w:t>
            </w:r>
          </w:p>
        </w:tc>
        <w:tc>
          <w:tcPr>
            <w:tcW w:w="574" w:type="dxa"/>
            <w:tcBorders>
              <w:bottom w:val="single" w:sz="4" w:space="0" w:color="808080" w:themeColor="background1" w:themeShade="80"/>
            </w:tcBorders>
            <w:noWrap/>
            <w:hideMark/>
          </w:tcPr>
          <w:p w14:paraId="3A3AED8E" w14:textId="525FF657" w:rsidR="008F119C" w:rsidRPr="008F119C" w:rsidRDefault="008F119C" w:rsidP="00162614">
            <w:pPr>
              <w:spacing w:after="0" w:line="240" w:lineRule="auto"/>
              <w:rPr>
                <w:rFonts w:asciiTheme="minorHAnsi" w:hAnsiTheme="minorHAnsi" w:cstheme="minorHAnsi"/>
                <w:color w:val="000000"/>
                <w:sz w:val="14"/>
                <w:szCs w:val="14"/>
                <w:lang w:val="en-US" w:eastAsia="en-US"/>
              </w:rPr>
            </w:pPr>
            <w:r w:rsidRPr="008F119C">
              <w:rPr>
                <w:rFonts w:ascii="Arial" w:hAnsi="Arial"/>
                <w:color w:val="000000"/>
                <w:sz w:val="14"/>
                <w:szCs w:val="14"/>
              </w:rPr>
              <w:t>F03A</w:t>
            </w:r>
          </w:p>
        </w:tc>
        <w:tc>
          <w:tcPr>
            <w:tcW w:w="5571" w:type="dxa"/>
            <w:tcBorders>
              <w:bottom w:val="single" w:sz="4" w:space="0" w:color="808080" w:themeColor="background1" w:themeShade="80"/>
            </w:tcBorders>
            <w:noWrap/>
            <w:hideMark/>
          </w:tcPr>
          <w:p w14:paraId="01B8424C" w14:textId="5B44830D" w:rsidR="008F119C" w:rsidRPr="008F119C" w:rsidRDefault="008F119C" w:rsidP="00162614">
            <w:pPr>
              <w:spacing w:after="0" w:line="240" w:lineRule="auto"/>
              <w:rPr>
                <w:rFonts w:asciiTheme="minorHAnsi" w:hAnsiTheme="minorHAnsi" w:cstheme="minorHAnsi"/>
                <w:color w:val="000000"/>
                <w:sz w:val="14"/>
                <w:szCs w:val="14"/>
                <w:lang w:val="en-US" w:eastAsia="en-US"/>
              </w:rPr>
            </w:pPr>
            <w:r w:rsidRPr="008F119C">
              <w:rPr>
                <w:rFonts w:ascii="Arial" w:hAnsi="Arial"/>
                <w:color w:val="000000"/>
                <w:sz w:val="14"/>
                <w:szCs w:val="14"/>
              </w:rPr>
              <w:t>Cardiac Valve Procedures W CPB Pump W Invasive Cardiac Investigation, Major Comp</w:t>
            </w:r>
          </w:p>
        </w:tc>
        <w:tc>
          <w:tcPr>
            <w:tcW w:w="691" w:type="dxa"/>
            <w:tcBorders>
              <w:bottom w:val="single" w:sz="4" w:space="0" w:color="808080" w:themeColor="background1" w:themeShade="80"/>
            </w:tcBorders>
            <w:noWrap/>
            <w:hideMark/>
          </w:tcPr>
          <w:p w14:paraId="14D40BB1" w14:textId="1D0A1474" w:rsidR="008F119C" w:rsidRPr="008F119C" w:rsidRDefault="008F119C" w:rsidP="00162614">
            <w:pPr>
              <w:spacing w:after="0" w:line="240" w:lineRule="auto"/>
              <w:jc w:val="right"/>
              <w:rPr>
                <w:rFonts w:asciiTheme="minorHAnsi" w:hAnsiTheme="minorHAnsi" w:cstheme="minorHAnsi"/>
                <w:b/>
                <w:color w:val="000000"/>
                <w:sz w:val="14"/>
                <w:szCs w:val="14"/>
                <w:lang w:val="en-US" w:eastAsia="en-US"/>
              </w:rPr>
            </w:pPr>
            <w:r w:rsidRPr="008F119C">
              <w:rPr>
                <w:rFonts w:ascii="Arial" w:hAnsi="Arial"/>
                <w:b/>
                <w:bCs/>
                <w:color w:val="000000"/>
                <w:sz w:val="14"/>
                <w:szCs w:val="14"/>
              </w:rPr>
              <w:t>4.71</w:t>
            </w:r>
          </w:p>
        </w:tc>
        <w:tc>
          <w:tcPr>
            <w:tcW w:w="839" w:type="dxa"/>
            <w:tcBorders>
              <w:bottom w:val="single" w:sz="4" w:space="0" w:color="808080" w:themeColor="background1" w:themeShade="80"/>
            </w:tcBorders>
            <w:noWrap/>
            <w:hideMark/>
          </w:tcPr>
          <w:p w14:paraId="25D153FB" w14:textId="15485ACC"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257</w:t>
            </w:r>
          </w:p>
        </w:tc>
        <w:tc>
          <w:tcPr>
            <w:tcW w:w="691" w:type="dxa"/>
            <w:tcBorders>
              <w:bottom w:val="single" w:sz="4" w:space="0" w:color="808080" w:themeColor="background1" w:themeShade="80"/>
            </w:tcBorders>
            <w:noWrap/>
            <w:hideMark/>
          </w:tcPr>
          <w:p w14:paraId="6A8F8405" w14:textId="2FA72125"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14.82</w:t>
            </w:r>
          </w:p>
        </w:tc>
        <w:tc>
          <w:tcPr>
            <w:tcW w:w="655" w:type="dxa"/>
            <w:tcBorders>
              <w:bottom w:val="single" w:sz="4" w:space="0" w:color="808080" w:themeColor="background1" w:themeShade="80"/>
            </w:tcBorders>
            <w:noWrap/>
            <w:hideMark/>
          </w:tcPr>
          <w:p w14:paraId="1EC8AABB" w14:textId="14F05D25"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21.2</w:t>
            </w:r>
          </w:p>
        </w:tc>
        <w:tc>
          <w:tcPr>
            <w:tcW w:w="666" w:type="dxa"/>
            <w:tcBorders>
              <w:bottom w:val="single" w:sz="4" w:space="0" w:color="808080" w:themeColor="background1" w:themeShade="80"/>
            </w:tcBorders>
            <w:noWrap/>
            <w:hideMark/>
          </w:tcPr>
          <w:p w14:paraId="134A8587" w14:textId="721B295D"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20%</w:t>
            </w:r>
          </w:p>
        </w:tc>
        <w:tc>
          <w:tcPr>
            <w:tcW w:w="691" w:type="dxa"/>
            <w:tcBorders>
              <w:bottom w:val="single" w:sz="4" w:space="0" w:color="808080" w:themeColor="background1" w:themeShade="80"/>
            </w:tcBorders>
            <w:noWrap/>
            <w:hideMark/>
          </w:tcPr>
          <w:p w14:paraId="2CF14B5C" w14:textId="2C675E2E"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32%</w:t>
            </w:r>
          </w:p>
        </w:tc>
        <w:tc>
          <w:tcPr>
            <w:tcW w:w="706" w:type="dxa"/>
            <w:tcBorders>
              <w:bottom w:val="single" w:sz="4" w:space="0" w:color="808080" w:themeColor="background1" w:themeShade="80"/>
            </w:tcBorders>
            <w:noWrap/>
            <w:hideMark/>
          </w:tcPr>
          <w:p w14:paraId="3FE4CE8E" w14:textId="2C508695"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18%</w:t>
            </w:r>
          </w:p>
        </w:tc>
        <w:tc>
          <w:tcPr>
            <w:tcW w:w="730" w:type="dxa"/>
            <w:tcBorders>
              <w:bottom w:val="single" w:sz="4" w:space="0" w:color="808080" w:themeColor="background1" w:themeShade="80"/>
            </w:tcBorders>
            <w:noWrap/>
            <w:hideMark/>
          </w:tcPr>
          <w:p w14:paraId="47D4F806" w14:textId="63D218AD"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31%</w:t>
            </w:r>
          </w:p>
        </w:tc>
        <w:tc>
          <w:tcPr>
            <w:tcW w:w="969" w:type="dxa"/>
            <w:tcBorders>
              <w:bottom w:val="single" w:sz="4" w:space="0" w:color="808080" w:themeColor="background1" w:themeShade="80"/>
            </w:tcBorders>
            <w:noWrap/>
            <w:hideMark/>
          </w:tcPr>
          <w:p w14:paraId="503BE13C" w14:textId="1E030F77"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4.15</w:t>
            </w:r>
          </w:p>
        </w:tc>
        <w:tc>
          <w:tcPr>
            <w:tcW w:w="660" w:type="dxa"/>
            <w:tcBorders>
              <w:bottom w:val="single" w:sz="4" w:space="0" w:color="808080" w:themeColor="background1" w:themeShade="80"/>
            </w:tcBorders>
            <w:noWrap/>
            <w:hideMark/>
          </w:tcPr>
          <w:p w14:paraId="243C9995" w14:textId="022DF1D1" w:rsidR="008F119C" w:rsidRPr="008F119C" w:rsidRDefault="008F119C" w:rsidP="00162614">
            <w:pPr>
              <w:spacing w:after="0" w:line="240" w:lineRule="auto"/>
              <w:jc w:val="right"/>
              <w:rPr>
                <w:rFonts w:asciiTheme="minorHAnsi" w:hAnsiTheme="minorHAnsi" w:cstheme="minorHAnsi"/>
                <w:color w:val="000000"/>
                <w:sz w:val="14"/>
                <w:szCs w:val="14"/>
                <w:lang w:val="en-US" w:eastAsia="en-US"/>
              </w:rPr>
            </w:pPr>
            <w:r w:rsidRPr="008F119C">
              <w:rPr>
                <w:rFonts w:ascii="Arial" w:hAnsi="Arial"/>
                <w:color w:val="000000"/>
                <w:sz w:val="14"/>
                <w:szCs w:val="14"/>
              </w:rPr>
              <w:t xml:space="preserve">25 </w:t>
            </w:r>
          </w:p>
        </w:tc>
      </w:tr>
      <w:tr w:rsidR="00F32225" w:rsidRPr="00E4527E" w14:paraId="5634EC0A" w14:textId="77777777" w:rsidTr="00387025">
        <w:trPr>
          <w:trHeight w:val="235"/>
        </w:trPr>
        <w:tc>
          <w:tcPr>
            <w:tcW w:w="684" w:type="dxa"/>
            <w:tcBorders>
              <w:top w:val="single" w:sz="4" w:space="0" w:color="808080" w:themeColor="background1" w:themeShade="80"/>
            </w:tcBorders>
            <w:noWrap/>
            <w:hideMark/>
          </w:tcPr>
          <w:p w14:paraId="34C97634" w14:textId="77777777" w:rsidR="00F32225" w:rsidRPr="008F119C" w:rsidRDefault="00F32225" w:rsidP="00F32225">
            <w:pPr>
              <w:spacing w:after="0" w:line="240" w:lineRule="auto"/>
              <w:jc w:val="center"/>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15</w:t>
            </w:r>
          </w:p>
        </w:tc>
        <w:tc>
          <w:tcPr>
            <w:tcW w:w="6830" w:type="dxa"/>
            <w:gridSpan w:val="4"/>
            <w:tcBorders>
              <w:top w:val="single" w:sz="4" w:space="0" w:color="808080" w:themeColor="background1" w:themeShade="80"/>
            </w:tcBorders>
          </w:tcPr>
          <w:p w14:paraId="78EEC31F" w14:textId="37B5B161"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Sub-total, to</w:t>
            </w:r>
            <w:r>
              <w:rPr>
                <w:rFonts w:asciiTheme="minorHAnsi" w:hAnsiTheme="minorHAnsi" w:cstheme="minorHAnsi"/>
                <w:b/>
                <w:bCs/>
                <w:color w:val="000000"/>
                <w:sz w:val="14"/>
                <w:szCs w:val="14"/>
                <w:lang w:val="en-US" w:eastAsia="en-US"/>
              </w:rPr>
              <w:t xml:space="preserve">p 20 highest critical care cost </w:t>
            </w:r>
            <w:r w:rsidRPr="008F119C">
              <w:rPr>
                <w:rFonts w:asciiTheme="minorHAnsi" w:hAnsiTheme="minorHAnsi" w:cstheme="minorHAnsi"/>
                <w:b/>
                <w:bCs/>
                <w:color w:val="000000"/>
                <w:sz w:val="14"/>
                <w:szCs w:val="14"/>
                <w:lang w:val="en-US" w:eastAsia="en-US"/>
              </w:rPr>
              <w:t>weight DRGs</w:t>
            </w:r>
          </w:p>
        </w:tc>
        <w:tc>
          <w:tcPr>
            <w:tcW w:w="691" w:type="dxa"/>
            <w:tcBorders>
              <w:top w:val="single" w:sz="4" w:space="0" w:color="808080" w:themeColor="background1" w:themeShade="80"/>
            </w:tcBorders>
            <w:noWrap/>
            <w:hideMark/>
          </w:tcPr>
          <w:p w14:paraId="7AC083BB" w14:textId="2AF1A399"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9.43</w:t>
            </w:r>
          </w:p>
        </w:tc>
        <w:tc>
          <w:tcPr>
            <w:tcW w:w="839" w:type="dxa"/>
            <w:tcBorders>
              <w:top w:val="single" w:sz="4" w:space="0" w:color="808080" w:themeColor="background1" w:themeShade="80"/>
            </w:tcBorders>
            <w:noWrap/>
            <w:hideMark/>
          </w:tcPr>
          <w:p w14:paraId="468A865C" w14:textId="316A693F"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2,175</w:t>
            </w:r>
          </w:p>
        </w:tc>
        <w:tc>
          <w:tcPr>
            <w:tcW w:w="691" w:type="dxa"/>
            <w:tcBorders>
              <w:top w:val="single" w:sz="4" w:space="0" w:color="808080" w:themeColor="background1" w:themeShade="80"/>
            </w:tcBorders>
            <w:noWrap/>
            <w:hideMark/>
          </w:tcPr>
          <w:p w14:paraId="4B5140C7" w14:textId="6DA9EB1F"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18.13</w:t>
            </w:r>
          </w:p>
        </w:tc>
        <w:tc>
          <w:tcPr>
            <w:tcW w:w="655" w:type="dxa"/>
            <w:tcBorders>
              <w:top w:val="single" w:sz="4" w:space="0" w:color="808080" w:themeColor="background1" w:themeShade="80"/>
            </w:tcBorders>
            <w:noWrap/>
            <w:hideMark/>
          </w:tcPr>
          <w:p w14:paraId="072EE578" w14:textId="2525BCAA"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25.9</w:t>
            </w:r>
          </w:p>
        </w:tc>
        <w:tc>
          <w:tcPr>
            <w:tcW w:w="666" w:type="dxa"/>
            <w:tcBorders>
              <w:top w:val="single" w:sz="4" w:space="0" w:color="808080" w:themeColor="background1" w:themeShade="80"/>
            </w:tcBorders>
            <w:noWrap/>
            <w:hideMark/>
          </w:tcPr>
          <w:p w14:paraId="2D25D189" w14:textId="77777777"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10%</w:t>
            </w:r>
          </w:p>
        </w:tc>
        <w:tc>
          <w:tcPr>
            <w:tcW w:w="691" w:type="dxa"/>
            <w:tcBorders>
              <w:top w:val="single" w:sz="4" w:space="0" w:color="808080" w:themeColor="background1" w:themeShade="80"/>
            </w:tcBorders>
            <w:noWrap/>
            <w:hideMark/>
          </w:tcPr>
          <w:p w14:paraId="1EE43D4D" w14:textId="5633F9C1"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52%</w:t>
            </w:r>
          </w:p>
        </w:tc>
        <w:tc>
          <w:tcPr>
            <w:tcW w:w="706" w:type="dxa"/>
            <w:tcBorders>
              <w:top w:val="single" w:sz="4" w:space="0" w:color="808080" w:themeColor="background1" w:themeShade="80"/>
            </w:tcBorders>
            <w:noWrap/>
            <w:hideMark/>
          </w:tcPr>
          <w:p w14:paraId="35108638" w14:textId="77777777"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7%</w:t>
            </w:r>
          </w:p>
        </w:tc>
        <w:tc>
          <w:tcPr>
            <w:tcW w:w="730" w:type="dxa"/>
            <w:tcBorders>
              <w:top w:val="single" w:sz="4" w:space="0" w:color="808080" w:themeColor="background1" w:themeShade="80"/>
            </w:tcBorders>
            <w:noWrap/>
            <w:hideMark/>
          </w:tcPr>
          <w:p w14:paraId="55F9E49D" w14:textId="52A44EB6"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32%</w:t>
            </w:r>
          </w:p>
        </w:tc>
        <w:tc>
          <w:tcPr>
            <w:tcW w:w="969" w:type="dxa"/>
            <w:tcBorders>
              <w:top w:val="single" w:sz="4" w:space="0" w:color="808080" w:themeColor="background1" w:themeShade="80"/>
            </w:tcBorders>
            <w:noWrap/>
            <w:hideMark/>
          </w:tcPr>
          <w:p w14:paraId="6EC445CE" w14:textId="77777777"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 </w:t>
            </w:r>
          </w:p>
        </w:tc>
        <w:tc>
          <w:tcPr>
            <w:tcW w:w="660" w:type="dxa"/>
            <w:tcBorders>
              <w:top w:val="single" w:sz="4" w:space="0" w:color="808080" w:themeColor="background1" w:themeShade="80"/>
            </w:tcBorders>
            <w:noWrap/>
            <w:hideMark/>
          </w:tcPr>
          <w:p w14:paraId="7AB6E9D1" w14:textId="77777777"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 </w:t>
            </w:r>
          </w:p>
        </w:tc>
      </w:tr>
      <w:tr w:rsidR="00F32225" w:rsidRPr="00E4527E" w14:paraId="7A956C97" w14:textId="77777777" w:rsidTr="00387025">
        <w:trPr>
          <w:trHeight w:val="235"/>
        </w:trPr>
        <w:tc>
          <w:tcPr>
            <w:tcW w:w="709" w:type="dxa"/>
            <w:gridSpan w:val="2"/>
            <w:noWrap/>
          </w:tcPr>
          <w:p w14:paraId="475011E0" w14:textId="7BD63252" w:rsidR="00F32225" w:rsidRPr="008F119C" w:rsidRDefault="00F32225" w:rsidP="00162614">
            <w:pPr>
              <w:spacing w:after="0" w:line="240" w:lineRule="auto"/>
              <w:jc w:val="center"/>
              <w:rPr>
                <w:rFonts w:asciiTheme="minorHAnsi" w:hAnsiTheme="minorHAnsi" w:cstheme="minorHAnsi"/>
                <w:color w:val="000000"/>
                <w:sz w:val="14"/>
                <w:szCs w:val="14"/>
                <w:lang w:val="en-US" w:eastAsia="en-US"/>
              </w:rPr>
            </w:pPr>
            <w:r>
              <w:rPr>
                <w:rFonts w:asciiTheme="minorHAnsi" w:hAnsiTheme="minorHAnsi" w:cstheme="minorHAnsi"/>
                <w:color w:val="000000"/>
                <w:sz w:val="14"/>
                <w:szCs w:val="14"/>
                <w:lang w:val="en-US" w:eastAsia="en-US"/>
              </w:rPr>
              <w:t>In</w:t>
            </w:r>
          </w:p>
        </w:tc>
        <w:tc>
          <w:tcPr>
            <w:tcW w:w="6805" w:type="dxa"/>
            <w:gridSpan w:val="3"/>
            <w:noWrap/>
            <w:hideMark/>
          </w:tcPr>
          <w:p w14:paraId="0BF0253C" w14:textId="5CCB86A3"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All DRGs</w:t>
            </w:r>
          </w:p>
        </w:tc>
        <w:tc>
          <w:tcPr>
            <w:tcW w:w="691" w:type="dxa"/>
            <w:noWrap/>
            <w:hideMark/>
          </w:tcPr>
          <w:p w14:paraId="16D123C6" w14:textId="77777777"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0.06</w:t>
            </w:r>
          </w:p>
        </w:tc>
        <w:tc>
          <w:tcPr>
            <w:tcW w:w="839" w:type="dxa"/>
            <w:noWrap/>
            <w:hideMark/>
          </w:tcPr>
          <w:p w14:paraId="70562683" w14:textId="524337A3"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3,242,411</w:t>
            </w:r>
          </w:p>
        </w:tc>
        <w:tc>
          <w:tcPr>
            <w:tcW w:w="691" w:type="dxa"/>
            <w:noWrap/>
            <w:hideMark/>
          </w:tcPr>
          <w:p w14:paraId="341069A6" w14:textId="77777777"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1.00</w:t>
            </w:r>
          </w:p>
        </w:tc>
        <w:tc>
          <w:tcPr>
            <w:tcW w:w="655" w:type="dxa"/>
            <w:noWrap/>
            <w:hideMark/>
          </w:tcPr>
          <w:p w14:paraId="74B1DB18" w14:textId="77777777"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2.3</w:t>
            </w:r>
          </w:p>
        </w:tc>
        <w:tc>
          <w:tcPr>
            <w:tcW w:w="666" w:type="dxa"/>
            <w:noWrap/>
            <w:hideMark/>
          </w:tcPr>
          <w:p w14:paraId="662F2718" w14:textId="4DC728ED"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28%</w:t>
            </w:r>
          </w:p>
        </w:tc>
        <w:tc>
          <w:tcPr>
            <w:tcW w:w="691" w:type="dxa"/>
            <w:noWrap/>
            <w:hideMark/>
          </w:tcPr>
          <w:p w14:paraId="39FBBBD4" w14:textId="77777777"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6%</w:t>
            </w:r>
          </w:p>
        </w:tc>
        <w:tc>
          <w:tcPr>
            <w:tcW w:w="706" w:type="dxa"/>
            <w:noWrap/>
            <w:hideMark/>
          </w:tcPr>
          <w:p w14:paraId="09619461" w14:textId="48A97971"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18%</w:t>
            </w:r>
          </w:p>
        </w:tc>
        <w:tc>
          <w:tcPr>
            <w:tcW w:w="730" w:type="dxa"/>
            <w:noWrap/>
            <w:hideMark/>
          </w:tcPr>
          <w:p w14:paraId="7F85F0FA" w14:textId="043F0338" w:rsidR="00F32225" w:rsidRPr="008F119C" w:rsidRDefault="00F32225" w:rsidP="00162614">
            <w:pPr>
              <w:spacing w:after="0" w:line="240" w:lineRule="auto"/>
              <w:jc w:val="right"/>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49%</w:t>
            </w:r>
          </w:p>
        </w:tc>
        <w:tc>
          <w:tcPr>
            <w:tcW w:w="969" w:type="dxa"/>
            <w:noWrap/>
            <w:hideMark/>
          </w:tcPr>
          <w:p w14:paraId="507A994F" w14:textId="77777777"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 </w:t>
            </w:r>
          </w:p>
        </w:tc>
        <w:tc>
          <w:tcPr>
            <w:tcW w:w="660" w:type="dxa"/>
            <w:noWrap/>
            <w:hideMark/>
          </w:tcPr>
          <w:p w14:paraId="0A585A86" w14:textId="77777777"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 </w:t>
            </w:r>
          </w:p>
        </w:tc>
      </w:tr>
      <w:tr w:rsidR="00F32225" w:rsidRPr="00E4527E" w14:paraId="7AFE8BEB" w14:textId="77777777" w:rsidTr="00387025">
        <w:trPr>
          <w:trHeight w:val="235"/>
        </w:trPr>
        <w:tc>
          <w:tcPr>
            <w:tcW w:w="709" w:type="dxa"/>
            <w:gridSpan w:val="2"/>
            <w:tcBorders>
              <w:bottom w:val="single" w:sz="4" w:space="0" w:color="808080" w:themeColor="background1" w:themeShade="80"/>
            </w:tcBorders>
            <w:noWrap/>
          </w:tcPr>
          <w:p w14:paraId="5173D99C" w14:textId="0A6F9EEF" w:rsidR="00F32225" w:rsidRPr="008F119C" w:rsidRDefault="00F32225" w:rsidP="00162614">
            <w:pPr>
              <w:spacing w:after="0" w:line="240" w:lineRule="auto"/>
              <w:jc w:val="center"/>
              <w:rPr>
                <w:rFonts w:asciiTheme="minorHAnsi" w:hAnsiTheme="minorHAnsi" w:cstheme="minorHAnsi"/>
                <w:color w:val="000000"/>
                <w:sz w:val="14"/>
                <w:szCs w:val="14"/>
                <w:lang w:val="en-US" w:eastAsia="en-US"/>
              </w:rPr>
            </w:pPr>
            <w:r>
              <w:rPr>
                <w:rFonts w:asciiTheme="minorHAnsi" w:hAnsiTheme="minorHAnsi" w:cstheme="minorHAnsi"/>
                <w:color w:val="000000"/>
                <w:sz w:val="14"/>
                <w:szCs w:val="14"/>
                <w:lang w:val="en-US" w:eastAsia="en-US"/>
              </w:rPr>
              <w:t>Top 20</w:t>
            </w:r>
          </w:p>
        </w:tc>
        <w:tc>
          <w:tcPr>
            <w:tcW w:w="6805" w:type="dxa"/>
            <w:gridSpan w:val="3"/>
            <w:tcBorders>
              <w:bottom w:val="single" w:sz="4" w:space="0" w:color="808080" w:themeColor="background1" w:themeShade="80"/>
            </w:tcBorders>
            <w:noWrap/>
            <w:hideMark/>
          </w:tcPr>
          <w:p w14:paraId="3C8E098D" w14:textId="6709ED94"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 xml:space="preserve">Top 20 Critical Care cost </w:t>
            </w:r>
            <w:r w:rsidRPr="008F119C">
              <w:rPr>
                <w:rFonts w:asciiTheme="minorHAnsi" w:hAnsiTheme="minorHAnsi" w:cstheme="minorHAnsi"/>
                <w:b/>
                <w:bCs/>
                <w:color w:val="000000"/>
                <w:sz w:val="14"/>
                <w:szCs w:val="14"/>
                <w:lang w:val="en-US" w:eastAsia="en-US"/>
              </w:rPr>
              <w:t>weight DRGs, % of all DRGs</w:t>
            </w:r>
          </w:p>
        </w:tc>
        <w:tc>
          <w:tcPr>
            <w:tcW w:w="691" w:type="dxa"/>
            <w:tcBorders>
              <w:bottom w:val="single" w:sz="4" w:space="0" w:color="808080" w:themeColor="background1" w:themeShade="80"/>
            </w:tcBorders>
            <w:noWrap/>
            <w:hideMark/>
          </w:tcPr>
          <w:p w14:paraId="30114575" w14:textId="06B3D1AC" w:rsidR="00F32225" w:rsidRPr="008F119C" w:rsidRDefault="00F32225" w:rsidP="00162614">
            <w:pPr>
              <w:spacing w:after="0" w:line="240" w:lineRule="auto"/>
              <w:rPr>
                <w:rFonts w:asciiTheme="minorHAnsi" w:hAnsiTheme="minorHAnsi" w:cstheme="minorHAnsi"/>
                <w:b/>
                <w:bCs/>
                <w:color w:val="000000"/>
                <w:sz w:val="14"/>
                <w:szCs w:val="14"/>
                <w:lang w:val="en-US" w:eastAsia="en-US"/>
              </w:rPr>
            </w:pPr>
          </w:p>
        </w:tc>
        <w:tc>
          <w:tcPr>
            <w:tcW w:w="839" w:type="dxa"/>
            <w:tcBorders>
              <w:bottom w:val="single" w:sz="4" w:space="0" w:color="808080" w:themeColor="background1" w:themeShade="80"/>
            </w:tcBorders>
            <w:noWrap/>
            <w:hideMark/>
          </w:tcPr>
          <w:p w14:paraId="21A26E2D" w14:textId="77777777" w:rsidR="00F32225" w:rsidRPr="008F119C" w:rsidRDefault="00F32225" w:rsidP="00162614">
            <w:pPr>
              <w:spacing w:after="0" w:line="240" w:lineRule="auto"/>
              <w:jc w:val="right"/>
              <w:rPr>
                <w:rFonts w:asciiTheme="minorHAnsi" w:hAnsiTheme="minorHAnsi" w:cstheme="minorHAnsi"/>
                <w:b/>
                <w:bCs/>
                <w:color w:val="000000"/>
                <w:sz w:val="14"/>
                <w:szCs w:val="14"/>
                <w:lang w:val="en-US" w:eastAsia="en-US"/>
              </w:rPr>
            </w:pPr>
            <w:r w:rsidRPr="008F119C">
              <w:rPr>
                <w:rFonts w:asciiTheme="minorHAnsi" w:hAnsiTheme="minorHAnsi" w:cstheme="minorHAnsi"/>
                <w:b/>
                <w:bCs/>
                <w:color w:val="000000"/>
                <w:sz w:val="14"/>
                <w:szCs w:val="14"/>
                <w:lang w:val="en-US" w:eastAsia="en-US"/>
              </w:rPr>
              <w:t>0.1%</w:t>
            </w:r>
          </w:p>
        </w:tc>
        <w:tc>
          <w:tcPr>
            <w:tcW w:w="691" w:type="dxa"/>
            <w:tcBorders>
              <w:bottom w:val="single" w:sz="4" w:space="0" w:color="808080" w:themeColor="background1" w:themeShade="80"/>
            </w:tcBorders>
            <w:noWrap/>
            <w:hideMark/>
          </w:tcPr>
          <w:p w14:paraId="6F697190"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655" w:type="dxa"/>
            <w:tcBorders>
              <w:bottom w:val="single" w:sz="4" w:space="0" w:color="808080" w:themeColor="background1" w:themeShade="80"/>
            </w:tcBorders>
            <w:noWrap/>
            <w:hideMark/>
          </w:tcPr>
          <w:p w14:paraId="3B368A83"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666" w:type="dxa"/>
            <w:tcBorders>
              <w:bottom w:val="single" w:sz="4" w:space="0" w:color="808080" w:themeColor="background1" w:themeShade="80"/>
            </w:tcBorders>
            <w:noWrap/>
            <w:hideMark/>
          </w:tcPr>
          <w:p w14:paraId="366C9E54"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691" w:type="dxa"/>
            <w:tcBorders>
              <w:bottom w:val="single" w:sz="4" w:space="0" w:color="808080" w:themeColor="background1" w:themeShade="80"/>
            </w:tcBorders>
            <w:noWrap/>
            <w:hideMark/>
          </w:tcPr>
          <w:p w14:paraId="0002D516"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706" w:type="dxa"/>
            <w:tcBorders>
              <w:bottom w:val="single" w:sz="4" w:space="0" w:color="808080" w:themeColor="background1" w:themeShade="80"/>
            </w:tcBorders>
            <w:noWrap/>
            <w:hideMark/>
          </w:tcPr>
          <w:p w14:paraId="07B554EF"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730" w:type="dxa"/>
            <w:tcBorders>
              <w:bottom w:val="single" w:sz="4" w:space="0" w:color="808080" w:themeColor="background1" w:themeShade="80"/>
            </w:tcBorders>
            <w:noWrap/>
            <w:hideMark/>
          </w:tcPr>
          <w:p w14:paraId="5288012F"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969" w:type="dxa"/>
            <w:tcBorders>
              <w:bottom w:val="single" w:sz="4" w:space="0" w:color="808080" w:themeColor="background1" w:themeShade="80"/>
            </w:tcBorders>
            <w:noWrap/>
            <w:hideMark/>
          </w:tcPr>
          <w:p w14:paraId="46A23DC4"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c>
          <w:tcPr>
            <w:tcW w:w="660" w:type="dxa"/>
            <w:tcBorders>
              <w:bottom w:val="single" w:sz="4" w:space="0" w:color="808080" w:themeColor="background1" w:themeShade="80"/>
            </w:tcBorders>
            <w:noWrap/>
            <w:hideMark/>
          </w:tcPr>
          <w:p w14:paraId="592852D5" w14:textId="77777777" w:rsidR="00F32225" w:rsidRPr="008F119C" w:rsidRDefault="00F32225" w:rsidP="00162614">
            <w:pPr>
              <w:spacing w:after="0" w:line="240" w:lineRule="auto"/>
              <w:rPr>
                <w:rFonts w:asciiTheme="minorHAnsi" w:hAnsiTheme="minorHAnsi" w:cstheme="minorHAnsi"/>
                <w:color w:val="000000"/>
                <w:sz w:val="14"/>
                <w:szCs w:val="14"/>
                <w:lang w:val="en-US" w:eastAsia="en-US"/>
              </w:rPr>
            </w:pPr>
            <w:r w:rsidRPr="008F119C">
              <w:rPr>
                <w:rFonts w:asciiTheme="minorHAnsi" w:hAnsiTheme="minorHAnsi" w:cstheme="minorHAnsi"/>
                <w:color w:val="000000"/>
                <w:sz w:val="14"/>
                <w:szCs w:val="14"/>
                <w:lang w:val="en-US" w:eastAsia="en-US"/>
              </w:rPr>
              <w:t> </w:t>
            </w:r>
          </w:p>
        </w:tc>
      </w:tr>
    </w:tbl>
    <w:p w14:paraId="261F1F29" w14:textId="1711F02E" w:rsidR="00272A9E" w:rsidRPr="00F039A3" w:rsidRDefault="00272A9E" w:rsidP="00F039A3">
      <w:pPr>
        <w:spacing w:after="0"/>
        <w:rPr>
          <w:rFonts w:asciiTheme="minorHAnsi" w:hAnsiTheme="minorHAnsi" w:cstheme="minorHAnsi"/>
          <w:color w:val="008A00" w:themeColor="accent2"/>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color w:val="008A00" w:themeColor="accent2"/>
          <w:sz w:val="14"/>
        </w:rPr>
        <w:tab/>
      </w:r>
      <w:r w:rsidRPr="00F039A3">
        <w:rPr>
          <w:rFonts w:asciiTheme="minorHAnsi" w:hAnsiTheme="minorHAnsi" w:cstheme="minorHAnsi"/>
          <w:color w:val="008A00" w:themeColor="accent2"/>
          <w:sz w:val="14"/>
        </w:rPr>
        <w:tab/>
      </w:r>
    </w:p>
    <w:p w14:paraId="12FB21F8" w14:textId="5E80401D" w:rsidR="00272A9E" w:rsidRPr="00DF0CF9" w:rsidRDefault="00272A9E" w:rsidP="00162614">
      <w:pPr>
        <w:spacing w:after="0" w:line="240" w:lineRule="auto"/>
        <w:rPr>
          <w:rFonts w:asciiTheme="minorHAnsi" w:hAnsiTheme="minorHAnsi" w:cstheme="minorHAnsi"/>
          <w:sz w:val="14"/>
        </w:rPr>
      </w:pPr>
      <w:r w:rsidRPr="00DF0CF9">
        <w:rPr>
          <w:rFonts w:asciiTheme="minorHAnsi" w:hAnsiTheme="minorHAnsi" w:cstheme="minorHAnsi"/>
          <w:sz w:val="14"/>
        </w:rPr>
        <w:t xml:space="preserve">(a) For cost weight (cost bucket specific) calculations please refer to </w:t>
      </w:r>
      <w:r w:rsidR="00544B40" w:rsidRPr="00DF0CF9">
        <w:rPr>
          <w:rFonts w:asciiTheme="minorHAnsi" w:hAnsiTheme="minorHAnsi" w:cstheme="minorHAnsi"/>
          <w:sz w:val="14"/>
        </w:rPr>
        <w:fldChar w:fldCharType="begin"/>
      </w:r>
      <w:r w:rsidR="00544B40" w:rsidRPr="00DF0CF9">
        <w:rPr>
          <w:rFonts w:asciiTheme="minorHAnsi" w:hAnsiTheme="minorHAnsi" w:cstheme="minorHAnsi"/>
          <w:sz w:val="14"/>
        </w:rPr>
        <w:instrText xml:space="preserve"> REF _Ref497335615 \h  \* MERGEFORMAT </w:instrText>
      </w:r>
      <w:r w:rsidR="00544B40" w:rsidRPr="00DF0CF9">
        <w:rPr>
          <w:rFonts w:asciiTheme="minorHAnsi" w:hAnsiTheme="minorHAnsi" w:cstheme="minorHAnsi"/>
          <w:sz w:val="14"/>
        </w:rPr>
      </w:r>
      <w:r w:rsidR="00544B40" w:rsidRPr="00DF0CF9">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00544B40" w:rsidRPr="00DF0CF9">
        <w:rPr>
          <w:rFonts w:asciiTheme="minorHAnsi" w:hAnsiTheme="minorHAnsi" w:cstheme="minorHAnsi"/>
          <w:sz w:val="14"/>
        </w:rPr>
        <w:fldChar w:fldCharType="end"/>
      </w:r>
      <w:r w:rsidR="00544B40" w:rsidRPr="00DF0CF9">
        <w:rPr>
          <w:rFonts w:asciiTheme="minorHAnsi" w:hAnsiTheme="minorHAnsi" w:cstheme="minorHAnsi"/>
          <w:sz w:val="14"/>
        </w:rPr>
        <w:tab/>
      </w:r>
    </w:p>
    <w:p w14:paraId="4752D1CE" w14:textId="12E5FE1D" w:rsidR="00272A9E" w:rsidRPr="00235DEA" w:rsidRDefault="00272A9E" w:rsidP="00235DEA">
      <w:pPr>
        <w:spacing w:after="0" w:line="240" w:lineRule="auto"/>
        <w:rPr>
          <w:rFonts w:asciiTheme="minorHAnsi" w:hAnsiTheme="minorHAnsi" w:cstheme="minorHAnsi"/>
          <w:sz w:val="14"/>
        </w:rPr>
      </w:pPr>
      <w:bookmarkStart w:id="185" w:name="_Toc497332774"/>
      <w:bookmarkStart w:id="186" w:name="_Toc497332913"/>
      <w:bookmarkStart w:id="187" w:name="_Toc497486118"/>
      <w:bookmarkStart w:id="188" w:name="_Toc497488037"/>
      <w:r w:rsidRPr="00235DEA">
        <w:rPr>
          <w:rFonts w:asciiTheme="minorHAnsi" w:hAnsiTheme="minorHAnsi" w:cstheme="minorHAnsi"/>
          <w:sz w:val="14"/>
        </w:rPr>
        <w:t>(b) Separations shown are strata weighted</w:t>
      </w:r>
      <w:bookmarkEnd w:id="185"/>
      <w:bookmarkEnd w:id="186"/>
      <w:bookmarkEnd w:id="187"/>
      <w:bookmarkEnd w:id="188"/>
      <w:r w:rsidRPr="00235DEA">
        <w:rPr>
          <w:rFonts w:asciiTheme="minorHAnsi" w:hAnsiTheme="minorHAnsi" w:cstheme="minorHAnsi"/>
          <w:sz w:val="14"/>
        </w:rPr>
        <w:tab/>
      </w:r>
    </w:p>
    <w:p w14:paraId="02DEF488" w14:textId="7B916AF3" w:rsidR="005D7320" w:rsidRPr="00F039A3" w:rsidRDefault="00272A9E" w:rsidP="00235DEA">
      <w:pPr>
        <w:spacing w:after="0" w:line="240" w:lineRule="auto"/>
        <w:rPr>
          <w:sz w:val="18"/>
          <w:highlight w:val="yellow"/>
        </w:rPr>
      </w:pPr>
      <w:bookmarkStart w:id="189" w:name="_Toc497332776"/>
      <w:bookmarkStart w:id="190" w:name="_Toc497332915"/>
      <w:bookmarkStart w:id="191" w:name="_Toc497486120"/>
      <w:bookmarkStart w:id="192" w:name="_Toc497488039"/>
      <w:r w:rsidRPr="00235DEA">
        <w:rPr>
          <w:rFonts w:asciiTheme="minorHAnsi" w:hAnsiTheme="minorHAnsi" w:cstheme="minorHAnsi"/>
          <w:sz w:val="14"/>
        </w:rPr>
        <w:t xml:space="preserve">(d) ALoS means </w:t>
      </w:r>
      <w:r w:rsidR="008C3232" w:rsidRPr="00235DEA">
        <w:rPr>
          <w:rFonts w:asciiTheme="minorHAnsi" w:hAnsiTheme="minorHAnsi" w:cstheme="minorHAnsi"/>
          <w:sz w:val="14"/>
        </w:rPr>
        <w:t>A</w:t>
      </w:r>
      <w:r w:rsidRPr="00235DEA">
        <w:rPr>
          <w:rFonts w:asciiTheme="minorHAnsi" w:hAnsiTheme="minorHAnsi" w:cstheme="minorHAnsi"/>
          <w:sz w:val="14"/>
        </w:rPr>
        <w:t xml:space="preserve">verage </w:t>
      </w:r>
      <w:r w:rsidR="008C3232" w:rsidRPr="00235DEA">
        <w:rPr>
          <w:rFonts w:asciiTheme="minorHAnsi" w:hAnsiTheme="minorHAnsi" w:cstheme="minorHAnsi"/>
          <w:sz w:val="14"/>
        </w:rPr>
        <w:t>L</w:t>
      </w:r>
      <w:r w:rsidRPr="00235DEA">
        <w:rPr>
          <w:rFonts w:asciiTheme="minorHAnsi" w:hAnsiTheme="minorHAnsi" w:cstheme="minorHAnsi"/>
          <w:sz w:val="14"/>
        </w:rPr>
        <w:t xml:space="preserve">ength of </w:t>
      </w:r>
      <w:r w:rsidR="008C3232" w:rsidRPr="00235DEA">
        <w:rPr>
          <w:rFonts w:asciiTheme="minorHAnsi" w:hAnsiTheme="minorHAnsi" w:cstheme="minorHAnsi"/>
          <w:sz w:val="14"/>
        </w:rPr>
        <w:t>S</w:t>
      </w:r>
      <w:r w:rsidRPr="00235DEA">
        <w:rPr>
          <w:rFonts w:asciiTheme="minorHAnsi" w:hAnsiTheme="minorHAnsi" w:cstheme="minorHAnsi"/>
          <w:sz w:val="14"/>
        </w:rPr>
        <w:t>tay</w:t>
      </w:r>
      <w:bookmarkEnd w:id="189"/>
      <w:bookmarkEnd w:id="190"/>
      <w:bookmarkEnd w:id="191"/>
      <w:bookmarkEnd w:id="192"/>
      <w:r w:rsidRPr="00F039A3">
        <w:tab/>
      </w:r>
      <w:r w:rsidR="005D7320" w:rsidRPr="00F039A3">
        <w:rPr>
          <w:sz w:val="18"/>
          <w:highlight w:val="yellow"/>
        </w:rPr>
        <w:br w:type="page"/>
      </w:r>
    </w:p>
    <w:p w14:paraId="71AE92F6" w14:textId="77777777" w:rsidR="00272A9E" w:rsidRPr="00E4527E" w:rsidRDefault="00272A9E" w:rsidP="006200A2">
      <w:pPr>
        <w:pStyle w:val="Figureheadings"/>
        <w:rPr>
          <w:highlight w:val="yellow"/>
        </w:rPr>
        <w:sectPr w:rsidR="00272A9E" w:rsidRPr="00E4527E" w:rsidSect="00384647">
          <w:pgSz w:w="16840" w:h="11907" w:orient="landscape" w:code="9"/>
          <w:pgMar w:top="1843" w:right="1440" w:bottom="1021" w:left="1021" w:header="680" w:footer="510" w:gutter="0"/>
          <w:cols w:space="708"/>
          <w:docGrid w:linePitch="360"/>
        </w:sectPr>
      </w:pPr>
    </w:p>
    <w:p w14:paraId="101BBBB3" w14:textId="5682BA37" w:rsidR="005D7320" w:rsidRPr="001D2540" w:rsidRDefault="005D7320" w:rsidP="00302DDA">
      <w:pPr>
        <w:pStyle w:val="Heading3"/>
        <w:rPr>
          <w:rFonts w:ascii="Georgia" w:hAnsi="Georgia"/>
          <w:sz w:val="20"/>
          <w:szCs w:val="20"/>
        </w:rPr>
      </w:pPr>
      <w:bookmarkStart w:id="193" w:name="_Toc496857586"/>
      <w:r w:rsidRPr="001D2540">
        <w:lastRenderedPageBreak/>
        <w:t>Prostheses cost bucket</w:t>
      </w:r>
      <w:bookmarkEnd w:id="193"/>
    </w:p>
    <w:p w14:paraId="12FC87B7" w14:textId="77777777" w:rsidR="005D7320" w:rsidRPr="001D2540" w:rsidRDefault="005D7320" w:rsidP="005D7320">
      <w:pPr>
        <w:pStyle w:val="Intro"/>
      </w:pPr>
      <w:r w:rsidRPr="001D2540">
        <w:t>Key findings</w:t>
      </w:r>
    </w:p>
    <w:p w14:paraId="43F139D9" w14:textId="4D2E684A" w:rsidR="003117A7" w:rsidRPr="003117A7" w:rsidRDefault="005D7320" w:rsidP="005D7320">
      <w:r w:rsidRPr="001D2540">
        <w:rPr>
          <w:szCs w:val="22"/>
        </w:rPr>
        <w:t xml:space="preserve">The highest cost weight DRG is F01A </w:t>
      </w:r>
      <w:r w:rsidR="00DC05BE">
        <w:rPr>
          <w:szCs w:val="22"/>
        </w:rPr>
        <w:t>(</w:t>
      </w:r>
      <w:r w:rsidR="001D2540" w:rsidRPr="001D2540">
        <w:rPr>
          <w:color w:val="000000"/>
          <w:szCs w:val="22"/>
        </w:rPr>
        <w:t>Implantation and Replacement of AICD, Total System, Major Complexity</w:t>
      </w:r>
      <w:r w:rsidR="00DC05BE">
        <w:rPr>
          <w:color w:val="000000"/>
          <w:szCs w:val="22"/>
        </w:rPr>
        <w:t>)</w:t>
      </w:r>
      <w:r w:rsidR="00281672" w:rsidRPr="003117A7">
        <w:t xml:space="preserve"> as </w:t>
      </w:r>
      <w:r w:rsidR="00DC05BE">
        <w:t>shown</w:t>
      </w:r>
      <w:r w:rsidR="00281672" w:rsidRPr="003117A7">
        <w:t xml:space="preserve"> in </w:t>
      </w:r>
      <w:r w:rsidR="006654BA" w:rsidRPr="00DF0CF9">
        <w:t>Table 12</w:t>
      </w:r>
      <w:r w:rsidRPr="00DF0CF9">
        <w:t>. This was ranked number one</w:t>
      </w:r>
      <w:r w:rsidR="00D61C39" w:rsidRPr="00DF0CF9">
        <w:t xml:space="preserve"> in Round </w:t>
      </w:r>
      <w:r w:rsidR="003117A7" w:rsidRPr="00DF0CF9">
        <w:t>20</w:t>
      </w:r>
      <w:r w:rsidRPr="003117A7">
        <w:t xml:space="preserve"> due to the high cos</w:t>
      </w:r>
      <w:r w:rsidR="00DC05BE">
        <w:t>t of the defibrillator prostheses</w:t>
      </w:r>
      <w:r w:rsidRPr="003117A7">
        <w:t xml:space="preserve"> and increased activity.</w:t>
      </w:r>
      <w:r w:rsidR="003117A7">
        <w:t xml:space="preserve"> The prosthes</w:t>
      </w:r>
      <w:r w:rsidR="00DC05BE">
        <w:t>e</w:t>
      </w:r>
      <w:r w:rsidR="003117A7">
        <w:t>s cost weight for this DRG has remained similar between rounds, increasing from 14.95 in Round 20 to 15.91 in Round 21, a change of 0.96 cost weights (or 6.5%).</w:t>
      </w:r>
    </w:p>
    <w:p w14:paraId="1923881F" w14:textId="44497B74" w:rsidR="003117A7" w:rsidRPr="00A00DCD" w:rsidRDefault="003117A7" w:rsidP="005D7320">
      <w:pPr>
        <w:rPr>
          <w:szCs w:val="22"/>
        </w:rPr>
      </w:pPr>
      <w:r w:rsidRPr="00A00DCD">
        <w:rPr>
          <w:szCs w:val="22"/>
        </w:rPr>
        <w:t>All DRGs in the top 20 by prosthes</w:t>
      </w:r>
      <w:r w:rsidR="00DC05BE">
        <w:rPr>
          <w:szCs w:val="22"/>
        </w:rPr>
        <w:t>e</w:t>
      </w:r>
      <w:r w:rsidRPr="00A00DCD">
        <w:rPr>
          <w:szCs w:val="22"/>
        </w:rPr>
        <w:t>s cost have a higher percentage of the total cost belonging to the prosthes</w:t>
      </w:r>
      <w:r w:rsidR="00DC05BE">
        <w:rPr>
          <w:szCs w:val="22"/>
        </w:rPr>
        <w:t>e</w:t>
      </w:r>
      <w:r w:rsidRPr="00A00DCD">
        <w:rPr>
          <w:szCs w:val="22"/>
        </w:rPr>
        <w:t>s bucket than the average for all DRGs. The average percentage of costs belonging to the prosthesis bucket for all DRGs is 18%,</w:t>
      </w:r>
      <w:r w:rsidR="00A00DCD">
        <w:rPr>
          <w:szCs w:val="22"/>
        </w:rPr>
        <w:t xml:space="preserve"> whereas it is 60% for the DRGs in the top 20 table, ranging</w:t>
      </w:r>
      <w:r w:rsidRPr="00A00DCD">
        <w:rPr>
          <w:szCs w:val="22"/>
        </w:rPr>
        <w:t xml:space="preserve"> from 25% </w:t>
      </w:r>
      <w:r w:rsidR="00DC05BE">
        <w:rPr>
          <w:szCs w:val="22"/>
        </w:rPr>
        <w:t>for B02A (</w:t>
      </w:r>
      <w:r w:rsidRPr="00A00DCD">
        <w:rPr>
          <w:color w:val="000000"/>
          <w:szCs w:val="22"/>
        </w:rPr>
        <w:t>Cranial Procedures, Major Complexity</w:t>
      </w:r>
      <w:r w:rsidR="00DC05BE">
        <w:rPr>
          <w:szCs w:val="22"/>
        </w:rPr>
        <w:t xml:space="preserve"> to 90% for F01B (</w:t>
      </w:r>
      <w:r w:rsidRPr="00A00DCD">
        <w:rPr>
          <w:color w:val="000000"/>
          <w:szCs w:val="22"/>
        </w:rPr>
        <w:t>Implantation and Replacement of AICD, Total System, Minor Complexity</w:t>
      </w:r>
      <w:r w:rsidRPr="00A00DCD">
        <w:rPr>
          <w:szCs w:val="22"/>
        </w:rPr>
        <w:t>)</w:t>
      </w:r>
      <w:r w:rsidR="00A00DCD">
        <w:rPr>
          <w:szCs w:val="22"/>
        </w:rPr>
        <w:t>. This indicates that the majority of the cost of these DRGs comes from the cost of the prostheses.</w:t>
      </w:r>
    </w:p>
    <w:p w14:paraId="575C59B3" w14:textId="50AE18D3" w:rsidR="00E7439E" w:rsidRPr="00E4527E" w:rsidRDefault="00A00DCD" w:rsidP="005D7320">
      <w:pPr>
        <w:rPr>
          <w:highlight w:val="yellow"/>
        </w:rPr>
      </w:pPr>
      <w:r w:rsidRPr="00A00DCD">
        <w:t>T</w:t>
      </w:r>
      <w:r w:rsidR="005D7320" w:rsidRPr="00A00DCD">
        <w:t>hese high</w:t>
      </w:r>
      <w:r w:rsidRPr="00A00DCD">
        <w:t xml:space="preserve"> cost</w:t>
      </w:r>
      <w:r w:rsidR="005D7320" w:rsidRPr="00A00DCD">
        <w:t xml:space="preserve"> prosthes</w:t>
      </w:r>
      <w:r w:rsidR="00DC05BE">
        <w:t>e</w:t>
      </w:r>
      <w:r w:rsidR="005D7320" w:rsidRPr="00A00DCD">
        <w:t>s procedures only represent</w:t>
      </w:r>
      <w:r w:rsidR="00A3433C">
        <w:t>ed</w:t>
      </w:r>
      <w:r w:rsidR="005D7320" w:rsidRPr="00A00DCD">
        <w:t xml:space="preserve"> 1.</w:t>
      </w:r>
      <w:r w:rsidRPr="00A00DCD">
        <w:t>8</w:t>
      </w:r>
      <w:r w:rsidR="00BA2940" w:rsidRPr="00A00DCD">
        <w:t xml:space="preserve"> </w:t>
      </w:r>
      <w:r w:rsidR="00F74337">
        <w:t>percent</w:t>
      </w:r>
      <w:r w:rsidR="005D7320" w:rsidRPr="00A00DCD">
        <w:t xml:space="preserve"> (</w:t>
      </w:r>
      <w:r w:rsidRPr="00A00DCD">
        <w:t>5</w:t>
      </w:r>
      <w:r w:rsidR="00A24567" w:rsidRPr="00A00DCD">
        <w:t>7</w:t>
      </w:r>
      <w:r w:rsidR="00AE0155">
        <w:t>,</w:t>
      </w:r>
      <w:r w:rsidR="00A24567" w:rsidRPr="00A00DCD">
        <w:t>1</w:t>
      </w:r>
      <w:r w:rsidRPr="00A00DCD">
        <w:t>4</w:t>
      </w:r>
      <w:r w:rsidR="00A24567" w:rsidRPr="00A00DCD">
        <w:t>3</w:t>
      </w:r>
      <w:r w:rsidR="005D7320" w:rsidRPr="00A00DCD">
        <w:t xml:space="preserve"> population-adjusted separations) of the total </w:t>
      </w:r>
      <w:r w:rsidR="00DC05BE" w:rsidRPr="00DC05BE">
        <w:t xml:space="preserve">3,242,411 </w:t>
      </w:r>
      <w:r w:rsidR="00DC05BE">
        <w:t>population-adjusted separations.</w:t>
      </w:r>
    </w:p>
    <w:p w14:paraId="2F21DBA4" w14:textId="076F171C" w:rsidR="005D7320" w:rsidRPr="00A00DCD" w:rsidRDefault="00162614" w:rsidP="005D7320">
      <w:pPr>
        <w:pStyle w:val="Intro"/>
      </w:pPr>
      <w:r>
        <w:t>Consistencies between Round 21 and Round 20</w:t>
      </w:r>
    </w:p>
    <w:p w14:paraId="0CEA10A1" w14:textId="0407C28A" w:rsidR="00E7439E" w:rsidRPr="00E4527E" w:rsidRDefault="00D9249B" w:rsidP="005D7320">
      <w:pPr>
        <w:rPr>
          <w:highlight w:val="yellow"/>
        </w:rPr>
      </w:pPr>
      <w:r w:rsidRPr="00AD29A3">
        <w:t>95</w:t>
      </w:r>
      <w:r w:rsidR="00BA2940" w:rsidRPr="00AD29A3">
        <w:t xml:space="preserve"> </w:t>
      </w:r>
      <w:r w:rsidR="00F74337">
        <w:t>percent</w:t>
      </w:r>
      <w:r w:rsidR="00A24567" w:rsidRPr="00AD29A3">
        <w:t xml:space="preserve"> (1</w:t>
      </w:r>
      <w:r w:rsidRPr="00AD29A3">
        <w:t>9</w:t>
      </w:r>
      <w:r w:rsidR="005D7320" w:rsidRPr="00AD29A3">
        <w:t xml:space="preserve"> out of 20) of the top 20 DRGs were included in </w:t>
      </w:r>
      <w:r w:rsidR="00AE0155">
        <w:t xml:space="preserve">the </w:t>
      </w:r>
      <w:r w:rsidR="005D7320" w:rsidRPr="00AD29A3">
        <w:t xml:space="preserve">Round </w:t>
      </w:r>
      <w:r w:rsidR="00AE0155">
        <w:t>20</w:t>
      </w:r>
      <w:r w:rsidR="005D7320" w:rsidRPr="00AD29A3">
        <w:t xml:space="preserve"> results with the top</w:t>
      </w:r>
      <w:r w:rsidR="005D7320" w:rsidRPr="00E4527E">
        <w:rPr>
          <w:highlight w:val="yellow"/>
        </w:rPr>
        <w:t xml:space="preserve"> </w:t>
      </w:r>
      <w:r w:rsidR="00AD29A3" w:rsidRPr="00AD29A3">
        <w:t>five</w:t>
      </w:r>
      <w:r w:rsidR="005D7320" w:rsidRPr="00AD29A3">
        <w:t xml:space="preserve"> being ranked in the</w:t>
      </w:r>
      <w:r w:rsidR="00336584" w:rsidRPr="00AD29A3">
        <w:t xml:space="preserve"> same order</w:t>
      </w:r>
      <w:r w:rsidR="00B5247E" w:rsidRPr="00AD29A3">
        <w:t xml:space="preserve"> </w:t>
      </w:r>
      <w:r w:rsidR="00AE0155">
        <w:t xml:space="preserve">between rounds. This </w:t>
      </w:r>
      <w:r w:rsidR="00AD29A3" w:rsidRPr="00AD29A3">
        <w:t>indicat</w:t>
      </w:r>
      <w:r w:rsidR="00A3433C">
        <w:t>ed</w:t>
      </w:r>
      <w:r w:rsidR="00AD29A3" w:rsidRPr="00AD29A3">
        <w:t xml:space="preserve"> that these DRGs </w:t>
      </w:r>
      <w:r w:rsidR="00A3433C">
        <w:t>were</w:t>
      </w:r>
      <w:r w:rsidR="00AD29A3" w:rsidRPr="00AD29A3">
        <w:t xml:space="preserve"> consuming a relatively stable amount of pr</w:t>
      </w:r>
      <w:r w:rsidR="00AE0155">
        <w:t>ostheses costs.</w:t>
      </w:r>
      <w:r w:rsidR="005D7320" w:rsidRPr="00AD29A3">
        <w:t xml:space="preserve"> </w:t>
      </w:r>
      <w:r w:rsidR="00AD29A3">
        <w:t>The prosthes</w:t>
      </w:r>
      <w:r w:rsidR="00AE0155">
        <w:t>e</w:t>
      </w:r>
      <w:r w:rsidR="00AD29A3">
        <w:t xml:space="preserve">s cost weights between </w:t>
      </w:r>
      <w:r w:rsidR="00A3433C">
        <w:t>rounds for the top 20 DRGs had</w:t>
      </w:r>
      <w:r w:rsidR="00AD29A3">
        <w:t xml:space="preserve"> also remained relatively stable.</w:t>
      </w:r>
    </w:p>
    <w:p w14:paraId="21B6B128" w14:textId="31B26CFB" w:rsidR="00BF794D" w:rsidRPr="00AD29A3" w:rsidRDefault="00162614" w:rsidP="00BF794D">
      <w:pPr>
        <w:pStyle w:val="Intro"/>
      </w:pPr>
      <w:r>
        <w:t>Differences between Round 21 and Round 20</w:t>
      </w:r>
    </w:p>
    <w:p w14:paraId="4CFA1985" w14:textId="3E0C6D83" w:rsidR="00AD29A3" w:rsidRDefault="00AD29A3" w:rsidP="005D7320">
      <w:pPr>
        <w:rPr>
          <w:color w:val="000000"/>
          <w:szCs w:val="22"/>
        </w:rPr>
      </w:pPr>
      <w:r w:rsidRPr="00903698">
        <w:rPr>
          <w:snapToGrid w:val="0"/>
          <w:szCs w:val="22"/>
        </w:rPr>
        <w:t xml:space="preserve">The only new </w:t>
      </w:r>
      <w:r w:rsidR="00A3433C">
        <w:rPr>
          <w:snapToGrid w:val="0"/>
          <w:szCs w:val="22"/>
        </w:rPr>
        <w:t>DRG wa</w:t>
      </w:r>
      <w:r w:rsidR="00350F79" w:rsidRPr="00903698">
        <w:rPr>
          <w:snapToGrid w:val="0"/>
          <w:szCs w:val="22"/>
        </w:rPr>
        <w:t xml:space="preserve">s </w:t>
      </w:r>
      <w:r w:rsidR="00AE0155">
        <w:rPr>
          <w:snapToGrid w:val="0"/>
          <w:szCs w:val="22"/>
        </w:rPr>
        <w:t>B02A (</w:t>
      </w:r>
      <w:r w:rsidR="00903698" w:rsidRPr="00903698">
        <w:rPr>
          <w:color w:val="000000"/>
          <w:szCs w:val="22"/>
        </w:rPr>
        <w:t>Cranial Procedures, Major Complexity</w:t>
      </w:r>
      <w:r w:rsidR="00AE0155">
        <w:rPr>
          <w:color w:val="000000"/>
          <w:szCs w:val="22"/>
        </w:rPr>
        <w:t>)</w:t>
      </w:r>
      <w:r w:rsidR="00903698" w:rsidRPr="00903698">
        <w:rPr>
          <w:color w:val="000000"/>
          <w:szCs w:val="22"/>
        </w:rPr>
        <w:t>.</w:t>
      </w:r>
      <w:r w:rsidR="00903698">
        <w:rPr>
          <w:color w:val="000000"/>
          <w:szCs w:val="22"/>
        </w:rPr>
        <w:t xml:space="preserve"> This DRG was ranked number 32 for pros</w:t>
      </w:r>
      <w:r w:rsidR="00A3433C">
        <w:rPr>
          <w:color w:val="000000"/>
          <w:szCs w:val="22"/>
        </w:rPr>
        <w:t>thesis cost in Round 20, and has</w:t>
      </w:r>
      <w:r w:rsidR="00903698">
        <w:rPr>
          <w:color w:val="000000"/>
          <w:szCs w:val="22"/>
        </w:rPr>
        <w:t xml:space="preserve"> increased to rank 16 in Round 21. This DRG also had the largest increase in prosthes</w:t>
      </w:r>
      <w:r w:rsidR="00AE0155">
        <w:rPr>
          <w:color w:val="000000"/>
          <w:szCs w:val="22"/>
        </w:rPr>
        <w:t>e</w:t>
      </w:r>
      <w:r w:rsidR="00903698">
        <w:rPr>
          <w:color w:val="000000"/>
          <w:szCs w:val="22"/>
        </w:rPr>
        <w:t>s cost weight of all DRGs in the top 20, increasing from 2.16 to 3.33 (an increase of 1.17, or 54%).</w:t>
      </w:r>
      <w:r w:rsidR="00DC796A">
        <w:rPr>
          <w:color w:val="000000"/>
          <w:szCs w:val="22"/>
        </w:rPr>
        <w:t xml:space="preserve"> The changes in this DRG </w:t>
      </w:r>
      <w:r w:rsidR="00A3433C">
        <w:rPr>
          <w:color w:val="000000"/>
          <w:szCs w:val="22"/>
        </w:rPr>
        <w:t>were</w:t>
      </w:r>
      <w:r w:rsidR="00DC796A">
        <w:rPr>
          <w:color w:val="000000"/>
          <w:szCs w:val="22"/>
        </w:rPr>
        <w:t xml:space="preserve"> likely due to a different set of hospitals in the sample</w:t>
      </w:r>
      <w:r w:rsidR="00AE0155">
        <w:rPr>
          <w:color w:val="000000"/>
          <w:szCs w:val="22"/>
        </w:rPr>
        <w:t xml:space="preserve"> or an introduction of new high cost prostheses compared to the previous round</w:t>
      </w:r>
      <w:r w:rsidR="00DC796A">
        <w:rPr>
          <w:color w:val="000000"/>
          <w:szCs w:val="22"/>
        </w:rPr>
        <w:t>.</w:t>
      </w:r>
    </w:p>
    <w:p w14:paraId="7996EB8A" w14:textId="77777777" w:rsidR="00DF0CF9" w:rsidRPr="00903698" w:rsidRDefault="00DF0CF9" w:rsidP="005D7320">
      <w:pPr>
        <w:rPr>
          <w:snapToGrid w:val="0"/>
          <w:szCs w:val="22"/>
        </w:rPr>
      </w:pPr>
    </w:p>
    <w:p w14:paraId="3029E608" w14:textId="77777777" w:rsidR="00D363C9" w:rsidRPr="00E4527E" w:rsidRDefault="00D363C9" w:rsidP="008A0CEC">
      <w:pPr>
        <w:rPr>
          <w:snapToGrid w:val="0"/>
          <w:highlight w:val="yellow"/>
        </w:rPr>
      </w:pPr>
    </w:p>
    <w:p w14:paraId="526A93ED" w14:textId="77777777" w:rsidR="00D363C9" w:rsidRPr="00E4527E" w:rsidRDefault="00D363C9" w:rsidP="008A0CEC">
      <w:pPr>
        <w:rPr>
          <w:snapToGrid w:val="0"/>
          <w:highlight w:val="yellow"/>
        </w:rPr>
      </w:pPr>
    </w:p>
    <w:p w14:paraId="3E882A3D" w14:textId="77777777" w:rsidR="006C4E43" w:rsidRPr="00E4527E" w:rsidRDefault="006C4E43" w:rsidP="008A0CEC">
      <w:pPr>
        <w:rPr>
          <w:snapToGrid w:val="0"/>
          <w:highlight w:val="yellow"/>
        </w:rPr>
        <w:sectPr w:rsidR="006C4E43" w:rsidRPr="00E4527E" w:rsidSect="00384647">
          <w:pgSz w:w="11907" w:h="16840" w:code="9"/>
          <w:pgMar w:top="1843" w:right="1440" w:bottom="1021" w:left="1021" w:header="680" w:footer="510" w:gutter="0"/>
          <w:cols w:space="708"/>
          <w:docGrid w:linePitch="360"/>
        </w:sectPr>
      </w:pPr>
    </w:p>
    <w:p w14:paraId="27B2292F" w14:textId="294C7DD0" w:rsidR="008C0756" w:rsidRPr="001720A8" w:rsidRDefault="006654BA" w:rsidP="00E763E2">
      <w:pPr>
        <w:pStyle w:val="TableHeadings3"/>
      </w:pPr>
      <w:bookmarkStart w:id="194" w:name="_Toc162002"/>
      <w:r w:rsidRPr="001720A8">
        <w:lastRenderedPageBreak/>
        <w:t>Table 12</w:t>
      </w:r>
      <w:r w:rsidR="008C0756" w:rsidRPr="001720A8">
        <w:t>. Top 20 DRGs for prostheses cost bucket</w:t>
      </w:r>
      <w:bookmarkEnd w:id="194"/>
    </w:p>
    <w:tbl>
      <w:tblPr>
        <w:tblW w:w="14334" w:type="dxa"/>
        <w:tblInd w:w="108" w:type="dxa"/>
        <w:tblLook w:val="04A0" w:firstRow="1" w:lastRow="0" w:firstColumn="1" w:lastColumn="0" w:noHBand="0" w:noVBand="1"/>
      </w:tblPr>
      <w:tblGrid>
        <w:gridCol w:w="700"/>
        <w:gridCol w:w="9"/>
        <w:gridCol w:w="691"/>
        <w:gridCol w:w="585"/>
        <w:gridCol w:w="4639"/>
        <w:gridCol w:w="752"/>
        <w:gridCol w:w="897"/>
        <w:gridCol w:w="735"/>
        <w:gridCol w:w="679"/>
        <w:gridCol w:w="691"/>
        <w:gridCol w:w="735"/>
        <w:gridCol w:w="752"/>
        <w:gridCol w:w="779"/>
        <w:gridCol w:w="989"/>
        <w:gridCol w:w="701"/>
      </w:tblGrid>
      <w:tr w:rsidR="00A24567" w:rsidRPr="00E4527E" w14:paraId="737DBBDC" w14:textId="77777777" w:rsidTr="008C0756">
        <w:trPr>
          <w:tblHeader/>
        </w:trPr>
        <w:tc>
          <w:tcPr>
            <w:tcW w:w="709" w:type="dxa"/>
            <w:gridSpan w:val="2"/>
            <w:vMerge w:val="restart"/>
            <w:tcBorders>
              <w:top w:val="single" w:sz="4" w:space="0" w:color="808080" w:themeColor="background1" w:themeShade="80"/>
              <w:left w:val="nil"/>
              <w:bottom w:val="single" w:sz="4" w:space="0" w:color="000000"/>
              <w:right w:val="nil"/>
            </w:tcBorders>
            <w:shd w:val="clear" w:color="000000" w:fill="FFFFFF"/>
            <w:hideMark/>
          </w:tcPr>
          <w:p w14:paraId="6D41DAFE" w14:textId="0187928C"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 xml:space="preserve"> </w:t>
            </w:r>
            <w:r w:rsidR="001720A8" w:rsidRPr="001720A8">
              <w:rPr>
                <w:b/>
                <w:bCs/>
                <w:color w:val="000000"/>
                <w:sz w:val="15"/>
                <w:szCs w:val="13"/>
                <w:lang w:val="en-US" w:eastAsia="en-US"/>
              </w:rPr>
              <w:t xml:space="preserve">Top </w:t>
            </w:r>
            <w:r w:rsidRPr="001720A8">
              <w:rPr>
                <w:b/>
                <w:bCs/>
                <w:color w:val="000000"/>
                <w:sz w:val="15"/>
                <w:szCs w:val="13"/>
                <w:lang w:val="en-US" w:eastAsia="en-US"/>
              </w:rPr>
              <w:t xml:space="preserve">20 Round </w:t>
            </w:r>
            <w:r w:rsidR="001720A8" w:rsidRPr="001720A8">
              <w:rPr>
                <w:b/>
                <w:bCs/>
                <w:color w:val="000000"/>
                <w:sz w:val="15"/>
                <w:szCs w:val="13"/>
                <w:lang w:val="en-US" w:eastAsia="en-US"/>
              </w:rPr>
              <w:t>20</w:t>
            </w:r>
          </w:p>
        </w:tc>
        <w:tc>
          <w:tcPr>
            <w:tcW w:w="691" w:type="dxa"/>
            <w:vMerge w:val="restart"/>
            <w:tcBorders>
              <w:top w:val="single" w:sz="4" w:space="0" w:color="808080" w:themeColor="background1" w:themeShade="80"/>
              <w:left w:val="nil"/>
              <w:bottom w:val="single" w:sz="4" w:space="0" w:color="000000"/>
              <w:right w:val="nil"/>
            </w:tcBorders>
            <w:shd w:val="clear" w:color="000000" w:fill="FFFFFF"/>
            <w:hideMark/>
          </w:tcPr>
          <w:p w14:paraId="127B4507" w14:textId="3978754C"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R</w:t>
            </w:r>
            <w:r w:rsidR="001720A8" w:rsidRPr="001720A8">
              <w:rPr>
                <w:b/>
                <w:bCs/>
                <w:color w:val="000000"/>
                <w:sz w:val="15"/>
                <w:szCs w:val="13"/>
                <w:lang w:val="en-US" w:eastAsia="en-US"/>
              </w:rPr>
              <w:t>ank Round 21</w:t>
            </w:r>
          </w:p>
        </w:tc>
        <w:tc>
          <w:tcPr>
            <w:tcW w:w="585" w:type="dxa"/>
            <w:vMerge w:val="restart"/>
            <w:tcBorders>
              <w:top w:val="single" w:sz="4" w:space="0" w:color="808080" w:themeColor="background1" w:themeShade="80"/>
              <w:left w:val="nil"/>
              <w:bottom w:val="single" w:sz="4" w:space="0" w:color="000000"/>
              <w:right w:val="nil"/>
            </w:tcBorders>
            <w:shd w:val="clear" w:color="000000" w:fill="FFFFFF"/>
            <w:hideMark/>
          </w:tcPr>
          <w:p w14:paraId="1E13CFAC" w14:textId="0730EB47"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DRG</w:t>
            </w:r>
          </w:p>
        </w:tc>
        <w:tc>
          <w:tcPr>
            <w:tcW w:w="4639" w:type="dxa"/>
            <w:vMerge w:val="restart"/>
            <w:tcBorders>
              <w:top w:val="single" w:sz="4" w:space="0" w:color="808080" w:themeColor="background1" w:themeShade="80"/>
              <w:left w:val="nil"/>
              <w:bottom w:val="single" w:sz="4" w:space="0" w:color="000000"/>
              <w:right w:val="nil"/>
            </w:tcBorders>
            <w:shd w:val="clear" w:color="000000" w:fill="FFFFFF"/>
            <w:noWrap/>
            <w:hideMark/>
          </w:tcPr>
          <w:p w14:paraId="7912C0D0" w14:textId="23923B0D"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DRG Description</w:t>
            </w:r>
          </w:p>
        </w:tc>
        <w:tc>
          <w:tcPr>
            <w:tcW w:w="752" w:type="dxa"/>
            <w:vMerge w:val="restart"/>
            <w:tcBorders>
              <w:top w:val="single" w:sz="4" w:space="0" w:color="808080" w:themeColor="background1" w:themeShade="80"/>
              <w:left w:val="nil"/>
              <w:bottom w:val="single" w:sz="4" w:space="0" w:color="000000"/>
              <w:right w:val="nil"/>
            </w:tcBorders>
            <w:shd w:val="clear" w:color="000000" w:fill="FFFFFF"/>
            <w:hideMark/>
          </w:tcPr>
          <w:p w14:paraId="5F7BE8C4" w14:textId="77777777"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Prosth-esis cost weight</w:t>
            </w:r>
            <w:r w:rsidRPr="001720A8">
              <w:rPr>
                <w:b/>
                <w:bCs/>
                <w:color w:val="000000"/>
                <w:sz w:val="15"/>
                <w:szCs w:val="13"/>
                <w:lang w:val="en-US" w:eastAsia="en-US"/>
              </w:rPr>
              <w:br/>
              <w:t>(a)</w:t>
            </w:r>
          </w:p>
        </w:tc>
        <w:tc>
          <w:tcPr>
            <w:tcW w:w="897" w:type="dxa"/>
            <w:vMerge w:val="restart"/>
            <w:tcBorders>
              <w:top w:val="single" w:sz="4" w:space="0" w:color="808080" w:themeColor="background1" w:themeShade="80"/>
              <w:left w:val="nil"/>
              <w:bottom w:val="single" w:sz="4" w:space="0" w:color="000000"/>
              <w:right w:val="nil"/>
            </w:tcBorders>
            <w:shd w:val="clear" w:color="000000" w:fill="FFFFFF"/>
            <w:hideMark/>
          </w:tcPr>
          <w:p w14:paraId="2F9D9520" w14:textId="77777777"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No. of weighted seps</w:t>
            </w:r>
            <w:r w:rsidRPr="001720A8">
              <w:rPr>
                <w:b/>
                <w:bCs/>
                <w:color w:val="000000"/>
                <w:sz w:val="15"/>
                <w:szCs w:val="13"/>
                <w:lang w:val="en-US" w:eastAsia="en-US"/>
              </w:rPr>
              <w:br/>
              <w:t>(b)</w:t>
            </w:r>
          </w:p>
        </w:tc>
        <w:tc>
          <w:tcPr>
            <w:tcW w:w="735" w:type="dxa"/>
            <w:vMerge w:val="restart"/>
            <w:tcBorders>
              <w:top w:val="single" w:sz="4" w:space="0" w:color="808080" w:themeColor="background1" w:themeShade="80"/>
              <w:left w:val="nil"/>
              <w:bottom w:val="single" w:sz="4" w:space="0" w:color="000000"/>
              <w:right w:val="nil"/>
            </w:tcBorders>
            <w:shd w:val="clear" w:color="000000" w:fill="FFFFFF"/>
            <w:hideMark/>
          </w:tcPr>
          <w:p w14:paraId="4B6EB202" w14:textId="04E9F04A"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Overall cost weight</w:t>
            </w:r>
            <w:r w:rsidRPr="001720A8">
              <w:rPr>
                <w:b/>
                <w:bCs/>
                <w:color w:val="000000"/>
                <w:sz w:val="15"/>
                <w:szCs w:val="13"/>
                <w:lang w:val="en-US" w:eastAsia="en-US"/>
              </w:rPr>
              <w:br/>
              <w:t>(c)</w:t>
            </w:r>
          </w:p>
        </w:tc>
        <w:tc>
          <w:tcPr>
            <w:tcW w:w="679" w:type="dxa"/>
            <w:vMerge w:val="restart"/>
            <w:tcBorders>
              <w:top w:val="single" w:sz="4" w:space="0" w:color="808080" w:themeColor="background1" w:themeShade="80"/>
              <w:left w:val="nil"/>
              <w:bottom w:val="single" w:sz="4" w:space="0" w:color="000000"/>
              <w:right w:val="single" w:sz="4" w:space="0" w:color="000000"/>
            </w:tcBorders>
            <w:shd w:val="clear" w:color="000000" w:fill="FFFFFF"/>
            <w:hideMark/>
          </w:tcPr>
          <w:p w14:paraId="70AFD835" w14:textId="77777777"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ALoS (days)</w:t>
            </w:r>
            <w:r w:rsidRPr="001720A8">
              <w:rPr>
                <w:b/>
                <w:bCs/>
                <w:color w:val="000000"/>
                <w:sz w:val="15"/>
                <w:szCs w:val="13"/>
                <w:lang w:val="en-US" w:eastAsia="en-US"/>
              </w:rPr>
              <w:br/>
              <w:t>(d)</w:t>
            </w:r>
          </w:p>
        </w:tc>
        <w:tc>
          <w:tcPr>
            <w:tcW w:w="2957" w:type="dxa"/>
            <w:gridSpan w:val="4"/>
            <w:tcBorders>
              <w:top w:val="single" w:sz="4" w:space="0" w:color="808080" w:themeColor="background1" w:themeShade="80"/>
              <w:left w:val="single" w:sz="4" w:space="0" w:color="000000"/>
              <w:bottom w:val="single" w:sz="4" w:space="0" w:color="auto"/>
              <w:right w:val="nil"/>
            </w:tcBorders>
            <w:shd w:val="clear" w:color="000000" w:fill="FFFFFF"/>
            <w:noWrap/>
            <w:hideMark/>
          </w:tcPr>
          <w:p w14:paraId="25064F29" w14:textId="0D9A4EAB" w:rsidR="00A24567" w:rsidRPr="001720A8" w:rsidRDefault="006723AA"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 xml:space="preserve">% of </w:t>
            </w:r>
            <w:r w:rsidR="00A24567" w:rsidRPr="001720A8">
              <w:rPr>
                <w:b/>
                <w:bCs/>
                <w:color w:val="000000"/>
                <w:sz w:val="15"/>
                <w:szCs w:val="13"/>
                <w:lang w:val="en-US" w:eastAsia="en-US"/>
              </w:rPr>
              <w:t>DRG total cost</w:t>
            </w:r>
          </w:p>
        </w:tc>
        <w:tc>
          <w:tcPr>
            <w:tcW w:w="989" w:type="dxa"/>
            <w:vMerge w:val="restart"/>
            <w:tcBorders>
              <w:top w:val="single" w:sz="4" w:space="0" w:color="808080" w:themeColor="background1" w:themeShade="80"/>
              <w:left w:val="single" w:sz="4" w:space="0" w:color="auto"/>
              <w:bottom w:val="single" w:sz="4" w:space="0" w:color="000000"/>
              <w:right w:val="nil"/>
            </w:tcBorders>
            <w:shd w:val="clear" w:color="000000" w:fill="FFFFFF"/>
            <w:hideMark/>
          </w:tcPr>
          <w:p w14:paraId="7E178C91" w14:textId="1D0EE97A" w:rsidR="00A24567" w:rsidRPr="001720A8" w:rsidRDefault="00A330F5" w:rsidP="003A166C">
            <w:pPr>
              <w:spacing w:after="0" w:line="240" w:lineRule="auto"/>
              <w:jc w:val="center"/>
              <w:rPr>
                <w:b/>
                <w:bCs/>
                <w:color w:val="000000"/>
                <w:sz w:val="15"/>
                <w:szCs w:val="13"/>
                <w:lang w:val="en-US" w:eastAsia="en-US"/>
              </w:rPr>
            </w:pPr>
            <w:r>
              <w:rPr>
                <w:b/>
                <w:bCs/>
                <w:color w:val="000000"/>
                <w:sz w:val="15"/>
                <w:szCs w:val="13"/>
                <w:lang w:val="en-US" w:eastAsia="en-US"/>
              </w:rPr>
              <w:t>P</w:t>
            </w:r>
            <w:r w:rsidR="00A24567" w:rsidRPr="001720A8">
              <w:rPr>
                <w:b/>
                <w:bCs/>
                <w:color w:val="000000"/>
                <w:sz w:val="15"/>
                <w:szCs w:val="13"/>
                <w:lang w:val="en-US" w:eastAsia="en-US"/>
              </w:rPr>
              <w:t>rosthesis cost weight</w:t>
            </w:r>
            <w:r>
              <w:rPr>
                <w:b/>
                <w:bCs/>
                <w:color w:val="000000"/>
                <w:sz w:val="15"/>
                <w:szCs w:val="13"/>
                <w:lang w:val="en-US" w:eastAsia="en-US"/>
              </w:rPr>
              <w:t xml:space="preserve"> </w:t>
            </w:r>
            <w:r w:rsidRPr="001720A8">
              <w:rPr>
                <w:b/>
                <w:bCs/>
                <w:color w:val="000000"/>
                <w:sz w:val="14"/>
                <w:szCs w:val="14"/>
                <w:lang w:val="en-US" w:eastAsia="en-US"/>
              </w:rPr>
              <w:t>Round 20</w:t>
            </w:r>
          </w:p>
        </w:tc>
        <w:tc>
          <w:tcPr>
            <w:tcW w:w="701" w:type="dxa"/>
            <w:vMerge w:val="restart"/>
            <w:tcBorders>
              <w:top w:val="single" w:sz="4" w:space="0" w:color="808080" w:themeColor="background1" w:themeShade="80"/>
              <w:left w:val="nil"/>
              <w:bottom w:val="single" w:sz="4" w:space="0" w:color="000000"/>
              <w:right w:val="nil"/>
            </w:tcBorders>
            <w:shd w:val="clear" w:color="000000" w:fill="FFFFFF"/>
            <w:hideMark/>
          </w:tcPr>
          <w:p w14:paraId="68788B1D" w14:textId="76E918FF" w:rsidR="00A24567" w:rsidRPr="001720A8" w:rsidRDefault="00A24567" w:rsidP="003A166C">
            <w:pPr>
              <w:spacing w:after="0" w:line="240" w:lineRule="auto"/>
              <w:jc w:val="center"/>
              <w:rPr>
                <w:b/>
                <w:bCs/>
                <w:color w:val="000000"/>
                <w:sz w:val="15"/>
                <w:szCs w:val="13"/>
                <w:lang w:val="en-US" w:eastAsia="en-US"/>
              </w:rPr>
            </w:pPr>
            <w:r w:rsidRPr="001720A8">
              <w:rPr>
                <w:b/>
                <w:bCs/>
                <w:color w:val="000000"/>
                <w:sz w:val="15"/>
                <w:szCs w:val="13"/>
                <w:lang w:val="en-US" w:eastAsia="en-US"/>
              </w:rPr>
              <w:t>R</w:t>
            </w:r>
            <w:r w:rsidR="001720A8" w:rsidRPr="001720A8">
              <w:rPr>
                <w:b/>
                <w:bCs/>
                <w:color w:val="000000"/>
                <w:sz w:val="15"/>
                <w:szCs w:val="13"/>
                <w:lang w:val="en-US" w:eastAsia="en-US"/>
              </w:rPr>
              <w:t>ank Round 20</w:t>
            </w:r>
          </w:p>
        </w:tc>
      </w:tr>
      <w:tr w:rsidR="00D62C98" w:rsidRPr="00E4527E" w14:paraId="2A0B6FC8" w14:textId="77777777" w:rsidTr="008C0756">
        <w:trPr>
          <w:trHeight w:val="380"/>
          <w:tblHeader/>
        </w:trPr>
        <w:tc>
          <w:tcPr>
            <w:tcW w:w="709" w:type="dxa"/>
            <w:gridSpan w:val="2"/>
            <w:vMerge/>
            <w:tcBorders>
              <w:top w:val="single" w:sz="4" w:space="0" w:color="auto"/>
              <w:left w:val="nil"/>
              <w:bottom w:val="single" w:sz="4" w:space="0" w:color="000000"/>
              <w:right w:val="nil"/>
            </w:tcBorders>
            <w:vAlign w:val="center"/>
            <w:hideMark/>
          </w:tcPr>
          <w:p w14:paraId="399CEF71" w14:textId="77777777" w:rsidR="00A24567" w:rsidRPr="001720A8" w:rsidRDefault="00A24567" w:rsidP="00A24567">
            <w:pPr>
              <w:rPr>
                <w:b/>
                <w:bCs/>
                <w:color w:val="000000"/>
                <w:sz w:val="15"/>
                <w:szCs w:val="13"/>
                <w:lang w:val="en-US" w:eastAsia="en-US"/>
              </w:rPr>
            </w:pPr>
          </w:p>
        </w:tc>
        <w:tc>
          <w:tcPr>
            <w:tcW w:w="691" w:type="dxa"/>
            <w:vMerge/>
            <w:tcBorders>
              <w:top w:val="single" w:sz="4" w:space="0" w:color="auto"/>
              <w:left w:val="nil"/>
              <w:bottom w:val="single" w:sz="4" w:space="0" w:color="000000"/>
              <w:right w:val="nil"/>
            </w:tcBorders>
            <w:vAlign w:val="center"/>
            <w:hideMark/>
          </w:tcPr>
          <w:p w14:paraId="549A9A17" w14:textId="77777777" w:rsidR="00A24567" w:rsidRPr="001720A8" w:rsidRDefault="00A24567" w:rsidP="00A24567">
            <w:pPr>
              <w:rPr>
                <w:b/>
                <w:bCs/>
                <w:color w:val="000000"/>
                <w:sz w:val="15"/>
                <w:szCs w:val="13"/>
                <w:lang w:val="en-US" w:eastAsia="en-US"/>
              </w:rPr>
            </w:pPr>
          </w:p>
        </w:tc>
        <w:tc>
          <w:tcPr>
            <w:tcW w:w="585" w:type="dxa"/>
            <w:vMerge/>
            <w:tcBorders>
              <w:top w:val="single" w:sz="4" w:space="0" w:color="auto"/>
              <w:left w:val="nil"/>
              <w:bottom w:val="single" w:sz="4" w:space="0" w:color="000000"/>
              <w:right w:val="nil"/>
            </w:tcBorders>
            <w:vAlign w:val="center"/>
            <w:hideMark/>
          </w:tcPr>
          <w:p w14:paraId="4A164E9A" w14:textId="77777777" w:rsidR="00A24567" w:rsidRPr="001720A8" w:rsidRDefault="00A24567" w:rsidP="00A24567">
            <w:pPr>
              <w:rPr>
                <w:b/>
                <w:bCs/>
                <w:color w:val="000000"/>
                <w:sz w:val="15"/>
                <w:szCs w:val="13"/>
                <w:lang w:val="en-US" w:eastAsia="en-US"/>
              </w:rPr>
            </w:pPr>
          </w:p>
        </w:tc>
        <w:tc>
          <w:tcPr>
            <w:tcW w:w="4639" w:type="dxa"/>
            <w:vMerge/>
            <w:tcBorders>
              <w:top w:val="single" w:sz="4" w:space="0" w:color="auto"/>
              <w:left w:val="nil"/>
              <w:bottom w:val="single" w:sz="4" w:space="0" w:color="000000"/>
              <w:right w:val="nil"/>
            </w:tcBorders>
            <w:vAlign w:val="center"/>
            <w:hideMark/>
          </w:tcPr>
          <w:p w14:paraId="54D25983" w14:textId="77777777" w:rsidR="00A24567" w:rsidRPr="001720A8" w:rsidRDefault="00A24567" w:rsidP="00A24567">
            <w:pPr>
              <w:rPr>
                <w:b/>
                <w:bCs/>
                <w:color w:val="000000"/>
                <w:sz w:val="15"/>
                <w:szCs w:val="13"/>
                <w:lang w:val="en-US" w:eastAsia="en-US"/>
              </w:rPr>
            </w:pPr>
          </w:p>
        </w:tc>
        <w:tc>
          <w:tcPr>
            <w:tcW w:w="752" w:type="dxa"/>
            <w:vMerge/>
            <w:tcBorders>
              <w:top w:val="single" w:sz="4" w:space="0" w:color="auto"/>
              <w:left w:val="nil"/>
              <w:bottom w:val="single" w:sz="4" w:space="0" w:color="000000"/>
              <w:right w:val="nil"/>
            </w:tcBorders>
            <w:vAlign w:val="center"/>
            <w:hideMark/>
          </w:tcPr>
          <w:p w14:paraId="24C0E230" w14:textId="77777777" w:rsidR="00A24567" w:rsidRPr="001720A8" w:rsidRDefault="00A24567" w:rsidP="00A24567">
            <w:pPr>
              <w:rPr>
                <w:b/>
                <w:bCs/>
                <w:color w:val="000000"/>
                <w:sz w:val="15"/>
                <w:szCs w:val="13"/>
                <w:lang w:val="en-US" w:eastAsia="en-US"/>
              </w:rPr>
            </w:pPr>
          </w:p>
        </w:tc>
        <w:tc>
          <w:tcPr>
            <w:tcW w:w="897" w:type="dxa"/>
            <w:vMerge/>
            <w:tcBorders>
              <w:top w:val="single" w:sz="4" w:space="0" w:color="auto"/>
              <w:left w:val="nil"/>
              <w:bottom w:val="single" w:sz="4" w:space="0" w:color="000000"/>
              <w:right w:val="nil"/>
            </w:tcBorders>
            <w:vAlign w:val="center"/>
            <w:hideMark/>
          </w:tcPr>
          <w:p w14:paraId="16B21EFC" w14:textId="77777777" w:rsidR="00A24567" w:rsidRPr="001720A8" w:rsidRDefault="00A24567" w:rsidP="00A24567">
            <w:pPr>
              <w:rPr>
                <w:b/>
                <w:bCs/>
                <w:color w:val="000000"/>
                <w:sz w:val="15"/>
                <w:szCs w:val="13"/>
                <w:lang w:val="en-US" w:eastAsia="en-US"/>
              </w:rPr>
            </w:pPr>
          </w:p>
        </w:tc>
        <w:tc>
          <w:tcPr>
            <w:tcW w:w="735" w:type="dxa"/>
            <w:vMerge/>
            <w:tcBorders>
              <w:top w:val="single" w:sz="4" w:space="0" w:color="auto"/>
              <w:left w:val="nil"/>
              <w:bottom w:val="single" w:sz="4" w:space="0" w:color="000000"/>
              <w:right w:val="nil"/>
            </w:tcBorders>
            <w:vAlign w:val="center"/>
            <w:hideMark/>
          </w:tcPr>
          <w:p w14:paraId="4A5B7154" w14:textId="77777777" w:rsidR="00A24567" w:rsidRPr="001720A8" w:rsidRDefault="00A24567" w:rsidP="00A24567">
            <w:pPr>
              <w:rPr>
                <w:b/>
                <w:bCs/>
                <w:color w:val="000000"/>
                <w:sz w:val="15"/>
                <w:szCs w:val="13"/>
                <w:lang w:val="en-US" w:eastAsia="en-US"/>
              </w:rPr>
            </w:pPr>
          </w:p>
        </w:tc>
        <w:tc>
          <w:tcPr>
            <w:tcW w:w="679" w:type="dxa"/>
            <w:vMerge/>
            <w:tcBorders>
              <w:top w:val="single" w:sz="4" w:space="0" w:color="auto"/>
              <w:left w:val="nil"/>
              <w:bottom w:val="single" w:sz="4" w:space="0" w:color="000000"/>
              <w:right w:val="single" w:sz="4" w:space="0" w:color="000000"/>
            </w:tcBorders>
            <w:vAlign w:val="center"/>
            <w:hideMark/>
          </w:tcPr>
          <w:p w14:paraId="31177DCE" w14:textId="77777777" w:rsidR="00A24567" w:rsidRPr="001720A8" w:rsidRDefault="00A24567" w:rsidP="00A24567">
            <w:pPr>
              <w:rPr>
                <w:b/>
                <w:bCs/>
                <w:color w:val="000000"/>
                <w:sz w:val="15"/>
                <w:szCs w:val="13"/>
                <w:lang w:val="en-US" w:eastAsia="en-US"/>
              </w:rPr>
            </w:pPr>
          </w:p>
        </w:tc>
        <w:tc>
          <w:tcPr>
            <w:tcW w:w="691" w:type="dxa"/>
            <w:tcBorders>
              <w:top w:val="nil"/>
              <w:left w:val="single" w:sz="4" w:space="0" w:color="000000"/>
              <w:bottom w:val="single" w:sz="4" w:space="0" w:color="000000"/>
              <w:right w:val="nil"/>
            </w:tcBorders>
            <w:shd w:val="clear" w:color="000000" w:fill="FFFFFF"/>
            <w:hideMark/>
          </w:tcPr>
          <w:p w14:paraId="6D421CF4" w14:textId="77777777" w:rsidR="00A24567" w:rsidRPr="001720A8" w:rsidRDefault="00A24567" w:rsidP="003A166C">
            <w:pPr>
              <w:spacing w:line="240" w:lineRule="auto"/>
              <w:jc w:val="center"/>
              <w:rPr>
                <w:b/>
                <w:bCs/>
                <w:color w:val="000000"/>
                <w:sz w:val="15"/>
                <w:szCs w:val="13"/>
                <w:lang w:val="en-US" w:eastAsia="en-US"/>
              </w:rPr>
            </w:pPr>
            <w:r w:rsidRPr="001720A8">
              <w:rPr>
                <w:b/>
                <w:bCs/>
                <w:color w:val="000000"/>
                <w:sz w:val="15"/>
                <w:szCs w:val="13"/>
                <w:lang w:val="en-US" w:eastAsia="en-US"/>
              </w:rPr>
              <w:t>OR and SPS</w:t>
            </w:r>
          </w:p>
        </w:tc>
        <w:tc>
          <w:tcPr>
            <w:tcW w:w="735" w:type="dxa"/>
            <w:tcBorders>
              <w:top w:val="nil"/>
              <w:left w:val="nil"/>
              <w:bottom w:val="single" w:sz="4" w:space="0" w:color="000000"/>
              <w:right w:val="nil"/>
            </w:tcBorders>
            <w:shd w:val="clear" w:color="000000" w:fill="FFFFFF"/>
            <w:hideMark/>
          </w:tcPr>
          <w:p w14:paraId="1C5DA3AB" w14:textId="77777777" w:rsidR="00A24567" w:rsidRPr="001720A8" w:rsidRDefault="00A24567" w:rsidP="003A166C">
            <w:pPr>
              <w:spacing w:line="240" w:lineRule="auto"/>
              <w:jc w:val="center"/>
              <w:rPr>
                <w:b/>
                <w:bCs/>
                <w:color w:val="000000"/>
                <w:sz w:val="15"/>
                <w:szCs w:val="13"/>
                <w:lang w:val="en-US" w:eastAsia="en-US"/>
              </w:rPr>
            </w:pPr>
            <w:r w:rsidRPr="001720A8">
              <w:rPr>
                <w:b/>
                <w:bCs/>
                <w:color w:val="000000"/>
                <w:sz w:val="15"/>
                <w:szCs w:val="13"/>
                <w:lang w:val="en-US" w:eastAsia="en-US"/>
              </w:rPr>
              <w:t>Critical care</w:t>
            </w:r>
          </w:p>
        </w:tc>
        <w:tc>
          <w:tcPr>
            <w:tcW w:w="752" w:type="dxa"/>
            <w:tcBorders>
              <w:top w:val="nil"/>
              <w:left w:val="nil"/>
              <w:bottom w:val="single" w:sz="4" w:space="0" w:color="000000"/>
              <w:right w:val="nil"/>
            </w:tcBorders>
            <w:shd w:val="clear" w:color="000000" w:fill="FFFFFF"/>
            <w:hideMark/>
          </w:tcPr>
          <w:p w14:paraId="4F5CA7AB" w14:textId="77777777" w:rsidR="00A24567" w:rsidRPr="001720A8" w:rsidRDefault="00A24567" w:rsidP="003A166C">
            <w:pPr>
              <w:spacing w:line="240" w:lineRule="auto"/>
              <w:jc w:val="center"/>
              <w:rPr>
                <w:b/>
                <w:bCs/>
                <w:color w:val="000000"/>
                <w:sz w:val="15"/>
                <w:szCs w:val="13"/>
                <w:lang w:val="en-US" w:eastAsia="en-US"/>
              </w:rPr>
            </w:pPr>
            <w:r w:rsidRPr="001720A8">
              <w:rPr>
                <w:b/>
                <w:bCs/>
                <w:color w:val="000000"/>
                <w:sz w:val="15"/>
                <w:szCs w:val="13"/>
                <w:lang w:val="en-US" w:eastAsia="en-US"/>
              </w:rPr>
              <w:t>Prosth-esis</w:t>
            </w:r>
          </w:p>
        </w:tc>
        <w:tc>
          <w:tcPr>
            <w:tcW w:w="779" w:type="dxa"/>
            <w:tcBorders>
              <w:top w:val="nil"/>
              <w:left w:val="nil"/>
              <w:bottom w:val="single" w:sz="4" w:space="0" w:color="000000"/>
              <w:right w:val="nil"/>
            </w:tcBorders>
            <w:shd w:val="clear" w:color="000000" w:fill="FFFFFF"/>
            <w:hideMark/>
          </w:tcPr>
          <w:p w14:paraId="30992F14" w14:textId="77777777" w:rsidR="00A24567" w:rsidRPr="001720A8" w:rsidRDefault="00A24567" w:rsidP="003A166C">
            <w:pPr>
              <w:spacing w:line="240" w:lineRule="auto"/>
              <w:jc w:val="center"/>
              <w:rPr>
                <w:b/>
                <w:bCs/>
                <w:color w:val="000000"/>
                <w:sz w:val="15"/>
                <w:szCs w:val="13"/>
                <w:lang w:val="en-US" w:eastAsia="en-US"/>
              </w:rPr>
            </w:pPr>
            <w:r w:rsidRPr="001720A8">
              <w:rPr>
                <w:b/>
                <w:bCs/>
                <w:color w:val="000000"/>
                <w:sz w:val="15"/>
                <w:szCs w:val="13"/>
                <w:lang w:val="en-US" w:eastAsia="en-US"/>
              </w:rPr>
              <w:t xml:space="preserve">Miscell-aneous </w:t>
            </w:r>
          </w:p>
        </w:tc>
        <w:tc>
          <w:tcPr>
            <w:tcW w:w="989" w:type="dxa"/>
            <w:vMerge/>
            <w:tcBorders>
              <w:top w:val="single" w:sz="4" w:space="0" w:color="auto"/>
              <w:left w:val="single" w:sz="4" w:space="0" w:color="auto"/>
              <w:bottom w:val="single" w:sz="4" w:space="0" w:color="000000"/>
              <w:right w:val="nil"/>
            </w:tcBorders>
            <w:vAlign w:val="center"/>
            <w:hideMark/>
          </w:tcPr>
          <w:p w14:paraId="7FAFD194" w14:textId="77777777" w:rsidR="00A24567" w:rsidRPr="001720A8" w:rsidRDefault="00A24567" w:rsidP="00A24567">
            <w:pPr>
              <w:rPr>
                <w:b/>
                <w:bCs/>
                <w:color w:val="000000"/>
                <w:sz w:val="15"/>
                <w:szCs w:val="13"/>
                <w:lang w:val="en-US" w:eastAsia="en-US"/>
              </w:rPr>
            </w:pPr>
          </w:p>
        </w:tc>
        <w:tc>
          <w:tcPr>
            <w:tcW w:w="701" w:type="dxa"/>
            <w:vMerge/>
            <w:tcBorders>
              <w:top w:val="single" w:sz="4" w:space="0" w:color="auto"/>
              <w:left w:val="nil"/>
              <w:bottom w:val="single" w:sz="4" w:space="0" w:color="000000"/>
              <w:right w:val="nil"/>
            </w:tcBorders>
            <w:vAlign w:val="center"/>
            <w:hideMark/>
          </w:tcPr>
          <w:p w14:paraId="17080744" w14:textId="77777777" w:rsidR="00A24567" w:rsidRPr="001720A8" w:rsidRDefault="00A24567" w:rsidP="00A24567">
            <w:pPr>
              <w:rPr>
                <w:b/>
                <w:bCs/>
                <w:color w:val="000000"/>
                <w:sz w:val="15"/>
                <w:szCs w:val="13"/>
                <w:lang w:val="en-US" w:eastAsia="en-US"/>
              </w:rPr>
            </w:pPr>
          </w:p>
        </w:tc>
      </w:tr>
      <w:tr w:rsidR="001720A8" w:rsidRPr="00E4527E" w14:paraId="4A8CEF15"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56804BEB" w14:textId="23E2C20F"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12ED633F" w14:textId="7E891257" w:rsidR="001720A8" w:rsidRPr="001720A8" w:rsidRDefault="001720A8" w:rsidP="001720A8">
            <w:pPr>
              <w:spacing w:after="0"/>
              <w:jc w:val="center"/>
              <w:rPr>
                <w:color w:val="000000"/>
                <w:sz w:val="15"/>
                <w:szCs w:val="13"/>
                <w:lang w:val="en-US" w:eastAsia="en-US"/>
              </w:rPr>
            </w:pPr>
            <w:r w:rsidRPr="001720A8">
              <w:rPr>
                <w:color w:val="000000"/>
                <w:sz w:val="14"/>
                <w:szCs w:val="14"/>
              </w:rPr>
              <w:t>1</w:t>
            </w:r>
          </w:p>
        </w:tc>
        <w:tc>
          <w:tcPr>
            <w:tcW w:w="585" w:type="dxa"/>
            <w:tcBorders>
              <w:top w:val="nil"/>
              <w:left w:val="nil"/>
              <w:bottom w:val="nil"/>
              <w:right w:val="nil"/>
            </w:tcBorders>
            <w:shd w:val="clear" w:color="000000" w:fill="FFFFFF"/>
            <w:noWrap/>
            <w:hideMark/>
          </w:tcPr>
          <w:p w14:paraId="38051871" w14:textId="4A36A580" w:rsidR="001720A8" w:rsidRPr="001720A8" w:rsidRDefault="001720A8" w:rsidP="001720A8">
            <w:pPr>
              <w:spacing w:after="0"/>
              <w:rPr>
                <w:color w:val="000000"/>
                <w:sz w:val="15"/>
                <w:szCs w:val="13"/>
                <w:lang w:val="en-US" w:eastAsia="en-US"/>
              </w:rPr>
            </w:pPr>
            <w:r w:rsidRPr="001720A8">
              <w:rPr>
                <w:color w:val="000000"/>
                <w:sz w:val="14"/>
                <w:szCs w:val="14"/>
              </w:rPr>
              <w:t>F01A</w:t>
            </w:r>
          </w:p>
        </w:tc>
        <w:tc>
          <w:tcPr>
            <w:tcW w:w="4639" w:type="dxa"/>
            <w:tcBorders>
              <w:top w:val="nil"/>
              <w:left w:val="nil"/>
              <w:bottom w:val="nil"/>
              <w:right w:val="nil"/>
            </w:tcBorders>
            <w:shd w:val="clear" w:color="000000" w:fill="FFFFFF"/>
            <w:noWrap/>
            <w:hideMark/>
          </w:tcPr>
          <w:p w14:paraId="36877580" w14:textId="70883A8C" w:rsidR="001720A8" w:rsidRPr="001720A8" w:rsidRDefault="001720A8" w:rsidP="001720A8">
            <w:pPr>
              <w:spacing w:after="0"/>
              <w:rPr>
                <w:color w:val="000000"/>
                <w:sz w:val="15"/>
                <w:szCs w:val="13"/>
                <w:lang w:val="en-US" w:eastAsia="en-US"/>
              </w:rPr>
            </w:pPr>
            <w:r w:rsidRPr="001720A8">
              <w:rPr>
                <w:color w:val="000000"/>
                <w:sz w:val="14"/>
                <w:szCs w:val="14"/>
              </w:rPr>
              <w:t>Implantation and Replacement of AICD, Total System, Major Complexity</w:t>
            </w:r>
          </w:p>
        </w:tc>
        <w:tc>
          <w:tcPr>
            <w:tcW w:w="752" w:type="dxa"/>
            <w:tcBorders>
              <w:top w:val="nil"/>
              <w:left w:val="nil"/>
              <w:bottom w:val="nil"/>
              <w:right w:val="nil"/>
            </w:tcBorders>
            <w:shd w:val="clear" w:color="000000" w:fill="FFFFFF"/>
            <w:noWrap/>
            <w:hideMark/>
          </w:tcPr>
          <w:p w14:paraId="05B39029" w14:textId="351AB471"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15.91</w:t>
            </w:r>
          </w:p>
        </w:tc>
        <w:tc>
          <w:tcPr>
            <w:tcW w:w="897" w:type="dxa"/>
            <w:tcBorders>
              <w:top w:val="nil"/>
              <w:left w:val="nil"/>
              <w:bottom w:val="nil"/>
              <w:right w:val="nil"/>
            </w:tcBorders>
            <w:shd w:val="clear" w:color="000000" w:fill="FFFFFF"/>
            <w:noWrap/>
            <w:hideMark/>
          </w:tcPr>
          <w:p w14:paraId="54AE3482" w14:textId="120E00B9" w:rsidR="001720A8" w:rsidRPr="001720A8" w:rsidRDefault="001720A8" w:rsidP="001720A8">
            <w:pPr>
              <w:spacing w:after="0"/>
              <w:jc w:val="right"/>
              <w:rPr>
                <w:color w:val="000000"/>
                <w:sz w:val="15"/>
                <w:szCs w:val="13"/>
                <w:lang w:val="en-US" w:eastAsia="en-US"/>
              </w:rPr>
            </w:pPr>
            <w:r w:rsidRPr="001720A8">
              <w:rPr>
                <w:color w:val="000000"/>
                <w:sz w:val="14"/>
                <w:szCs w:val="14"/>
              </w:rPr>
              <w:t>278</w:t>
            </w:r>
          </w:p>
        </w:tc>
        <w:tc>
          <w:tcPr>
            <w:tcW w:w="735" w:type="dxa"/>
            <w:tcBorders>
              <w:top w:val="nil"/>
              <w:left w:val="nil"/>
              <w:bottom w:val="nil"/>
              <w:right w:val="nil"/>
            </w:tcBorders>
            <w:shd w:val="clear" w:color="000000" w:fill="FFFFFF"/>
            <w:noWrap/>
            <w:hideMark/>
          </w:tcPr>
          <w:p w14:paraId="3A21413C" w14:textId="7E23CCFD" w:rsidR="001720A8" w:rsidRPr="001720A8" w:rsidRDefault="001720A8" w:rsidP="001720A8">
            <w:pPr>
              <w:spacing w:after="0"/>
              <w:jc w:val="right"/>
              <w:rPr>
                <w:color w:val="000000"/>
                <w:sz w:val="15"/>
                <w:szCs w:val="13"/>
                <w:lang w:val="en-US" w:eastAsia="en-US"/>
              </w:rPr>
            </w:pPr>
            <w:r w:rsidRPr="001720A8">
              <w:rPr>
                <w:color w:val="000000"/>
                <w:sz w:val="14"/>
                <w:szCs w:val="14"/>
              </w:rPr>
              <w:t>21.58</w:t>
            </w:r>
          </w:p>
        </w:tc>
        <w:tc>
          <w:tcPr>
            <w:tcW w:w="679" w:type="dxa"/>
            <w:tcBorders>
              <w:top w:val="nil"/>
              <w:left w:val="nil"/>
              <w:bottom w:val="nil"/>
              <w:right w:val="nil"/>
            </w:tcBorders>
            <w:shd w:val="clear" w:color="000000" w:fill="FFFFFF"/>
            <w:noWrap/>
            <w:hideMark/>
          </w:tcPr>
          <w:p w14:paraId="28D064C1" w14:textId="380EAC2E" w:rsidR="001720A8" w:rsidRPr="001720A8" w:rsidRDefault="001720A8" w:rsidP="001720A8">
            <w:pPr>
              <w:spacing w:after="0"/>
              <w:jc w:val="right"/>
              <w:rPr>
                <w:color w:val="000000"/>
                <w:sz w:val="15"/>
                <w:szCs w:val="13"/>
                <w:lang w:val="en-US" w:eastAsia="en-US"/>
              </w:rPr>
            </w:pPr>
            <w:r w:rsidRPr="001720A8">
              <w:rPr>
                <w:color w:val="000000"/>
                <w:sz w:val="14"/>
                <w:szCs w:val="14"/>
              </w:rPr>
              <w:t>12.3</w:t>
            </w:r>
          </w:p>
        </w:tc>
        <w:tc>
          <w:tcPr>
            <w:tcW w:w="691" w:type="dxa"/>
            <w:tcBorders>
              <w:top w:val="nil"/>
              <w:left w:val="single" w:sz="4" w:space="0" w:color="000000"/>
              <w:bottom w:val="nil"/>
              <w:right w:val="nil"/>
            </w:tcBorders>
            <w:shd w:val="clear" w:color="000000" w:fill="FFFFFF"/>
            <w:noWrap/>
            <w:hideMark/>
          </w:tcPr>
          <w:p w14:paraId="5DB5FE4D" w14:textId="0C002507" w:rsidR="001720A8" w:rsidRPr="001720A8" w:rsidRDefault="001720A8" w:rsidP="001720A8">
            <w:pPr>
              <w:spacing w:after="0"/>
              <w:jc w:val="right"/>
              <w:rPr>
                <w:color w:val="000000"/>
                <w:sz w:val="15"/>
                <w:szCs w:val="13"/>
                <w:lang w:val="en-US" w:eastAsia="en-US"/>
              </w:rPr>
            </w:pPr>
            <w:r w:rsidRPr="001720A8">
              <w:rPr>
                <w:color w:val="000000"/>
                <w:sz w:val="14"/>
                <w:szCs w:val="14"/>
              </w:rPr>
              <w:t>6%</w:t>
            </w:r>
          </w:p>
        </w:tc>
        <w:tc>
          <w:tcPr>
            <w:tcW w:w="735" w:type="dxa"/>
            <w:tcBorders>
              <w:top w:val="nil"/>
              <w:left w:val="nil"/>
              <w:bottom w:val="nil"/>
              <w:right w:val="nil"/>
            </w:tcBorders>
            <w:shd w:val="clear" w:color="000000" w:fill="FFFFFF"/>
            <w:noWrap/>
            <w:hideMark/>
          </w:tcPr>
          <w:p w14:paraId="29E9C709" w14:textId="1C873827" w:rsidR="001720A8" w:rsidRPr="001720A8" w:rsidRDefault="001720A8" w:rsidP="001720A8">
            <w:pPr>
              <w:spacing w:after="0"/>
              <w:jc w:val="right"/>
              <w:rPr>
                <w:color w:val="000000"/>
                <w:sz w:val="15"/>
                <w:szCs w:val="13"/>
                <w:lang w:val="en-US" w:eastAsia="en-US"/>
              </w:rPr>
            </w:pPr>
            <w:r w:rsidRPr="001720A8">
              <w:rPr>
                <w:color w:val="000000"/>
                <w:sz w:val="14"/>
                <w:szCs w:val="14"/>
              </w:rPr>
              <w:t>8%</w:t>
            </w:r>
          </w:p>
        </w:tc>
        <w:tc>
          <w:tcPr>
            <w:tcW w:w="752" w:type="dxa"/>
            <w:tcBorders>
              <w:top w:val="nil"/>
              <w:left w:val="nil"/>
              <w:bottom w:val="nil"/>
              <w:right w:val="nil"/>
            </w:tcBorders>
            <w:shd w:val="clear" w:color="000000" w:fill="FFFFFF"/>
            <w:noWrap/>
            <w:hideMark/>
          </w:tcPr>
          <w:p w14:paraId="08856FCD" w14:textId="38345281" w:rsidR="001720A8" w:rsidRPr="001720A8" w:rsidRDefault="001720A8" w:rsidP="001720A8">
            <w:pPr>
              <w:spacing w:after="0"/>
              <w:jc w:val="right"/>
              <w:rPr>
                <w:color w:val="000000"/>
                <w:sz w:val="15"/>
                <w:szCs w:val="13"/>
                <w:lang w:val="en-US" w:eastAsia="en-US"/>
              </w:rPr>
            </w:pPr>
            <w:r w:rsidRPr="001720A8">
              <w:rPr>
                <w:color w:val="000000"/>
                <w:sz w:val="14"/>
                <w:szCs w:val="14"/>
              </w:rPr>
              <w:t>74%</w:t>
            </w:r>
          </w:p>
        </w:tc>
        <w:tc>
          <w:tcPr>
            <w:tcW w:w="779" w:type="dxa"/>
            <w:tcBorders>
              <w:top w:val="nil"/>
              <w:left w:val="nil"/>
              <w:bottom w:val="nil"/>
              <w:right w:val="nil"/>
            </w:tcBorders>
            <w:shd w:val="clear" w:color="000000" w:fill="FFFFFF"/>
            <w:noWrap/>
            <w:hideMark/>
          </w:tcPr>
          <w:p w14:paraId="021EC28D" w14:textId="2C732141" w:rsidR="001720A8" w:rsidRPr="001720A8" w:rsidRDefault="001720A8" w:rsidP="001720A8">
            <w:pPr>
              <w:spacing w:after="0"/>
              <w:jc w:val="right"/>
              <w:rPr>
                <w:color w:val="000000"/>
                <w:sz w:val="15"/>
                <w:szCs w:val="13"/>
                <w:lang w:val="en-US" w:eastAsia="en-US"/>
              </w:rPr>
            </w:pPr>
            <w:r w:rsidRPr="001720A8">
              <w:rPr>
                <w:color w:val="000000"/>
                <w:sz w:val="14"/>
                <w:szCs w:val="14"/>
              </w:rPr>
              <w:t>12%</w:t>
            </w:r>
          </w:p>
        </w:tc>
        <w:tc>
          <w:tcPr>
            <w:tcW w:w="989" w:type="dxa"/>
            <w:tcBorders>
              <w:top w:val="nil"/>
              <w:left w:val="single" w:sz="4" w:space="0" w:color="auto"/>
              <w:bottom w:val="nil"/>
              <w:right w:val="nil"/>
            </w:tcBorders>
            <w:shd w:val="clear" w:color="000000" w:fill="FFFFFF"/>
            <w:noWrap/>
            <w:hideMark/>
          </w:tcPr>
          <w:p w14:paraId="711A3BBD" w14:textId="4E8819F4" w:rsidR="001720A8" w:rsidRPr="001720A8" w:rsidRDefault="001720A8" w:rsidP="001720A8">
            <w:pPr>
              <w:spacing w:after="0"/>
              <w:jc w:val="right"/>
              <w:rPr>
                <w:color w:val="000000"/>
                <w:sz w:val="15"/>
                <w:szCs w:val="13"/>
                <w:lang w:val="en-US" w:eastAsia="en-US"/>
              </w:rPr>
            </w:pPr>
            <w:r w:rsidRPr="001720A8">
              <w:rPr>
                <w:color w:val="000000"/>
                <w:sz w:val="14"/>
                <w:szCs w:val="14"/>
              </w:rPr>
              <w:t>14.95</w:t>
            </w:r>
          </w:p>
        </w:tc>
        <w:tc>
          <w:tcPr>
            <w:tcW w:w="701" w:type="dxa"/>
            <w:tcBorders>
              <w:top w:val="nil"/>
              <w:left w:val="nil"/>
              <w:bottom w:val="nil"/>
              <w:right w:val="nil"/>
            </w:tcBorders>
            <w:shd w:val="clear" w:color="000000" w:fill="FFFFFF"/>
            <w:noWrap/>
            <w:hideMark/>
          </w:tcPr>
          <w:p w14:paraId="1672BB6D" w14:textId="1E1F0C56"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 </w:t>
            </w:r>
          </w:p>
        </w:tc>
      </w:tr>
      <w:tr w:rsidR="001720A8" w:rsidRPr="00E4527E" w14:paraId="526ACB07"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1BBCD219" w14:textId="4AF09518"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35D4B7EA" w14:textId="029CD33A" w:rsidR="001720A8" w:rsidRPr="001720A8" w:rsidRDefault="001720A8" w:rsidP="001720A8">
            <w:pPr>
              <w:spacing w:after="0"/>
              <w:jc w:val="center"/>
              <w:rPr>
                <w:color w:val="000000"/>
                <w:sz w:val="15"/>
                <w:szCs w:val="13"/>
                <w:lang w:val="en-US" w:eastAsia="en-US"/>
              </w:rPr>
            </w:pPr>
            <w:r w:rsidRPr="001720A8">
              <w:rPr>
                <w:color w:val="000000"/>
                <w:sz w:val="14"/>
                <w:szCs w:val="14"/>
              </w:rPr>
              <w:t>2</w:t>
            </w:r>
          </w:p>
        </w:tc>
        <w:tc>
          <w:tcPr>
            <w:tcW w:w="585" w:type="dxa"/>
            <w:tcBorders>
              <w:top w:val="nil"/>
              <w:left w:val="nil"/>
              <w:bottom w:val="nil"/>
              <w:right w:val="nil"/>
            </w:tcBorders>
            <w:shd w:val="clear" w:color="000000" w:fill="FFFFFF"/>
            <w:noWrap/>
            <w:hideMark/>
          </w:tcPr>
          <w:p w14:paraId="3CA053A4" w14:textId="5FEFD3CF" w:rsidR="001720A8" w:rsidRPr="001720A8" w:rsidRDefault="001720A8" w:rsidP="001720A8">
            <w:pPr>
              <w:spacing w:after="0"/>
              <w:rPr>
                <w:color w:val="000000"/>
                <w:sz w:val="15"/>
                <w:szCs w:val="13"/>
                <w:lang w:val="en-US" w:eastAsia="en-US"/>
              </w:rPr>
            </w:pPr>
            <w:r w:rsidRPr="001720A8">
              <w:rPr>
                <w:color w:val="000000"/>
                <w:sz w:val="14"/>
                <w:szCs w:val="14"/>
              </w:rPr>
              <w:t>F01B</w:t>
            </w:r>
          </w:p>
        </w:tc>
        <w:tc>
          <w:tcPr>
            <w:tcW w:w="4639" w:type="dxa"/>
            <w:tcBorders>
              <w:top w:val="nil"/>
              <w:left w:val="nil"/>
              <w:bottom w:val="nil"/>
              <w:right w:val="nil"/>
            </w:tcBorders>
            <w:shd w:val="clear" w:color="000000" w:fill="FFFFFF"/>
            <w:noWrap/>
            <w:hideMark/>
          </w:tcPr>
          <w:p w14:paraId="6DB586ED" w14:textId="4ED540A7" w:rsidR="001720A8" w:rsidRPr="001720A8" w:rsidRDefault="001720A8" w:rsidP="001720A8">
            <w:pPr>
              <w:spacing w:after="0"/>
              <w:rPr>
                <w:color w:val="000000"/>
                <w:sz w:val="15"/>
                <w:szCs w:val="13"/>
                <w:lang w:val="en-US" w:eastAsia="en-US"/>
              </w:rPr>
            </w:pPr>
            <w:r w:rsidRPr="001720A8">
              <w:rPr>
                <w:color w:val="000000"/>
                <w:sz w:val="14"/>
                <w:szCs w:val="14"/>
              </w:rPr>
              <w:t>Implantation and Replacement of AICD, Total System, Minor Complexity</w:t>
            </w:r>
          </w:p>
        </w:tc>
        <w:tc>
          <w:tcPr>
            <w:tcW w:w="752" w:type="dxa"/>
            <w:tcBorders>
              <w:top w:val="nil"/>
              <w:left w:val="nil"/>
              <w:bottom w:val="nil"/>
              <w:right w:val="nil"/>
            </w:tcBorders>
            <w:shd w:val="clear" w:color="000000" w:fill="FFFFFF"/>
            <w:noWrap/>
            <w:hideMark/>
          </w:tcPr>
          <w:p w14:paraId="680635D2" w14:textId="2FDCE9DA"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13.65</w:t>
            </w:r>
          </w:p>
        </w:tc>
        <w:tc>
          <w:tcPr>
            <w:tcW w:w="897" w:type="dxa"/>
            <w:tcBorders>
              <w:top w:val="nil"/>
              <w:left w:val="nil"/>
              <w:bottom w:val="nil"/>
              <w:right w:val="nil"/>
            </w:tcBorders>
            <w:shd w:val="clear" w:color="000000" w:fill="FFFFFF"/>
            <w:noWrap/>
            <w:hideMark/>
          </w:tcPr>
          <w:p w14:paraId="514B9FB7" w14:textId="3F185517" w:rsidR="001720A8" w:rsidRPr="001720A8" w:rsidRDefault="001720A8" w:rsidP="001720A8">
            <w:pPr>
              <w:spacing w:after="0"/>
              <w:jc w:val="right"/>
              <w:rPr>
                <w:color w:val="000000"/>
                <w:sz w:val="15"/>
                <w:szCs w:val="13"/>
                <w:lang w:val="en-US" w:eastAsia="en-US"/>
              </w:rPr>
            </w:pPr>
            <w:r w:rsidRPr="001720A8">
              <w:rPr>
                <w:color w:val="000000"/>
                <w:sz w:val="14"/>
                <w:szCs w:val="14"/>
              </w:rPr>
              <w:t>2,179</w:t>
            </w:r>
          </w:p>
        </w:tc>
        <w:tc>
          <w:tcPr>
            <w:tcW w:w="735" w:type="dxa"/>
            <w:tcBorders>
              <w:top w:val="nil"/>
              <w:left w:val="nil"/>
              <w:bottom w:val="nil"/>
              <w:right w:val="nil"/>
            </w:tcBorders>
            <w:shd w:val="clear" w:color="000000" w:fill="FFFFFF"/>
            <w:noWrap/>
            <w:hideMark/>
          </w:tcPr>
          <w:p w14:paraId="5D3B14EF" w14:textId="45BC5900" w:rsidR="001720A8" w:rsidRPr="001720A8" w:rsidRDefault="001720A8" w:rsidP="001720A8">
            <w:pPr>
              <w:spacing w:after="0"/>
              <w:jc w:val="right"/>
              <w:rPr>
                <w:color w:val="000000"/>
                <w:sz w:val="15"/>
                <w:szCs w:val="13"/>
                <w:lang w:val="en-US" w:eastAsia="en-US"/>
              </w:rPr>
            </w:pPr>
            <w:r w:rsidRPr="001720A8">
              <w:rPr>
                <w:color w:val="000000"/>
                <w:sz w:val="14"/>
                <w:szCs w:val="14"/>
              </w:rPr>
              <w:t>15.11</w:t>
            </w:r>
          </w:p>
        </w:tc>
        <w:tc>
          <w:tcPr>
            <w:tcW w:w="679" w:type="dxa"/>
            <w:tcBorders>
              <w:top w:val="nil"/>
              <w:left w:val="nil"/>
              <w:bottom w:val="nil"/>
              <w:right w:val="nil"/>
            </w:tcBorders>
            <w:shd w:val="clear" w:color="000000" w:fill="FFFFFF"/>
            <w:noWrap/>
            <w:hideMark/>
          </w:tcPr>
          <w:p w14:paraId="3E9EEC6A" w14:textId="0F09043C" w:rsidR="001720A8" w:rsidRPr="001720A8" w:rsidRDefault="001720A8" w:rsidP="001720A8">
            <w:pPr>
              <w:spacing w:after="0"/>
              <w:jc w:val="right"/>
              <w:rPr>
                <w:color w:val="000000"/>
                <w:sz w:val="15"/>
                <w:szCs w:val="13"/>
                <w:lang w:val="en-US" w:eastAsia="en-US"/>
              </w:rPr>
            </w:pPr>
            <w:r w:rsidRPr="001720A8">
              <w:rPr>
                <w:color w:val="000000"/>
                <w:sz w:val="14"/>
                <w:szCs w:val="14"/>
              </w:rPr>
              <w:t>2.0</w:t>
            </w:r>
          </w:p>
        </w:tc>
        <w:tc>
          <w:tcPr>
            <w:tcW w:w="691" w:type="dxa"/>
            <w:tcBorders>
              <w:top w:val="nil"/>
              <w:left w:val="single" w:sz="4" w:space="0" w:color="000000"/>
              <w:bottom w:val="nil"/>
              <w:right w:val="nil"/>
            </w:tcBorders>
            <w:shd w:val="clear" w:color="000000" w:fill="FFFFFF"/>
            <w:noWrap/>
            <w:hideMark/>
          </w:tcPr>
          <w:p w14:paraId="71E0854F" w14:textId="1CE4D8FE" w:rsidR="001720A8" w:rsidRPr="001720A8" w:rsidRDefault="001720A8" w:rsidP="001720A8">
            <w:pPr>
              <w:spacing w:after="0"/>
              <w:jc w:val="right"/>
              <w:rPr>
                <w:color w:val="000000"/>
                <w:sz w:val="15"/>
                <w:szCs w:val="13"/>
                <w:lang w:val="en-US" w:eastAsia="en-US"/>
              </w:rPr>
            </w:pPr>
            <w:r w:rsidRPr="001720A8">
              <w:rPr>
                <w:color w:val="000000"/>
                <w:sz w:val="14"/>
                <w:szCs w:val="14"/>
              </w:rPr>
              <w:t>5%</w:t>
            </w:r>
          </w:p>
        </w:tc>
        <w:tc>
          <w:tcPr>
            <w:tcW w:w="735" w:type="dxa"/>
            <w:tcBorders>
              <w:top w:val="nil"/>
              <w:left w:val="nil"/>
              <w:bottom w:val="nil"/>
              <w:right w:val="nil"/>
            </w:tcBorders>
            <w:shd w:val="clear" w:color="000000" w:fill="FFFFFF"/>
            <w:noWrap/>
            <w:hideMark/>
          </w:tcPr>
          <w:p w14:paraId="4D6709A1" w14:textId="5127E11E" w:rsidR="001720A8" w:rsidRPr="001720A8" w:rsidRDefault="001720A8" w:rsidP="001720A8">
            <w:pPr>
              <w:spacing w:after="0"/>
              <w:jc w:val="right"/>
              <w:rPr>
                <w:color w:val="000000"/>
                <w:sz w:val="15"/>
                <w:szCs w:val="13"/>
                <w:lang w:val="en-US" w:eastAsia="en-US"/>
              </w:rPr>
            </w:pPr>
            <w:r w:rsidRPr="001720A8">
              <w:rPr>
                <w:color w:val="000000"/>
                <w:sz w:val="14"/>
                <w:szCs w:val="14"/>
              </w:rPr>
              <w:t>1%</w:t>
            </w:r>
          </w:p>
        </w:tc>
        <w:tc>
          <w:tcPr>
            <w:tcW w:w="752" w:type="dxa"/>
            <w:tcBorders>
              <w:top w:val="nil"/>
              <w:left w:val="nil"/>
              <w:bottom w:val="nil"/>
              <w:right w:val="nil"/>
            </w:tcBorders>
            <w:shd w:val="clear" w:color="000000" w:fill="FFFFFF"/>
            <w:noWrap/>
            <w:hideMark/>
          </w:tcPr>
          <w:p w14:paraId="04E94EEB" w14:textId="0F4E3EAB" w:rsidR="001720A8" w:rsidRPr="001720A8" w:rsidRDefault="001720A8" w:rsidP="001720A8">
            <w:pPr>
              <w:spacing w:after="0"/>
              <w:jc w:val="right"/>
              <w:rPr>
                <w:color w:val="000000"/>
                <w:sz w:val="15"/>
                <w:szCs w:val="13"/>
                <w:lang w:val="en-US" w:eastAsia="en-US"/>
              </w:rPr>
            </w:pPr>
            <w:r w:rsidRPr="001720A8">
              <w:rPr>
                <w:color w:val="000000"/>
                <w:sz w:val="14"/>
                <w:szCs w:val="14"/>
              </w:rPr>
              <w:t>90%</w:t>
            </w:r>
          </w:p>
        </w:tc>
        <w:tc>
          <w:tcPr>
            <w:tcW w:w="779" w:type="dxa"/>
            <w:tcBorders>
              <w:top w:val="nil"/>
              <w:left w:val="nil"/>
              <w:bottom w:val="nil"/>
              <w:right w:val="nil"/>
            </w:tcBorders>
            <w:shd w:val="clear" w:color="000000" w:fill="FFFFFF"/>
            <w:noWrap/>
            <w:hideMark/>
          </w:tcPr>
          <w:p w14:paraId="0585304B" w14:textId="31D613EC" w:rsidR="001720A8" w:rsidRPr="001720A8" w:rsidRDefault="001720A8" w:rsidP="001720A8">
            <w:pPr>
              <w:spacing w:after="0"/>
              <w:jc w:val="right"/>
              <w:rPr>
                <w:color w:val="000000"/>
                <w:sz w:val="15"/>
                <w:szCs w:val="13"/>
                <w:lang w:val="en-US" w:eastAsia="en-US"/>
              </w:rPr>
            </w:pPr>
            <w:r w:rsidRPr="001720A8">
              <w:rPr>
                <w:color w:val="000000"/>
                <w:sz w:val="14"/>
                <w:szCs w:val="14"/>
              </w:rPr>
              <w:t>3%</w:t>
            </w:r>
          </w:p>
        </w:tc>
        <w:tc>
          <w:tcPr>
            <w:tcW w:w="989" w:type="dxa"/>
            <w:tcBorders>
              <w:top w:val="nil"/>
              <w:left w:val="single" w:sz="4" w:space="0" w:color="auto"/>
              <w:bottom w:val="nil"/>
              <w:right w:val="nil"/>
            </w:tcBorders>
            <w:shd w:val="clear" w:color="000000" w:fill="FFFFFF"/>
            <w:noWrap/>
            <w:hideMark/>
          </w:tcPr>
          <w:p w14:paraId="619A5315" w14:textId="7DA2026F" w:rsidR="001720A8" w:rsidRPr="001720A8" w:rsidRDefault="001720A8" w:rsidP="001720A8">
            <w:pPr>
              <w:spacing w:after="0"/>
              <w:jc w:val="right"/>
              <w:rPr>
                <w:color w:val="000000"/>
                <w:sz w:val="15"/>
                <w:szCs w:val="13"/>
                <w:lang w:val="en-US" w:eastAsia="en-US"/>
              </w:rPr>
            </w:pPr>
            <w:r w:rsidRPr="001720A8">
              <w:rPr>
                <w:color w:val="000000"/>
                <w:sz w:val="14"/>
                <w:szCs w:val="14"/>
              </w:rPr>
              <w:t>14.43</w:t>
            </w:r>
          </w:p>
        </w:tc>
        <w:tc>
          <w:tcPr>
            <w:tcW w:w="701" w:type="dxa"/>
            <w:tcBorders>
              <w:top w:val="nil"/>
              <w:left w:val="nil"/>
              <w:bottom w:val="nil"/>
              <w:right w:val="nil"/>
            </w:tcBorders>
            <w:shd w:val="clear" w:color="000000" w:fill="FFFFFF"/>
            <w:noWrap/>
            <w:hideMark/>
          </w:tcPr>
          <w:p w14:paraId="7872426A" w14:textId="175C8747"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2 </w:t>
            </w:r>
          </w:p>
        </w:tc>
      </w:tr>
      <w:tr w:rsidR="001720A8" w:rsidRPr="00E4527E" w14:paraId="0FF75944"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65FBA262" w14:textId="4AF4D56B"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01917773" w14:textId="443E53D5" w:rsidR="001720A8" w:rsidRPr="001720A8" w:rsidRDefault="001720A8" w:rsidP="001720A8">
            <w:pPr>
              <w:spacing w:after="0"/>
              <w:jc w:val="center"/>
              <w:rPr>
                <w:color w:val="000000"/>
                <w:sz w:val="15"/>
                <w:szCs w:val="13"/>
                <w:lang w:val="en-US" w:eastAsia="en-US"/>
              </w:rPr>
            </w:pPr>
            <w:r w:rsidRPr="001720A8">
              <w:rPr>
                <w:color w:val="000000"/>
                <w:sz w:val="14"/>
                <w:szCs w:val="14"/>
              </w:rPr>
              <w:t>3</w:t>
            </w:r>
          </w:p>
        </w:tc>
        <w:tc>
          <w:tcPr>
            <w:tcW w:w="585" w:type="dxa"/>
            <w:tcBorders>
              <w:top w:val="nil"/>
              <w:left w:val="nil"/>
              <w:bottom w:val="nil"/>
              <w:right w:val="nil"/>
            </w:tcBorders>
            <w:shd w:val="clear" w:color="000000" w:fill="FFFFFF"/>
            <w:noWrap/>
            <w:hideMark/>
          </w:tcPr>
          <w:p w14:paraId="44A03531" w14:textId="25D28640" w:rsidR="001720A8" w:rsidRPr="001720A8" w:rsidRDefault="001720A8" w:rsidP="001720A8">
            <w:pPr>
              <w:spacing w:after="0"/>
              <w:rPr>
                <w:color w:val="000000"/>
                <w:sz w:val="15"/>
                <w:szCs w:val="13"/>
                <w:lang w:val="en-US" w:eastAsia="en-US"/>
              </w:rPr>
            </w:pPr>
            <w:r w:rsidRPr="001720A8">
              <w:rPr>
                <w:color w:val="000000"/>
                <w:sz w:val="14"/>
                <w:szCs w:val="14"/>
              </w:rPr>
              <w:t>I06Z</w:t>
            </w:r>
          </w:p>
        </w:tc>
        <w:tc>
          <w:tcPr>
            <w:tcW w:w="4639" w:type="dxa"/>
            <w:tcBorders>
              <w:top w:val="nil"/>
              <w:left w:val="nil"/>
              <w:bottom w:val="nil"/>
              <w:right w:val="nil"/>
            </w:tcBorders>
            <w:shd w:val="clear" w:color="000000" w:fill="FFFFFF"/>
            <w:noWrap/>
            <w:hideMark/>
          </w:tcPr>
          <w:p w14:paraId="51257E67" w14:textId="5BB01B25" w:rsidR="001720A8" w:rsidRPr="001720A8" w:rsidRDefault="001720A8" w:rsidP="001720A8">
            <w:pPr>
              <w:spacing w:after="0"/>
              <w:rPr>
                <w:color w:val="000000"/>
                <w:sz w:val="15"/>
                <w:szCs w:val="13"/>
                <w:lang w:val="en-US" w:eastAsia="en-US"/>
              </w:rPr>
            </w:pPr>
            <w:r w:rsidRPr="001720A8">
              <w:rPr>
                <w:color w:val="000000"/>
                <w:sz w:val="14"/>
                <w:szCs w:val="14"/>
              </w:rPr>
              <w:t>Spinal Fusion for Deformity</w:t>
            </w:r>
          </w:p>
        </w:tc>
        <w:tc>
          <w:tcPr>
            <w:tcW w:w="752" w:type="dxa"/>
            <w:tcBorders>
              <w:top w:val="nil"/>
              <w:left w:val="nil"/>
              <w:bottom w:val="nil"/>
              <w:right w:val="nil"/>
            </w:tcBorders>
            <w:shd w:val="clear" w:color="000000" w:fill="FFFFFF"/>
            <w:noWrap/>
            <w:hideMark/>
          </w:tcPr>
          <w:p w14:paraId="266F2669" w14:textId="53938D55"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8.11</w:t>
            </w:r>
          </w:p>
        </w:tc>
        <w:tc>
          <w:tcPr>
            <w:tcW w:w="897" w:type="dxa"/>
            <w:tcBorders>
              <w:top w:val="nil"/>
              <w:left w:val="nil"/>
              <w:bottom w:val="nil"/>
              <w:right w:val="nil"/>
            </w:tcBorders>
            <w:shd w:val="clear" w:color="000000" w:fill="FFFFFF"/>
            <w:noWrap/>
            <w:hideMark/>
          </w:tcPr>
          <w:p w14:paraId="112160B1" w14:textId="04454E02" w:rsidR="001720A8" w:rsidRPr="001720A8" w:rsidRDefault="001720A8" w:rsidP="001720A8">
            <w:pPr>
              <w:spacing w:after="0"/>
              <w:jc w:val="right"/>
              <w:rPr>
                <w:color w:val="000000"/>
                <w:sz w:val="15"/>
                <w:szCs w:val="13"/>
                <w:lang w:val="en-US" w:eastAsia="en-US"/>
              </w:rPr>
            </w:pPr>
            <w:r w:rsidRPr="001720A8">
              <w:rPr>
                <w:color w:val="000000"/>
                <w:sz w:val="14"/>
                <w:szCs w:val="14"/>
              </w:rPr>
              <w:t>988</w:t>
            </w:r>
          </w:p>
        </w:tc>
        <w:tc>
          <w:tcPr>
            <w:tcW w:w="735" w:type="dxa"/>
            <w:tcBorders>
              <w:top w:val="nil"/>
              <w:left w:val="nil"/>
              <w:bottom w:val="nil"/>
              <w:right w:val="nil"/>
            </w:tcBorders>
            <w:shd w:val="clear" w:color="000000" w:fill="FFFFFF"/>
            <w:noWrap/>
            <w:hideMark/>
          </w:tcPr>
          <w:p w14:paraId="488711E9" w14:textId="10F69B49" w:rsidR="001720A8" w:rsidRPr="001720A8" w:rsidRDefault="001720A8" w:rsidP="001720A8">
            <w:pPr>
              <w:spacing w:after="0"/>
              <w:jc w:val="right"/>
              <w:rPr>
                <w:color w:val="000000"/>
                <w:sz w:val="15"/>
                <w:szCs w:val="13"/>
                <w:lang w:val="en-US" w:eastAsia="en-US"/>
              </w:rPr>
            </w:pPr>
            <w:r w:rsidRPr="001720A8">
              <w:rPr>
                <w:color w:val="000000"/>
                <w:sz w:val="14"/>
                <w:szCs w:val="14"/>
              </w:rPr>
              <w:t>13.78</w:t>
            </w:r>
          </w:p>
        </w:tc>
        <w:tc>
          <w:tcPr>
            <w:tcW w:w="679" w:type="dxa"/>
            <w:tcBorders>
              <w:top w:val="nil"/>
              <w:left w:val="nil"/>
              <w:bottom w:val="nil"/>
              <w:right w:val="nil"/>
            </w:tcBorders>
            <w:shd w:val="clear" w:color="000000" w:fill="FFFFFF"/>
            <w:noWrap/>
            <w:hideMark/>
          </w:tcPr>
          <w:p w14:paraId="00C6E68C" w14:textId="7D01272F" w:rsidR="001720A8" w:rsidRPr="001720A8" w:rsidRDefault="001720A8" w:rsidP="001720A8">
            <w:pPr>
              <w:spacing w:after="0"/>
              <w:jc w:val="right"/>
              <w:rPr>
                <w:color w:val="000000"/>
                <w:sz w:val="15"/>
                <w:szCs w:val="13"/>
                <w:lang w:val="en-US" w:eastAsia="en-US"/>
              </w:rPr>
            </w:pPr>
            <w:r w:rsidRPr="001720A8">
              <w:rPr>
                <w:color w:val="000000"/>
                <w:sz w:val="14"/>
                <w:szCs w:val="14"/>
              </w:rPr>
              <w:t>9.3</w:t>
            </w:r>
          </w:p>
        </w:tc>
        <w:tc>
          <w:tcPr>
            <w:tcW w:w="691" w:type="dxa"/>
            <w:tcBorders>
              <w:top w:val="nil"/>
              <w:left w:val="single" w:sz="4" w:space="0" w:color="000000"/>
              <w:bottom w:val="nil"/>
              <w:right w:val="nil"/>
            </w:tcBorders>
            <w:shd w:val="clear" w:color="000000" w:fill="FFFFFF"/>
            <w:noWrap/>
            <w:hideMark/>
          </w:tcPr>
          <w:p w14:paraId="69874699" w14:textId="02442419" w:rsidR="001720A8" w:rsidRPr="001720A8" w:rsidRDefault="001720A8" w:rsidP="001720A8">
            <w:pPr>
              <w:spacing w:after="0"/>
              <w:jc w:val="right"/>
              <w:rPr>
                <w:color w:val="000000"/>
                <w:sz w:val="15"/>
                <w:szCs w:val="13"/>
                <w:lang w:val="en-US" w:eastAsia="en-US"/>
              </w:rPr>
            </w:pPr>
            <w:r w:rsidRPr="001720A8">
              <w:rPr>
                <w:color w:val="000000"/>
                <w:sz w:val="14"/>
                <w:szCs w:val="14"/>
              </w:rPr>
              <w:t>14%</w:t>
            </w:r>
          </w:p>
        </w:tc>
        <w:tc>
          <w:tcPr>
            <w:tcW w:w="735" w:type="dxa"/>
            <w:tcBorders>
              <w:top w:val="nil"/>
              <w:left w:val="nil"/>
              <w:bottom w:val="nil"/>
              <w:right w:val="nil"/>
            </w:tcBorders>
            <w:shd w:val="clear" w:color="000000" w:fill="FFFFFF"/>
            <w:noWrap/>
            <w:hideMark/>
          </w:tcPr>
          <w:p w14:paraId="05AC4F34" w14:textId="52A612ED" w:rsidR="001720A8" w:rsidRPr="001720A8" w:rsidRDefault="001720A8" w:rsidP="001720A8">
            <w:pPr>
              <w:spacing w:after="0"/>
              <w:jc w:val="right"/>
              <w:rPr>
                <w:color w:val="000000"/>
                <w:sz w:val="15"/>
                <w:szCs w:val="13"/>
                <w:lang w:val="en-US" w:eastAsia="en-US"/>
              </w:rPr>
            </w:pPr>
            <w:r w:rsidRPr="001720A8">
              <w:rPr>
                <w:color w:val="000000"/>
                <w:sz w:val="14"/>
                <w:szCs w:val="14"/>
              </w:rPr>
              <w:t>6%</w:t>
            </w:r>
          </w:p>
        </w:tc>
        <w:tc>
          <w:tcPr>
            <w:tcW w:w="752" w:type="dxa"/>
            <w:tcBorders>
              <w:top w:val="nil"/>
              <w:left w:val="nil"/>
              <w:bottom w:val="nil"/>
              <w:right w:val="nil"/>
            </w:tcBorders>
            <w:shd w:val="clear" w:color="000000" w:fill="FFFFFF"/>
            <w:noWrap/>
            <w:hideMark/>
          </w:tcPr>
          <w:p w14:paraId="3E6720E2" w14:textId="1732D85E" w:rsidR="001720A8" w:rsidRPr="001720A8" w:rsidRDefault="001720A8" w:rsidP="001720A8">
            <w:pPr>
              <w:spacing w:after="0"/>
              <w:jc w:val="right"/>
              <w:rPr>
                <w:color w:val="000000"/>
                <w:sz w:val="15"/>
                <w:szCs w:val="13"/>
                <w:lang w:val="en-US" w:eastAsia="en-US"/>
              </w:rPr>
            </w:pPr>
            <w:r w:rsidRPr="001720A8">
              <w:rPr>
                <w:color w:val="000000"/>
                <w:sz w:val="14"/>
                <w:szCs w:val="14"/>
              </w:rPr>
              <w:t>59%</w:t>
            </w:r>
          </w:p>
        </w:tc>
        <w:tc>
          <w:tcPr>
            <w:tcW w:w="779" w:type="dxa"/>
            <w:tcBorders>
              <w:top w:val="nil"/>
              <w:left w:val="nil"/>
              <w:bottom w:val="nil"/>
              <w:right w:val="nil"/>
            </w:tcBorders>
            <w:shd w:val="clear" w:color="000000" w:fill="FFFFFF"/>
            <w:noWrap/>
            <w:hideMark/>
          </w:tcPr>
          <w:p w14:paraId="15655146" w14:textId="583010BE" w:rsidR="001720A8" w:rsidRPr="001720A8" w:rsidRDefault="001720A8" w:rsidP="001720A8">
            <w:pPr>
              <w:spacing w:after="0"/>
              <w:jc w:val="right"/>
              <w:rPr>
                <w:color w:val="000000"/>
                <w:sz w:val="15"/>
                <w:szCs w:val="13"/>
                <w:lang w:val="en-US" w:eastAsia="en-US"/>
              </w:rPr>
            </w:pPr>
            <w:r w:rsidRPr="001720A8">
              <w:rPr>
                <w:color w:val="000000"/>
                <w:sz w:val="14"/>
                <w:szCs w:val="14"/>
              </w:rPr>
              <w:t>20%</w:t>
            </w:r>
          </w:p>
        </w:tc>
        <w:tc>
          <w:tcPr>
            <w:tcW w:w="989" w:type="dxa"/>
            <w:tcBorders>
              <w:top w:val="nil"/>
              <w:left w:val="single" w:sz="4" w:space="0" w:color="auto"/>
              <w:bottom w:val="nil"/>
              <w:right w:val="nil"/>
            </w:tcBorders>
            <w:shd w:val="clear" w:color="000000" w:fill="FFFFFF"/>
            <w:noWrap/>
            <w:hideMark/>
          </w:tcPr>
          <w:p w14:paraId="6AEBB5BB" w14:textId="44F4C971" w:rsidR="001720A8" w:rsidRPr="001720A8" w:rsidRDefault="001720A8" w:rsidP="001720A8">
            <w:pPr>
              <w:spacing w:after="0"/>
              <w:jc w:val="right"/>
              <w:rPr>
                <w:color w:val="000000"/>
                <w:sz w:val="15"/>
                <w:szCs w:val="13"/>
                <w:lang w:val="en-US" w:eastAsia="en-US"/>
              </w:rPr>
            </w:pPr>
            <w:r w:rsidRPr="001720A8">
              <w:rPr>
                <w:color w:val="000000"/>
                <w:sz w:val="14"/>
                <w:szCs w:val="14"/>
              </w:rPr>
              <w:t>8.39</w:t>
            </w:r>
          </w:p>
        </w:tc>
        <w:tc>
          <w:tcPr>
            <w:tcW w:w="701" w:type="dxa"/>
            <w:tcBorders>
              <w:top w:val="nil"/>
              <w:left w:val="nil"/>
              <w:bottom w:val="nil"/>
              <w:right w:val="nil"/>
            </w:tcBorders>
            <w:shd w:val="clear" w:color="000000" w:fill="FFFFFF"/>
            <w:noWrap/>
            <w:hideMark/>
          </w:tcPr>
          <w:p w14:paraId="6FA7B5D3" w14:textId="31BDD2BB"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3 </w:t>
            </w:r>
          </w:p>
        </w:tc>
      </w:tr>
      <w:tr w:rsidR="001720A8" w:rsidRPr="00E4527E" w14:paraId="229669E7"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1F2831B0" w14:textId="65F8933A"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6406F850" w14:textId="685EF03A" w:rsidR="001720A8" w:rsidRPr="001720A8" w:rsidRDefault="001720A8" w:rsidP="001720A8">
            <w:pPr>
              <w:spacing w:after="0"/>
              <w:jc w:val="center"/>
              <w:rPr>
                <w:color w:val="000000"/>
                <w:sz w:val="15"/>
                <w:szCs w:val="13"/>
                <w:lang w:val="en-US" w:eastAsia="en-US"/>
              </w:rPr>
            </w:pPr>
            <w:r w:rsidRPr="001720A8">
              <w:rPr>
                <w:color w:val="000000"/>
                <w:sz w:val="14"/>
                <w:szCs w:val="14"/>
              </w:rPr>
              <w:t>4</w:t>
            </w:r>
          </w:p>
        </w:tc>
        <w:tc>
          <w:tcPr>
            <w:tcW w:w="585" w:type="dxa"/>
            <w:tcBorders>
              <w:top w:val="nil"/>
              <w:left w:val="nil"/>
              <w:bottom w:val="nil"/>
              <w:right w:val="nil"/>
            </w:tcBorders>
            <w:shd w:val="clear" w:color="000000" w:fill="FFFFFF"/>
            <w:noWrap/>
            <w:hideMark/>
          </w:tcPr>
          <w:p w14:paraId="7A710AEC" w14:textId="3F13C47D" w:rsidR="001720A8" w:rsidRPr="001720A8" w:rsidRDefault="001720A8" w:rsidP="001720A8">
            <w:pPr>
              <w:spacing w:after="0"/>
              <w:rPr>
                <w:color w:val="000000"/>
                <w:sz w:val="15"/>
                <w:szCs w:val="13"/>
                <w:lang w:val="en-US" w:eastAsia="en-US"/>
              </w:rPr>
            </w:pPr>
            <w:r w:rsidRPr="001720A8">
              <w:rPr>
                <w:color w:val="000000"/>
                <w:sz w:val="14"/>
                <w:szCs w:val="14"/>
              </w:rPr>
              <w:t>D01Z</w:t>
            </w:r>
          </w:p>
        </w:tc>
        <w:tc>
          <w:tcPr>
            <w:tcW w:w="4639" w:type="dxa"/>
            <w:tcBorders>
              <w:top w:val="nil"/>
              <w:left w:val="nil"/>
              <w:bottom w:val="nil"/>
              <w:right w:val="nil"/>
            </w:tcBorders>
            <w:shd w:val="clear" w:color="000000" w:fill="FFFFFF"/>
            <w:noWrap/>
            <w:hideMark/>
          </w:tcPr>
          <w:p w14:paraId="5DBCF538" w14:textId="7EE3B98F" w:rsidR="001720A8" w:rsidRPr="001720A8" w:rsidRDefault="001720A8" w:rsidP="001720A8">
            <w:pPr>
              <w:spacing w:after="0"/>
              <w:rPr>
                <w:color w:val="000000"/>
                <w:sz w:val="15"/>
                <w:szCs w:val="13"/>
                <w:lang w:val="en-US" w:eastAsia="en-US"/>
              </w:rPr>
            </w:pPr>
            <w:r w:rsidRPr="001720A8">
              <w:rPr>
                <w:color w:val="000000"/>
                <w:sz w:val="14"/>
                <w:szCs w:val="14"/>
              </w:rPr>
              <w:t>Cochlear Implant</w:t>
            </w:r>
          </w:p>
        </w:tc>
        <w:tc>
          <w:tcPr>
            <w:tcW w:w="752" w:type="dxa"/>
            <w:tcBorders>
              <w:top w:val="nil"/>
              <w:left w:val="nil"/>
              <w:bottom w:val="nil"/>
              <w:right w:val="nil"/>
            </w:tcBorders>
            <w:shd w:val="clear" w:color="000000" w:fill="FFFFFF"/>
            <w:noWrap/>
            <w:hideMark/>
          </w:tcPr>
          <w:p w14:paraId="35185E5B" w14:textId="584FF7AD"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6.96</w:t>
            </w:r>
          </w:p>
        </w:tc>
        <w:tc>
          <w:tcPr>
            <w:tcW w:w="897" w:type="dxa"/>
            <w:tcBorders>
              <w:top w:val="nil"/>
              <w:left w:val="nil"/>
              <w:bottom w:val="nil"/>
              <w:right w:val="nil"/>
            </w:tcBorders>
            <w:shd w:val="clear" w:color="000000" w:fill="FFFFFF"/>
            <w:noWrap/>
            <w:hideMark/>
          </w:tcPr>
          <w:p w14:paraId="02E889F3" w14:textId="63353507" w:rsidR="001720A8" w:rsidRPr="001720A8" w:rsidRDefault="001720A8" w:rsidP="001720A8">
            <w:pPr>
              <w:spacing w:after="0"/>
              <w:jc w:val="right"/>
              <w:rPr>
                <w:color w:val="000000"/>
                <w:sz w:val="15"/>
                <w:szCs w:val="13"/>
                <w:lang w:val="en-US" w:eastAsia="en-US"/>
              </w:rPr>
            </w:pPr>
            <w:r w:rsidRPr="001720A8">
              <w:rPr>
                <w:color w:val="000000"/>
                <w:sz w:val="14"/>
                <w:szCs w:val="14"/>
              </w:rPr>
              <w:t>729</w:t>
            </w:r>
          </w:p>
        </w:tc>
        <w:tc>
          <w:tcPr>
            <w:tcW w:w="735" w:type="dxa"/>
            <w:tcBorders>
              <w:top w:val="nil"/>
              <w:left w:val="nil"/>
              <w:bottom w:val="nil"/>
              <w:right w:val="nil"/>
            </w:tcBorders>
            <w:shd w:val="clear" w:color="000000" w:fill="FFFFFF"/>
            <w:noWrap/>
            <w:hideMark/>
          </w:tcPr>
          <w:p w14:paraId="2E00EE4B" w14:textId="3A97C538" w:rsidR="001720A8" w:rsidRPr="001720A8" w:rsidRDefault="001720A8" w:rsidP="001720A8">
            <w:pPr>
              <w:spacing w:after="0"/>
              <w:jc w:val="right"/>
              <w:rPr>
                <w:color w:val="000000"/>
                <w:sz w:val="15"/>
                <w:szCs w:val="13"/>
                <w:lang w:val="en-US" w:eastAsia="en-US"/>
              </w:rPr>
            </w:pPr>
            <w:r w:rsidRPr="001720A8">
              <w:rPr>
                <w:color w:val="000000"/>
                <w:sz w:val="14"/>
                <w:szCs w:val="14"/>
              </w:rPr>
              <w:t>8.35</w:t>
            </w:r>
          </w:p>
        </w:tc>
        <w:tc>
          <w:tcPr>
            <w:tcW w:w="679" w:type="dxa"/>
            <w:tcBorders>
              <w:top w:val="nil"/>
              <w:left w:val="nil"/>
              <w:bottom w:val="nil"/>
              <w:right w:val="nil"/>
            </w:tcBorders>
            <w:shd w:val="clear" w:color="000000" w:fill="FFFFFF"/>
            <w:noWrap/>
            <w:hideMark/>
          </w:tcPr>
          <w:p w14:paraId="74C283DE" w14:textId="1EFF2DC1" w:rsidR="001720A8" w:rsidRPr="001720A8" w:rsidRDefault="001720A8" w:rsidP="001720A8">
            <w:pPr>
              <w:spacing w:after="0"/>
              <w:jc w:val="right"/>
              <w:rPr>
                <w:color w:val="000000"/>
                <w:sz w:val="15"/>
                <w:szCs w:val="13"/>
                <w:lang w:val="en-US" w:eastAsia="en-US"/>
              </w:rPr>
            </w:pPr>
            <w:r w:rsidRPr="001720A8">
              <w:rPr>
                <w:color w:val="000000"/>
                <w:sz w:val="14"/>
                <w:szCs w:val="14"/>
              </w:rPr>
              <w:t>1.5</w:t>
            </w:r>
          </w:p>
        </w:tc>
        <w:tc>
          <w:tcPr>
            <w:tcW w:w="691" w:type="dxa"/>
            <w:tcBorders>
              <w:top w:val="nil"/>
              <w:left w:val="single" w:sz="4" w:space="0" w:color="000000"/>
              <w:bottom w:val="nil"/>
              <w:right w:val="nil"/>
            </w:tcBorders>
            <w:shd w:val="clear" w:color="000000" w:fill="FFFFFF"/>
            <w:noWrap/>
            <w:hideMark/>
          </w:tcPr>
          <w:p w14:paraId="6549DD92" w14:textId="73F11037" w:rsidR="001720A8" w:rsidRPr="001720A8" w:rsidRDefault="001720A8" w:rsidP="001720A8">
            <w:pPr>
              <w:spacing w:after="0"/>
              <w:jc w:val="right"/>
              <w:rPr>
                <w:color w:val="000000"/>
                <w:sz w:val="15"/>
                <w:szCs w:val="13"/>
                <w:lang w:val="en-US" w:eastAsia="en-US"/>
              </w:rPr>
            </w:pPr>
            <w:r w:rsidRPr="001720A8">
              <w:rPr>
                <w:color w:val="000000"/>
                <w:sz w:val="14"/>
                <w:szCs w:val="14"/>
              </w:rPr>
              <w:t>10%</w:t>
            </w:r>
          </w:p>
        </w:tc>
        <w:tc>
          <w:tcPr>
            <w:tcW w:w="735" w:type="dxa"/>
            <w:tcBorders>
              <w:top w:val="nil"/>
              <w:left w:val="nil"/>
              <w:bottom w:val="nil"/>
              <w:right w:val="nil"/>
            </w:tcBorders>
            <w:shd w:val="clear" w:color="000000" w:fill="FFFFFF"/>
            <w:noWrap/>
            <w:hideMark/>
          </w:tcPr>
          <w:p w14:paraId="5DC6290B" w14:textId="087145B5" w:rsidR="001720A8" w:rsidRPr="001720A8" w:rsidRDefault="001720A8" w:rsidP="001720A8">
            <w:pPr>
              <w:spacing w:after="0"/>
              <w:jc w:val="right"/>
              <w:rPr>
                <w:color w:val="000000"/>
                <w:sz w:val="15"/>
                <w:szCs w:val="13"/>
                <w:lang w:val="en-US" w:eastAsia="en-US"/>
              </w:rPr>
            </w:pPr>
            <w:r w:rsidRPr="001720A8">
              <w:rPr>
                <w:color w:val="000000"/>
                <w:sz w:val="14"/>
                <w:szCs w:val="14"/>
              </w:rPr>
              <w:t>0%</w:t>
            </w:r>
          </w:p>
        </w:tc>
        <w:tc>
          <w:tcPr>
            <w:tcW w:w="752" w:type="dxa"/>
            <w:tcBorders>
              <w:top w:val="nil"/>
              <w:left w:val="nil"/>
              <w:bottom w:val="nil"/>
              <w:right w:val="nil"/>
            </w:tcBorders>
            <w:shd w:val="clear" w:color="000000" w:fill="FFFFFF"/>
            <w:noWrap/>
            <w:hideMark/>
          </w:tcPr>
          <w:p w14:paraId="16216044" w14:textId="1CE7FDCD" w:rsidR="001720A8" w:rsidRPr="001720A8" w:rsidRDefault="001720A8" w:rsidP="001720A8">
            <w:pPr>
              <w:spacing w:after="0"/>
              <w:jc w:val="right"/>
              <w:rPr>
                <w:color w:val="000000"/>
                <w:sz w:val="15"/>
                <w:szCs w:val="13"/>
                <w:lang w:val="en-US" w:eastAsia="en-US"/>
              </w:rPr>
            </w:pPr>
            <w:r w:rsidRPr="001720A8">
              <w:rPr>
                <w:color w:val="000000"/>
                <w:sz w:val="14"/>
                <w:szCs w:val="14"/>
              </w:rPr>
              <w:t>83%</w:t>
            </w:r>
          </w:p>
        </w:tc>
        <w:tc>
          <w:tcPr>
            <w:tcW w:w="779" w:type="dxa"/>
            <w:tcBorders>
              <w:top w:val="nil"/>
              <w:left w:val="nil"/>
              <w:bottom w:val="nil"/>
              <w:right w:val="nil"/>
            </w:tcBorders>
            <w:shd w:val="clear" w:color="000000" w:fill="FFFFFF"/>
            <w:noWrap/>
            <w:hideMark/>
          </w:tcPr>
          <w:p w14:paraId="1976DF4E" w14:textId="29292489" w:rsidR="001720A8" w:rsidRPr="001720A8" w:rsidRDefault="001720A8" w:rsidP="001720A8">
            <w:pPr>
              <w:spacing w:after="0"/>
              <w:jc w:val="right"/>
              <w:rPr>
                <w:color w:val="000000"/>
                <w:sz w:val="15"/>
                <w:szCs w:val="13"/>
                <w:lang w:val="en-US" w:eastAsia="en-US"/>
              </w:rPr>
            </w:pPr>
            <w:r w:rsidRPr="001720A8">
              <w:rPr>
                <w:color w:val="000000"/>
                <w:sz w:val="14"/>
                <w:szCs w:val="14"/>
              </w:rPr>
              <w:t>6%</w:t>
            </w:r>
          </w:p>
        </w:tc>
        <w:tc>
          <w:tcPr>
            <w:tcW w:w="989" w:type="dxa"/>
            <w:tcBorders>
              <w:top w:val="nil"/>
              <w:left w:val="single" w:sz="4" w:space="0" w:color="auto"/>
              <w:bottom w:val="nil"/>
              <w:right w:val="nil"/>
            </w:tcBorders>
            <w:shd w:val="clear" w:color="000000" w:fill="FFFFFF"/>
            <w:noWrap/>
            <w:hideMark/>
          </w:tcPr>
          <w:p w14:paraId="00617B92" w14:textId="73082754" w:rsidR="001720A8" w:rsidRPr="001720A8" w:rsidRDefault="001720A8" w:rsidP="001720A8">
            <w:pPr>
              <w:spacing w:after="0"/>
              <w:jc w:val="right"/>
              <w:rPr>
                <w:color w:val="000000"/>
                <w:sz w:val="15"/>
                <w:szCs w:val="13"/>
                <w:lang w:val="en-US" w:eastAsia="en-US"/>
              </w:rPr>
            </w:pPr>
            <w:r w:rsidRPr="001720A8">
              <w:rPr>
                <w:color w:val="000000"/>
                <w:sz w:val="14"/>
                <w:szCs w:val="14"/>
              </w:rPr>
              <w:t>6.94</w:t>
            </w:r>
          </w:p>
        </w:tc>
        <w:tc>
          <w:tcPr>
            <w:tcW w:w="701" w:type="dxa"/>
            <w:tcBorders>
              <w:top w:val="nil"/>
              <w:left w:val="nil"/>
              <w:bottom w:val="nil"/>
              <w:right w:val="nil"/>
            </w:tcBorders>
            <w:shd w:val="clear" w:color="000000" w:fill="FFFFFF"/>
            <w:noWrap/>
            <w:hideMark/>
          </w:tcPr>
          <w:p w14:paraId="36CE4769" w14:textId="2FE67636"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4 </w:t>
            </w:r>
          </w:p>
        </w:tc>
      </w:tr>
      <w:tr w:rsidR="001720A8" w:rsidRPr="00E4527E" w14:paraId="0AF70991"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F699436" w14:textId="56EFBFED"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1067DEE5" w14:textId="700F437B" w:rsidR="001720A8" w:rsidRPr="001720A8" w:rsidRDefault="001720A8" w:rsidP="001720A8">
            <w:pPr>
              <w:spacing w:after="0"/>
              <w:jc w:val="center"/>
              <w:rPr>
                <w:color w:val="000000"/>
                <w:sz w:val="15"/>
                <w:szCs w:val="13"/>
                <w:lang w:val="en-US" w:eastAsia="en-US"/>
              </w:rPr>
            </w:pPr>
            <w:r w:rsidRPr="001720A8">
              <w:rPr>
                <w:color w:val="000000"/>
                <w:sz w:val="14"/>
                <w:szCs w:val="14"/>
              </w:rPr>
              <w:t>5</w:t>
            </w:r>
          </w:p>
        </w:tc>
        <w:tc>
          <w:tcPr>
            <w:tcW w:w="585" w:type="dxa"/>
            <w:tcBorders>
              <w:top w:val="nil"/>
              <w:left w:val="nil"/>
              <w:bottom w:val="nil"/>
              <w:right w:val="nil"/>
            </w:tcBorders>
            <w:shd w:val="clear" w:color="000000" w:fill="FFFFFF"/>
            <w:noWrap/>
            <w:hideMark/>
          </w:tcPr>
          <w:p w14:paraId="7BDEB3A8" w14:textId="5D0D0B09" w:rsidR="001720A8" w:rsidRPr="001720A8" w:rsidRDefault="001720A8" w:rsidP="001720A8">
            <w:pPr>
              <w:spacing w:after="0"/>
              <w:rPr>
                <w:color w:val="000000"/>
                <w:sz w:val="15"/>
                <w:szCs w:val="13"/>
                <w:lang w:val="en-US" w:eastAsia="en-US"/>
              </w:rPr>
            </w:pPr>
            <w:r w:rsidRPr="001720A8">
              <w:rPr>
                <w:color w:val="000000"/>
                <w:sz w:val="14"/>
                <w:szCs w:val="14"/>
              </w:rPr>
              <w:t>I09A</w:t>
            </w:r>
          </w:p>
        </w:tc>
        <w:tc>
          <w:tcPr>
            <w:tcW w:w="4639" w:type="dxa"/>
            <w:tcBorders>
              <w:top w:val="nil"/>
              <w:left w:val="nil"/>
              <w:bottom w:val="nil"/>
              <w:right w:val="nil"/>
            </w:tcBorders>
            <w:shd w:val="clear" w:color="000000" w:fill="FFFFFF"/>
            <w:noWrap/>
            <w:hideMark/>
          </w:tcPr>
          <w:p w14:paraId="299F2447" w14:textId="72D72EEF" w:rsidR="001720A8" w:rsidRPr="001720A8" w:rsidRDefault="001720A8" w:rsidP="001720A8">
            <w:pPr>
              <w:spacing w:after="0"/>
              <w:rPr>
                <w:color w:val="000000"/>
                <w:sz w:val="15"/>
                <w:szCs w:val="13"/>
                <w:lang w:val="en-US" w:eastAsia="en-US"/>
              </w:rPr>
            </w:pPr>
            <w:r w:rsidRPr="001720A8">
              <w:rPr>
                <w:color w:val="000000"/>
                <w:sz w:val="14"/>
                <w:szCs w:val="14"/>
              </w:rPr>
              <w:t>Spinal Fusion, Major Complexity</w:t>
            </w:r>
          </w:p>
        </w:tc>
        <w:tc>
          <w:tcPr>
            <w:tcW w:w="752" w:type="dxa"/>
            <w:tcBorders>
              <w:top w:val="nil"/>
              <w:left w:val="nil"/>
              <w:bottom w:val="nil"/>
              <w:right w:val="nil"/>
            </w:tcBorders>
            <w:shd w:val="clear" w:color="000000" w:fill="FFFFFF"/>
            <w:noWrap/>
            <w:hideMark/>
          </w:tcPr>
          <w:p w14:paraId="593F6F2A" w14:textId="10C7F69D"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6.49</w:t>
            </w:r>
          </w:p>
        </w:tc>
        <w:tc>
          <w:tcPr>
            <w:tcW w:w="897" w:type="dxa"/>
            <w:tcBorders>
              <w:top w:val="nil"/>
              <w:left w:val="nil"/>
              <w:bottom w:val="nil"/>
              <w:right w:val="nil"/>
            </w:tcBorders>
            <w:shd w:val="clear" w:color="000000" w:fill="FFFFFF"/>
            <w:noWrap/>
            <w:hideMark/>
          </w:tcPr>
          <w:p w14:paraId="71988103" w14:textId="2DC05F91" w:rsidR="001720A8" w:rsidRPr="001720A8" w:rsidRDefault="001720A8" w:rsidP="001720A8">
            <w:pPr>
              <w:spacing w:after="0"/>
              <w:jc w:val="right"/>
              <w:rPr>
                <w:color w:val="000000"/>
                <w:sz w:val="15"/>
                <w:szCs w:val="13"/>
                <w:lang w:val="en-US" w:eastAsia="en-US"/>
              </w:rPr>
            </w:pPr>
            <w:r w:rsidRPr="001720A8">
              <w:rPr>
                <w:color w:val="000000"/>
                <w:sz w:val="14"/>
                <w:szCs w:val="14"/>
              </w:rPr>
              <w:t>547</w:t>
            </w:r>
          </w:p>
        </w:tc>
        <w:tc>
          <w:tcPr>
            <w:tcW w:w="735" w:type="dxa"/>
            <w:tcBorders>
              <w:top w:val="nil"/>
              <w:left w:val="nil"/>
              <w:bottom w:val="nil"/>
              <w:right w:val="nil"/>
            </w:tcBorders>
            <w:shd w:val="clear" w:color="000000" w:fill="FFFFFF"/>
            <w:noWrap/>
            <w:hideMark/>
          </w:tcPr>
          <w:p w14:paraId="029A395E" w14:textId="6AFE5E52" w:rsidR="001720A8" w:rsidRPr="001720A8" w:rsidRDefault="001720A8" w:rsidP="001720A8">
            <w:pPr>
              <w:spacing w:after="0"/>
              <w:jc w:val="right"/>
              <w:rPr>
                <w:color w:val="000000"/>
                <w:sz w:val="15"/>
                <w:szCs w:val="13"/>
                <w:lang w:val="en-US" w:eastAsia="en-US"/>
              </w:rPr>
            </w:pPr>
            <w:r w:rsidRPr="001720A8">
              <w:rPr>
                <w:color w:val="000000"/>
                <w:sz w:val="14"/>
                <w:szCs w:val="14"/>
              </w:rPr>
              <w:t>14.00</w:t>
            </w:r>
          </w:p>
        </w:tc>
        <w:tc>
          <w:tcPr>
            <w:tcW w:w="679" w:type="dxa"/>
            <w:tcBorders>
              <w:top w:val="nil"/>
              <w:left w:val="nil"/>
              <w:bottom w:val="nil"/>
              <w:right w:val="nil"/>
            </w:tcBorders>
            <w:shd w:val="clear" w:color="000000" w:fill="FFFFFF"/>
            <w:noWrap/>
            <w:hideMark/>
          </w:tcPr>
          <w:p w14:paraId="71978690" w14:textId="2398521F" w:rsidR="001720A8" w:rsidRPr="001720A8" w:rsidRDefault="001720A8" w:rsidP="001720A8">
            <w:pPr>
              <w:spacing w:after="0"/>
              <w:jc w:val="right"/>
              <w:rPr>
                <w:color w:val="000000"/>
                <w:sz w:val="15"/>
                <w:szCs w:val="13"/>
                <w:lang w:val="en-US" w:eastAsia="en-US"/>
              </w:rPr>
            </w:pPr>
            <w:r w:rsidRPr="001720A8">
              <w:rPr>
                <w:color w:val="000000"/>
                <w:sz w:val="14"/>
                <w:szCs w:val="14"/>
              </w:rPr>
              <w:t>17.4</w:t>
            </w:r>
          </w:p>
        </w:tc>
        <w:tc>
          <w:tcPr>
            <w:tcW w:w="691" w:type="dxa"/>
            <w:tcBorders>
              <w:top w:val="nil"/>
              <w:left w:val="single" w:sz="4" w:space="0" w:color="000000"/>
              <w:bottom w:val="nil"/>
              <w:right w:val="nil"/>
            </w:tcBorders>
            <w:shd w:val="clear" w:color="000000" w:fill="FFFFFF"/>
            <w:noWrap/>
            <w:hideMark/>
          </w:tcPr>
          <w:p w14:paraId="5D124417" w14:textId="1DB8E402" w:rsidR="001720A8" w:rsidRPr="001720A8" w:rsidRDefault="001720A8" w:rsidP="001720A8">
            <w:pPr>
              <w:spacing w:after="0"/>
              <w:jc w:val="right"/>
              <w:rPr>
                <w:color w:val="000000"/>
                <w:sz w:val="15"/>
                <w:szCs w:val="13"/>
                <w:lang w:val="en-US" w:eastAsia="en-US"/>
              </w:rPr>
            </w:pPr>
            <w:r w:rsidRPr="001720A8">
              <w:rPr>
                <w:color w:val="000000"/>
                <w:sz w:val="14"/>
                <w:szCs w:val="14"/>
              </w:rPr>
              <w:t>15%</w:t>
            </w:r>
          </w:p>
        </w:tc>
        <w:tc>
          <w:tcPr>
            <w:tcW w:w="735" w:type="dxa"/>
            <w:tcBorders>
              <w:top w:val="nil"/>
              <w:left w:val="nil"/>
              <w:bottom w:val="nil"/>
              <w:right w:val="nil"/>
            </w:tcBorders>
            <w:shd w:val="clear" w:color="000000" w:fill="FFFFFF"/>
            <w:noWrap/>
            <w:hideMark/>
          </w:tcPr>
          <w:p w14:paraId="20CB07FD" w14:textId="5268DCBD" w:rsidR="001720A8" w:rsidRPr="001720A8" w:rsidRDefault="001720A8" w:rsidP="001720A8">
            <w:pPr>
              <w:spacing w:after="0"/>
              <w:jc w:val="right"/>
              <w:rPr>
                <w:color w:val="000000"/>
                <w:sz w:val="15"/>
                <w:szCs w:val="13"/>
                <w:lang w:val="en-US" w:eastAsia="en-US"/>
              </w:rPr>
            </w:pPr>
            <w:r w:rsidRPr="001720A8">
              <w:rPr>
                <w:color w:val="000000"/>
                <w:sz w:val="14"/>
                <w:szCs w:val="14"/>
              </w:rPr>
              <w:t>9%</w:t>
            </w:r>
          </w:p>
        </w:tc>
        <w:tc>
          <w:tcPr>
            <w:tcW w:w="752" w:type="dxa"/>
            <w:tcBorders>
              <w:top w:val="nil"/>
              <w:left w:val="nil"/>
              <w:bottom w:val="nil"/>
              <w:right w:val="nil"/>
            </w:tcBorders>
            <w:shd w:val="clear" w:color="000000" w:fill="FFFFFF"/>
            <w:noWrap/>
            <w:hideMark/>
          </w:tcPr>
          <w:p w14:paraId="27FE4263" w14:textId="59B3C8C8" w:rsidR="001720A8" w:rsidRPr="001720A8" w:rsidRDefault="001720A8" w:rsidP="001720A8">
            <w:pPr>
              <w:spacing w:after="0"/>
              <w:jc w:val="right"/>
              <w:rPr>
                <w:color w:val="000000"/>
                <w:sz w:val="15"/>
                <w:szCs w:val="13"/>
                <w:lang w:val="en-US" w:eastAsia="en-US"/>
              </w:rPr>
            </w:pPr>
            <w:r w:rsidRPr="001720A8">
              <w:rPr>
                <w:color w:val="000000"/>
                <w:sz w:val="14"/>
                <w:szCs w:val="14"/>
              </w:rPr>
              <w:t>46%</w:t>
            </w:r>
          </w:p>
        </w:tc>
        <w:tc>
          <w:tcPr>
            <w:tcW w:w="779" w:type="dxa"/>
            <w:tcBorders>
              <w:top w:val="nil"/>
              <w:left w:val="nil"/>
              <w:bottom w:val="nil"/>
              <w:right w:val="nil"/>
            </w:tcBorders>
            <w:shd w:val="clear" w:color="000000" w:fill="FFFFFF"/>
            <w:noWrap/>
            <w:hideMark/>
          </w:tcPr>
          <w:p w14:paraId="6045A2C2" w14:textId="36D7FE3B" w:rsidR="001720A8" w:rsidRPr="001720A8" w:rsidRDefault="001720A8" w:rsidP="001720A8">
            <w:pPr>
              <w:spacing w:after="0"/>
              <w:jc w:val="right"/>
              <w:rPr>
                <w:color w:val="000000"/>
                <w:sz w:val="15"/>
                <w:szCs w:val="13"/>
                <w:lang w:val="en-US" w:eastAsia="en-US"/>
              </w:rPr>
            </w:pPr>
            <w:r w:rsidRPr="001720A8">
              <w:rPr>
                <w:color w:val="000000"/>
                <w:sz w:val="14"/>
                <w:szCs w:val="14"/>
              </w:rPr>
              <w:t>29%</w:t>
            </w:r>
          </w:p>
        </w:tc>
        <w:tc>
          <w:tcPr>
            <w:tcW w:w="989" w:type="dxa"/>
            <w:tcBorders>
              <w:top w:val="nil"/>
              <w:left w:val="single" w:sz="4" w:space="0" w:color="auto"/>
              <w:bottom w:val="nil"/>
              <w:right w:val="nil"/>
            </w:tcBorders>
            <w:shd w:val="clear" w:color="000000" w:fill="FFFFFF"/>
            <w:noWrap/>
            <w:hideMark/>
          </w:tcPr>
          <w:p w14:paraId="6A81E1AA" w14:textId="30AEBD5F" w:rsidR="001720A8" w:rsidRPr="001720A8" w:rsidRDefault="001720A8" w:rsidP="001720A8">
            <w:pPr>
              <w:spacing w:after="0"/>
              <w:jc w:val="right"/>
              <w:rPr>
                <w:color w:val="000000"/>
                <w:sz w:val="15"/>
                <w:szCs w:val="13"/>
                <w:lang w:val="en-US" w:eastAsia="en-US"/>
              </w:rPr>
            </w:pPr>
            <w:r w:rsidRPr="001720A8">
              <w:rPr>
                <w:color w:val="000000"/>
                <w:sz w:val="14"/>
                <w:szCs w:val="14"/>
              </w:rPr>
              <w:t>6.38</w:t>
            </w:r>
          </w:p>
        </w:tc>
        <w:tc>
          <w:tcPr>
            <w:tcW w:w="701" w:type="dxa"/>
            <w:tcBorders>
              <w:top w:val="nil"/>
              <w:left w:val="nil"/>
              <w:bottom w:val="nil"/>
              <w:right w:val="nil"/>
            </w:tcBorders>
            <w:shd w:val="clear" w:color="000000" w:fill="FFFFFF"/>
            <w:noWrap/>
            <w:hideMark/>
          </w:tcPr>
          <w:p w14:paraId="13BB13E6" w14:textId="36E811C2"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5 </w:t>
            </w:r>
          </w:p>
        </w:tc>
      </w:tr>
      <w:tr w:rsidR="001720A8" w:rsidRPr="00E4527E" w14:paraId="7EAA2EBB"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4236BD31" w14:textId="4E2757C0"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4904DF83" w14:textId="77764A79" w:rsidR="001720A8" w:rsidRPr="001720A8" w:rsidRDefault="001720A8" w:rsidP="001720A8">
            <w:pPr>
              <w:spacing w:after="0"/>
              <w:jc w:val="center"/>
              <w:rPr>
                <w:color w:val="000000"/>
                <w:sz w:val="15"/>
                <w:szCs w:val="13"/>
                <w:lang w:val="en-US" w:eastAsia="en-US"/>
              </w:rPr>
            </w:pPr>
            <w:r w:rsidRPr="001720A8">
              <w:rPr>
                <w:color w:val="000000"/>
                <w:sz w:val="14"/>
                <w:szCs w:val="14"/>
              </w:rPr>
              <w:t>6</w:t>
            </w:r>
          </w:p>
        </w:tc>
        <w:tc>
          <w:tcPr>
            <w:tcW w:w="585" w:type="dxa"/>
            <w:tcBorders>
              <w:top w:val="nil"/>
              <w:left w:val="nil"/>
              <w:bottom w:val="nil"/>
              <w:right w:val="nil"/>
            </w:tcBorders>
            <w:shd w:val="clear" w:color="000000" w:fill="FFFFFF"/>
            <w:noWrap/>
            <w:hideMark/>
          </w:tcPr>
          <w:p w14:paraId="5AFF6ED8" w14:textId="6A88EF4B" w:rsidR="001720A8" w:rsidRPr="001720A8" w:rsidRDefault="001720A8" w:rsidP="001720A8">
            <w:pPr>
              <w:spacing w:after="0"/>
              <w:rPr>
                <w:color w:val="000000"/>
                <w:sz w:val="15"/>
                <w:szCs w:val="13"/>
                <w:lang w:val="en-US" w:eastAsia="en-US"/>
              </w:rPr>
            </w:pPr>
            <w:r w:rsidRPr="001720A8">
              <w:rPr>
                <w:color w:val="000000"/>
                <w:sz w:val="14"/>
                <w:szCs w:val="14"/>
              </w:rPr>
              <w:t>I09B</w:t>
            </w:r>
          </w:p>
        </w:tc>
        <w:tc>
          <w:tcPr>
            <w:tcW w:w="4639" w:type="dxa"/>
            <w:tcBorders>
              <w:top w:val="nil"/>
              <w:left w:val="nil"/>
              <w:bottom w:val="nil"/>
              <w:right w:val="nil"/>
            </w:tcBorders>
            <w:shd w:val="clear" w:color="000000" w:fill="FFFFFF"/>
            <w:noWrap/>
            <w:hideMark/>
          </w:tcPr>
          <w:p w14:paraId="144C2E89" w14:textId="1B277AFF" w:rsidR="001720A8" w:rsidRPr="001720A8" w:rsidRDefault="001720A8" w:rsidP="001720A8">
            <w:pPr>
              <w:spacing w:after="0"/>
              <w:rPr>
                <w:color w:val="000000"/>
                <w:sz w:val="15"/>
                <w:szCs w:val="13"/>
                <w:lang w:val="en-US" w:eastAsia="en-US"/>
              </w:rPr>
            </w:pPr>
            <w:r w:rsidRPr="001720A8">
              <w:rPr>
                <w:color w:val="000000"/>
                <w:sz w:val="14"/>
                <w:szCs w:val="14"/>
              </w:rPr>
              <w:t>Spinal Fusion, Intermediate Complexity</w:t>
            </w:r>
          </w:p>
        </w:tc>
        <w:tc>
          <w:tcPr>
            <w:tcW w:w="752" w:type="dxa"/>
            <w:tcBorders>
              <w:top w:val="nil"/>
              <w:left w:val="nil"/>
              <w:bottom w:val="nil"/>
              <w:right w:val="nil"/>
            </w:tcBorders>
            <w:shd w:val="clear" w:color="000000" w:fill="FFFFFF"/>
            <w:noWrap/>
            <w:hideMark/>
          </w:tcPr>
          <w:p w14:paraId="49A1FDFC" w14:textId="080F59B4"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4.94</w:t>
            </w:r>
          </w:p>
        </w:tc>
        <w:tc>
          <w:tcPr>
            <w:tcW w:w="897" w:type="dxa"/>
            <w:tcBorders>
              <w:top w:val="nil"/>
              <w:left w:val="nil"/>
              <w:bottom w:val="nil"/>
              <w:right w:val="nil"/>
            </w:tcBorders>
            <w:shd w:val="clear" w:color="000000" w:fill="FFFFFF"/>
            <w:noWrap/>
            <w:hideMark/>
          </w:tcPr>
          <w:p w14:paraId="66997992" w14:textId="6B3D9AB1" w:rsidR="001720A8" w:rsidRPr="001720A8" w:rsidRDefault="001720A8" w:rsidP="001720A8">
            <w:pPr>
              <w:spacing w:after="0"/>
              <w:jc w:val="right"/>
              <w:rPr>
                <w:color w:val="000000"/>
                <w:sz w:val="15"/>
                <w:szCs w:val="13"/>
                <w:lang w:val="en-US" w:eastAsia="en-US"/>
              </w:rPr>
            </w:pPr>
            <w:r w:rsidRPr="001720A8">
              <w:rPr>
                <w:color w:val="000000"/>
                <w:sz w:val="14"/>
                <w:szCs w:val="14"/>
              </w:rPr>
              <w:t>3,324</w:t>
            </w:r>
          </w:p>
        </w:tc>
        <w:tc>
          <w:tcPr>
            <w:tcW w:w="735" w:type="dxa"/>
            <w:tcBorders>
              <w:top w:val="nil"/>
              <w:left w:val="nil"/>
              <w:bottom w:val="nil"/>
              <w:right w:val="nil"/>
            </w:tcBorders>
            <w:shd w:val="clear" w:color="000000" w:fill="FFFFFF"/>
            <w:noWrap/>
            <w:hideMark/>
          </w:tcPr>
          <w:p w14:paraId="28D9CBC1" w14:textId="6553D960" w:rsidR="001720A8" w:rsidRPr="001720A8" w:rsidRDefault="001720A8" w:rsidP="001720A8">
            <w:pPr>
              <w:spacing w:after="0"/>
              <w:jc w:val="right"/>
              <w:rPr>
                <w:color w:val="000000"/>
                <w:sz w:val="15"/>
                <w:szCs w:val="13"/>
                <w:lang w:val="en-US" w:eastAsia="en-US"/>
              </w:rPr>
            </w:pPr>
            <w:r w:rsidRPr="001720A8">
              <w:rPr>
                <w:color w:val="000000"/>
                <w:sz w:val="14"/>
                <w:szCs w:val="14"/>
              </w:rPr>
              <w:t>9.07</w:t>
            </w:r>
          </w:p>
        </w:tc>
        <w:tc>
          <w:tcPr>
            <w:tcW w:w="679" w:type="dxa"/>
            <w:tcBorders>
              <w:top w:val="nil"/>
              <w:left w:val="nil"/>
              <w:bottom w:val="nil"/>
              <w:right w:val="nil"/>
            </w:tcBorders>
            <w:shd w:val="clear" w:color="000000" w:fill="FFFFFF"/>
            <w:noWrap/>
            <w:hideMark/>
          </w:tcPr>
          <w:p w14:paraId="466A6C4D" w14:textId="60F8D1DC" w:rsidR="001720A8" w:rsidRPr="001720A8" w:rsidRDefault="001720A8" w:rsidP="001720A8">
            <w:pPr>
              <w:spacing w:after="0"/>
              <w:jc w:val="right"/>
              <w:rPr>
                <w:color w:val="000000"/>
                <w:sz w:val="15"/>
                <w:szCs w:val="13"/>
                <w:lang w:val="en-US" w:eastAsia="en-US"/>
              </w:rPr>
            </w:pPr>
            <w:r w:rsidRPr="001720A8">
              <w:rPr>
                <w:color w:val="000000"/>
                <w:sz w:val="14"/>
                <w:szCs w:val="14"/>
              </w:rPr>
              <w:t>8.1</w:t>
            </w:r>
          </w:p>
        </w:tc>
        <w:tc>
          <w:tcPr>
            <w:tcW w:w="691" w:type="dxa"/>
            <w:tcBorders>
              <w:top w:val="nil"/>
              <w:left w:val="single" w:sz="4" w:space="0" w:color="000000"/>
              <w:bottom w:val="nil"/>
              <w:right w:val="nil"/>
            </w:tcBorders>
            <w:shd w:val="clear" w:color="000000" w:fill="FFFFFF"/>
            <w:noWrap/>
            <w:hideMark/>
          </w:tcPr>
          <w:p w14:paraId="7BC9A0DB" w14:textId="0ECB5601" w:rsidR="001720A8" w:rsidRPr="001720A8" w:rsidRDefault="001720A8" w:rsidP="001720A8">
            <w:pPr>
              <w:spacing w:after="0"/>
              <w:jc w:val="right"/>
              <w:rPr>
                <w:color w:val="000000"/>
                <w:sz w:val="15"/>
                <w:szCs w:val="13"/>
                <w:lang w:val="en-US" w:eastAsia="en-US"/>
              </w:rPr>
            </w:pPr>
            <w:r w:rsidRPr="001720A8">
              <w:rPr>
                <w:color w:val="000000"/>
                <w:sz w:val="14"/>
                <w:szCs w:val="14"/>
              </w:rPr>
              <w:t>18%</w:t>
            </w:r>
          </w:p>
        </w:tc>
        <w:tc>
          <w:tcPr>
            <w:tcW w:w="735" w:type="dxa"/>
            <w:tcBorders>
              <w:top w:val="nil"/>
              <w:left w:val="nil"/>
              <w:bottom w:val="nil"/>
              <w:right w:val="nil"/>
            </w:tcBorders>
            <w:shd w:val="clear" w:color="000000" w:fill="FFFFFF"/>
            <w:noWrap/>
            <w:hideMark/>
          </w:tcPr>
          <w:p w14:paraId="012CFE6E" w14:textId="3D0186FA" w:rsidR="001720A8" w:rsidRPr="001720A8" w:rsidRDefault="001720A8" w:rsidP="001720A8">
            <w:pPr>
              <w:spacing w:after="0"/>
              <w:jc w:val="right"/>
              <w:rPr>
                <w:color w:val="000000"/>
                <w:sz w:val="15"/>
                <w:szCs w:val="13"/>
                <w:lang w:val="en-US" w:eastAsia="en-US"/>
              </w:rPr>
            </w:pPr>
            <w:r w:rsidRPr="001720A8">
              <w:rPr>
                <w:color w:val="000000"/>
                <w:sz w:val="14"/>
                <w:szCs w:val="14"/>
              </w:rPr>
              <w:t>5%</w:t>
            </w:r>
          </w:p>
        </w:tc>
        <w:tc>
          <w:tcPr>
            <w:tcW w:w="752" w:type="dxa"/>
            <w:tcBorders>
              <w:top w:val="nil"/>
              <w:left w:val="nil"/>
              <w:bottom w:val="nil"/>
              <w:right w:val="nil"/>
            </w:tcBorders>
            <w:shd w:val="clear" w:color="000000" w:fill="FFFFFF"/>
            <w:noWrap/>
            <w:hideMark/>
          </w:tcPr>
          <w:p w14:paraId="362961A8" w14:textId="735C5759" w:rsidR="001720A8" w:rsidRPr="001720A8" w:rsidRDefault="001720A8" w:rsidP="001720A8">
            <w:pPr>
              <w:spacing w:after="0"/>
              <w:jc w:val="right"/>
              <w:rPr>
                <w:color w:val="000000"/>
                <w:sz w:val="15"/>
                <w:szCs w:val="13"/>
                <w:lang w:val="en-US" w:eastAsia="en-US"/>
              </w:rPr>
            </w:pPr>
            <w:r w:rsidRPr="001720A8">
              <w:rPr>
                <w:color w:val="000000"/>
                <w:sz w:val="14"/>
                <w:szCs w:val="14"/>
              </w:rPr>
              <w:t>54%</w:t>
            </w:r>
          </w:p>
        </w:tc>
        <w:tc>
          <w:tcPr>
            <w:tcW w:w="779" w:type="dxa"/>
            <w:tcBorders>
              <w:top w:val="nil"/>
              <w:left w:val="nil"/>
              <w:bottom w:val="nil"/>
              <w:right w:val="nil"/>
            </w:tcBorders>
            <w:shd w:val="clear" w:color="000000" w:fill="FFFFFF"/>
            <w:noWrap/>
            <w:hideMark/>
          </w:tcPr>
          <w:p w14:paraId="6C943D80" w14:textId="06515996" w:rsidR="001720A8" w:rsidRPr="001720A8" w:rsidRDefault="001720A8" w:rsidP="001720A8">
            <w:pPr>
              <w:spacing w:after="0"/>
              <w:jc w:val="right"/>
              <w:rPr>
                <w:color w:val="000000"/>
                <w:sz w:val="15"/>
                <w:szCs w:val="13"/>
                <w:lang w:val="en-US" w:eastAsia="en-US"/>
              </w:rPr>
            </w:pPr>
            <w:r w:rsidRPr="001720A8">
              <w:rPr>
                <w:color w:val="000000"/>
                <w:sz w:val="14"/>
                <w:szCs w:val="14"/>
              </w:rPr>
              <w:t>23%</w:t>
            </w:r>
          </w:p>
        </w:tc>
        <w:tc>
          <w:tcPr>
            <w:tcW w:w="989" w:type="dxa"/>
            <w:tcBorders>
              <w:top w:val="nil"/>
              <w:left w:val="single" w:sz="4" w:space="0" w:color="auto"/>
              <w:bottom w:val="nil"/>
              <w:right w:val="nil"/>
            </w:tcBorders>
            <w:shd w:val="clear" w:color="000000" w:fill="FFFFFF"/>
            <w:noWrap/>
            <w:hideMark/>
          </w:tcPr>
          <w:p w14:paraId="0E084A25" w14:textId="1DB0B972" w:rsidR="001720A8" w:rsidRPr="001720A8" w:rsidRDefault="001720A8" w:rsidP="001720A8">
            <w:pPr>
              <w:spacing w:after="0"/>
              <w:jc w:val="right"/>
              <w:rPr>
                <w:color w:val="000000"/>
                <w:sz w:val="15"/>
                <w:szCs w:val="13"/>
                <w:lang w:val="en-US" w:eastAsia="en-US"/>
              </w:rPr>
            </w:pPr>
            <w:r w:rsidRPr="001720A8">
              <w:rPr>
                <w:color w:val="000000"/>
                <w:sz w:val="14"/>
                <w:szCs w:val="14"/>
              </w:rPr>
              <w:t>4.56</w:t>
            </w:r>
          </w:p>
        </w:tc>
        <w:tc>
          <w:tcPr>
            <w:tcW w:w="701" w:type="dxa"/>
            <w:tcBorders>
              <w:top w:val="nil"/>
              <w:left w:val="nil"/>
              <w:bottom w:val="nil"/>
              <w:right w:val="nil"/>
            </w:tcBorders>
            <w:shd w:val="clear" w:color="000000" w:fill="FFFFFF"/>
            <w:noWrap/>
            <w:hideMark/>
          </w:tcPr>
          <w:p w14:paraId="6F111D9E" w14:textId="32B306B9"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7 </w:t>
            </w:r>
          </w:p>
        </w:tc>
      </w:tr>
      <w:tr w:rsidR="001720A8" w:rsidRPr="00E4527E" w14:paraId="635E003D"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61CFB158" w14:textId="6F48E14F"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77D36F15" w14:textId="2F12A4E4" w:rsidR="001720A8" w:rsidRPr="001720A8" w:rsidRDefault="001720A8" w:rsidP="001720A8">
            <w:pPr>
              <w:spacing w:after="0"/>
              <w:jc w:val="center"/>
              <w:rPr>
                <w:color w:val="000000"/>
                <w:sz w:val="15"/>
                <w:szCs w:val="13"/>
                <w:lang w:val="en-US" w:eastAsia="en-US"/>
              </w:rPr>
            </w:pPr>
            <w:r w:rsidRPr="001720A8">
              <w:rPr>
                <w:color w:val="000000"/>
                <w:sz w:val="14"/>
                <w:szCs w:val="14"/>
              </w:rPr>
              <w:t>7</w:t>
            </w:r>
          </w:p>
        </w:tc>
        <w:tc>
          <w:tcPr>
            <w:tcW w:w="585" w:type="dxa"/>
            <w:tcBorders>
              <w:top w:val="nil"/>
              <w:left w:val="nil"/>
              <w:bottom w:val="nil"/>
              <w:right w:val="nil"/>
            </w:tcBorders>
            <w:shd w:val="clear" w:color="000000" w:fill="FFFFFF"/>
            <w:noWrap/>
            <w:hideMark/>
          </w:tcPr>
          <w:p w14:paraId="05596AF9" w14:textId="0A758AB4" w:rsidR="001720A8" w:rsidRPr="001720A8" w:rsidRDefault="001720A8" w:rsidP="001720A8">
            <w:pPr>
              <w:spacing w:after="0"/>
              <w:rPr>
                <w:color w:val="000000"/>
                <w:sz w:val="15"/>
                <w:szCs w:val="13"/>
                <w:lang w:val="en-US" w:eastAsia="en-US"/>
              </w:rPr>
            </w:pPr>
            <w:r w:rsidRPr="001720A8">
              <w:rPr>
                <w:color w:val="000000"/>
                <w:sz w:val="14"/>
                <w:szCs w:val="14"/>
              </w:rPr>
              <w:t>I01A</w:t>
            </w:r>
          </w:p>
        </w:tc>
        <w:tc>
          <w:tcPr>
            <w:tcW w:w="4639" w:type="dxa"/>
            <w:tcBorders>
              <w:top w:val="nil"/>
              <w:left w:val="nil"/>
              <w:bottom w:val="nil"/>
              <w:right w:val="nil"/>
            </w:tcBorders>
            <w:shd w:val="clear" w:color="000000" w:fill="FFFFFF"/>
            <w:noWrap/>
            <w:hideMark/>
          </w:tcPr>
          <w:p w14:paraId="52698D20" w14:textId="4DCF7D64" w:rsidR="001720A8" w:rsidRPr="001720A8" w:rsidRDefault="001720A8" w:rsidP="001720A8">
            <w:pPr>
              <w:spacing w:after="0"/>
              <w:rPr>
                <w:color w:val="000000"/>
                <w:sz w:val="15"/>
                <w:szCs w:val="13"/>
                <w:lang w:val="en-US" w:eastAsia="en-US"/>
              </w:rPr>
            </w:pPr>
            <w:r w:rsidRPr="001720A8">
              <w:rPr>
                <w:color w:val="000000"/>
                <w:sz w:val="14"/>
                <w:szCs w:val="14"/>
              </w:rPr>
              <w:t>Bilateral and Multiple Major Joint Procedures of Lower Limb, Major Complexity</w:t>
            </w:r>
          </w:p>
        </w:tc>
        <w:tc>
          <w:tcPr>
            <w:tcW w:w="752" w:type="dxa"/>
            <w:tcBorders>
              <w:top w:val="nil"/>
              <w:left w:val="nil"/>
              <w:bottom w:val="nil"/>
              <w:right w:val="nil"/>
            </w:tcBorders>
            <w:shd w:val="clear" w:color="000000" w:fill="FFFFFF"/>
            <w:noWrap/>
            <w:hideMark/>
          </w:tcPr>
          <w:p w14:paraId="3657E715" w14:textId="211D5B2C"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4.51</w:t>
            </w:r>
          </w:p>
        </w:tc>
        <w:tc>
          <w:tcPr>
            <w:tcW w:w="897" w:type="dxa"/>
            <w:tcBorders>
              <w:top w:val="nil"/>
              <w:left w:val="nil"/>
              <w:bottom w:val="nil"/>
              <w:right w:val="nil"/>
            </w:tcBorders>
            <w:shd w:val="clear" w:color="000000" w:fill="FFFFFF"/>
            <w:noWrap/>
            <w:hideMark/>
          </w:tcPr>
          <w:p w14:paraId="6548DE07" w14:textId="63CE00E0" w:rsidR="001720A8" w:rsidRPr="001720A8" w:rsidRDefault="001720A8" w:rsidP="001720A8">
            <w:pPr>
              <w:spacing w:after="0"/>
              <w:jc w:val="right"/>
              <w:rPr>
                <w:color w:val="000000"/>
                <w:sz w:val="15"/>
                <w:szCs w:val="13"/>
                <w:lang w:val="en-US" w:eastAsia="en-US"/>
              </w:rPr>
            </w:pPr>
            <w:r w:rsidRPr="001720A8">
              <w:rPr>
                <w:color w:val="000000"/>
                <w:sz w:val="14"/>
                <w:szCs w:val="14"/>
              </w:rPr>
              <w:t>545</w:t>
            </w:r>
          </w:p>
        </w:tc>
        <w:tc>
          <w:tcPr>
            <w:tcW w:w="735" w:type="dxa"/>
            <w:tcBorders>
              <w:top w:val="nil"/>
              <w:left w:val="nil"/>
              <w:bottom w:val="nil"/>
              <w:right w:val="nil"/>
            </w:tcBorders>
            <w:shd w:val="clear" w:color="000000" w:fill="FFFFFF"/>
            <w:noWrap/>
            <w:hideMark/>
          </w:tcPr>
          <w:p w14:paraId="377AA4BC" w14:textId="55D63D82" w:rsidR="001720A8" w:rsidRPr="001720A8" w:rsidRDefault="001720A8" w:rsidP="001720A8">
            <w:pPr>
              <w:spacing w:after="0"/>
              <w:jc w:val="right"/>
              <w:rPr>
                <w:color w:val="000000"/>
                <w:sz w:val="15"/>
                <w:szCs w:val="13"/>
                <w:lang w:val="en-US" w:eastAsia="en-US"/>
              </w:rPr>
            </w:pPr>
            <w:r w:rsidRPr="001720A8">
              <w:rPr>
                <w:color w:val="000000"/>
                <w:sz w:val="14"/>
                <w:szCs w:val="14"/>
              </w:rPr>
              <w:t>10.89</w:t>
            </w:r>
          </w:p>
        </w:tc>
        <w:tc>
          <w:tcPr>
            <w:tcW w:w="679" w:type="dxa"/>
            <w:tcBorders>
              <w:top w:val="nil"/>
              <w:left w:val="nil"/>
              <w:bottom w:val="nil"/>
              <w:right w:val="nil"/>
            </w:tcBorders>
            <w:shd w:val="clear" w:color="000000" w:fill="FFFFFF"/>
            <w:noWrap/>
            <w:hideMark/>
          </w:tcPr>
          <w:p w14:paraId="770E933D" w14:textId="56A81877" w:rsidR="001720A8" w:rsidRPr="001720A8" w:rsidRDefault="001720A8" w:rsidP="001720A8">
            <w:pPr>
              <w:spacing w:after="0"/>
              <w:jc w:val="right"/>
              <w:rPr>
                <w:color w:val="000000"/>
                <w:sz w:val="15"/>
                <w:szCs w:val="13"/>
                <w:lang w:val="en-US" w:eastAsia="en-US"/>
              </w:rPr>
            </w:pPr>
            <w:r w:rsidRPr="001720A8">
              <w:rPr>
                <w:color w:val="000000"/>
                <w:sz w:val="14"/>
                <w:szCs w:val="14"/>
              </w:rPr>
              <w:t>15.5</w:t>
            </w:r>
          </w:p>
        </w:tc>
        <w:tc>
          <w:tcPr>
            <w:tcW w:w="691" w:type="dxa"/>
            <w:tcBorders>
              <w:top w:val="nil"/>
              <w:left w:val="single" w:sz="4" w:space="0" w:color="000000"/>
              <w:bottom w:val="nil"/>
              <w:right w:val="nil"/>
            </w:tcBorders>
            <w:shd w:val="clear" w:color="000000" w:fill="FFFFFF"/>
            <w:noWrap/>
            <w:hideMark/>
          </w:tcPr>
          <w:p w14:paraId="05338E4A" w14:textId="11F58BC7" w:rsidR="001720A8" w:rsidRPr="001720A8" w:rsidRDefault="001720A8" w:rsidP="001720A8">
            <w:pPr>
              <w:spacing w:after="0"/>
              <w:jc w:val="right"/>
              <w:rPr>
                <w:color w:val="000000"/>
                <w:sz w:val="15"/>
                <w:szCs w:val="13"/>
                <w:lang w:val="en-US" w:eastAsia="en-US"/>
              </w:rPr>
            </w:pPr>
            <w:r w:rsidRPr="001720A8">
              <w:rPr>
                <w:color w:val="000000"/>
                <w:sz w:val="14"/>
                <w:szCs w:val="14"/>
              </w:rPr>
              <w:t>15%</w:t>
            </w:r>
          </w:p>
        </w:tc>
        <w:tc>
          <w:tcPr>
            <w:tcW w:w="735" w:type="dxa"/>
            <w:tcBorders>
              <w:top w:val="nil"/>
              <w:left w:val="nil"/>
              <w:bottom w:val="nil"/>
              <w:right w:val="nil"/>
            </w:tcBorders>
            <w:shd w:val="clear" w:color="000000" w:fill="FFFFFF"/>
            <w:noWrap/>
            <w:hideMark/>
          </w:tcPr>
          <w:p w14:paraId="25E65B91" w14:textId="62F42682" w:rsidR="001720A8" w:rsidRPr="001720A8" w:rsidRDefault="001720A8" w:rsidP="001720A8">
            <w:pPr>
              <w:spacing w:after="0"/>
              <w:jc w:val="right"/>
              <w:rPr>
                <w:color w:val="000000"/>
                <w:sz w:val="15"/>
                <w:szCs w:val="13"/>
                <w:lang w:val="en-US" w:eastAsia="en-US"/>
              </w:rPr>
            </w:pPr>
            <w:r w:rsidRPr="001720A8">
              <w:rPr>
                <w:color w:val="000000"/>
                <w:sz w:val="14"/>
                <w:szCs w:val="14"/>
              </w:rPr>
              <w:t>7%</w:t>
            </w:r>
          </w:p>
        </w:tc>
        <w:tc>
          <w:tcPr>
            <w:tcW w:w="752" w:type="dxa"/>
            <w:tcBorders>
              <w:top w:val="nil"/>
              <w:left w:val="nil"/>
              <w:bottom w:val="nil"/>
              <w:right w:val="nil"/>
            </w:tcBorders>
            <w:shd w:val="clear" w:color="000000" w:fill="FFFFFF"/>
            <w:noWrap/>
            <w:hideMark/>
          </w:tcPr>
          <w:p w14:paraId="11538360" w14:textId="10EF3509" w:rsidR="001720A8" w:rsidRPr="001720A8" w:rsidRDefault="001720A8" w:rsidP="001720A8">
            <w:pPr>
              <w:spacing w:after="0"/>
              <w:jc w:val="right"/>
              <w:rPr>
                <w:color w:val="000000"/>
                <w:sz w:val="15"/>
                <w:szCs w:val="13"/>
                <w:lang w:val="en-US" w:eastAsia="en-US"/>
              </w:rPr>
            </w:pPr>
            <w:r w:rsidRPr="001720A8">
              <w:rPr>
                <w:color w:val="000000"/>
                <w:sz w:val="14"/>
                <w:szCs w:val="14"/>
              </w:rPr>
              <w:t>41%</w:t>
            </w:r>
          </w:p>
        </w:tc>
        <w:tc>
          <w:tcPr>
            <w:tcW w:w="779" w:type="dxa"/>
            <w:tcBorders>
              <w:top w:val="nil"/>
              <w:left w:val="nil"/>
              <w:bottom w:val="nil"/>
              <w:right w:val="nil"/>
            </w:tcBorders>
            <w:shd w:val="clear" w:color="000000" w:fill="FFFFFF"/>
            <w:noWrap/>
            <w:hideMark/>
          </w:tcPr>
          <w:p w14:paraId="4BE3A81B" w14:textId="793944CF" w:rsidR="001720A8" w:rsidRPr="001720A8" w:rsidRDefault="001720A8" w:rsidP="001720A8">
            <w:pPr>
              <w:spacing w:after="0"/>
              <w:jc w:val="right"/>
              <w:rPr>
                <w:color w:val="000000"/>
                <w:sz w:val="15"/>
                <w:szCs w:val="13"/>
                <w:lang w:val="en-US" w:eastAsia="en-US"/>
              </w:rPr>
            </w:pPr>
            <w:r w:rsidRPr="001720A8">
              <w:rPr>
                <w:color w:val="000000"/>
                <w:sz w:val="14"/>
                <w:szCs w:val="14"/>
              </w:rPr>
              <w:t>37%</w:t>
            </w:r>
          </w:p>
        </w:tc>
        <w:tc>
          <w:tcPr>
            <w:tcW w:w="989" w:type="dxa"/>
            <w:tcBorders>
              <w:top w:val="nil"/>
              <w:left w:val="single" w:sz="4" w:space="0" w:color="auto"/>
              <w:bottom w:val="nil"/>
              <w:right w:val="nil"/>
            </w:tcBorders>
            <w:shd w:val="clear" w:color="000000" w:fill="FFFFFF"/>
            <w:noWrap/>
            <w:hideMark/>
          </w:tcPr>
          <w:p w14:paraId="77B4F06B" w14:textId="344D32CE" w:rsidR="001720A8" w:rsidRPr="001720A8" w:rsidRDefault="001720A8" w:rsidP="001720A8">
            <w:pPr>
              <w:spacing w:after="0"/>
              <w:jc w:val="right"/>
              <w:rPr>
                <w:color w:val="000000"/>
                <w:sz w:val="15"/>
                <w:szCs w:val="13"/>
                <w:lang w:val="en-US" w:eastAsia="en-US"/>
              </w:rPr>
            </w:pPr>
            <w:r w:rsidRPr="001720A8">
              <w:rPr>
                <w:color w:val="000000"/>
                <w:sz w:val="14"/>
                <w:szCs w:val="14"/>
              </w:rPr>
              <w:t>4.73</w:t>
            </w:r>
          </w:p>
        </w:tc>
        <w:tc>
          <w:tcPr>
            <w:tcW w:w="701" w:type="dxa"/>
            <w:tcBorders>
              <w:top w:val="nil"/>
              <w:left w:val="nil"/>
              <w:bottom w:val="nil"/>
              <w:right w:val="nil"/>
            </w:tcBorders>
            <w:shd w:val="clear" w:color="000000" w:fill="FFFFFF"/>
            <w:noWrap/>
            <w:hideMark/>
          </w:tcPr>
          <w:p w14:paraId="73782630" w14:textId="5049E1C6"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6 </w:t>
            </w:r>
          </w:p>
        </w:tc>
      </w:tr>
      <w:tr w:rsidR="001720A8" w:rsidRPr="00E4527E" w14:paraId="6FF9A82B"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283C074B" w14:textId="3EF1E04C"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21F087A3" w14:textId="29C77C03" w:rsidR="001720A8" w:rsidRPr="001720A8" w:rsidRDefault="001720A8" w:rsidP="001720A8">
            <w:pPr>
              <w:spacing w:after="0"/>
              <w:jc w:val="center"/>
              <w:rPr>
                <w:color w:val="000000"/>
                <w:sz w:val="15"/>
                <w:szCs w:val="13"/>
                <w:lang w:val="en-US" w:eastAsia="en-US"/>
              </w:rPr>
            </w:pPr>
            <w:r w:rsidRPr="001720A8">
              <w:rPr>
                <w:color w:val="000000"/>
                <w:sz w:val="14"/>
                <w:szCs w:val="14"/>
              </w:rPr>
              <w:t>8</w:t>
            </w:r>
          </w:p>
        </w:tc>
        <w:tc>
          <w:tcPr>
            <w:tcW w:w="585" w:type="dxa"/>
            <w:tcBorders>
              <w:top w:val="nil"/>
              <w:left w:val="nil"/>
              <w:bottom w:val="nil"/>
              <w:right w:val="nil"/>
            </w:tcBorders>
            <w:shd w:val="clear" w:color="000000" w:fill="FFFFFF"/>
            <w:noWrap/>
            <w:hideMark/>
          </w:tcPr>
          <w:p w14:paraId="23904551" w14:textId="7E37AE20" w:rsidR="001720A8" w:rsidRPr="001720A8" w:rsidRDefault="001720A8" w:rsidP="001720A8">
            <w:pPr>
              <w:spacing w:after="0"/>
              <w:rPr>
                <w:color w:val="000000"/>
                <w:sz w:val="15"/>
                <w:szCs w:val="13"/>
                <w:lang w:val="en-US" w:eastAsia="en-US"/>
              </w:rPr>
            </w:pPr>
            <w:r w:rsidRPr="001720A8">
              <w:rPr>
                <w:color w:val="000000"/>
                <w:sz w:val="14"/>
                <w:szCs w:val="14"/>
              </w:rPr>
              <w:t>I01B</w:t>
            </w:r>
          </w:p>
        </w:tc>
        <w:tc>
          <w:tcPr>
            <w:tcW w:w="4639" w:type="dxa"/>
            <w:tcBorders>
              <w:top w:val="nil"/>
              <w:left w:val="nil"/>
              <w:bottom w:val="nil"/>
              <w:right w:val="nil"/>
            </w:tcBorders>
            <w:shd w:val="clear" w:color="000000" w:fill="FFFFFF"/>
            <w:noWrap/>
            <w:hideMark/>
          </w:tcPr>
          <w:p w14:paraId="70C00ABE" w14:textId="1988EF7F" w:rsidR="001720A8" w:rsidRPr="001720A8" w:rsidRDefault="001720A8" w:rsidP="001720A8">
            <w:pPr>
              <w:spacing w:after="0"/>
              <w:rPr>
                <w:color w:val="000000"/>
                <w:sz w:val="15"/>
                <w:szCs w:val="13"/>
                <w:lang w:val="en-US" w:eastAsia="en-US"/>
              </w:rPr>
            </w:pPr>
            <w:r w:rsidRPr="001720A8">
              <w:rPr>
                <w:color w:val="000000"/>
                <w:sz w:val="14"/>
                <w:szCs w:val="14"/>
              </w:rPr>
              <w:t>Bilateral and Multiple Major Joint Procedures of Lower Limb, Minor Complexity</w:t>
            </w:r>
          </w:p>
        </w:tc>
        <w:tc>
          <w:tcPr>
            <w:tcW w:w="752" w:type="dxa"/>
            <w:tcBorders>
              <w:top w:val="nil"/>
              <w:left w:val="nil"/>
              <w:bottom w:val="nil"/>
              <w:right w:val="nil"/>
            </w:tcBorders>
            <w:shd w:val="clear" w:color="000000" w:fill="FFFFFF"/>
            <w:noWrap/>
            <w:hideMark/>
          </w:tcPr>
          <w:p w14:paraId="1268FE75" w14:textId="21DF8926"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4.50</w:t>
            </w:r>
          </w:p>
        </w:tc>
        <w:tc>
          <w:tcPr>
            <w:tcW w:w="897" w:type="dxa"/>
            <w:tcBorders>
              <w:top w:val="nil"/>
              <w:left w:val="nil"/>
              <w:bottom w:val="nil"/>
              <w:right w:val="nil"/>
            </w:tcBorders>
            <w:shd w:val="clear" w:color="000000" w:fill="FFFFFF"/>
            <w:noWrap/>
            <w:hideMark/>
          </w:tcPr>
          <w:p w14:paraId="60F6837A" w14:textId="058B2564" w:rsidR="001720A8" w:rsidRPr="001720A8" w:rsidRDefault="001720A8" w:rsidP="001720A8">
            <w:pPr>
              <w:spacing w:after="0"/>
              <w:jc w:val="right"/>
              <w:rPr>
                <w:color w:val="000000"/>
                <w:sz w:val="15"/>
                <w:szCs w:val="13"/>
                <w:lang w:val="en-US" w:eastAsia="en-US"/>
              </w:rPr>
            </w:pPr>
            <w:r w:rsidRPr="001720A8">
              <w:rPr>
                <w:color w:val="000000"/>
                <w:sz w:val="14"/>
                <w:szCs w:val="14"/>
              </w:rPr>
              <w:t>2,452</w:t>
            </w:r>
          </w:p>
        </w:tc>
        <w:tc>
          <w:tcPr>
            <w:tcW w:w="735" w:type="dxa"/>
            <w:tcBorders>
              <w:top w:val="nil"/>
              <w:left w:val="nil"/>
              <w:bottom w:val="nil"/>
              <w:right w:val="nil"/>
            </w:tcBorders>
            <w:shd w:val="clear" w:color="000000" w:fill="FFFFFF"/>
            <w:noWrap/>
            <w:hideMark/>
          </w:tcPr>
          <w:p w14:paraId="6C1EC944" w14:textId="3DF68554" w:rsidR="001720A8" w:rsidRPr="001720A8" w:rsidRDefault="001720A8" w:rsidP="001720A8">
            <w:pPr>
              <w:spacing w:after="0"/>
              <w:jc w:val="right"/>
              <w:rPr>
                <w:color w:val="000000"/>
                <w:sz w:val="15"/>
                <w:szCs w:val="13"/>
                <w:lang w:val="en-US" w:eastAsia="en-US"/>
              </w:rPr>
            </w:pPr>
            <w:r w:rsidRPr="001720A8">
              <w:rPr>
                <w:color w:val="000000"/>
                <w:sz w:val="14"/>
                <w:szCs w:val="14"/>
              </w:rPr>
              <w:t>7.72</w:t>
            </w:r>
          </w:p>
        </w:tc>
        <w:tc>
          <w:tcPr>
            <w:tcW w:w="679" w:type="dxa"/>
            <w:tcBorders>
              <w:top w:val="nil"/>
              <w:left w:val="nil"/>
              <w:bottom w:val="nil"/>
              <w:right w:val="nil"/>
            </w:tcBorders>
            <w:shd w:val="clear" w:color="000000" w:fill="FFFFFF"/>
            <w:noWrap/>
            <w:hideMark/>
          </w:tcPr>
          <w:p w14:paraId="741C2FC2" w14:textId="1D585EFB" w:rsidR="001720A8" w:rsidRPr="001720A8" w:rsidRDefault="001720A8" w:rsidP="001720A8">
            <w:pPr>
              <w:spacing w:after="0"/>
              <w:jc w:val="right"/>
              <w:rPr>
                <w:color w:val="000000"/>
                <w:sz w:val="15"/>
                <w:szCs w:val="13"/>
                <w:lang w:val="en-US" w:eastAsia="en-US"/>
              </w:rPr>
            </w:pPr>
            <w:r w:rsidRPr="001720A8">
              <w:rPr>
                <w:color w:val="000000"/>
                <w:sz w:val="14"/>
                <w:szCs w:val="14"/>
              </w:rPr>
              <w:t>6.2</w:t>
            </w:r>
          </w:p>
        </w:tc>
        <w:tc>
          <w:tcPr>
            <w:tcW w:w="691" w:type="dxa"/>
            <w:tcBorders>
              <w:top w:val="nil"/>
              <w:left w:val="single" w:sz="4" w:space="0" w:color="000000"/>
              <w:bottom w:val="nil"/>
              <w:right w:val="nil"/>
            </w:tcBorders>
            <w:shd w:val="clear" w:color="000000" w:fill="FFFFFF"/>
            <w:noWrap/>
            <w:hideMark/>
          </w:tcPr>
          <w:p w14:paraId="786121A1" w14:textId="607387C7" w:rsidR="001720A8" w:rsidRPr="001720A8" w:rsidRDefault="001720A8" w:rsidP="001720A8">
            <w:pPr>
              <w:spacing w:after="0"/>
              <w:jc w:val="right"/>
              <w:rPr>
                <w:color w:val="000000"/>
                <w:sz w:val="15"/>
                <w:szCs w:val="13"/>
                <w:lang w:val="en-US" w:eastAsia="en-US"/>
              </w:rPr>
            </w:pPr>
            <w:r w:rsidRPr="001720A8">
              <w:rPr>
                <w:color w:val="000000"/>
                <w:sz w:val="14"/>
                <w:szCs w:val="14"/>
              </w:rPr>
              <w:t>17%</w:t>
            </w:r>
          </w:p>
        </w:tc>
        <w:tc>
          <w:tcPr>
            <w:tcW w:w="735" w:type="dxa"/>
            <w:tcBorders>
              <w:top w:val="nil"/>
              <w:left w:val="nil"/>
              <w:bottom w:val="nil"/>
              <w:right w:val="nil"/>
            </w:tcBorders>
            <w:shd w:val="clear" w:color="000000" w:fill="FFFFFF"/>
            <w:noWrap/>
            <w:hideMark/>
          </w:tcPr>
          <w:p w14:paraId="41541CF1" w14:textId="0F54AFB0" w:rsidR="001720A8" w:rsidRPr="001720A8" w:rsidRDefault="001720A8" w:rsidP="001720A8">
            <w:pPr>
              <w:spacing w:after="0"/>
              <w:jc w:val="right"/>
              <w:rPr>
                <w:color w:val="000000"/>
                <w:sz w:val="15"/>
                <w:szCs w:val="13"/>
                <w:lang w:val="en-US" w:eastAsia="en-US"/>
              </w:rPr>
            </w:pPr>
            <w:r w:rsidRPr="001720A8">
              <w:rPr>
                <w:color w:val="000000"/>
                <w:sz w:val="14"/>
                <w:szCs w:val="14"/>
              </w:rPr>
              <w:t>3%</w:t>
            </w:r>
          </w:p>
        </w:tc>
        <w:tc>
          <w:tcPr>
            <w:tcW w:w="752" w:type="dxa"/>
            <w:tcBorders>
              <w:top w:val="nil"/>
              <w:left w:val="nil"/>
              <w:bottom w:val="nil"/>
              <w:right w:val="nil"/>
            </w:tcBorders>
            <w:shd w:val="clear" w:color="000000" w:fill="FFFFFF"/>
            <w:noWrap/>
            <w:hideMark/>
          </w:tcPr>
          <w:p w14:paraId="52E72257" w14:textId="665510B8" w:rsidR="001720A8" w:rsidRPr="001720A8" w:rsidRDefault="001720A8" w:rsidP="001720A8">
            <w:pPr>
              <w:spacing w:after="0"/>
              <w:jc w:val="right"/>
              <w:rPr>
                <w:color w:val="000000"/>
                <w:sz w:val="15"/>
                <w:szCs w:val="13"/>
                <w:lang w:val="en-US" w:eastAsia="en-US"/>
              </w:rPr>
            </w:pPr>
            <w:r w:rsidRPr="001720A8">
              <w:rPr>
                <w:color w:val="000000"/>
                <w:sz w:val="14"/>
                <w:szCs w:val="14"/>
              </w:rPr>
              <w:t>58%</w:t>
            </w:r>
          </w:p>
        </w:tc>
        <w:tc>
          <w:tcPr>
            <w:tcW w:w="779" w:type="dxa"/>
            <w:tcBorders>
              <w:top w:val="nil"/>
              <w:left w:val="nil"/>
              <w:bottom w:val="nil"/>
              <w:right w:val="nil"/>
            </w:tcBorders>
            <w:shd w:val="clear" w:color="000000" w:fill="FFFFFF"/>
            <w:noWrap/>
            <w:hideMark/>
          </w:tcPr>
          <w:p w14:paraId="081D46D0" w14:textId="1143970C" w:rsidR="001720A8" w:rsidRPr="001720A8" w:rsidRDefault="001720A8" w:rsidP="001720A8">
            <w:pPr>
              <w:spacing w:after="0"/>
              <w:jc w:val="right"/>
              <w:rPr>
                <w:color w:val="000000"/>
                <w:sz w:val="15"/>
                <w:szCs w:val="13"/>
                <w:lang w:val="en-US" w:eastAsia="en-US"/>
              </w:rPr>
            </w:pPr>
            <w:r w:rsidRPr="001720A8">
              <w:rPr>
                <w:color w:val="000000"/>
                <w:sz w:val="14"/>
                <w:szCs w:val="14"/>
              </w:rPr>
              <w:t>22%</w:t>
            </w:r>
          </w:p>
        </w:tc>
        <w:tc>
          <w:tcPr>
            <w:tcW w:w="989" w:type="dxa"/>
            <w:tcBorders>
              <w:top w:val="nil"/>
              <w:left w:val="single" w:sz="4" w:space="0" w:color="auto"/>
              <w:bottom w:val="nil"/>
              <w:right w:val="nil"/>
            </w:tcBorders>
            <w:shd w:val="clear" w:color="000000" w:fill="FFFFFF"/>
            <w:noWrap/>
            <w:hideMark/>
          </w:tcPr>
          <w:p w14:paraId="66325FEB" w14:textId="35392582" w:rsidR="001720A8" w:rsidRPr="001720A8" w:rsidRDefault="001720A8" w:rsidP="001720A8">
            <w:pPr>
              <w:spacing w:after="0"/>
              <w:jc w:val="right"/>
              <w:rPr>
                <w:color w:val="000000"/>
                <w:sz w:val="15"/>
                <w:szCs w:val="13"/>
                <w:lang w:val="en-US" w:eastAsia="en-US"/>
              </w:rPr>
            </w:pPr>
            <w:r w:rsidRPr="001720A8">
              <w:rPr>
                <w:color w:val="000000"/>
                <w:sz w:val="14"/>
                <w:szCs w:val="14"/>
              </w:rPr>
              <w:t>4.39</w:t>
            </w:r>
          </w:p>
        </w:tc>
        <w:tc>
          <w:tcPr>
            <w:tcW w:w="701" w:type="dxa"/>
            <w:tcBorders>
              <w:top w:val="nil"/>
              <w:left w:val="nil"/>
              <w:bottom w:val="nil"/>
              <w:right w:val="nil"/>
            </w:tcBorders>
            <w:shd w:val="clear" w:color="000000" w:fill="FFFFFF"/>
            <w:noWrap/>
            <w:hideMark/>
          </w:tcPr>
          <w:p w14:paraId="3596A9B7" w14:textId="5650BAB8"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8 </w:t>
            </w:r>
          </w:p>
        </w:tc>
      </w:tr>
      <w:tr w:rsidR="001720A8" w:rsidRPr="00E4527E" w14:paraId="4534AB51"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57B57FE4" w14:textId="1F8C3A7D"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68F83AD9" w14:textId="3257D073" w:rsidR="001720A8" w:rsidRPr="001720A8" w:rsidRDefault="001720A8" w:rsidP="001720A8">
            <w:pPr>
              <w:spacing w:after="0"/>
              <w:jc w:val="center"/>
              <w:rPr>
                <w:color w:val="000000"/>
                <w:sz w:val="15"/>
                <w:szCs w:val="13"/>
                <w:lang w:val="en-US" w:eastAsia="en-US"/>
              </w:rPr>
            </w:pPr>
            <w:r w:rsidRPr="001720A8">
              <w:rPr>
                <w:color w:val="000000"/>
                <w:sz w:val="14"/>
                <w:szCs w:val="14"/>
              </w:rPr>
              <w:t>9</w:t>
            </w:r>
          </w:p>
        </w:tc>
        <w:tc>
          <w:tcPr>
            <w:tcW w:w="585" w:type="dxa"/>
            <w:tcBorders>
              <w:top w:val="nil"/>
              <w:left w:val="nil"/>
              <w:bottom w:val="nil"/>
              <w:right w:val="nil"/>
            </w:tcBorders>
            <w:shd w:val="clear" w:color="000000" w:fill="FFFFFF"/>
            <w:noWrap/>
            <w:hideMark/>
          </w:tcPr>
          <w:p w14:paraId="15F67BB0" w14:textId="7373E0F4" w:rsidR="001720A8" w:rsidRPr="001720A8" w:rsidRDefault="001720A8" w:rsidP="001720A8">
            <w:pPr>
              <w:spacing w:after="0"/>
              <w:rPr>
                <w:color w:val="000000"/>
                <w:sz w:val="15"/>
                <w:szCs w:val="13"/>
                <w:lang w:val="en-US" w:eastAsia="en-US"/>
              </w:rPr>
            </w:pPr>
            <w:r w:rsidRPr="001720A8">
              <w:rPr>
                <w:color w:val="000000"/>
                <w:sz w:val="14"/>
                <w:szCs w:val="14"/>
              </w:rPr>
              <w:t>F17A</w:t>
            </w:r>
          </w:p>
        </w:tc>
        <w:tc>
          <w:tcPr>
            <w:tcW w:w="4639" w:type="dxa"/>
            <w:tcBorders>
              <w:top w:val="nil"/>
              <w:left w:val="nil"/>
              <w:bottom w:val="nil"/>
              <w:right w:val="nil"/>
            </w:tcBorders>
            <w:shd w:val="clear" w:color="000000" w:fill="FFFFFF"/>
            <w:noWrap/>
            <w:hideMark/>
          </w:tcPr>
          <w:p w14:paraId="2BF3D526" w14:textId="27937B1E" w:rsidR="001720A8" w:rsidRPr="001720A8" w:rsidRDefault="001720A8" w:rsidP="001720A8">
            <w:pPr>
              <w:spacing w:after="0"/>
              <w:rPr>
                <w:color w:val="000000"/>
                <w:sz w:val="15"/>
                <w:szCs w:val="13"/>
                <w:lang w:val="en-US" w:eastAsia="en-US"/>
              </w:rPr>
            </w:pPr>
            <w:r w:rsidRPr="001720A8">
              <w:rPr>
                <w:color w:val="000000"/>
                <w:sz w:val="14"/>
                <w:szCs w:val="14"/>
              </w:rPr>
              <w:t>Insertion and Replacement of Pacemaker Generator, Major Complexity</w:t>
            </w:r>
          </w:p>
        </w:tc>
        <w:tc>
          <w:tcPr>
            <w:tcW w:w="752" w:type="dxa"/>
            <w:tcBorders>
              <w:top w:val="nil"/>
              <w:left w:val="nil"/>
              <w:bottom w:val="nil"/>
              <w:right w:val="nil"/>
            </w:tcBorders>
            <w:shd w:val="clear" w:color="000000" w:fill="FFFFFF"/>
            <w:noWrap/>
            <w:hideMark/>
          </w:tcPr>
          <w:p w14:paraId="4444CDD9" w14:textId="3A54EF89"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4.12</w:t>
            </w:r>
          </w:p>
        </w:tc>
        <w:tc>
          <w:tcPr>
            <w:tcW w:w="897" w:type="dxa"/>
            <w:tcBorders>
              <w:top w:val="nil"/>
              <w:left w:val="nil"/>
              <w:bottom w:val="nil"/>
              <w:right w:val="nil"/>
            </w:tcBorders>
            <w:shd w:val="clear" w:color="000000" w:fill="FFFFFF"/>
            <w:noWrap/>
            <w:hideMark/>
          </w:tcPr>
          <w:p w14:paraId="1E99DCC5" w14:textId="3B4907CE" w:rsidR="001720A8" w:rsidRPr="001720A8" w:rsidRDefault="001720A8" w:rsidP="001720A8">
            <w:pPr>
              <w:spacing w:after="0"/>
              <w:jc w:val="right"/>
              <w:rPr>
                <w:color w:val="000000"/>
                <w:sz w:val="15"/>
                <w:szCs w:val="13"/>
                <w:lang w:val="en-US" w:eastAsia="en-US"/>
              </w:rPr>
            </w:pPr>
            <w:r w:rsidRPr="001720A8">
              <w:rPr>
                <w:color w:val="000000"/>
                <w:sz w:val="14"/>
                <w:szCs w:val="14"/>
              </w:rPr>
              <w:t>169</w:t>
            </w:r>
          </w:p>
        </w:tc>
        <w:tc>
          <w:tcPr>
            <w:tcW w:w="735" w:type="dxa"/>
            <w:tcBorders>
              <w:top w:val="nil"/>
              <w:left w:val="nil"/>
              <w:bottom w:val="nil"/>
              <w:right w:val="nil"/>
            </w:tcBorders>
            <w:shd w:val="clear" w:color="000000" w:fill="FFFFFF"/>
            <w:noWrap/>
            <w:hideMark/>
          </w:tcPr>
          <w:p w14:paraId="0FB72A5E" w14:textId="23EBD747" w:rsidR="001720A8" w:rsidRPr="001720A8" w:rsidRDefault="001720A8" w:rsidP="001720A8">
            <w:pPr>
              <w:spacing w:after="0"/>
              <w:jc w:val="right"/>
              <w:rPr>
                <w:color w:val="000000"/>
                <w:sz w:val="15"/>
                <w:szCs w:val="13"/>
                <w:lang w:val="en-US" w:eastAsia="en-US"/>
              </w:rPr>
            </w:pPr>
            <w:r w:rsidRPr="001720A8">
              <w:rPr>
                <w:color w:val="000000"/>
                <w:sz w:val="14"/>
                <w:szCs w:val="14"/>
              </w:rPr>
              <w:t>5.67</w:t>
            </w:r>
          </w:p>
        </w:tc>
        <w:tc>
          <w:tcPr>
            <w:tcW w:w="679" w:type="dxa"/>
            <w:tcBorders>
              <w:top w:val="nil"/>
              <w:left w:val="nil"/>
              <w:bottom w:val="nil"/>
              <w:right w:val="nil"/>
            </w:tcBorders>
            <w:shd w:val="clear" w:color="000000" w:fill="FFFFFF"/>
            <w:noWrap/>
            <w:hideMark/>
          </w:tcPr>
          <w:p w14:paraId="00E0FF7D" w14:textId="248AD0EE" w:rsidR="001720A8" w:rsidRPr="001720A8" w:rsidRDefault="001720A8" w:rsidP="001720A8">
            <w:pPr>
              <w:spacing w:after="0"/>
              <w:jc w:val="right"/>
              <w:rPr>
                <w:color w:val="000000"/>
                <w:sz w:val="15"/>
                <w:szCs w:val="13"/>
                <w:lang w:val="en-US" w:eastAsia="en-US"/>
              </w:rPr>
            </w:pPr>
            <w:r w:rsidRPr="001720A8">
              <w:rPr>
                <w:color w:val="000000"/>
                <w:sz w:val="14"/>
                <w:szCs w:val="14"/>
              </w:rPr>
              <w:t>3.7</w:t>
            </w:r>
          </w:p>
        </w:tc>
        <w:tc>
          <w:tcPr>
            <w:tcW w:w="691" w:type="dxa"/>
            <w:tcBorders>
              <w:top w:val="nil"/>
              <w:left w:val="single" w:sz="4" w:space="0" w:color="000000"/>
              <w:bottom w:val="nil"/>
              <w:right w:val="nil"/>
            </w:tcBorders>
            <w:shd w:val="clear" w:color="000000" w:fill="FFFFFF"/>
            <w:noWrap/>
            <w:hideMark/>
          </w:tcPr>
          <w:p w14:paraId="52B61FBF" w14:textId="08E6C1CA" w:rsidR="001720A8" w:rsidRPr="001720A8" w:rsidRDefault="001720A8" w:rsidP="001720A8">
            <w:pPr>
              <w:spacing w:after="0"/>
              <w:jc w:val="right"/>
              <w:rPr>
                <w:color w:val="000000"/>
                <w:sz w:val="15"/>
                <w:szCs w:val="13"/>
                <w:lang w:val="en-US" w:eastAsia="en-US"/>
              </w:rPr>
            </w:pPr>
            <w:r w:rsidRPr="001720A8">
              <w:rPr>
                <w:color w:val="000000"/>
                <w:sz w:val="14"/>
                <w:szCs w:val="14"/>
              </w:rPr>
              <w:t>10%</w:t>
            </w:r>
          </w:p>
        </w:tc>
        <w:tc>
          <w:tcPr>
            <w:tcW w:w="735" w:type="dxa"/>
            <w:tcBorders>
              <w:top w:val="nil"/>
              <w:left w:val="nil"/>
              <w:bottom w:val="nil"/>
              <w:right w:val="nil"/>
            </w:tcBorders>
            <w:shd w:val="clear" w:color="000000" w:fill="FFFFFF"/>
            <w:noWrap/>
            <w:hideMark/>
          </w:tcPr>
          <w:p w14:paraId="2FECCB37" w14:textId="3549D351" w:rsidR="001720A8" w:rsidRPr="001720A8" w:rsidRDefault="001720A8" w:rsidP="001720A8">
            <w:pPr>
              <w:spacing w:after="0"/>
              <w:jc w:val="right"/>
              <w:rPr>
                <w:color w:val="000000"/>
                <w:sz w:val="15"/>
                <w:szCs w:val="13"/>
                <w:lang w:val="en-US" w:eastAsia="en-US"/>
              </w:rPr>
            </w:pPr>
            <w:r w:rsidRPr="001720A8">
              <w:rPr>
                <w:color w:val="000000"/>
                <w:sz w:val="14"/>
                <w:szCs w:val="14"/>
              </w:rPr>
              <w:t>4%</w:t>
            </w:r>
          </w:p>
        </w:tc>
        <w:tc>
          <w:tcPr>
            <w:tcW w:w="752" w:type="dxa"/>
            <w:tcBorders>
              <w:top w:val="nil"/>
              <w:left w:val="nil"/>
              <w:bottom w:val="nil"/>
              <w:right w:val="nil"/>
            </w:tcBorders>
            <w:shd w:val="clear" w:color="000000" w:fill="FFFFFF"/>
            <w:noWrap/>
            <w:hideMark/>
          </w:tcPr>
          <w:p w14:paraId="2A3CC058" w14:textId="6B76ED65" w:rsidR="001720A8" w:rsidRPr="001720A8" w:rsidRDefault="001720A8" w:rsidP="001720A8">
            <w:pPr>
              <w:spacing w:after="0"/>
              <w:jc w:val="right"/>
              <w:rPr>
                <w:color w:val="000000"/>
                <w:sz w:val="15"/>
                <w:szCs w:val="13"/>
                <w:lang w:val="en-US" w:eastAsia="en-US"/>
              </w:rPr>
            </w:pPr>
            <w:r w:rsidRPr="001720A8">
              <w:rPr>
                <w:color w:val="000000"/>
                <w:sz w:val="14"/>
                <w:szCs w:val="14"/>
              </w:rPr>
              <w:t>73%</w:t>
            </w:r>
          </w:p>
        </w:tc>
        <w:tc>
          <w:tcPr>
            <w:tcW w:w="779" w:type="dxa"/>
            <w:tcBorders>
              <w:top w:val="nil"/>
              <w:left w:val="nil"/>
              <w:bottom w:val="nil"/>
              <w:right w:val="nil"/>
            </w:tcBorders>
            <w:shd w:val="clear" w:color="000000" w:fill="FFFFFF"/>
            <w:noWrap/>
            <w:hideMark/>
          </w:tcPr>
          <w:p w14:paraId="77ABAEC1" w14:textId="1CADCCEA" w:rsidR="001720A8" w:rsidRPr="001720A8" w:rsidRDefault="001720A8" w:rsidP="001720A8">
            <w:pPr>
              <w:spacing w:after="0"/>
              <w:jc w:val="right"/>
              <w:rPr>
                <w:color w:val="000000"/>
                <w:sz w:val="15"/>
                <w:szCs w:val="13"/>
                <w:lang w:val="en-US" w:eastAsia="en-US"/>
              </w:rPr>
            </w:pPr>
            <w:r w:rsidRPr="001720A8">
              <w:rPr>
                <w:color w:val="000000"/>
                <w:sz w:val="14"/>
                <w:szCs w:val="14"/>
              </w:rPr>
              <w:t>13%</w:t>
            </w:r>
          </w:p>
        </w:tc>
        <w:tc>
          <w:tcPr>
            <w:tcW w:w="989" w:type="dxa"/>
            <w:tcBorders>
              <w:top w:val="nil"/>
              <w:left w:val="single" w:sz="4" w:space="0" w:color="auto"/>
              <w:bottom w:val="nil"/>
              <w:right w:val="nil"/>
            </w:tcBorders>
            <w:shd w:val="clear" w:color="000000" w:fill="FFFFFF"/>
            <w:noWrap/>
            <w:hideMark/>
          </w:tcPr>
          <w:p w14:paraId="105C2A90" w14:textId="1B85DC81" w:rsidR="001720A8" w:rsidRPr="001720A8" w:rsidRDefault="001720A8" w:rsidP="001720A8">
            <w:pPr>
              <w:spacing w:after="0"/>
              <w:jc w:val="right"/>
              <w:rPr>
                <w:color w:val="000000"/>
                <w:sz w:val="15"/>
                <w:szCs w:val="13"/>
                <w:lang w:val="en-US" w:eastAsia="en-US"/>
              </w:rPr>
            </w:pPr>
            <w:r w:rsidRPr="001720A8">
              <w:rPr>
                <w:color w:val="000000"/>
                <w:sz w:val="14"/>
                <w:szCs w:val="14"/>
              </w:rPr>
              <w:t>3.35</w:t>
            </w:r>
          </w:p>
        </w:tc>
        <w:tc>
          <w:tcPr>
            <w:tcW w:w="701" w:type="dxa"/>
            <w:tcBorders>
              <w:top w:val="nil"/>
              <w:left w:val="nil"/>
              <w:bottom w:val="nil"/>
              <w:right w:val="nil"/>
            </w:tcBorders>
            <w:shd w:val="clear" w:color="000000" w:fill="FFFFFF"/>
            <w:noWrap/>
            <w:hideMark/>
          </w:tcPr>
          <w:p w14:paraId="3AD980F3" w14:textId="4D553E0A"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14 </w:t>
            </w:r>
          </w:p>
        </w:tc>
      </w:tr>
      <w:tr w:rsidR="001720A8" w:rsidRPr="00E4527E" w14:paraId="49C73036"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109D0F61" w14:textId="7B725D47"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7463C49E" w14:textId="330D88C8" w:rsidR="001720A8" w:rsidRPr="001720A8" w:rsidRDefault="001720A8" w:rsidP="001720A8">
            <w:pPr>
              <w:spacing w:after="0"/>
              <w:jc w:val="center"/>
              <w:rPr>
                <w:color w:val="000000"/>
                <w:sz w:val="15"/>
                <w:szCs w:val="13"/>
                <w:lang w:val="en-US" w:eastAsia="en-US"/>
              </w:rPr>
            </w:pPr>
            <w:r w:rsidRPr="001720A8">
              <w:rPr>
                <w:color w:val="000000"/>
                <w:sz w:val="14"/>
                <w:szCs w:val="14"/>
              </w:rPr>
              <w:t>10</w:t>
            </w:r>
          </w:p>
        </w:tc>
        <w:tc>
          <w:tcPr>
            <w:tcW w:w="585" w:type="dxa"/>
            <w:tcBorders>
              <w:top w:val="nil"/>
              <w:left w:val="nil"/>
              <w:bottom w:val="nil"/>
              <w:right w:val="nil"/>
            </w:tcBorders>
            <w:shd w:val="clear" w:color="000000" w:fill="FFFFFF"/>
            <w:noWrap/>
            <w:hideMark/>
          </w:tcPr>
          <w:p w14:paraId="327ACD12" w14:textId="5EDF3772" w:rsidR="001720A8" w:rsidRPr="001720A8" w:rsidRDefault="001720A8" w:rsidP="001720A8">
            <w:pPr>
              <w:spacing w:after="0"/>
              <w:rPr>
                <w:color w:val="000000"/>
                <w:sz w:val="15"/>
                <w:szCs w:val="13"/>
                <w:lang w:val="en-US" w:eastAsia="en-US"/>
              </w:rPr>
            </w:pPr>
            <w:r w:rsidRPr="001720A8">
              <w:rPr>
                <w:color w:val="000000"/>
                <w:sz w:val="14"/>
                <w:szCs w:val="14"/>
              </w:rPr>
              <w:t>F12A</w:t>
            </w:r>
          </w:p>
        </w:tc>
        <w:tc>
          <w:tcPr>
            <w:tcW w:w="4639" w:type="dxa"/>
            <w:tcBorders>
              <w:top w:val="nil"/>
              <w:left w:val="nil"/>
              <w:bottom w:val="nil"/>
              <w:right w:val="nil"/>
            </w:tcBorders>
            <w:shd w:val="clear" w:color="000000" w:fill="FFFFFF"/>
            <w:noWrap/>
            <w:hideMark/>
          </w:tcPr>
          <w:p w14:paraId="2C1A0621" w14:textId="3C1365D5" w:rsidR="001720A8" w:rsidRPr="001720A8" w:rsidRDefault="001720A8" w:rsidP="001720A8">
            <w:pPr>
              <w:spacing w:after="0"/>
              <w:rPr>
                <w:color w:val="000000"/>
                <w:sz w:val="15"/>
                <w:szCs w:val="13"/>
                <w:lang w:val="en-US" w:eastAsia="en-US"/>
              </w:rPr>
            </w:pPr>
            <w:r w:rsidRPr="001720A8">
              <w:rPr>
                <w:color w:val="000000"/>
                <w:sz w:val="14"/>
                <w:szCs w:val="14"/>
              </w:rPr>
              <w:t>Implantation and Replacement of Pacemaker, Total System, Major Complexity</w:t>
            </w:r>
          </w:p>
        </w:tc>
        <w:tc>
          <w:tcPr>
            <w:tcW w:w="752" w:type="dxa"/>
            <w:tcBorders>
              <w:top w:val="nil"/>
              <w:left w:val="nil"/>
              <w:bottom w:val="nil"/>
              <w:right w:val="nil"/>
            </w:tcBorders>
            <w:shd w:val="clear" w:color="000000" w:fill="FFFFFF"/>
            <w:noWrap/>
            <w:hideMark/>
          </w:tcPr>
          <w:p w14:paraId="7D69EA9D" w14:textId="76C6DAFF"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3.88</w:t>
            </w:r>
          </w:p>
        </w:tc>
        <w:tc>
          <w:tcPr>
            <w:tcW w:w="897" w:type="dxa"/>
            <w:tcBorders>
              <w:top w:val="nil"/>
              <w:left w:val="nil"/>
              <w:bottom w:val="nil"/>
              <w:right w:val="nil"/>
            </w:tcBorders>
            <w:shd w:val="clear" w:color="000000" w:fill="FFFFFF"/>
            <w:noWrap/>
            <w:hideMark/>
          </w:tcPr>
          <w:p w14:paraId="635A85F0" w14:textId="4CA85FD2" w:rsidR="001720A8" w:rsidRPr="001720A8" w:rsidRDefault="001720A8" w:rsidP="001720A8">
            <w:pPr>
              <w:spacing w:after="0"/>
              <w:jc w:val="right"/>
              <w:rPr>
                <w:color w:val="000000"/>
                <w:sz w:val="15"/>
                <w:szCs w:val="13"/>
                <w:lang w:val="en-US" w:eastAsia="en-US"/>
              </w:rPr>
            </w:pPr>
            <w:r w:rsidRPr="001720A8">
              <w:rPr>
                <w:color w:val="000000"/>
                <w:sz w:val="14"/>
                <w:szCs w:val="14"/>
              </w:rPr>
              <w:t>1,419</w:t>
            </w:r>
          </w:p>
        </w:tc>
        <w:tc>
          <w:tcPr>
            <w:tcW w:w="735" w:type="dxa"/>
            <w:tcBorders>
              <w:top w:val="nil"/>
              <w:left w:val="nil"/>
              <w:bottom w:val="nil"/>
              <w:right w:val="nil"/>
            </w:tcBorders>
            <w:shd w:val="clear" w:color="000000" w:fill="FFFFFF"/>
            <w:noWrap/>
            <w:hideMark/>
          </w:tcPr>
          <w:p w14:paraId="22D14099" w14:textId="6C5CD3CA" w:rsidR="001720A8" w:rsidRPr="001720A8" w:rsidRDefault="001720A8" w:rsidP="001720A8">
            <w:pPr>
              <w:spacing w:after="0"/>
              <w:jc w:val="right"/>
              <w:rPr>
                <w:color w:val="000000"/>
                <w:sz w:val="15"/>
                <w:szCs w:val="13"/>
                <w:lang w:val="en-US" w:eastAsia="en-US"/>
              </w:rPr>
            </w:pPr>
            <w:r w:rsidRPr="001720A8">
              <w:rPr>
                <w:color w:val="000000"/>
                <w:sz w:val="14"/>
                <w:szCs w:val="14"/>
              </w:rPr>
              <w:t>7.11</w:t>
            </w:r>
          </w:p>
        </w:tc>
        <w:tc>
          <w:tcPr>
            <w:tcW w:w="679" w:type="dxa"/>
            <w:tcBorders>
              <w:top w:val="nil"/>
              <w:left w:val="nil"/>
              <w:bottom w:val="nil"/>
              <w:right w:val="nil"/>
            </w:tcBorders>
            <w:shd w:val="clear" w:color="000000" w:fill="FFFFFF"/>
            <w:noWrap/>
            <w:hideMark/>
          </w:tcPr>
          <w:p w14:paraId="50A80373" w14:textId="6D386577" w:rsidR="001720A8" w:rsidRPr="001720A8" w:rsidRDefault="001720A8" w:rsidP="001720A8">
            <w:pPr>
              <w:spacing w:after="0"/>
              <w:jc w:val="right"/>
              <w:rPr>
                <w:color w:val="000000"/>
                <w:sz w:val="15"/>
                <w:szCs w:val="13"/>
                <w:lang w:val="en-US" w:eastAsia="en-US"/>
              </w:rPr>
            </w:pPr>
            <w:r w:rsidRPr="001720A8">
              <w:rPr>
                <w:color w:val="000000"/>
                <w:sz w:val="14"/>
                <w:szCs w:val="14"/>
              </w:rPr>
              <w:t>8.2</w:t>
            </w:r>
          </w:p>
        </w:tc>
        <w:tc>
          <w:tcPr>
            <w:tcW w:w="691" w:type="dxa"/>
            <w:tcBorders>
              <w:top w:val="nil"/>
              <w:left w:val="single" w:sz="4" w:space="0" w:color="000000"/>
              <w:bottom w:val="nil"/>
              <w:right w:val="nil"/>
            </w:tcBorders>
            <w:shd w:val="clear" w:color="000000" w:fill="FFFFFF"/>
            <w:noWrap/>
            <w:hideMark/>
          </w:tcPr>
          <w:p w14:paraId="589932C2" w14:textId="4499A698" w:rsidR="001720A8" w:rsidRPr="001720A8" w:rsidRDefault="001720A8" w:rsidP="001720A8">
            <w:pPr>
              <w:spacing w:after="0"/>
              <w:jc w:val="right"/>
              <w:rPr>
                <w:color w:val="000000"/>
                <w:sz w:val="15"/>
                <w:szCs w:val="13"/>
                <w:lang w:val="en-US" w:eastAsia="en-US"/>
              </w:rPr>
            </w:pPr>
            <w:r w:rsidRPr="001720A8">
              <w:rPr>
                <w:color w:val="000000"/>
                <w:sz w:val="14"/>
                <w:szCs w:val="14"/>
              </w:rPr>
              <w:t>12%</w:t>
            </w:r>
          </w:p>
        </w:tc>
        <w:tc>
          <w:tcPr>
            <w:tcW w:w="735" w:type="dxa"/>
            <w:tcBorders>
              <w:top w:val="nil"/>
              <w:left w:val="nil"/>
              <w:bottom w:val="nil"/>
              <w:right w:val="nil"/>
            </w:tcBorders>
            <w:shd w:val="clear" w:color="000000" w:fill="FFFFFF"/>
            <w:noWrap/>
            <w:hideMark/>
          </w:tcPr>
          <w:p w14:paraId="083D3078" w14:textId="6953EA62" w:rsidR="001720A8" w:rsidRPr="001720A8" w:rsidRDefault="001720A8" w:rsidP="001720A8">
            <w:pPr>
              <w:spacing w:after="0"/>
              <w:jc w:val="right"/>
              <w:rPr>
                <w:color w:val="000000"/>
                <w:sz w:val="15"/>
                <w:szCs w:val="13"/>
                <w:lang w:val="en-US" w:eastAsia="en-US"/>
              </w:rPr>
            </w:pPr>
            <w:r w:rsidRPr="001720A8">
              <w:rPr>
                <w:color w:val="000000"/>
                <w:sz w:val="14"/>
                <w:szCs w:val="14"/>
              </w:rPr>
              <w:t>11%</w:t>
            </w:r>
          </w:p>
        </w:tc>
        <w:tc>
          <w:tcPr>
            <w:tcW w:w="752" w:type="dxa"/>
            <w:tcBorders>
              <w:top w:val="nil"/>
              <w:left w:val="nil"/>
              <w:bottom w:val="nil"/>
              <w:right w:val="nil"/>
            </w:tcBorders>
            <w:shd w:val="clear" w:color="000000" w:fill="FFFFFF"/>
            <w:noWrap/>
            <w:hideMark/>
          </w:tcPr>
          <w:p w14:paraId="2E7925F7" w14:textId="4A9CF73E" w:rsidR="001720A8" w:rsidRPr="001720A8" w:rsidRDefault="001720A8" w:rsidP="001720A8">
            <w:pPr>
              <w:spacing w:after="0"/>
              <w:jc w:val="right"/>
              <w:rPr>
                <w:color w:val="000000"/>
                <w:sz w:val="15"/>
                <w:szCs w:val="13"/>
                <w:lang w:val="en-US" w:eastAsia="en-US"/>
              </w:rPr>
            </w:pPr>
            <w:r w:rsidRPr="001720A8">
              <w:rPr>
                <w:color w:val="000000"/>
                <w:sz w:val="14"/>
                <w:szCs w:val="14"/>
              </w:rPr>
              <w:t>55%</w:t>
            </w:r>
          </w:p>
        </w:tc>
        <w:tc>
          <w:tcPr>
            <w:tcW w:w="779" w:type="dxa"/>
            <w:tcBorders>
              <w:top w:val="nil"/>
              <w:left w:val="nil"/>
              <w:bottom w:val="nil"/>
              <w:right w:val="nil"/>
            </w:tcBorders>
            <w:shd w:val="clear" w:color="000000" w:fill="FFFFFF"/>
            <w:noWrap/>
            <w:hideMark/>
          </w:tcPr>
          <w:p w14:paraId="78B23B4F" w14:textId="7E304C45" w:rsidR="001720A8" w:rsidRPr="001720A8" w:rsidRDefault="001720A8" w:rsidP="001720A8">
            <w:pPr>
              <w:spacing w:after="0"/>
              <w:jc w:val="right"/>
              <w:rPr>
                <w:color w:val="000000"/>
                <w:sz w:val="15"/>
                <w:szCs w:val="13"/>
                <w:lang w:val="en-US" w:eastAsia="en-US"/>
              </w:rPr>
            </w:pPr>
            <w:r w:rsidRPr="001720A8">
              <w:rPr>
                <w:color w:val="000000"/>
                <w:sz w:val="14"/>
                <w:szCs w:val="14"/>
              </w:rPr>
              <w:t>22%</w:t>
            </w:r>
          </w:p>
        </w:tc>
        <w:tc>
          <w:tcPr>
            <w:tcW w:w="989" w:type="dxa"/>
            <w:tcBorders>
              <w:top w:val="nil"/>
              <w:left w:val="single" w:sz="4" w:space="0" w:color="auto"/>
              <w:bottom w:val="nil"/>
              <w:right w:val="nil"/>
            </w:tcBorders>
            <w:shd w:val="clear" w:color="000000" w:fill="FFFFFF"/>
            <w:noWrap/>
            <w:hideMark/>
          </w:tcPr>
          <w:p w14:paraId="689A49F2" w14:textId="58F0ED69" w:rsidR="001720A8" w:rsidRPr="001720A8" w:rsidRDefault="001720A8" w:rsidP="001720A8">
            <w:pPr>
              <w:spacing w:after="0"/>
              <w:jc w:val="right"/>
              <w:rPr>
                <w:color w:val="000000"/>
                <w:sz w:val="15"/>
                <w:szCs w:val="13"/>
                <w:lang w:val="en-US" w:eastAsia="en-US"/>
              </w:rPr>
            </w:pPr>
            <w:r w:rsidRPr="001720A8">
              <w:rPr>
                <w:color w:val="000000"/>
                <w:sz w:val="14"/>
                <w:szCs w:val="14"/>
              </w:rPr>
              <w:t>3.75</w:t>
            </w:r>
          </w:p>
        </w:tc>
        <w:tc>
          <w:tcPr>
            <w:tcW w:w="701" w:type="dxa"/>
            <w:tcBorders>
              <w:top w:val="nil"/>
              <w:left w:val="nil"/>
              <w:bottom w:val="nil"/>
              <w:right w:val="nil"/>
            </w:tcBorders>
            <w:shd w:val="clear" w:color="000000" w:fill="FFFFFF"/>
            <w:noWrap/>
            <w:hideMark/>
          </w:tcPr>
          <w:p w14:paraId="0213B9AF" w14:textId="3C344FEE"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10 </w:t>
            </w:r>
          </w:p>
        </w:tc>
      </w:tr>
      <w:tr w:rsidR="001720A8" w:rsidRPr="00E4527E" w14:paraId="7F8D7684"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99165F3" w14:textId="058FA14F"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5A01266B" w14:textId="1FA02990" w:rsidR="001720A8" w:rsidRPr="001720A8" w:rsidRDefault="001720A8" w:rsidP="001720A8">
            <w:pPr>
              <w:spacing w:after="0"/>
              <w:jc w:val="center"/>
              <w:rPr>
                <w:color w:val="000000"/>
                <w:sz w:val="15"/>
                <w:szCs w:val="13"/>
                <w:lang w:val="en-US" w:eastAsia="en-US"/>
              </w:rPr>
            </w:pPr>
            <w:r w:rsidRPr="001720A8">
              <w:rPr>
                <w:color w:val="000000"/>
                <w:sz w:val="14"/>
                <w:szCs w:val="14"/>
              </w:rPr>
              <w:t>11</w:t>
            </w:r>
          </w:p>
        </w:tc>
        <w:tc>
          <w:tcPr>
            <w:tcW w:w="585" w:type="dxa"/>
            <w:tcBorders>
              <w:top w:val="nil"/>
              <w:left w:val="nil"/>
              <w:bottom w:val="nil"/>
              <w:right w:val="nil"/>
            </w:tcBorders>
            <w:shd w:val="clear" w:color="000000" w:fill="FFFFFF"/>
            <w:noWrap/>
            <w:hideMark/>
          </w:tcPr>
          <w:p w14:paraId="792BBC8C" w14:textId="39FCB2B9" w:rsidR="001720A8" w:rsidRPr="001720A8" w:rsidRDefault="001720A8" w:rsidP="001720A8">
            <w:pPr>
              <w:spacing w:after="0"/>
              <w:rPr>
                <w:color w:val="000000"/>
                <w:sz w:val="15"/>
                <w:szCs w:val="13"/>
                <w:lang w:val="en-US" w:eastAsia="en-US"/>
              </w:rPr>
            </w:pPr>
            <w:r w:rsidRPr="001720A8">
              <w:rPr>
                <w:color w:val="000000"/>
                <w:sz w:val="14"/>
                <w:szCs w:val="14"/>
              </w:rPr>
              <w:t>F12B</w:t>
            </w:r>
          </w:p>
        </w:tc>
        <w:tc>
          <w:tcPr>
            <w:tcW w:w="4639" w:type="dxa"/>
            <w:tcBorders>
              <w:top w:val="nil"/>
              <w:left w:val="nil"/>
              <w:bottom w:val="nil"/>
              <w:right w:val="nil"/>
            </w:tcBorders>
            <w:shd w:val="clear" w:color="000000" w:fill="FFFFFF"/>
            <w:noWrap/>
            <w:hideMark/>
          </w:tcPr>
          <w:p w14:paraId="1DED335C" w14:textId="64333E3C" w:rsidR="001720A8" w:rsidRPr="001720A8" w:rsidRDefault="001720A8" w:rsidP="001720A8">
            <w:pPr>
              <w:spacing w:after="0"/>
              <w:rPr>
                <w:color w:val="000000"/>
                <w:sz w:val="15"/>
                <w:szCs w:val="13"/>
                <w:lang w:val="en-US" w:eastAsia="en-US"/>
              </w:rPr>
            </w:pPr>
            <w:r w:rsidRPr="001720A8">
              <w:rPr>
                <w:color w:val="000000"/>
                <w:sz w:val="14"/>
                <w:szCs w:val="14"/>
              </w:rPr>
              <w:t>Implantation and Replacement of Pacemaker, Total System, Minor Complexity</w:t>
            </w:r>
          </w:p>
        </w:tc>
        <w:tc>
          <w:tcPr>
            <w:tcW w:w="752" w:type="dxa"/>
            <w:tcBorders>
              <w:top w:val="nil"/>
              <w:left w:val="nil"/>
              <w:bottom w:val="nil"/>
              <w:right w:val="nil"/>
            </w:tcBorders>
            <w:shd w:val="clear" w:color="000000" w:fill="FFFFFF"/>
            <w:noWrap/>
            <w:hideMark/>
          </w:tcPr>
          <w:p w14:paraId="2FD80480" w14:textId="76EE1A9F"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3.69</w:t>
            </w:r>
          </w:p>
        </w:tc>
        <w:tc>
          <w:tcPr>
            <w:tcW w:w="897" w:type="dxa"/>
            <w:tcBorders>
              <w:top w:val="nil"/>
              <w:left w:val="nil"/>
              <w:bottom w:val="nil"/>
              <w:right w:val="nil"/>
            </w:tcBorders>
            <w:shd w:val="clear" w:color="000000" w:fill="FFFFFF"/>
            <w:noWrap/>
            <w:hideMark/>
          </w:tcPr>
          <w:p w14:paraId="0D315F32" w14:textId="7B880ED3" w:rsidR="001720A8" w:rsidRPr="001720A8" w:rsidRDefault="001720A8" w:rsidP="001720A8">
            <w:pPr>
              <w:spacing w:after="0"/>
              <w:jc w:val="right"/>
              <w:rPr>
                <w:color w:val="000000"/>
                <w:sz w:val="15"/>
                <w:szCs w:val="13"/>
                <w:lang w:val="en-US" w:eastAsia="en-US"/>
              </w:rPr>
            </w:pPr>
            <w:r w:rsidRPr="001720A8">
              <w:rPr>
                <w:color w:val="000000"/>
                <w:sz w:val="14"/>
                <w:szCs w:val="14"/>
              </w:rPr>
              <w:t>7,298</w:t>
            </w:r>
          </w:p>
        </w:tc>
        <w:tc>
          <w:tcPr>
            <w:tcW w:w="735" w:type="dxa"/>
            <w:tcBorders>
              <w:top w:val="nil"/>
              <w:left w:val="nil"/>
              <w:bottom w:val="nil"/>
              <w:right w:val="nil"/>
            </w:tcBorders>
            <w:shd w:val="clear" w:color="000000" w:fill="FFFFFF"/>
            <w:noWrap/>
            <w:hideMark/>
          </w:tcPr>
          <w:p w14:paraId="3A1DB996" w14:textId="7A313C33" w:rsidR="001720A8" w:rsidRPr="001720A8" w:rsidRDefault="001720A8" w:rsidP="001720A8">
            <w:pPr>
              <w:spacing w:after="0"/>
              <w:jc w:val="right"/>
              <w:rPr>
                <w:color w:val="000000"/>
                <w:sz w:val="15"/>
                <w:szCs w:val="13"/>
                <w:lang w:val="en-US" w:eastAsia="en-US"/>
              </w:rPr>
            </w:pPr>
            <w:r w:rsidRPr="001720A8">
              <w:rPr>
                <w:color w:val="000000"/>
                <w:sz w:val="14"/>
                <w:szCs w:val="14"/>
              </w:rPr>
              <w:t>5.15</w:t>
            </w:r>
          </w:p>
        </w:tc>
        <w:tc>
          <w:tcPr>
            <w:tcW w:w="679" w:type="dxa"/>
            <w:tcBorders>
              <w:top w:val="nil"/>
              <w:left w:val="nil"/>
              <w:bottom w:val="nil"/>
              <w:right w:val="nil"/>
            </w:tcBorders>
            <w:shd w:val="clear" w:color="000000" w:fill="FFFFFF"/>
            <w:noWrap/>
            <w:hideMark/>
          </w:tcPr>
          <w:p w14:paraId="216580B7" w14:textId="0DEC3F2B" w:rsidR="001720A8" w:rsidRPr="001720A8" w:rsidRDefault="001720A8" w:rsidP="001720A8">
            <w:pPr>
              <w:spacing w:after="0"/>
              <w:jc w:val="right"/>
              <w:rPr>
                <w:color w:val="000000"/>
                <w:sz w:val="15"/>
                <w:szCs w:val="13"/>
                <w:lang w:val="en-US" w:eastAsia="en-US"/>
              </w:rPr>
            </w:pPr>
            <w:r w:rsidRPr="001720A8">
              <w:rPr>
                <w:color w:val="000000"/>
                <w:sz w:val="14"/>
                <w:szCs w:val="14"/>
              </w:rPr>
              <w:t>2.3</w:t>
            </w:r>
          </w:p>
        </w:tc>
        <w:tc>
          <w:tcPr>
            <w:tcW w:w="691" w:type="dxa"/>
            <w:tcBorders>
              <w:top w:val="nil"/>
              <w:left w:val="single" w:sz="4" w:space="0" w:color="000000"/>
              <w:bottom w:val="nil"/>
              <w:right w:val="nil"/>
            </w:tcBorders>
            <w:shd w:val="clear" w:color="000000" w:fill="FFFFFF"/>
            <w:noWrap/>
            <w:hideMark/>
          </w:tcPr>
          <w:p w14:paraId="4E07C26C" w14:textId="2155A656" w:rsidR="001720A8" w:rsidRPr="001720A8" w:rsidRDefault="001720A8" w:rsidP="001720A8">
            <w:pPr>
              <w:spacing w:after="0"/>
              <w:jc w:val="right"/>
              <w:rPr>
                <w:color w:val="000000"/>
                <w:sz w:val="15"/>
                <w:szCs w:val="13"/>
                <w:lang w:val="en-US" w:eastAsia="en-US"/>
              </w:rPr>
            </w:pPr>
            <w:r w:rsidRPr="001720A8">
              <w:rPr>
                <w:color w:val="000000"/>
                <w:sz w:val="14"/>
                <w:szCs w:val="14"/>
              </w:rPr>
              <w:t>13%</w:t>
            </w:r>
          </w:p>
        </w:tc>
        <w:tc>
          <w:tcPr>
            <w:tcW w:w="735" w:type="dxa"/>
            <w:tcBorders>
              <w:top w:val="nil"/>
              <w:left w:val="nil"/>
              <w:bottom w:val="nil"/>
              <w:right w:val="nil"/>
            </w:tcBorders>
            <w:shd w:val="clear" w:color="000000" w:fill="FFFFFF"/>
            <w:noWrap/>
            <w:hideMark/>
          </w:tcPr>
          <w:p w14:paraId="1ABA9030" w14:textId="030F06CD" w:rsidR="001720A8" w:rsidRPr="001720A8" w:rsidRDefault="001720A8" w:rsidP="001720A8">
            <w:pPr>
              <w:spacing w:after="0"/>
              <w:jc w:val="right"/>
              <w:rPr>
                <w:color w:val="000000"/>
                <w:sz w:val="15"/>
                <w:szCs w:val="13"/>
                <w:lang w:val="en-US" w:eastAsia="en-US"/>
              </w:rPr>
            </w:pPr>
            <w:r w:rsidRPr="001720A8">
              <w:rPr>
                <w:color w:val="000000"/>
                <w:sz w:val="14"/>
                <w:szCs w:val="14"/>
              </w:rPr>
              <w:t>5%</w:t>
            </w:r>
          </w:p>
        </w:tc>
        <w:tc>
          <w:tcPr>
            <w:tcW w:w="752" w:type="dxa"/>
            <w:tcBorders>
              <w:top w:val="nil"/>
              <w:left w:val="nil"/>
              <w:bottom w:val="nil"/>
              <w:right w:val="nil"/>
            </w:tcBorders>
            <w:shd w:val="clear" w:color="000000" w:fill="FFFFFF"/>
            <w:noWrap/>
            <w:hideMark/>
          </w:tcPr>
          <w:p w14:paraId="023A4AF2" w14:textId="65A53ED8" w:rsidR="001720A8" w:rsidRPr="001720A8" w:rsidRDefault="001720A8" w:rsidP="001720A8">
            <w:pPr>
              <w:spacing w:after="0"/>
              <w:jc w:val="right"/>
              <w:rPr>
                <w:color w:val="000000"/>
                <w:sz w:val="15"/>
                <w:szCs w:val="13"/>
                <w:lang w:val="en-US" w:eastAsia="en-US"/>
              </w:rPr>
            </w:pPr>
            <w:r w:rsidRPr="001720A8">
              <w:rPr>
                <w:color w:val="000000"/>
                <w:sz w:val="14"/>
                <w:szCs w:val="14"/>
              </w:rPr>
              <w:t>72%</w:t>
            </w:r>
          </w:p>
        </w:tc>
        <w:tc>
          <w:tcPr>
            <w:tcW w:w="779" w:type="dxa"/>
            <w:tcBorders>
              <w:top w:val="nil"/>
              <w:left w:val="nil"/>
              <w:bottom w:val="nil"/>
              <w:right w:val="nil"/>
            </w:tcBorders>
            <w:shd w:val="clear" w:color="000000" w:fill="FFFFFF"/>
            <w:noWrap/>
            <w:hideMark/>
          </w:tcPr>
          <w:p w14:paraId="1159E0A9" w14:textId="438449E7" w:rsidR="001720A8" w:rsidRPr="001720A8" w:rsidRDefault="001720A8" w:rsidP="001720A8">
            <w:pPr>
              <w:spacing w:after="0"/>
              <w:jc w:val="right"/>
              <w:rPr>
                <w:color w:val="000000"/>
                <w:sz w:val="15"/>
                <w:szCs w:val="13"/>
                <w:lang w:val="en-US" w:eastAsia="en-US"/>
              </w:rPr>
            </w:pPr>
            <w:r w:rsidRPr="001720A8">
              <w:rPr>
                <w:color w:val="000000"/>
                <w:sz w:val="14"/>
                <w:szCs w:val="14"/>
              </w:rPr>
              <w:t>10%</w:t>
            </w:r>
          </w:p>
        </w:tc>
        <w:tc>
          <w:tcPr>
            <w:tcW w:w="989" w:type="dxa"/>
            <w:tcBorders>
              <w:top w:val="nil"/>
              <w:left w:val="single" w:sz="4" w:space="0" w:color="auto"/>
              <w:bottom w:val="nil"/>
              <w:right w:val="nil"/>
            </w:tcBorders>
            <w:shd w:val="clear" w:color="000000" w:fill="FFFFFF"/>
            <w:noWrap/>
            <w:hideMark/>
          </w:tcPr>
          <w:p w14:paraId="400C7675" w14:textId="29140453" w:rsidR="001720A8" w:rsidRPr="001720A8" w:rsidRDefault="001720A8" w:rsidP="001720A8">
            <w:pPr>
              <w:spacing w:after="0"/>
              <w:jc w:val="right"/>
              <w:rPr>
                <w:color w:val="000000"/>
                <w:sz w:val="15"/>
                <w:szCs w:val="13"/>
                <w:lang w:val="en-US" w:eastAsia="en-US"/>
              </w:rPr>
            </w:pPr>
            <w:r w:rsidRPr="001720A8">
              <w:rPr>
                <w:color w:val="000000"/>
                <w:sz w:val="14"/>
                <w:szCs w:val="14"/>
              </w:rPr>
              <w:t>3.68</w:t>
            </w:r>
          </w:p>
        </w:tc>
        <w:tc>
          <w:tcPr>
            <w:tcW w:w="701" w:type="dxa"/>
            <w:tcBorders>
              <w:top w:val="nil"/>
              <w:left w:val="nil"/>
              <w:bottom w:val="nil"/>
              <w:right w:val="nil"/>
            </w:tcBorders>
            <w:shd w:val="clear" w:color="000000" w:fill="FFFFFF"/>
            <w:noWrap/>
            <w:hideMark/>
          </w:tcPr>
          <w:p w14:paraId="392946CA" w14:textId="366DDBC2"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11 </w:t>
            </w:r>
          </w:p>
        </w:tc>
      </w:tr>
      <w:tr w:rsidR="001720A8" w:rsidRPr="00E4527E" w14:paraId="31FE763F"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1089C90" w14:textId="6E06A733"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726B2ED4" w14:textId="65066764" w:rsidR="001720A8" w:rsidRPr="001720A8" w:rsidRDefault="001720A8" w:rsidP="001720A8">
            <w:pPr>
              <w:spacing w:after="0"/>
              <w:jc w:val="center"/>
              <w:rPr>
                <w:color w:val="000000"/>
                <w:sz w:val="15"/>
                <w:szCs w:val="13"/>
                <w:lang w:val="en-US" w:eastAsia="en-US"/>
              </w:rPr>
            </w:pPr>
            <w:r w:rsidRPr="001720A8">
              <w:rPr>
                <w:color w:val="000000"/>
                <w:sz w:val="14"/>
                <w:szCs w:val="14"/>
              </w:rPr>
              <w:t>12</w:t>
            </w:r>
          </w:p>
        </w:tc>
        <w:tc>
          <w:tcPr>
            <w:tcW w:w="585" w:type="dxa"/>
            <w:tcBorders>
              <w:top w:val="nil"/>
              <w:left w:val="nil"/>
              <w:bottom w:val="nil"/>
              <w:right w:val="nil"/>
            </w:tcBorders>
            <w:shd w:val="clear" w:color="000000" w:fill="FFFFFF"/>
            <w:noWrap/>
            <w:hideMark/>
          </w:tcPr>
          <w:p w14:paraId="14F07839" w14:textId="7B1FBF20" w:rsidR="001720A8" w:rsidRPr="001720A8" w:rsidRDefault="001720A8" w:rsidP="001720A8">
            <w:pPr>
              <w:spacing w:after="0"/>
              <w:rPr>
                <w:color w:val="000000"/>
                <w:sz w:val="15"/>
                <w:szCs w:val="13"/>
                <w:lang w:val="en-US" w:eastAsia="en-US"/>
              </w:rPr>
            </w:pPr>
            <w:r w:rsidRPr="001720A8">
              <w:rPr>
                <w:color w:val="000000"/>
                <w:sz w:val="14"/>
                <w:szCs w:val="14"/>
              </w:rPr>
              <w:t>I32A</w:t>
            </w:r>
          </w:p>
        </w:tc>
        <w:tc>
          <w:tcPr>
            <w:tcW w:w="4639" w:type="dxa"/>
            <w:tcBorders>
              <w:top w:val="nil"/>
              <w:left w:val="nil"/>
              <w:bottom w:val="nil"/>
              <w:right w:val="nil"/>
            </w:tcBorders>
            <w:shd w:val="clear" w:color="000000" w:fill="FFFFFF"/>
            <w:noWrap/>
            <w:hideMark/>
          </w:tcPr>
          <w:p w14:paraId="6840EA43" w14:textId="31D4EB6A" w:rsidR="001720A8" w:rsidRPr="001720A8" w:rsidRDefault="001720A8" w:rsidP="001720A8">
            <w:pPr>
              <w:spacing w:after="0"/>
              <w:rPr>
                <w:color w:val="000000"/>
                <w:sz w:val="15"/>
                <w:szCs w:val="13"/>
                <w:lang w:val="en-US" w:eastAsia="en-US"/>
              </w:rPr>
            </w:pPr>
            <w:r w:rsidRPr="001720A8">
              <w:rPr>
                <w:color w:val="000000"/>
                <w:sz w:val="14"/>
                <w:szCs w:val="14"/>
              </w:rPr>
              <w:t>Revision of Knee Replacement, Major Complexity</w:t>
            </w:r>
          </w:p>
        </w:tc>
        <w:tc>
          <w:tcPr>
            <w:tcW w:w="752" w:type="dxa"/>
            <w:tcBorders>
              <w:top w:val="nil"/>
              <w:left w:val="nil"/>
              <w:bottom w:val="nil"/>
              <w:right w:val="nil"/>
            </w:tcBorders>
            <w:shd w:val="clear" w:color="000000" w:fill="FFFFFF"/>
            <w:noWrap/>
            <w:hideMark/>
          </w:tcPr>
          <w:p w14:paraId="1D67F817" w14:textId="60180BC0"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3.62</w:t>
            </w:r>
          </w:p>
        </w:tc>
        <w:tc>
          <w:tcPr>
            <w:tcW w:w="897" w:type="dxa"/>
            <w:tcBorders>
              <w:top w:val="nil"/>
              <w:left w:val="nil"/>
              <w:bottom w:val="nil"/>
              <w:right w:val="nil"/>
            </w:tcBorders>
            <w:shd w:val="clear" w:color="000000" w:fill="FFFFFF"/>
            <w:noWrap/>
            <w:hideMark/>
          </w:tcPr>
          <w:p w14:paraId="38A5457A" w14:textId="128D8DFB" w:rsidR="001720A8" w:rsidRPr="001720A8" w:rsidRDefault="001720A8" w:rsidP="001720A8">
            <w:pPr>
              <w:spacing w:after="0"/>
              <w:jc w:val="right"/>
              <w:rPr>
                <w:color w:val="000000"/>
                <w:sz w:val="15"/>
                <w:szCs w:val="13"/>
                <w:lang w:val="en-US" w:eastAsia="en-US"/>
              </w:rPr>
            </w:pPr>
            <w:r w:rsidRPr="001720A8">
              <w:rPr>
                <w:color w:val="000000"/>
                <w:sz w:val="14"/>
                <w:szCs w:val="14"/>
              </w:rPr>
              <w:t>444</w:t>
            </w:r>
          </w:p>
        </w:tc>
        <w:tc>
          <w:tcPr>
            <w:tcW w:w="735" w:type="dxa"/>
            <w:tcBorders>
              <w:top w:val="nil"/>
              <w:left w:val="nil"/>
              <w:bottom w:val="nil"/>
              <w:right w:val="nil"/>
            </w:tcBorders>
            <w:shd w:val="clear" w:color="000000" w:fill="FFFFFF"/>
            <w:noWrap/>
            <w:hideMark/>
          </w:tcPr>
          <w:p w14:paraId="376718DC" w14:textId="3D415F43" w:rsidR="001720A8" w:rsidRPr="001720A8" w:rsidRDefault="001720A8" w:rsidP="001720A8">
            <w:pPr>
              <w:spacing w:after="0"/>
              <w:jc w:val="right"/>
              <w:rPr>
                <w:color w:val="000000"/>
                <w:sz w:val="15"/>
                <w:szCs w:val="13"/>
                <w:lang w:val="en-US" w:eastAsia="en-US"/>
              </w:rPr>
            </w:pPr>
            <w:r w:rsidRPr="001720A8">
              <w:rPr>
                <w:color w:val="000000"/>
                <w:sz w:val="14"/>
                <w:szCs w:val="14"/>
              </w:rPr>
              <w:t>8.91</w:t>
            </w:r>
          </w:p>
        </w:tc>
        <w:tc>
          <w:tcPr>
            <w:tcW w:w="679" w:type="dxa"/>
            <w:tcBorders>
              <w:top w:val="nil"/>
              <w:left w:val="nil"/>
              <w:bottom w:val="nil"/>
              <w:right w:val="nil"/>
            </w:tcBorders>
            <w:shd w:val="clear" w:color="000000" w:fill="FFFFFF"/>
            <w:noWrap/>
            <w:hideMark/>
          </w:tcPr>
          <w:p w14:paraId="09318AF7" w14:textId="116EA705" w:rsidR="001720A8" w:rsidRPr="001720A8" w:rsidRDefault="001720A8" w:rsidP="001720A8">
            <w:pPr>
              <w:spacing w:after="0"/>
              <w:jc w:val="right"/>
              <w:rPr>
                <w:color w:val="000000"/>
                <w:sz w:val="15"/>
                <w:szCs w:val="13"/>
                <w:lang w:val="en-US" w:eastAsia="en-US"/>
              </w:rPr>
            </w:pPr>
            <w:r w:rsidRPr="001720A8">
              <w:rPr>
                <w:color w:val="000000"/>
                <w:sz w:val="14"/>
                <w:szCs w:val="14"/>
              </w:rPr>
              <w:t>14.9</w:t>
            </w:r>
          </w:p>
        </w:tc>
        <w:tc>
          <w:tcPr>
            <w:tcW w:w="691" w:type="dxa"/>
            <w:tcBorders>
              <w:top w:val="nil"/>
              <w:left w:val="single" w:sz="4" w:space="0" w:color="000000"/>
              <w:bottom w:val="nil"/>
              <w:right w:val="nil"/>
            </w:tcBorders>
            <w:shd w:val="clear" w:color="000000" w:fill="FFFFFF"/>
            <w:noWrap/>
            <w:hideMark/>
          </w:tcPr>
          <w:p w14:paraId="4CACCD71" w14:textId="69A6047E" w:rsidR="001720A8" w:rsidRPr="001720A8" w:rsidRDefault="001720A8" w:rsidP="001720A8">
            <w:pPr>
              <w:spacing w:after="0"/>
              <w:jc w:val="right"/>
              <w:rPr>
                <w:color w:val="000000"/>
                <w:sz w:val="15"/>
                <w:szCs w:val="13"/>
                <w:lang w:val="en-US" w:eastAsia="en-US"/>
              </w:rPr>
            </w:pPr>
            <w:r w:rsidRPr="001720A8">
              <w:rPr>
                <w:color w:val="000000"/>
                <w:sz w:val="14"/>
                <w:szCs w:val="14"/>
              </w:rPr>
              <w:t>15%</w:t>
            </w:r>
          </w:p>
        </w:tc>
        <w:tc>
          <w:tcPr>
            <w:tcW w:w="735" w:type="dxa"/>
            <w:tcBorders>
              <w:top w:val="nil"/>
              <w:left w:val="nil"/>
              <w:bottom w:val="nil"/>
              <w:right w:val="nil"/>
            </w:tcBorders>
            <w:shd w:val="clear" w:color="000000" w:fill="FFFFFF"/>
            <w:noWrap/>
            <w:hideMark/>
          </w:tcPr>
          <w:p w14:paraId="1C524C3B" w14:textId="2DB734D1" w:rsidR="001720A8" w:rsidRPr="001720A8" w:rsidRDefault="001720A8" w:rsidP="001720A8">
            <w:pPr>
              <w:spacing w:after="0"/>
              <w:jc w:val="right"/>
              <w:rPr>
                <w:color w:val="000000"/>
                <w:sz w:val="15"/>
                <w:szCs w:val="13"/>
                <w:lang w:val="en-US" w:eastAsia="en-US"/>
              </w:rPr>
            </w:pPr>
            <w:r w:rsidRPr="001720A8">
              <w:rPr>
                <w:color w:val="000000"/>
                <w:sz w:val="14"/>
                <w:szCs w:val="14"/>
              </w:rPr>
              <w:t>5%</w:t>
            </w:r>
          </w:p>
        </w:tc>
        <w:tc>
          <w:tcPr>
            <w:tcW w:w="752" w:type="dxa"/>
            <w:tcBorders>
              <w:top w:val="nil"/>
              <w:left w:val="nil"/>
              <w:bottom w:val="nil"/>
              <w:right w:val="nil"/>
            </w:tcBorders>
            <w:shd w:val="clear" w:color="000000" w:fill="FFFFFF"/>
            <w:noWrap/>
            <w:hideMark/>
          </w:tcPr>
          <w:p w14:paraId="1C4347A8" w14:textId="7AAE458E" w:rsidR="001720A8" w:rsidRPr="001720A8" w:rsidRDefault="001720A8" w:rsidP="001720A8">
            <w:pPr>
              <w:spacing w:after="0"/>
              <w:jc w:val="right"/>
              <w:rPr>
                <w:color w:val="000000"/>
                <w:sz w:val="15"/>
                <w:szCs w:val="13"/>
                <w:lang w:val="en-US" w:eastAsia="en-US"/>
              </w:rPr>
            </w:pPr>
            <w:r w:rsidRPr="001720A8">
              <w:rPr>
                <w:color w:val="000000"/>
                <w:sz w:val="14"/>
                <w:szCs w:val="14"/>
              </w:rPr>
              <w:t>41%</w:t>
            </w:r>
          </w:p>
        </w:tc>
        <w:tc>
          <w:tcPr>
            <w:tcW w:w="779" w:type="dxa"/>
            <w:tcBorders>
              <w:top w:val="nil"/>
              <w:left w:val="nil"/>
              <w:bottom w:val="nil"/>
              <w:right w:val="nil"/>
            </w:tcBorders>
            <w:shd w:val="clear" w:color="000000" w:fill="FFFFFF"/>
            <w:noWrap/>
            <w:hideMark/>
          </w:tcPr>
          <w:p w14:paraId="5C20B1CD" w14:textId="006497CC" w:rsidR="001720A8" w:rsidRPr="001720A8" w:rsidRDefault="001720A8" w:rsidP="001720A8">
            <w:pPr>
              <w:spacing w:after="0"/>
              <w:jc w:val="right"/>
              <w:rPr>
                <w:color w:val="000000"/>
                <w:sz w:val="15"/>
                <w:szCs w:val="13"/>
                <w:lang w:val="en-US" w:eastAsia="en-US"/>
              </w:rPr>
            </w:pPr>
            <w:r w:rsidRPr="001720A8">
              <w:rPr>
                <w:color w:val="000000"/>
                <w:sz w:val="14"/>
                <w:szCs w:val="14"/>
              </w:rPr>
              <w:t>39%</w:t>
            </w:r>
          </w:p>
        </w:tc>
        <w:tc>
          <w:tcPr>
            <w:tcW w:w="989" w:type="dxa"/>
            <w:tcBorders>
              <w:top w:val="nil"/>
              <w:left w:val="single" w:sz="4" w:space="0" w:color="auto"/>
              <w:bottom w:val="nil"/>
              <w:right w:val="nil"/>
            </w:tcBorders>
            <w:shd w:val="clear" w:color="000000" w:fill="FFFFFF"/>
            <w:noWrap/>
            <w:hideMark/>
          </w:tcPr>
          <w:p w14:paraId="6D51E108" w14:textId="208F17AE" w:rsidR="001720A8" w:rsidRPr="001720A8" w:rsidRDefault="001720A8" w:rsidP="001720A8">
            <w:pPr>
              <w:spacing w:after="0"/>
              <w:jc w:val="right"/>
              <w:rPr>
                <w:color w:val="000000"/>
                <w:sz w:val="15"/>
                <w:szCs w:val="13"/>
                <w:lang w:val="en-US" w:eastAsia="en-US"/>
              </w:rPr>
            </w:pPr>
            <w:r w:rsidRPr="001720A8">
              <w:rPr>
                <w:color w:val="000000"/>
                <w:sz w:val="14"/>
                <w:szCs w:val="14"/>
              </w:rPr>
              <w:t>3.76</w:t>
            </w:r>
          </w:p>
        </w:tc>
        <w:tc>
          <w:tcPr>
            <w:tcW w:w="701" w:type="dxa"/>
            <w:tcBorders>
              <w:top w:val="nil"/>
              <w:left w:val="nil"/>
              <w:bottom w:val="nil"/>
              <w:right w:val="nil"/>
            </w:tcBorders>
            <w:shd w:val="clear" w:color="000000" w:fill="FFFFFF"/>
            <w:noWrap/>
            <w:hideMark/>
          </w:tcPr>
          <w:p w14:paraId="7932EEC2" w14:textId="168513A8"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9 </w:t>
            </w:r>
          </w:p>
        </w:tc>
      </w:tr>
      <w:tr w:rsidR="001720A8" w:rsidRPr="00E4527E" w14:paraId="6ACDD9E2"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0A0B2CC7" w14:textId="32AB2C22"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69C17242" w14:textId="11E03398" w:rsidR="001720A8" w:rsidRPr="001720A8" w:rsidRDefault="001720A8" w:rsidP="001720A8">
            <w:pPr>
              <w:spacing w:after="0"/>
              <w:jc w:val="center"/>
              <w:rPr>
                <w:color w:val="000000"/>
                <w:sz w:val="15"/>
                <w:szCs w:val="13"/>
                <w:lang w:val="en-US" w:eastAsia="en-US"/>
              </w:rPr>
            </w:pPr>
            <w:r w:rsidRPr="001720A8">
              <w:rPr>
                <w:color w:val="000000"/>
                <w:sz w:val="14"/>
                <w:szCs w:val="14"/>
              </w:rPr>
              <w:t>13</w:t>
            </w:r>
          </w:p>
        </w:tc>
        <w:tc>
          <w:tcPr>
            <w:tcW w:w="585" w:type="dxa"/>
            <w:tcBorders>
              <w:top w:val="nil"/>
              <w:left w:val="nil"/>
              <w:bottom w:val="nil"/>
              <w:right w:val="nil"/>
            </w:tcBorders>
            <w:shd w:val="clear" w:color="000000" w:fill="FFFFFF"/>
            <w:noWrap/>
            <w:hideMark/>
          </w:tcPr>
          <w:p w14:paraId="3D492F02" w14:textId="5873C8B6" w:rsidR="001720A8" w:rsidRPr="001720A8" w:rsidRDefault="001720A8" w:rsidP="001720A8">
            <w:pPr>
              <w:spacing w:after="0"/>
              <w:rPr>
                <w:color w:val="000000"/>
                <w:sz w:val="15"/>
                <w:szCs w:val="13"/>
                <w:lang w:val="en-US" w:eastAsia="en-US"/>
              </w:rPr>
            </w:pPr>
            <w:r w:rsidRPr="001720A8">
              <w:rPr>
                <w:color w:val="000000"/>
                <w:sz w:val="14"/>
                <w:szCs w:val="14"/>
              </w:rPr>
              <w:t>I09C</w:t>
            </w:r>
          </w:p>
        </w:tc>
        <w:tc>
          <w:tcPr>
            <w:tcW w:w="4639" w:type="dxa"/>
            <w:tcBorders>
              <w:top w:val="nil"/>
              <w:left w:val="nil"/>
              <w:bottom w:val="nil"/>
              <w:right w:val="nil"/>
            </w:tcBorders>
            <w:shd w:val="clear" w:color="000000" w:fill="FFFFFF"/>
            <w:noWrap/>
            <w:hideMark/>
          </w:tcPr>
          <w:p w14:paraId="3B9D422F" w14:textId="15EB7147" w:rsidR="001720A8" w:rsidRPr="001720A8" w:rsidRDefault="001720A8" w:rsidP="001720A8">
            <w:pPr>
              <w:spacing w:after="0"/>
              <w:rPr>
                <w:color w:val="000000"/>
                <w:sz w:val="15"/>
                <w:szCs w:val="13"/>
                <w:lang w:val="en-US" w:eastAsia="en-US"/>
              </w:rPr>
            </w:pPr>
            <w:r w:rsidRPr="001720A8">
              <w:rPr>
                <w:color w:val="000000"/>
                <w:sz w:val="14"/>
                <w:szCs w:val="14"/>
              </w:rPr>
              <w:t>Spinal Fusion, Minor Complexity</w:t>
            </w:r>
          </w:p>
        </w:tc>
        <w:tc>
          <w:tcPr>
            <w:tcW w:w="752" w:type="dxa"/>
            <w:tcBorders>
              <w:top w:val="nil"/>
              <w:left w:val="nil"/>
              <w:bottom w:val="nil"/>
              <w:right w:val="nil"/>
            </w:tcBorders>
            <w:shd w:val="clear" w:color="000000" w:fill="FFFFFF"/>
            <w:noWrap/>
            <w:hideMark/>
          </w:tcPr>
          <w:p w14:paraId="1B00D27A" w14:textId="4325E152"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3.58</w:t>
            </w:r>
          </w:p>
        </w:tc>
        <w:tc>
          <w:tcPr>
            <w:tcW w:w="897" w:type="dxa"/>
            <w:tcBorders>
              <w:top w:val="nil"/>
              <w:left w:val="nil"/>
              <w:bottom w:val="nil"/>
              <w:right w:val="nil"/>
            </w:tcBorders>
            <w:shd w:val="clear" w:color="000000" w:fill="FFFFFF"/>
            <w:noWrap/>
            <w:hideMark/>
          </w:tcPr>
          <w:p w14:paraId="09975E27" w14:textId="3E8F83EF" w:rsidR="001720A8" w:rsidRPr="001720A8" w:rsidRDefault="001720A8" w:rsidP="001720A8">
            <w:pPr>
              <w:spacing w:after="0"/>
              <w:jc w:val="right"/>
              <w:rPr>
                <w:color w:val="000000"/>
                <w:sz w:val="15"/>
                <w:szCs w:val="13"/>
                <w:lang w:val="en-US" w:eastAsia="en-US"/>
              </w:rPr>
            </w:pPr>
            <w:r w:rsidRPr="001720A8">
              <w:rPr>
                <w:color w:val="000000"/>
                <w:sz w:val="14"/>
                <w:szCs w:val="14"/>
              </w:rPr>
              <w:t>7,864</w:t>
            </w:r>
          </w:p>
        </w:tc>
        <w:tc>
          <w:tcPr>
            <w:tcW w:w="735" w:type="dxa"/>
            <w:tcBorders>
              <w:top w:val="nil"/>
              <w:left w:val="nil"/>
              <w:bottom w:val="nil"/>
              <w:right w:val="nil"/>
            </w:tcBorders>
            <w:shd w:val="clear" w:color="000000" w:fill="FFFFFF"/>
            <w:noWrap/>
            <w:hideMark/>
          </w:tcPr>
          <w:p w14:paraId="0F03AAC1" w14:textId="0571DD0E" w:rsidR="001720A8" w:rsidRPr="001720A8" w:rsidRDefault="001720A8" w:rsidP="001720A8">
            <w:pPr>
              <w:spacing w:after="0"/>
              <w:jc w:val="right"/>
              <w:rPr>
                <w:color w:val="000000"/>
                <w:sz w:val="15"/>
                <w:szCs w:val="13"/>
                <w:lang w:val="en-US" w:eastAsia="en-US"/>
              </w:rPr>
            </w:pPr>
            <w:r w:rsidRPr="001720A8">
              <w:rPr>
                <w:color w:val="000000"/>
                <w:sz w:val="14"/>
                <w:szCs w:val="14"/>
              </w:rPr>
              <w:t>6.43</w:t>
            </w:r>
          </w:p>
        </w:tc>
        <w:tc>
          <w:tcPr>
            <w:tcW w:w="679" w:type="dxa"/>
            <w:tcBorders>
              <w:top w:val="nil"/>
              <w:left w:val="nil"/>
              <w:bottom w:val="nil"/>
              <w:right w:val="nil"/>
            </w:tcBorders>
            <w:shd w:val="clear" w:color="000000" w:fill="FFFFFF"/>
            <w:noWrap/>
            <w:hideMark/>
          </w:tcPr>
          <w:p w14:paraId="1ABA6484" w14:textId="58ADE5C3" w:rsidR="001720A8" w:rsidRPr="001720A8" w:rsidRDefault="001720A8" w:rsidP="001720A8">
            <w:pPr>
              <w:spacing w:after="0"/>
              <w:jc w:val="right"/>
              <w:rPr>
                <w:color w:val="000000"/>
                <w:sz w:val="15"/>
                <w:szCs w:val="13"/>
                <w:lang w:val="en-US" w:eastAsia="en-US"/>
              </w:rPr>
            </w:pPr>
            <w:r w:rsidRPr="001720A8">
              <w:rPr>
                <w:color w:val="000000"/>
                <w:sz w:val="14"/>
                <w:szCs w:val="14"/>
              </w:rPr>
              <w:t>5.0</w:t>
            </w:r>
          </w:p>
        </w:tc>
        <w:tc>
          <w:tcPr>
            <w:tcW w:w="691" w:type="dxa"/>
            <w:tcBorders>
              <w:top w:val="nil"/>
              <w:left w:val="single" w:sz="4" w:space="0" w:color="000000"/>
              <w:bottom w:val="nil"/>
              <w:right w:val="nil"/>
            </w:tcBorders>
            <w:shd w:val="clear" w:color="000000" w:fill="FFFFFF"/>
            <w:noWrap/>
            <w:hideMark/>
          </w:tcPr>
          <w:p w14:paraId="7BAECA7B" w14:textId="18E59728" w:rsidR="001720A8" w:rsidRPr="001720A8" w:rsidRDefault="001720A8" w:rsidP="001720A8">
            <w:pPr>
              <w:spacing w:after="0"/>
              <w:jc w:val="right"/>
              <w:rPr>
                <w:color w:val="000000"/>
                <w:sz w:val="15"/>
                <w:szCs w:val="13"/>
                <w:lang w:val="en-US" w:eastAsia="en-US"/>
              </w:rPr>
            </w:pPr>
            <w:r w:rsidRPr="001720A8">
              <w:rPr>
                <w:color w:val="000000"/>
                <w:sz w:val="14"/>
                <w:szCs w:val="14"/>
              </w:rPr>
              <w:t>21%</w:t>
            </w:r>
          </w:p>
        </w:tc>
        <w:tc>
          <w:tcPr>
            <w:tcW w:w="735" w:type="dxa"/>
            <w:tcBorders>
              <w:top w:val="nil"/>
              <w:left w:val="nil"/>
              <w:bottom w:val="nil"/>
              <w:right w:val="nil"/>
            </w:tcBorders>
            <w:shd w:val="clear" w:color="000000" w:fill="FFFFFF"/>
            <w:noWrap/>
            <w:hideMark/>
          </w:tcPr>
          <w:p w14:paraId="7B9AC92A" w14:textId="6FC57795" w:rsidR="001720A8" w:rsidRPr="001720A8" w:rsidRDefault="001720A8" w:rsidP="001720A8">
            <w:pPr>
              <w:spacing w:after="0"/>
              <w:jc w:val="right"/>
              <w:rPr>
                <w:color w:val="000000"/>
                <w:sz w:val="15"/>
                <w:szCs w:val="13"/>
                <w:lang w:val="en-US" w:eastAsia="en-US"/>
              </w:rPr>
            </w:pPr>
            <w:r w:rsidRPr="001720A8">
              <w:rPr>
                <w:color w:val="000000"/>
                <w:sz w:val="14"/>
                <w:szCs w:val="14"/>
              </w:rPr>
              <w:t>3%</w:t>
            </w:r>
          </w:p>
        </w:tc>
        <w:tc>
          <w:tcPr>
            <w:tcW w:w="752" w:type="dxa"/>
            <w:tcBorders>
              <w:top w:val="nil"/>
              <w:left w:val="nil"/>
              <w:bottom w:val="nil"/>
              <w:right w:val="nil"/>
            </w:tcBorders>
            <w:shd w:val="clear" w:color="000000" w:fill="FFFFFF"/>
            <w:noWrap/>
            <w:hideMark/>
          </w:tcPr>
          <w:p w14:paraId="7C245374" w14:textId="06C89E99" w:rsidR="001720A8" w:rsidRPr="001720A8" w:rsidRDefault="001720A8" w:rsidP="001720A8">
            <w:pPr>
              <w:spacing w:after="0"/>
              <w:jc w:val="right"/>
              <w:rPr>
                <w:color w:val="000000"/>
                <w:sz w:val="15"/>
                <w:szCs w:val="13"/>
                <w:lang w:val="en-US" w:eastAsia="en-US"/>
              </w:rPr>
            </w:pPr>
            <w:r w:rsidRPr="001720A8">
              <w:rPr>
                <w:color w:val="000000"/>
                <w:sz w:val="14"/>
                <w:szCs w:val="14"/>
              </w:rPr>
              <w:t>56%</w:t>
            </w:r>
          </w:p>
        </w:tc>
        <w:tc>
          <w:tcPr>
            <w:tcW w:w="779" w:type="dxa"/>
            <w:tcBorders>
              <w:top w:val="nil"/>
              <w:left w:val="nil"/>
              <w:bottom w:val="nil"/>
              <w:right w:val="nil"/>
            </w:tcBorders>
            <w:shd w:val="clear" w:color="000000" w:fill="FFFFFF"/>
            <w:noWrap/>
            <w:hideMark/>
          </w:tcPr>
          <w:p w14:paraId="18A28B72" w14:textId="1466ACBC" w:rsidR="001720A8" w:rsidRPr="001720A8" w:rsidRDefault="001720A8" w:rsidP="001720A8">
            <w:pPr>
              <w:spacing w:after="0"/>
              <w:jc w:val="right"/>
              <w:rPr>
                <w:color w:val="000000"/>
                <w:sz w:val="15"/>
                <w:szCs w:val="13"/>
                <w:lang w:val="en-US" w:eastAsia="en-US"/>
              </w:rPr>
            </w:pPr>
            <w:r w:rsidRPr="001720A8">
              <w:rPr>
                <w:color w:val="000000"/>
                <w:sz w:val="14"/>
                <w:szCs w:val="14"/>
              </w:rPr>
              <w:t>20%</w:t>
            </w:r>
          </w:p>
        </w:tc>
        <w:tc>
          <w:tcPr>
            <w:tcW w:w="989" w:type="dxa"/>
            <w:tcBorders>
              <w:top w:val="nil"/>
              <w:left w:val="single" w:sz="4" w:space="0" w:color="auto"/>
              <w:bottom w:val="nil"/>
              <w:right w:val="nil"/>
            </w:tcBorders>
            <w:shd w:val="clear" w:color="000000" w:fill="FFFFFF"/>
            <w:noWrap/>
            <w:hideMark/>
          </w:tcPr>
          <w:p w14:paraId="2ECC4319" w14:textId="30E45F06" w:rsidR="001720A8" w:rsidRPr="001720A8" w:rsidRDefault="001720A8" w:rsidP="001720A8">
            <w:pPr>
              <w:spacing w:after="0"/>
              <w:jc w:val="right"/>
              <w:rPr>
                <w:color w:val="000000"/>
                <w:sz w:val="15"/>
                <w:szCs w:val="13"/>
                <w:lang w:val="en-US" w:eastAsia="en-US"/>
              </w:rPr>
            </w:pPr>
            <w:r w:rsidRPr="001720A8">
              <w:rPr>
                <w:color w:val="000000"/>
                <w:sz w:val="14"/>
                <w:szCs w:val="14"/>
              </w:rPr>
              <w:t>3.38</w:t>
            </w:r>
          </w:p>
        </w:tc>
        <w:tc>
          <w:tcPr>
            <w:tcW w:w="701" w:type="dxa"/>
            <w:tcBorders>
              <w:top w:val="nil"/>
              <w:left w:val="nil"/>
              <w:bottom w:val="nil"/>
              <w:right w:val="nil"/>
            </w:tcBorders>
            <w:shd w:val="clear" w:color="000000" w:fill="FFFFFF"/>
            <w:noWrap/>
            <w:hideMark/>
          </w:tcPr>
          <w:p w14:paraId="6D36CFC6" w14:textId="56519BC2"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13 </w:t>
            </w:r>
          </w:p>
        </w:tc>
      </w:tr>
      <w:tr w:rsidR="001720A8" w:rsidRPr="00E4527E" w14:paraId="3AFA4991"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62CB626" w14:textId="5CD4C47C"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2C54C42B" w14:textId="5578BB93" w:rsidR="001720A8" w:rsidRPr="001720A8" w:rsidRDefault="001720A8" w:rsidP="001720A8">
            <w:pPr>
              <w:spacing w:after="0"/>
              <w:jc w:val="center"/>
              <w:rPr>
                <w:color w:val="000000"/>
                <w:sz w:val="15"/>
                <w:szCs w:val="13"/>
                <w:lang w:val="en-US" w:eastAsia="en-US"/>
              </w:rPr>
            </w:pPr>
            <w:r w:rsidRPr="001720A8">
              <w:rPr>
                <w:color w:val="000000"/>
                <w:sz w:val="14"/>
                <w:szCs w:val="14"/>
              </w:rPr>
              <w:t>14</w:t>
            </w:r>
          </w:p>
        </w:tc>
        <w:tc>
          <w:tcPr>
            <w:tcW w:w="585" w:type="dxa"/>
            <w:tcBorders>
              <w:top w:val="nil"/>
              <w:left w:val="nil"/>
              <w:bottom w:val="nil"/>
              <w:right w:val="nil"/>
            </w:tcBorders>
            <w:shd w:val="clear" w:color="000000" w:fill="FFFFFF"/>
            <w:noWrap/>
            <w:hideMark/>
          </w:tcPr>
          <w:p w14:paraId="4AF682E8" w14:textId="667A9246" w:rsidR="001720A8" w:rsidRPr="001720A8" w:rsidRDefault="001720A8" w:rsidP="001720A8">
            <w:pPr>
              <w:spacing w:after="0"/>
              <w:rPr>
                <w:color w:val="000000"/>
                <w:sz w:val="15"/>
                <w:szCs w:val="13"/>
                <w:lang w:val="en-US" w:eastAsia="en-US"/>
              </w:rPr>
            </w:pPr>
            <w:r w:rsidRPr="001720A8">
              <w:rPr>
                <w:color w:val="000000"/>
                <w:sz w:val="14"/>
                <w:szCs w:val="14"/>
              </w:rPr>
              <w:t>F17B</w:t>
            </w:r>
          </w:p>
        </w:tc>
        <w:tc>
          <w:tcPr>
            <w:tcW w:w="4639" w:type="dxa"/>
            <w:tcBorders>
              <w:top w:val="nil"/>
              <w:left w:val="nil"/>
              <w:bottom w:val="nil"/>
              <w:right w:val="nil"/>
            </w:tcBorders>
            <w:shd w:val="clear" w:color="000000" w:fill="FFFFFF"/>
            <w:noWrap/>
            <w:hideMark/>
          </w:tcPr>
          <w:p w14:paraId="6E08DD96" w14:textId="4BB90348" w:rsidR="001720A8" w:rsidRPr="001720A8" w:rsidRDefault="001720A8" w:rsidP="001720A8">
            <w:pPr>
              <w:spacing w:after="0"/>
              <w:rPr>
                <w:color w:val="000000"/>
                <w:sz w:val="15"/>
                <w:szCs w:val="13"/>
                <w:lang w:val="en-US" w:eastAsia="en-US"/>
              </w:rPr>
            </w:pPr>
            <w:r w:rsidRPr="001720A8">
              <w:rPr>
                <w:color w:val="000000"/>
                <w:sz w:val="14"/>
                <w:szCs w:val="14"/>
              </w:rPr>
              <w:t>Insertion and Replacement of Pacemaker Generator, Minor Complexity</w:t>
            </w:r>
          </w:p>
        </w:tc>
        <w:tc>
          <w:tcPr>
            <w:tcW w:w="752" w:type="dxa"/>
            <w:tcBorders>
              <w:top w:val="nil"/>
              <w:left w:val="nil"/>
              <w:bottom w:val="nil"/>
              <w:right w:val="nil"/>
            </w:tcBorders>
            <w:shd w:val="clear" w:color="000000" w:fill="FFFFFF"/>
            <w:noWrap/>
            <w:hideMark/>
          </w:tcPr>
          <w:p w14:paraId="6529C57E" w14:textId="3D27FDCD"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3.40</w:t>
            </w:r>
          </w:p>
        </w:tc>
        <w:tc>
          <w:tcPr>
            <w:tcW w:w="897" w:type="dxa"/>
            <w:tcBorders>
              <w:top w:val="nil"/>
              <w:left w:val="nil"/>
              <w:bottom w:val="nil"/>
              <w:right w:val="nil"/>
            </w:tcBorders>
            <w:shd w:val="clear" w:color="000000" w:fill="FFFFFF"/>
            <w:noWrap/>
            <w:hideMark/>
          </w:tcPr>
          <w:p w14:paraId="0E8A524F" w14:textId="3E23A51B" w:rsidR="001720A8" w:rsidRPr="001720A8" w:rsidRDefault="001720A8" w:rsidP="001720A8">
            <w:pPr>
              <w:spacing w:after="0"/>
              <w:jc w:val="right"/>
              <w:rPr>
                <w:color w:val="000000"/>
                <w:sz w:val="15"/>
                <w:szCs w:val="13"/>
                <w:lang w:val="en-US" w:eastAsia="en-US"/>
              </w:rPr>
            </w:pPr>
            <w:r w:rsidRPr="001720A8">
              <w:rPr>
                <w:color w:val="000000"/>
                <w:sz w:val="14"/>
                <w:szCs w:val="14"/>
              </w:rPr>
              <w:t>1,853</w:t>
            </w:r>
          </w:p>
        </w:tc>
        <w:tc>
          <w:tcPr>
            <w:tcW w:w="735" w:type="dxa"/>
            <w:tcBorders>
              <w:top w:val="nil"/>
              <w:left w:val="nil"/>
              <w:bottom w:val="nil"/>
              <w:right w:val="nil"/>
            </w:tcBorders>
            <w:shd w:val="clear" w:color="000000" w:fill="FFFFFF"/>
            <w:noWrap/>
            <w:hideMark/>
          </w:tcPr>
          <w:p w14:paraId="6B846AE0" w14:textId="28B8489B" w:rsidR="001720A8" w:rsidRPr="001720A8" w:rsidRDefault="001720A8" w:rsidP="001720A8">
            <w:pPr>
              <w:spacing w:after="0"/>
              <w:jc w:val="right"/>
              <w:rPr>
                <w:color w:val="000000"/>
                <w:sz w:val="15"/>
                <w:szCs w:val="13"/>
                <w:lang w:val="en-US" w:eastAsia="en-US"/>
              </w:rPr>
            </w:pPr>
            <w:r w:rsidRPr="001720A8">
              <w:rPr>
                <w:color w:val="000000"/>
                <w:sz w:val="14"/>
                <w:szCs w:val="14"/>
              </w:rPr>
              <w:t>4.24</w:t>
            </w:r>
          </w:p>
        </w:tc>
        <w:tc>
          <w:tcPr>
            <w:tcW w:w="679" w:type="dxa"/>
            <w:tcBorders>
              <w:top w:val="nil"/>
              <w:left w:val="nil"/>
              <w:bottom w:val="nil"/>
              <w:right w:val="nil"/>
            </w:tcBorders>
            <w:shd w:val="clear" w:color="000000" w:fill="FFFFFF"/>
            <w:noWrap/>
            <w:hideMark/>
          </w:tcPr>
          <w:p w14:paraId="52050CD5" w14:textId="0F3AD846" w:rsidR="001720A8" w:rsidRPr="001720A8" w:rsidRDefault="001720A8" w:rsidP="001720A8">
            <w:pPr>
              <w:spacing w:after="0"/>
              <w:jc w:val="right"/>
              <w:rPr>
                <w:color w:val="000000"/>
                <w:sz w:val="15"/>
                <w:szCs w:val="13"/>
                <w:lang w:val="en-US" w:eastAsia="en-US"/>
              </w:rPr>
            </w:pPr>
            <w:r w:rsidRPr="001720A8">
              <w:rPr>
                <w:color w:val="000000"/>
                <w:sz w:val="14"/>
                <w:szCs w:val="14"/>
              </w:rPr>
              <w:t>1.2</w:t>
            </w:r>
          </w:p>
        </w:tc>
        <w:tc>
          <w:tcPr>
            <w:tcW w:w="691" w:type="dxa"/>
            <w:tcBorders>
              <w:top w:val="nil"/>
              <w:left w:val="single" w:sz="4" w:space="0" w:color="000000"/>
              <w:bottom w:val="nil"/>
              <w:right w:val="nil"/>
            </w:tcBorders>
            <w:shd w:val="clear" w:color="000000" w:fill="FFFFFF"/>
            <w:noWrap/>
            <w:hideMark/>
          </w:tcPr>
          <w:p w14:paraId="26CA3227" w14:textId="7416CA8D" w:rsidR="001720A8" w:rsidRPr="001720A8" w:rsidRDefault="001720A8" w:rsidP="001720A8">
            <w:pPr>
              <w:spacing w:after="0"/>
              <w:jc w:val="right"/>
              <w:rPr>
                <w:color w:val="000000"/>
                <w:sz w:val="15"/>
                <w:szCs w:val="13"/>
                <w:lang w:val="en-US" w:eastAsia="en-US"/>
              </w:rPr>
            </w:pPr>
            <w:r w:rsidRPr="001720A8">
              <w:rPr>
                <w:color w:val="000000"/>
                <w:sz w:val="14"/>
                <w:szCs w:val="14"/>
              </w:rPr>
              <w:t>12%</w:t>
            </w:r>
          </w:p>
        </w:tc>
        <w:tc>
          <w:tcPr>
            <w:tcW w:w="735" w:type="dxa"/>
            <w:tcBorders>
              <w:top w:val="nil"/>
              <w:left w:val="nil"/>
              <w:bottom w:val="nil"/>
              <w:right w:val="nil"/>
            </w:tcBorders>
            <w:shd w:val="clear" w:color="000000" w:fill="FFFFFF"/>
            <w:noWrap/>
            <w:hideMark/>
          </w:tcPr>
          <w:p w14:paraId="35F2D5CA" w14:textId="35B7C69F" w:rsidR="001720A8" w:rsidRPr="001720A8" w:rsidRDefault="001720A8" w:rsidP="001720A8">
            <w:pPr>
              <w:spacing w:after="0"/>
              <w:jc w:val="right"/>
              <w:rPr>
                <w:color w:val="000000"/>
                <w:sz w:val="15"/>
                <w:szCs w:val="13"/>
                <w:lang w:val="en-US" w:eastAsia="en-US"/>
              </w:rPr>
            </w:pPr>
            <w:r w:rsidRPr="001720A8">
              <w:rPr>
                <w:color w:val="000000"/>
                <w:sz w:val="14"/>
                <w:szCs w:val="14"/>
              </w:rPr>
              <w:t>1%</w:t>
            </w:r>
          </w:p>
        </w:tc>
        <w:tc>
          <w:tcPr>
            <w:tcW w:w="752" w:type="dxa"/>
            <w:tcBorders>
              <w:top w:val="nil"/>
              <w:left w:val="nil"/>
              <w:bottom w:val="nil"/>
              <w:right w:val="nil"/>
            </w:tcBorders>
            <w:shd w:val="clear" w:color="000000" w:fill="FFFFFF"/>
            <w:noWrap/>
            <w:hideMark/>
          </w:tcPr>
          <w:p w14:paraId="40007522" w14:textId="7DDF51A4" w:rsidR="001720A8" w:rsidRPr="001720A8" w:rsidRDefault="001720A8" w:rsidP="001720A8">
            <w:pPr>
              <w:spacing w:after="0"/>
              <w:jc w:val="right"/>
              <w:rPr>
                <w:color w:val="000000"/>
                <w:sz w:val="15"/>
                <w:szCs w:val="13"/>
                <w:lang w:val="en-US" w:eastAsia="en-US"/>
              </w:rPr>
            </w:pPr>
            <w:r w:rsidRPr="001720A8">
              <w:rPr>
                <w:color w:val="000000"/>
                <w:sz w:val="14"/>
                <w:szCs w:val="14"/>
              </w:rPr>
              <w:t>80%</w:t>
            </w:r>
          </w:p>
        </w:tc>
        <w:tc>
          <w:tcPr>
            <w:tcW w:w="779" w:type="dxa"/>
            <w:tcBorders>
              <w:top w:val="nil"/>
              <w:left w:val="nil"/>
              <w:bottom w:val="nil"/>
              <w:right w:val="nil"/>
            </w:tcBorders>
            <w:shd w:val="clear" w:color="000000" w:fill="FFFFFF"/>
            <w:noWrap/>
            <w:hideMark/>
          </w:tcPr>
          <w:p w14:paraId="6C9A6F84" w14:textId="2B00CA46" w:rsidR="001720A8" w:rsidRPr="001720A8" w:rsidRDefault="001720A8" w:rsidP="001720A8">
            <w:pPr>
              <w:spacing w:after="0"/>
              <w:jc w:val="right"/>
              <w:rPr>
                <w:color w:val="000000"/>
                <w:sz w:val="15"/>
                <w:szCs w:val="13"/>
                <w:lang w:val="en-US" w:eastAsia="en-US"/>
              </w:rPr>
            </w:pPr>
            <w:r w:rsidRPr="001720A8">
              <w:rPr>
                <w:color w:val="000000"/>
                <w:sz w:val="14"/>
                <w:szCs w:val="14"/>
              </w:rPr>
              <w:t>7%</w:t>
            </w:r>
          </w:p>
        </w:tc>
        <w:tc>
          <w:tcPr>
            <w:tcW w:w="989" w:type="dxa"/>
            <w:tcBorders>
              <w:top w:val="nil"/>
              <w:left w:val="single" w:sz="4" w:space="0" w:color="auto"/>
              <w:bottom w:val="nil"/>
              <w:right w:val="nil"/>
            </w:tcBorders>
            <w:shd w:val="clear" w:color="000000" w:fill="FFFFFF"/>
            <w:noWrap/>
            <w:hideMark/>
          </w:tcPr>
          <w:p w14:paraId="7BB516CE" w14:textId="757EFD4A" w:rsidR="001720A8" w:rsidRPr="001720A8" w:rsidRDefault="001720A8" w:rsidP="001720A8">
            <w:pPr>
              <w:spacing w:after="0"/>
              <w:jc w:val="right"/>
              <w:rPr>
                <w:color w:val="000000"/>
                <w:sz w:val="15"/>
                <w:szCs w:val="13"/>
                <w:lang w:val="en-US" w:eastAsia="en-US"/>
              </w:rPr>
            </w:pPr>
            <w:r w:rsidRPr="001720A8">
              <w:rPr>
                <w:color w:val="000000"/>
                <w:sz w:val="14"/>
                <w:szCs w:val="14"/>
              </w:rPr>
              <w:t>3.26</w:t>
            </w:r>
          </w:p>
        </w:tc>
        <w:tc>
          <w:tcPr>
            <w:tcW w:w="701" w:type="dxa"/>
            <w:tcBorders>
              <w:top w:val="nil"/>
              <w:left w:val="nil"/>
              <w:bottom w:val="nil"/>
              <w:right w:val="nil"/>
            </w:tcBorders>
            <w:shd w:val="clear" w:color="000000" w:fill="FFFFFF"/>
            <w:noWrap/>
            <w:hideMark/>
          </w:tcPr>
          <w:p w14:paraId="6D38E6C7" w14:textId="4BDD508C"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15 </w:t>
            </w:r>
          </w:p>
        </w:tc>
      </w:tr>
      <w:tr w:rsidR="001720A8" w:rsidRPr="00E4527E" w14:paraId="7263C392"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2EE52175" w14:textId="21F6CA9B"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274160EB" w14:textId="61E7B132" w:rsidR="001720A8" w:rsidRPr="001720A8" w:rsidRDefault="001720A8" w:rsidP="001720A8">
            <w:pPr>
              <w:spacing w:after="0"/>
              <w:jc w:val="center"/>
              <w:rPr>
                <w:color w:val="000000"/>
                <w:sz w:val="15"/>
                <w:szCs w:val="13"/>
                <w:lang w:val="en-US" w:eastAsia="en-US"/>
              </w:rPr>
            </w:pPr>
            <w:r w:rsidRPr="001720A8">
              <w:rPr>
                <w:color w:val="000000"/>
                <w:sz w:val="14"/>
                <w:szCs w:val="14"/>
              </w:rPr>
              <w:t>15</w:t>
            </w:r>
          </w:p>
        </w:tc>
        <w:tc>
          <w:tcPr>
            <w:tcW w:w="585" w:type="dxa"/>
            <w:tcBorders>
              <w:top w:val="nil"/>
              <w:left w:val="nil"/>
              <w:bottom w:val="nil"/>
              <w:right w:val="nil"/>
            </w:tcBorders>
            <w:shd w:val="clear" w:color="000000" w:fill="FFFFFF"/>
            <w:noWrap/>
            <w:hideMark/>
          </w:tcPr>
          <w:p w14:paraId="122FE1EE" w14:textId="75B29F85" w:rsidR="001720A8" w:rsidRPr="001720A8" w:rsidRDefault="001720A8" w:rsidP="001720A8">
            <w:pPr>
              <w:spacing w:after="0"/>
              <w:rPr>
                <w:color w:val="000000"/>
                <w:sz w:val="15"/>
                <w:szCs w:val="13"/>
                <w:lang w:val="en-US" w:eastAsia="en-US"/>
              </w:rPr>
            </w:pPr>
            <w:r w:rsidRPr="001720A8">
              <w:rPr>
                <w:color w:val="000000"/>
                <w:sz w:val="14"/>
                <w:szCs w:val="14"/>
              </w:rPr>
              <w:t>I31A</w:t>
            </w:r>
          </w:p>
        </w:tc>
        <w:tc>
          <w:tcPr>
            <w:tcW w:w="4639" w:type="dxa"/>
            <w:tcBorders>
              <w:top w:val="nil"/>
              <w:left w:val="nil"/>
              <w:bottom w:val="nil"/>
              <w:right w:val="nil"/>
            </w:tcBorders>
            <w:shd w:val="clear" w:color="000000" w:fill="FFFFFF"/>
            <w:noWrap/>
            <w:hideMark/>
          </w:tcPr>
          <w:p w14:paraId="51FB10AC" w14:textId="4035CDDC" w:rsidR="001720A8" w:rsidRPr="001720A8" w:rsidRDefault="001720A8" w:rsidP="001720A8">
            <w:pPr>
              <w:spacing w:after="0"/>
              <w:rPr>
                <w:color w:val="000000"/>
                <w:sz w:val="15"/>
                <w:szCs w:val="13"/>
                <w:lang w:val="en-US" w:eastAsia="en-US"/>
              </w:rPr>
            </w:pPr>
            <w:r w:rsidRPr="001720A8">
              <w:rPr>
                <w:color w:val="000000"/>
                <w:sz w:val="14"/>
                <w:szCs w:val="14"/>
              </w:rPr>
              <w:t>Revision of Hip Replacement, Major Complexity</w:t>
            </w:r>
          </w:p>
        </w:tc>
        <w:tc>
          <w:tcPr>
            <w:tcW w:w="752" w:type="dxa"/>
            <w:tcBorders>
              <w:top w:val="nil"/>
              <w:left w:val="nil"/>
              <w:bottom w:val="nil"/>
              <w:right w:val="nil"/>
            </w:tcBorders>
            <w:shd w:val="clear" w:color="000000" w:fill="FFFFFF"/>
            <w:noWrap/>
            <w:hideMark/>
          </w:tcPr>
          <w:p w14:paraId="27BB6C94" w14:textId="5AB72BAE"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3.39</w:t>
            </w:r>
          </w:p>
        </w:tc>
        <w:tc>
          <w:tcPr>
            <w:tcW w:w="897" w:type="dxa"/>
            <w:tcBorders>
              <w:top w:val="nil"/>
              <w:left w:val="nil"/>
              <w:bottom w:val="nil"/>
              <w:right w:val="nil"/>
            </w:tcBorders>
            <w:shd w:val="clear" w:color="000000" w:fill="FFFFFF"/>
            <w:noWrap/>
            <w:hideMark/>
          </w:tcPr>
          <w:p w14:paraId="5C41384A" w14:textId="483E686A" w:rsidR="001720A8" w:rsidRPr="001720A8" w:rsidRDefault="001720A8" w:rsidP="001720A8">
            <w:pPr>
              <w:spacing w:after="0"/>
              <w:jc w:val="right"/>
              <w:rPr>
                <w:color w:val="000000"/>
                <w:sz w:val="15"/>
                <w:szCs w:val="13"/>
                <w:lang w:val="en-US" w:eastAsia="en-US"/>
              </w:rPr>
            </w:pPr>
            <w:r w:rsidRPr="001720A8">
              <w:rPr>
                <w:color w:val="000000"/>
                <w:sz w:val="14"/>
                <w:szCs w:val="14"/>
              </w:rPr>
              <w:t>225</w:t>
            </w:r>
          </w:p>
        </w:tc>
        <w:tc>
          <w:tcPr>
            <w:tcW w:w="735" w:type="dxa"/>
            <w:tcBorders>
              <w:top w:val="nil"/>
              <w:left w:val="nil"/>
              <w:bottom w:val="nil"/>
              <w:right w:val="nil"/>
            </w:tcBorders>
            <w:shd w:val="clear" w:color="000000" w:fill="FFFFFF"/>
            <w:noWrap/>
            <w:hideMark/>
          </w:tcPr>
          <w:p w14:paraId="4D195682" w14:textId="1A34B349" w:rsidR="001720A8" w:rsidRPr="001720A8" w:rsidRDefault="001720A8" w:rsidP="001720A8">
            <w:pPr>
              <w:spacing w:after="0"/>
              <w:jc w:val="right"/>
              <w:rPr>
                <w:color w:val="000000"/>
                <w:sz w:val="15"/>
                <w:szCs w:val="13"/>
                <w:lang w:val="en-US" w:eastAsia="en-US"/>
              </w:rPr>
            </w:pPr>
            <w:r w:rsidRPr="001720A8">
              <w:rPr>
                <w:color w:val="000000"/>
                <w:sz w:val="14"/>
                <w:szCs w:val="14"/>
              </w:rPr>
              <w:t>12.27</w:t>
            </w:r>
          </w:p>
        </w:tc>
        <w:tc>
          <w:tcPr>
            <w:tcW w:w="679" w:type="dxa"/>
            <w:tcBorders>
              <w:top w:val="nil"/>
              <w:left w:val="nil"/>
              <w:bottom w:val="nil"/>
              <w:right w:val="nil"/>
            </w:tcBorders>
            <w:shd w:val="clear" w:color="000000" w:fill="FFFFFF"/>
            <w:noWrap/>
            <w:hideMark/>
          </w:tcPr>
          <w:p w14:paraId="60189B15" w14:textId="7F5FF4D6" w:rsidR="001720A8" w:rsidRPr="001720A8" w:rsidRDefault="001720A8" w:rsidP="001720A8">
            <w:pPr>
              <w:spacing w:after="0"/>
              <w:jc w:val="right"/>
              <w:rPr>
                <w:color w:val="000000"/>
                <w:sz w:val="15"/>
                <w:szCs w:val="13"/>
                <w:lang w:val="en-US" w:eastAsia="en-US"/>
              </w:rPr>
            </w:pPr>
            <w:r w:rsidRPr="001720A8">
              <w:rPr>
                <w:color w:val="000000"/>
                <w:sz w:val="14"/>
                <w:szCs w:val="14"/>
              </w:rPr>
              <w:t>23.5</w:t>
            </w:r>
          </w:p>
        </w:tc>
        <w:tc>
          <w:tcPr>
            <w:tcW w:w="691" w:type="dxa"/>
            <w:tcBorders>
              <w:top w:val="nil"/>
              <w:left w:val="single" w:sz="4" w:space="0" w:color="000000"/>
              <w:bottom w:val="nil"/>
              <w:right w:val="nil"/>
            </w:tcBorders>
            <w:shd w:val="clear" w:color="000000" w:fill="FFFFFF"/>
            <w:noWrap/>
            <w:hideMark/>
          </w:tcPr>
          <w:p w14:paraId="2B025703" w14:textId="1176CC51" w:rsidR="001720A8" w:rsidRPr="001720A8" w:rsidRDefault="001720A8" w:rsidP="001720A8">
            <w:pPr>
              <w:spacing w:after="0"/>
              <w:jc w:val="right"/>
              <w:rPr>
                <w:color w:val="000000"/>
                <w:sz w:val="15"/>
                <w:szCs w:val="13"/>
                <w:lang w:val="en-US" w:eastAsia="en-US"/>
              </w:rPr>
            </w:pPr>
            <w:r w:rsidRPr="001720A8">
              <w:rPr>
                <w:color w:val="000000"/>
                <w:sz w:val="14"/>
                <w:szCs w:val="14"/>
              </w:rPr>
              <w:t>14%</w:t>
            </w:r>
          </w:p>
        </w:tc>
        <w:tc>
          <w:tcPr>
            <w:tcW w:w="735" w:type="dxa"/>
            <w:tcBorders>
              <w:top w:val="nil"/>
              <w:left w:val="nil"/>
              <w:bottom w:val="nil"/>
              <w:right w:val="nil"/>
            </w:tcBorders>
            <w:shd w:val="clear" w:color="000000" w:fill="FFFFFF"/>
            <w:noWrap/>
            <w:hideMark/>
          </w:tcPr>
          <w:p w14:paraId="13D0D487" w14:textId="452B5370" w:rsidR="001720A8" w:rsidRPr="001720A8" w:rsidRDefault="001720A8" w:rsidP="001720A8">
            <w:pPr>
              <w:spacing w:after="0"/>
              <w:jc w:val="right"/>
              <w:rPr>
                <w:color w:val="000000"/>
                <w:sz w:val="15"/>
                <w:szCs w:val="13"/>
                <w:lang w:val="en-US" w:eastAsia="en-US"/>
              </w:rPr>
            </w:pPr>
            <w:r w:rsidRPr="001720A8">
              <w:rPr>
                <w:color w:val="000000"/>
                <w:sz w:val="14"/>
                <w:szCs w:val="14"/>
              </w:rPr>
              <w:t>13%</w:t>
            </w:r>
          </w:p>
        </w:tc>
        <w:tc>
          <w:tcPr>
            <w:tcW w:w="752" w:type="dxa"/>
            <w:tcBorders>
              <w:top w:val="nil"/>
              <w:left w:val="nil"/>
              <w:bottom w:val="nil"/>
              <w:right w:val="nil"/>
            </w:tcBorders>
            <w:shd w:val="clear" w:color="000000" w:fill="FFFFFF"/>
            <w:noWrap/>
            <w:hideMark/>
          </w:tcPr>
          <w:p w14:paraId="4D75E8A1" w14:textId="14F3DDEE" w:rsidR="001720A8" w:rsidRPr="001720A8" w:rsidRDefault="001720A8" w:rsidP="001720A8">
            <w:pPr>
              <w:spacing w:after="0"/>
              <w:jc w:val="right"/>
              <w:rPr>
                <w:color w:val="000000"/>
                <w:sz w:val="15"/>
                <w:szCs w:val="13"/>
                <w:lang w:val="en-US" w:eastAsia="en-US"/>
              </w:rPr>
            </w:pPr>
            <w:r w:rsidRPr="001720A8">
              <w:rPr>
                <w:color w:val="000000"/>
                <w:sz w:val="14"/>
                <w:szCs w:val="14"/>
              </w:rPr>
              <w:t>28%</w:t>
            </w:r>
          </w:p>
        </w:tc>
        <w:tc>
          <w:tcPr>
            <w:tcW w:w="779" w:type="dxa"/>
            <w:tcBorders>
              <w:top w:val="nil"/>
              <w:left w:val="nil"/>
              <w:bottom w:val="nil"/>
              <w:right w:val="nil"/>
            </w:tcBorders>
            <w:shd w:val="clear" w:color="000000" w:fill="FFFFFF"/>
            <w:noWrap/>
            <w:hideMark/>
          </w:tcPr>
          <w:p w14:paraId="3F6A3B0F" w14:textId="0D5F9243" w:rsidR="001720A8" w:rsidRPr="001720A8" w:rsidRDefault="001720A8" w:rsidP="001720A8">
            <w:pPr>
              <w:spacing w:after="0"/>
              <w:jc w:val="right"/>
              <w:rPr>
                <w:color w:val="000000"/>
                <w:sz w:val="15"/>
                <w:szCs w:val="13"/>
                <w:lang w:val="en-US" w:eastAsia="en-US"/>
              </w:rPr>
            </w:pPr>
            <w:r w:rsidRPr="001720A8">
              <w:rPr>
                <w:color w:val="000000"/>
                <w:sz w:val="14"/>
                <w:szCs w:val="14"/>
              </w:rPr>
              <w:t>46%</w:t>
            </w:r>
          </w:p>
        </w:tc>
        <w:tc>
          <w:tcPr>
            <w:tcW w:w="989" w:type="dxa"/>
            <w:tcBorders>
              <w:top w:val="nil"/>
              <w:left w:val="single" w:sz="4" w:space="0" w:color="auto"/>
              <w:bottom w:val="nil"/>
              <w:right w:val="nil"/>
            </w:tcBorders>
            <w:shd w:val="clear" w:color="000000" w:fill="FFFFFF"/>
            <w:noWrap/>
            <w:hideMark/>
          </w:tcPr>
          <w:p w14:paraId="69688EBB" w14:textId="52B1A7AB" w:rsidR="001720A8" w:rsidRPr="001720A8" w:rsidRDefault="001720A8" w:rsidP="001720A8">
            <w:pPr>
              <w:spacing w:after="0"/>
              <w:jc w:val="right"/>
              <w:rPr>
                <w:color w:val="000000"/>
                <w:sz w:val="15"/>
                <w:szCs w:val="13"/>
                <w:lang w:val="en-US" w:eastAsia="en-US"/>
              </w:rPr>
            </w:pPr>
            <w:r w:rsidRPr="001720A8">
              <w:rPr>
                <w:color w:val="000000"/>
                <w:sz w:val="14"/>
                <w:szCs w:val="14"/>
              </w:rPr>
              <w:t>3.41</w:t>
            </w:r>
          </w:p>
        </w:tc>
        <w:tc>
          <w:tcPr>
            <w:tcW w:w="701" w:type="dxa"/>
            <w:tcBorders>
              <w:top w:val="nil"/>
              <w:left w:val="nil"/>
              <w:bottom w:val="nil"/>
              <w:right w:val="nil"/>
            </w:tcBorders>
            <w:shd w:val="clear" w:color="000000" w:fill="FFFFFF"/>
            <w:noWrap/>
            <w:hideMark/>
          </w:tcPr>
          <w:p w14:paraId="6B38856E" w14:textId="60ABB7B7"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12 </w:t>
            </w:r>
          </w:p>
        </w:tc>
      </w:tr>
      <w:tr w:rsidR="001720A8" w:rsidRPr="00E4527E" w14:paraId="2F3CFA84"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852A68E" w14:textId="290F1855" w:rsidR="001720A8" w:rsidRPr="001720A8" w:rsidRDefault="001720A8" w:rsidP="001720A8">
            <w:pPr>
              <w:spacing w:after="0"/>
              <w:jc w:val="center"/>
              <w:rPr>
                <w:color w:val="000000"/>
                <w:sz w:val="15"/>
                <w:szCs w:val="13"/>
                <w:lang w:val="en-US" w:eastAsia="en-US"/>
              </w:rPr>
            </w:pPr>
            <w:r w:rsidRPr="001720A8">
              <w:rPr>
                <w:color w:val="000000"/>
                <w:sz w:val="14"/>
                <w:szCs w:val="14"/>
              </w:rPr>
              <w:t>No</w:t>
            </w:r>
          </w:p>
        </w:tc>
        <w:tc>
          <w:tcPr>
            <w:tcW w:w="691" w:type="dxa"/>
            <w:tcBorders>
              <w:top w:val="nil"/>
              <w:left w:val="nil"/>
              <w:bottom w:val="nil"/>
              <w:right w:val="nil"/>
            </w:tcBorders>
            <w:shd w:val="clear" w:color="000000" w:fill="FFFFFF"/>
            <w:noWrap/>
            <w:hideMark/>
          </w:tcPr>
          <w:p w14:paraId="15CC92CB" w14:textId="089A6268" w:rsidR="001720A8" w:rsidRPr="001720A8" w:rsidRDefault="001720A8" w:rsidP="001720A8">
            <w:pPr>
              <w:spacing w:after="0"/>
              <w:jc w:val="center"/>
              <w:rPr>
                <w:color w:val="000000"/>
                <w:sz w:val="15"/>
                <w:szCs w:val="13"/>
                <w:lang w:val="en-US" w:eastAsia="en-US"/>
              </w:rPr>
            </w:pPr>
            <w:r w:rsidRPr="001720A8">
              <w:rPr>
                <w:color w:val="000000"/>
                <w:sz w:val="14"/>
                <w:szCs w:val="14"/>
              </w:rPr>
              <w:t>16</w:t>
            </w:r>
          </w:p>
        </w:tc>
        <w:tc>
          <w:tcPr>
            <w:tcW w:w="585" w:type="dxa"/>
            <w:tcBorders>
              <w:top w:val="nil"/>
              <w:left w:val="nil"/>
              <w:bottom w:val="nil"/>
              <w:right w:val="nil"/>
            </w:tcBorders>
            <w:shd w:val="clear" w:color="000000" w:fill="FFFFFF"/>
            <w:noWrap/>
            <w:hideMark/>
          </w:tcPr>
          <w:p w14:paraId="64283D4D" w14:textId="03E068D4" w:rsidR="001720A8" w:rsidRPr="001720A8" w:rsidRDefault="001720A8" w:rsidP="001720A8">
            <w:pPr>
              <w:spacing w:after="0"/>
              <w:rPr>
                <w:color w:val="000000"/>
                <w:sz w:val="15"/>
                <w:szCs w:val="13"/>
                <w:lang w:val="en-US" w:eastAsia="en-US"/>
              </w:rPr>
            </w:pPr>
            <w:r w:rsidRPr="001720A8">
              <w:rPr>
                <w:color w:val="000000"/>
                <w:sz w:val="14"/>
                <w:szCs w:val="14"/>
              </w:rPr>
              <w:t>B02A</w:t>
            </w:r>
          </w:p>
        </w:tc>
        <w:tc>
          <w:tcPr>
            <w:tcW w:w="4639" w:type="dxa"/>
            <w:tcBorders>
              <w:top w:val="nil"/>
              <w:left w:val="nil"/>
              <w:bottom w:val="nil"/>
              <w:right w:val="nil"/>
            </w:tcBorders>
            <w:shd w:val="clear" w:color="000000" w:fill="FFFFFF"/>
            <w:noWrap/>
            <w:hideMark/>
          </w:tcPr>
          <w:p w14:paraId="76C49EB7" w14:textId="6567040E" w:rsidR="001720A8" w:rsidRPr="001720A8" w:rsidRDefault="001720A8" w:rsidP="001720A8">
            <w:pPr>
              <w:spacing w:after="0"/>
              <w:rPr>
                <w:color w:val="000000"/>
                <w:sz w:val="15"/>
                <w:szCs w:val="13"/>
                <w:lang w:val="en-US" w:eastAsia="en-US"/>
              </w:rPr>
            </w:pPr>
            <w:r w:rsidRPr="001720A8">
              <w:rPr>
                <w:color w:val="000000"/>
                <w:sz w:val="14"/>
                <w:szCs w:val="14"/>
              </w:rPr>
              <w:t>Cranial Procedures, Major Complexity</w:t>
            </w:r>
          </w:p>
        </w:tc>
        <w:tc>
          <w:tcPr>
            <w:tcW w:w="752" w:type="dxa"/>
            <w:tcBorders>
              <w:top w:val="nil"/>
              <w:left w:val="nil"/>
              <w:bottom w:val="nil"/>
              <w:right w:val="nil"/>
            </w:tcBorders>
            <w:shd w:val="clear" w:color="000000" w:fill="FFFFFF"/>
            <w:noWrap/>
            <w:hideMark/>
          </w:tcPr>
          <w:p w14:paraId="7009DA53" w14:textId="508E3631"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3.33</w:t>
            </w:r>
          </w:p>
        </w:tc>
        <w:tc>
          <w:tcPr>
            <w:tcW w:w="897" w:type="dxa"/>
            <w:tcBorders>
              <w:top w:val="nil"/>
              <w:left w:val="nil"/>
              <w:bottom w:val="nil"/>
              <w:right w:val="nil"/>
            </w:tcBorders>
            <w:shd w:val="clear" w:color="000000" w:fill="FFFFFF"/>
            <w:noWrap/>
            <w:hideMark/>
          </w:tcPr>
          <w:p w14:paraId="45098821" w14:textId="769B4B84" w:rsidR="001720A8" w:rsidRPr="001720A8" w:rsidRDefault="001720A8" w:rsidP="001720A8">
            <w:pPr>
              <w:spacing w:after="0"/>
              <w:jc w:val="right"/>
              <w:rPr>
                <w:color w:val="000000"/>
                <w:sz w:val="15"/>
                <w:szCs w:val="13"/>
                <w:lang w:val="en-US" w:eastAsia="en-US"/>
              </w:rPr>
            </w:pPr>
            <w:r w:rsidRPr="001720A8">
              <w:rPr>
                <w:color w:val="000000"/>
                <w:sz w:val="14"/>
                <w:szCs w:val="14"/>
              </w:rPr>
              <w:t>322</w:t>
            </w:r>
          </w:p>
        </w:tc>
        <w:tc>
          <w:tcPr>
            <w:tcW w:w="735" w:type="dxa"/>
            <w:tcBorders>
              <w:top w:val="nil"/>
              <w:left w:val="nil"/>
              <w:bottom w:val="nil"/>
              <w:right w:val="nil"/>
            </w:tcBorders>
            <w:shd w:val="clear" w:color="000000" w:fill="FFFFFF"/>
            <w:noWrap/>
            <w:hideMark/>
          </w:tcPr>
          <w:p w14:paraId="19B83C12" w14:textId="0EF29B8A" w:rsidR="001720A8" w:rsidRPr="001720A8" w:rsidRDefault="001720A8" w:rsidP="001720A8">
            <w:pPr>
              <w:spacing w:after="0"/>
              <w:jc w:val="right"/>
              <w:rPr>
                <w:color w:val="000000"/>
                <w:sz w:val="15"/>
                <w:szCs w:val="13"/>
                <w:lang w:val="en-US" w:eastAsia="en-US"/>
              </w:rPr>
            </w:pPr>
            <w:r w:rsidRPr="001720A8">
              <w:rPr>
                <w:color w:val="000000"/>
                <w:sz w:val="14"/>
                <w:szCs w:val="14"/>
              </w:rPr>
              <w:t>13.46</w:t>
            </w:r>
          </w:p>
        </w:tc>
        <w:tc>
          <w:tcPr>
            <w:tcW w:w="679" w:type="dxa"/>
            <w:tcBorders>
              <w:top w:val="nil"/>
              <w:left w:val="nil"/>
              <w:bottom w:val="nil"/>
              <w:right w:val="nil"/>
            </w:tcBorders>
            <w:shd w:val="clear" w:color="000000" w:fill="FFFFFF"/>
            <w:noWrap/>
            <w:hideMark/>
          </w:tcPr>
          <w:p w14:paraId="4BE54F76" w14:textId="6ACB68DD" w:rsidR="001720A8" w:rsidRPr="001720A8" w:rsidRDefault="001720A8" w:rsidP="001720A8">
            <w:pPr>
              <w:spacing w:after="0"/>
              <w:jc w:val="right"/>
              <w:rPr>
                <w:color w:val="000000"/>
                <w:sz w:val="15"/>
                <w:szCs w:val="13"/>
                <w:lang w:val="en-US" w:eastAsia="en-US"/>
              </w:rPr>
            </w:pPr>
            <w:r w:rsidRPr="001720A8">
              <w:rPr>
                <w:color w:val="000000"/>
                <w:sz w:val="14"/>
                <w:szCs w:val="14"/>
              </w:rPr>
              <w:t>20.0</w:t>
            </w:r>
          </w:p>
        </w:tc>
        <w:tc>
          <w:tcPr>
            <w:tcW w:w="691" w:type="dxa"/>
            <w:tcBorders>
              <w:top w:val="nil"/>
              <w:left w:val="single" w:sz="4" w:space="0" w:color="000000"/>
              <w:bottom w:val="nil"/>
              <w:right w:val="nil"/>
            </w:tcBorders>
            <w:shd w:val="clear" w:color="000000" w:fill="FFFFFF"/>
            <w:noWrap/>
            <w:hideMark/>
          </w:tcPr>
          <w:p w14:paraId="3726424D" w14:textId="6FD146BD" w:rsidR="001720A8" w:rsidRPr="001720A8" w:rsidRDefault="001720A8" w:rsidP="001720A8">
            <w:pPr>
              <w:spacing w:after="0"/>
              <w:jc w:val="right"/>
              <w:rPr>
                <w:color w:val="000000"/>
                <w:sz w:val="15"/>
                <w:szCs w:val="13"/>
                <w:lang w:val="en-US" w:eastAsia="en-US"/>
              </w:rPr>
            </w:pPr>
            <w:r w:rsidRPr="001720A8">
              <w:rPr>
                <w:color w:val="000000"/>
                <w:sz w:val="14"/>
                <w:szCs w:val="14"/>
              </w:rPr>
              <w:t>15%</w:t>
            </w:r>
          </w:p>
        </w:tc>
        <w:tc>
          <w:tcPr>
            <w:tcW w:w="735" w:type="dxa"/>
            <w:tcBorders>
              <w:top w:val="nil"/>
              <w:left w:val="nil"/>
              <w:bottom w:val="nil"/>
              <w:right w:val="nil"/>
            </w:tcBorders>
            <w:shd w:val="clear" w:color="000000" w:fill="FFFFFF"/>
            <w:noWrap/>
            <w:hideMark/>
          </w:tcPr>
          <w:p w14:paraId="51CA550B" w14:textId="20D955EE" w:rsidR="001720A8" w:rsidRPr="001720A8" w:rsidRDefault="001720A8" w:rsidP="001720A8">
            <w:pPr>
              <w:spacing w:after="0"/>
              <w:jc w:val="right"/>
              <w:rPr>
                <w:color w:val="000000"/>
                <w:sz w:val="15"/>
                <w:szCs w:val="13"/>
                <w:lang w:val="en-US" w:eastAsia="en-US"/>
              </w:rPr>
            </w:pPr>
            <w:r w:rsidRPr="001720A8">
              <w:rPr>
                <w:color w:val="000000"/>
                <w:sz w:val="14"/>
                <w:szCs w:val="14"/>
              </w:rPr>
              <w:t>24%</w:t>
            </w:r>
          </w:p>
        </w:tc>
        <w:tc>
          <w:tcPr>
            <w:tcW w:w="752" w:type="dxa"/>
            <w:tcBorders>
              <w:top w:val="nil"/>
              <w:left w:val="nil"/>
              <w:bottom w:val="nil"/>
              <w:right w:val="nil"/>
            </w:tcBorders>
            <w:shd w:val="clear" w:color="000000" w:fill="FFFFFF"/>
            <w:noWrap/>
            <w:hideMark/>
          </w:tcPr>
          <w:p w14:paraId="5A2D755D" w14:textId="54066293" w:rsidR="001720A8" w:rsidRPr="001720A8" w:rsidRDefault="001720A8" w:rsidP="001720A8">
            <w:pPr>
              <w:spacing w:after="0"/>
              <w:jc w:val="right"/>
              <w:rPr>
                <w:color w:val="000000"/>
                <w:sz w:val="15"/>
                <w:szCs w:val="13"/>
                <w:lang w:val="en-US" w:eastAsia="en-US"/>
              </w:rPr>
            </w:pPr>
            <w:r w:rsidRPr="001720A8">
              <w:rPr>
                <w:color w:val="000000"/>
                <w:sz w:val="14"/>
                <w:szCs w:val="14"/>
              </w:rPr>
              <w:t>25%</w:t>
            </w:r>
          </w:p>
        </w:tc>
        <w:tc>
          <w:tcPr>
            <w:tcW w:w="779" w:type="dxa"/>
            <w:tcBorders>
              <w:top w:val="nil"/>
              <w:left w:val="nil"/>
              <w:bottom w:val="nil"/>
              <w:right w:val="nil"/>
            </w:tcBorders>
            <w:shd w:val="clear" w:color="000000" w:fill="FFFFFF"/>
            <w:noWrap/>
            <w:hideMark/>
          </w:tcPr>
          <w:p w14:paraId="1CFC5FFB" w14:textId="7045B98C" w:rsidR="001720A8" w:rsidRPr="001720A8" w:rsidRDefault="001720A8" w:rsidP="001720A8">
            <w:pPr>
              <w:spacing w:after="0"/>
              <w:jc w:val="right"/>
              <w:rPr>
                <w:color w:val="000000"/>
                <w:sz w:val="15"/>
                <w:szCs w:val="13"/>
                <w:lang w:val="en-US" w:eastAsia="en-US"/>
              </w:rPr>
            </w:pPr>
            <w:r w:rsidRPr="001720A8">
              <w:rPr>
                <w:color w:val="000000"/>
                <w:sz w:val="14"/>
                <w:szCs w:val="14"/>
              </w:rPr>
              <w:t>36%</w:t>
            </w:r>
          </w:p>
        </w:tc>
        <w:tc>
          <w:tcPr>
            <w:tcW w:w="989" w:type="dxa"/>
            <w:tcBorders>
              <w:top w:val="nil"/>
              <w:left w:val="single" w:sz="4" w:space="0" w:color="auto"/>
              <w:bottom w:val="nil"/>
              <w:right w:val="nil"/>
            </w:tcBorders>
            <w:shd w:val="clear" w:color="000000" w:fill="FFFFFF"/>
            <w:noWrap/>
            <w:hideMark/>
          </w:tcPr>
          <w:p w14:paraId="18FAE8F1" w14:textId="287B4D75" w:rsidR="001720A8" w:rsidRPr="001720A8" w:rsidRDefault="001720A8" w:rsidP="001720A8">
            <w:pPr>
              <w:spacing w:after="0"/>
              <w:jc w:val="right"/>
              <w:rPr>
                <w:color w:val="000000"/>
                <w:sz w:val="15"/>
                <w:szCs w:val="13"/>
                <w:lang w:val="en-US" w:eastAsia="en-US"/>
              </w:rPr>
            </w:pPr>
            <w:r w:rsidRPr="001720A8">
              <w:rPr>
                <w:color w:val="000000"/>
                <w:sz w:val="14"/>
                <w:szCs w:val="14"/>
              </w:rPr>
              <w:t>2.16</w:t>
            </w:r>
          </w:p>
        </w:tc>
        <w:tc>
          <w:tcPr>
            <w:tcW w:w="701" w:type="dxa"/>
            <w:tcBorders>
              <w:top w:val="nil"/>
              <w:left w:val="nil"/>
              <w:bottom w:val="nil"/>
              <w:right w:val="nil"/>
            </w:tcBorders>
            <w:shd w:val="clear" w:color="000000" w:fill="FFFFFF"/>
            <w:noWrap/>
            <w:hideMark/>
          </w:tcPr>
          <w:p w14:paraId="6CC72756" w14:textId="36A96692"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32 </w:t>
            </w:r>
          </w:p>
        </w:tc>
      </w:tr>
      <w:tr w:rsidR="001720A8" w:rsidRPr="00E4527E" w14:paraId="2F3C3074"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51635F90" w14:textId="32781FC4"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6C55E755" w14:textId="2D8D297D" w:rsidR="001720A8" w:rsidRPr="001720A8" w:rsidRDefault="001720A8" w:rsidP="001720A8">
            <w:pPr>
              <w:spacing w:after="0"/>
              <w:jc w:val="center"/>
              <w:rPr>
                <w:color w:val="000000"/>
                <w:sz w:val="15"/>
                <w:szCs w:val="13"/>
                <w:lang w:val="en-US" w:eastAsia="en-US"/>
              </w:rPr>
            </w:pPr>
            <w:r w:rsidRPr="001720A8">
              <w:rPr>
                <w:color w:val="000000"/>
                <w:sz w:val="14"/>
                <w:szCs w:val="14"/>
              </w:rPr>
              <w:t>17</w:t>
            </w:r>
          </w:p>
        </w:tc>
        <w:tc>
          <w:tcPr>
            <w:tcW w:w="585" w:type="dxa"/>
            <w:tcBorders>
              <w:top w:val="nil"/>
              <w:left w:val="nil"/>
              <w:bottom w:val="nil"/>
              <w:right w:val="nil"/>
            </w:tcBorders>
            <w:shd w:val="clear" w:color="000000" w:fill="FFFFFF"/>
            <w:noWrap/>
            <w:hideMark/>
          </w:tcPr>
          <w:p w14:paraId="3698A7C8" w14:textId="36C226B1" w:rsidR="001720A8" w:rsidRPr="001720A8" w:rsidRDefault="001720A8" w:rsidP="001720A8">
            <w:pPr>
              <w:spacing w:after="0"/>
              <w:rPr>
                <w:color w:val="000000"/>
                <w:sz w:val="15"/>
                <w:szCs w:val="13"/>
                <w:lang w:val="en-US" w:eastAsia="en-US"/>
              </w:rPr>
            </w:pPr>
            <w:r w:rsidRPr="001720A8">
              <w:rPr>
                <w:color w:val="000000"/>
                <w:sz w:val="14"/>
                <w:szCs w:val="14"/>
              </w:rPr>
              <w:t>I33B</w:t>
            </w:r>
          </w:p>
        </w:tc>
        <w:tc>
          <w:tcPr>
            <w:tcW w:w="4639" w:type="dxa"/>
            <w:tcBorders>
              <w:top w:val="nil"/>
              <w:left w:val="nil"/>
              <w:bottom w:val="nil"/>
              <w:right w:val="nil"/>
            </w:tcBorders>
            <w:shd w:val="clear" w:color="000000" w:fill="FFFFFF"/>
            <w:noWrap/>
            <w:hideMark/>
          </w:tcPr>
          <w:p w14:paraId="19697FE5" w14:textId="7DC21C65" w:rsidR="001720A8" w:rsidRPr="001720A8" w:rsidRDefault="001720A8" w:rsidP="001720A8">
            <w:pPr>
              <w:spacing w:after="0"/>
              <w:rPr>
                <w:color w:val="000000"/>
                <w:sz w:val="15"/>
                <w:szCs w:val="13"/>
                <w:lang w:val="en-US" w:eastAsia="en-US"/>
              </w:rPr>
            </w:pPr>
            <w:r w:rsidRPr="001720A8">
              <w:rPr>
                <w:color w:val="000000"/>
                <w:sz w:val="14"/>
                <w:szCs w:val="14"/>
              </w:rPr>
              <w:t>Hip Replacement for Non-Trauma, Minor Complexity</w:t>
            </w:r>
          </w:p>
        </w:tc>
        <w:tc>
          <w:tcPr>
            <w:tcW w:w="752" w:type="dxa"/>
            <w:tcBorders>
              <w:top w:val="nil"/>
              <w:left w:val="nil"/>
              <w:bottom w:val="nil"/>
              <w:right w:val="nil"/>
            </w:tcBorders>
            <w:shd w:val="clear" w:color="000000" w:fill="FFFFFF"/>
            <w:noWrap/>
            <w:hideMark/>
          </w:tcPr>
          <w:p w14:paraId="7F5C3EAB" w14:textId="117359C6"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2.89</w:t>
            </w:r>
          </w:p>
        </w:tc>
        <w:tc>
          <w:tcPr>
            <w:tcW w:w="897" w:type="dxa"/>
            <w:tcBorders>
              <w:top w:val="nil"/>
              <w:left w:val="nil"/>
              <w:bottom w:val="nil"/>
              <w:right w:val="nil"/>
            </w:tcBorders>
            <w:shd w:val="clear" w:color="000000" w:fill="FFFFFF"/>
            <w:noWrap/>
            <w:hideMark/>
          </w:tcPr>
          <w:p w14:paraId="10DD1518" w14:textId="05627CA8" w:rsidR="001720A8" w:rsidRPr="001720A8" w:rsidRDefault="001720A8" w:rsidP="001720A8">
            <w:pPr>
              <w:spacing w:after="0"/>
              <w:jc w:val="right"/>
              <w:rPr>
                <w:color w:val="000000"/>
                <w:sz w:val="15"/>
                <w:szCs w:val="13"/>
                <w:lang w:val="en-US" w:eastAsia="en-US"/>
              </w:rPr>
            </w:pPr>
            <w:r w:rsidRPr="001720A8">
              <w:rPr>
                <w:color w:val="000000"/>
                <w:sz w:val="14"/>
                <w:szCs w:val="14"/>
              </w:rPr>
              <w:t>22,720</w:t>
            </w:r>
          </w:p>
        </w:tc>
        <w:tc>
          <w:tcPr>
            <w:tcW w:w="735" w:type="dxa"/>
            <w:tcBorders>
              <w:top w:val="nil"/>
              <w:left w:val="nil"/>
              <w:bottom w:val="nil"/>
              <w:right w:val="nil"/>
            </w:tcBorders>
            <w:shd w:val="clear" w:color="000000" w:fill="FFFFFF"/>
            <w:noWrap/>
            <w:hideMark/>
          </w:tcPr>
          <w:p w14:paraId="0C7EEDA6" w14:textId="0C9756AB" w:rsidR="001720A8" w:rsidRPr="001720A8" w:rsidRDefault="001720A8" w:rsidP="001720A8">
            <w:pPr>
              <w:spacing w:after="0"/>
              <w:jc w:val="right"/>
              <w:rPr>
                <w:color w:val="000000"/>
                <w:sz w:val="15"/>
                <w:szCs w:val="13"/>
                <w:lang w:val="en-US" w:eastAsia="en-US"/>
              </w:rPr>
            </w:pPr>
            <w:r w:rsidRPr="001720A8">
              <w:rPr>
                <w:color w:val="000000"/>
                <w:sz w:val="14"/>
                <w:szCs w:val="14"/>
              </w:rPr>
              <w:t>5.02</w:t>
            </w:r>
          </w:p>
        </w:tc>
        <w:tc>
          <w:tcPr>
            <w:tcW w:w="679" w:type="dxa"/>
            <w:tcBorders>
              <w:top w:val="nil"/>
              <w:left w:val="nil"/>
              <w:bottom w:val="nil"/>
              <w:right w:val="nil"/>
            </w:tcBorders>
            <w:shd w:val="clear" w:color="000000" w:fill="FFFFFF"/>
            <w:noWrap/>
            <w:hideMark/>
          </w:tcPr>
          <w:p w14:paraId="7C6FA80E" w14:textId="6EC996BA" w:rsidR="001720A8" w:rsidRPr="001720A8" w:rsidRDefault="001720A8" w:rsidP="001720A8">
            <w:pPr>
              <w:spacing w:after="0"/>
              <w:jc w:val="right"/>
              <w:rPr>
                <w:color w:val="000000"/>
                <w:sz w:val="15"/>
                <w:szCs w:val="13"/>
                <w:lang w:val="en-US" w:eastAsia="en-US"/>
              </w:rPr>
            </w:pPr>
            <w:r w:rsidRPr="001720A8">
              <w:rPr>
                <w:color w:val="000000"/>
                <w:sz w:val="14"/>
                <w:szCs w:val="14"/>
              </w:rPr>
              <w:t>4.7</w:t>
            </w:r>
          </w:p>
        </w:tc>
        <w:tc>
          <w:tcPr>
            <w:tcW w:w="691" w:type="dxa"/>
            <w:tcBorders>
              <w:top w:val="nil"/>
              <w:left w:val="single" w:sz="4" w:space="0" w:color="000000"/>
              <w:bottom w:val="nil"/>
              <w:right w:val="nil"/>
            </w:tcBorders>
            <w:shd w:val="clear" w:color="000000" w:fill="FFFFFF"/>
            <w:noWrap/>
            <w:hideMark/>
          </w:tcPr>
          <w:p w14:paraId="628F2E79" w14:textId="42593B2A" w:rsidR="001720A8" w:rsidRPr="001720A8" w:rsidRDefault="001720A8" w:rsidP="001720A8">
            <w:pPr>
              <w:spacing w:after="0"/>
              <w:jc w:val="right"/>
              <w:rPr>
                <w:color w:val="000000"/>
                <w:sz w:val="15"/>
                <w:szCs w:val="13"/>
                <w:lang w:val="en-US" w:eastAsia="en-US"/>
              </w:rPr>
            </w:pPr>
            <w:r w:rsidRPr="001720A8">
              <w:rPr>
                <w:color w:val="000000"/>
                <w:sz w:val="14"/>
                <w:szCs w:val="14"/>
              </w:rPr>
              <w:t>17%</w:t>
            </w:r>
          </w:p>
        </w:tc>
        <w:tc>
          <w:tcPr>
            <w:tcW w:w="735" w:type="dxa"/>
            <w:tcBorders>
              <w:top w:val="nil"/>
              <w:left w:val="nil"/>
              <w:bottom w:val="nil"/>
              <w:right w:val="nil"/>
            </w:tcBorders>
            <w:shd w:val="clear" w:color="000000" w:fill="FFFFFF"/>
            <w:noWrap/>
            <w:hideMark/>
          </w:tcPr>
          <w:p w14:paraId="29F6CEDF" w14:textId="4685F03A" w:rsidR="001720A8" w:rsidRPr="001720A8" w:rsidRDefault="001720A8" w:rsidP="001720A8">
            <w:pPr>
              <w:spacing w:after="0"/>
              <w:jc w:val="right"/>
              <w:rPr>
                <w:color w:val="000000"/>
                <w:sz w:val="15"/>
                <w:szCs w:val="13"/>
                <w:lang w:val="en-US" w:eastAsia="en-US"/>
              </w:rPr>
            </w:pPr>
            <w:r w:rsidRPr="001720A8">
              <w:rPr>
                <w:color w:val="000000"/>
                <w:sz w:val="14"/>
                <w:szCs w:val="14"/>
              </w:rPr>
              <w:t>1%</w:t>
            </w:r>
          </w:p>
        </w:tc>
        <w:tc>
          <w:tcPr>
            <w:tcW w:w="752" w:type="dxa"/>
            <w:tcBorders>
              <w:top w:val="nil"/>
              <w:left w:val="nil"/>
              <w:bottom w:val="nil"/>
              <w:right w:val="nil"/>
            </w:tcBorders>
            <w:shd w:val="clear" w:color="000000" w:fill="FFFFFF"/>
            <w:noWrap/>
            <w:hideMark/>
          </w:tcPr>
          <w:p w14:paraId="7C6AFE99" w14:textId="772B7F0E" w:rsidR="001720A8" w:rsidRPr="001720A8" w:rsidRDefault="001720A8" w:rsidP="001720A8">
            <w:pPr>
              <w:spacing w:after="0"/>
              <w:jc w:val="right"/>
              <w:rPr>
                <w:color w:val="000000"/>
                <w:sz w:val="15"/>
                <w:szCs w:val="13"/>
                <w:lang w:val="en-US" w:eastAsia="en-US"/>
              </w:rPr>
            </w:pPr>
            <w:r w:rsidRPr="001720A8">
              <w:rPr>
                <w:color w:val="000000"/>
                <w:sz w:val="14"/>
                <w:szCs w:val="14"/>
              </w:rPr>
              <w:t>58%</w:t>
            </w:r>
          </w:p>
        </w:tc>
        <w:tc>
          <w:tcPr>
            <w:tcW w:w="779" w:type="dxa"/>
            <w:tcBorders>
              <w:top w:val="nil"/>
              <w:left w:val="nil"/>
              <w:bottom w:val="nil"/>
              <w:right w:val="nil"/>
            </w:tcBorders>
            <w:shd w:val="clear" w:color="000000" w:fill="FFFFFF"/>
            <w:noWrap/>
            <w:hideMark/>
          </w:tcPr>
          <w:p w14:paraId="2FB63FA0" w14:textId="183FE228" w:rsidR="001720A8" w:rsidRPr="001720A8" w:rsidRDefault="001720A8" w:rsidP="001720A8">
            <w:pPr>
              <w:spacing w:after="0"/>
              <w:jc w:val="right"/>
              <w:rPr>
                <w:color w:val="000000"/>
                <w:sz w:val="15"/>
                <w:szCs w:val="13"/>
                <w:lang w:val="en-US" w:eastAsia="en-US"/>
              </w:rPr>
            </w:pPr>
            <w:r w:rsidRPr="001720A8">
              <w:rPr>
                <w:color w:val="000000"/>
                <w:sz w:val="14"/>
                <w:szCs w:val="14"/>
              </w:rPr>
              <w:t>24%</w:t>
            </w:r>
          </w:p>
        </w:tc>
        <w:tc>
          <w:tcPr>
            <w:tcW w:w="989" w:type="dxa"/>
            <w:tcBorders>
              <w:top w:val="nil"/>
              <w:left w:val="single" w:sz="4" w:space="0" w:color="auto"/>
              <w:bottom w:val="nil"/>
              <w:right w:val="nil"/>
            </w:tcBorders>
            <w:shd w:val="clear" w:color="000000" w:fill="FFFFFF"/>
            <w:noWrap/>
            <w:hideMark/>
          </w:tcPr>
          <w:p w14:paraId="7DB3A354" w14:textId="092C5B91" w:rsidR="001720A8" w:rsidRPr="001720A8" w:rsidRDefault="001720A8" w:rsidP="001720A8">
            <w:pPr>
              <w:spacing w:after="0"/>
              <w:jc w:val="right"/>
              <w:rPr>
                <w:color w:val="000000"/>
                <w:sz w:val="15"/>
                <w:szCs w:val="13"/>
                <w:lang w:val="en-US" w:eastAsia="en-US"/>
              </w:rPr>
            </w:pPr>
            <w:r w:rsidRPr="001720A8">
              <w:rPr>
                <w:color w:val="000000"/>
                <w:sz w:val="14"/>
                <w:szCs w:val="14"/>
              </w:rPr>
              <w:t>2.83</w:t>
            </w:r>
          </w:p>
        </w:tc>
        <w:tc>
          <w:tcPr>
            <w:tcW w:w="701" w:type="dxa"/>
            <w:tcBorders>
              <w:top w:val="nil"/>
              <w:left w:val="nil"/>
              <w:bottom w:val="nil"/>
              <w:right w:val="nil"/>
            </w:tcBorders>
            <w:shd w:val="clear" w:color="000000" w:fill="FFFFFF"/>
            <w:noWrap/>
            <w:hideMark/>
          </w:tcPr>
          <w:p w14:paraId="6F8DD548" w14:textId="6AA8F5D0"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20 </w:t>
            </w:r>
          </w:p>
        </w:tc>
      </w:tr>
      <w:tr w:rsidR="001720A8" w:rsidRPr="00E4527E" w14:paraId="4CC19104"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331BB160" w14:textId="4C04F0B3"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4870848B" w14:textId="3FBA5322" w:rsidR="001720A8" w:rsidRPr="001720A8" w:rsidRDefault="001720A8" w:rsidP="001720A8">
            <w:pPr>
              <w:spacing w:after="0"/>
              <w:jc w:val="center"/>
              <w:rPr>
                <w:color w:val="000000"/>
                <w:sz w:val="15"/>
                <w:szCs w:val="13"/>
                <w:lang w:val="en-US" w:eastAsia="en-US"/>
              </w:rPr>
            </w:pPr>
            <w:r w:rsidRPr="001720A8">
              <w:rPr>
                <w:color w:val="000000"/>
                <w:sz w:val="14"/>
                <w:szCs w:val="14"/>
              </w:rPr>
              <w:t>18</w:t>
            </w:r>
          </w:p>
        </w:tc>
        <w:tc>
          <w:tcPr>
            <w:tcW w:w="585" w:type="dxa"/>
            <w:tcBorders>
              <w:top w:val="nil"/>
              <w:left w:val="nil"/>
              <w:bottom w:val="nil"/>
              <w:right w:val="nil"/>
            </w:tcBorders>
            <w:shd w:val="clear" w:color="000000" w:fill="FFFFFF"/>
            <w:noWrap/>
            <w:hideMark/>
          </w:tcPr>
          <w:p w14:paraId="1F99AC14" w14:textId="1FD24194" w:rsidR="001720A8" w:rsidRPr="001720A8" w:rsidRDefault="001720A8" w:rsidP="001720A8">
            <w:pPr>
              <w:spacing w:after="0"/>
              <w:rPr>
                <w:color w:val="000000"/>
                <w:sz w:val="15"/>
                <w:szCs w:val="13"/>
                <w:lang w:val="en-US" w:eastAsia="en-US"/>
              </w:rPr>
            </w:pPr>
            <w:r w:rsidRPr="001720A8">
              <w:rPr>
                <w:color w:val="000000"/>
                <w:sz w:val="14"/>
                <w:szCs w:val="14"/>
              </w:rPr>
              <w:t>I33A</w:t>
            </w:r>
          </w:p>
        </w:tc>
        <w:tc>
          <w:tcPr>
            <w:tcW w:w="4639" w:type="dxa"/>
            <w:tcBorders>
              <w:top w:val="nil"/>
              <w:left w:val="nil"/>
              <w:bottom w:val="nil"/>
              <w:right w:val="nil"/>
            </w:tcBorders>
            <w:shd w:val="clear" w:color="000000" w:fill="FFFFFF"/>
            <w:noWrap/>
            <w:hideMark/>
          </w:tcPr>
          <w:p w14:paraId="656B3E1A" w14:textId="5C7B7CB0" w:rsidR="001720A8" w:rsidRPr="001720A8" w:rsidRDefault="001720A8" w:rsidP="001720A8">
            <w:pPr>
              <w:spacing w:after="0"/>
              <w:rPr>
                <w:color w:val="000000"/>
                <w:sz w:val="15"/>
                <w:szCs w:val="13"/>
                <w:lang w:val="en-US" w:eastAsia="en-US"/>
              </w:rPr>
            </w:pPr>
            <w:r w:rsidRPr="001720A8">
              <w:rPr>
                <w:color w:val="000000"/>
                <w:sz w:val="14"/>
                <w:szCs w:val="14"/>
              </w:rPr>
              <w:t>Hip Replacement for Non-Trauma, Major Complexity</w:t>
            </w:r>
          </w:p>
        </w:tc>
        <w:tc>
          <w:tcPr>
            <w:tcW w:w="752" w:type="dxa"/>
            <w:tcBorders>
              <w:top w:val="nil"/>
              <w:left w:val="nil"/>
              <w:bottom w:val="nil"/>
              <w:right w:val="nil"/>
            </w:tcBorders>
            <w:shd w:val="clear" w:color="000000" w:fill="FFFFFF"/>
            <w:noWrap/>
            <w:hideMark/>
          </w:tcPr>
          <w:p w14:paraId="5E3A462F" w14:textId="1B2EFD9E"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2.84</w:t>
            </w:r>
          </w:p>
        </w:tc>
        <w:tc>
          <w:tcPr>
            <w:tcW w:w="897" w:type="dxa"/>
            <w:tcBorders>
              <w:top w:val="nil"/>
              <w:left w:val="nil"/>
              <w:bottom w:val="nil"/>
              <w:right w:val="nil"/>
            </w:tcBorders>
            <w:shd w:val="clear" w:color="000000" w:fill="FFFFFF"/>
            <w:noWrap/>
            <w:hideMark/>
          </w:tcPr>
          <w:p w14:paraId="7CA351A3" w14:textId="29642746" w:rsidR="001720A8" w:rsidRPr="001720A8" w:rsidRDefault="001720A8" w:rsidP="001720A8">
            <w:pPr>
              <w:spacing w:after="0"/>
              <w:jc w:val="right"/>
              <w:rPr>
                <w:color w:val="000000"/>
                <w:sz w:val="15"/>
                <w:szCs w:val="13"/>
                <w:lang w:val="en-US" w:eastAsia="en-US"/>
              </w:rPr>
            </w:pPr>
            <w:r w:rsidRPr="001720A8">
              <w:rPr>
                <w:color w:val="000000"/>
                <w:sz w:val="14"/>
                <w:szCs w:val="14"/>
              </w:rPr>
              <w:t>2,290</w:t>
            </w:r>
          </w:p>
        </w:tc>
        <w:tc>
          <w:tcPr>
            <w:tcW w:w="735" w:type="dxa"/>
            <w:tcBorders>
              <w:top w:val="nil"/>
              <w:left w:val="nil"/>
              <w:bottom w:val="nil"/>
              <w:right w:val="nil"/>
            </w:tcBorders>
            <w:shd w:val="clear" w:color="000000" w:fill="FFFFFF"/>
            <w:noWrap/>
            <w:hideMark/>
          </w:tcPr>
          <w:p w14:paraId="207FCEE1" w14:textId="6F238E30" w:rsidR="001720A8" w:rsidRPr="001720A8" w:rsidRDefault="001720A8" w:rsidP="001720A8">
            <w:pPr>
              <w:spacing w:after="0"/>
              <w:jc w:val="right"/>
              <w:rPr>
                <w:color w:val="000000"/>
                <w:sz w:val="15"/>
                <w:szCs w:val="13"/>
                <w:lang w:val="en-US" w:eastAsia="en-US"/>
              </w:rPr>
            </w:pPr>
            <w:r w:rsidRPr="001720A8">
              <w:rPr>
                <w:color w:val="000000"/>
                <w:sz w:val="14"/>
                <w:szCs w:val="14"/>
              </w:rPr>
              <w:t>6.16</w:t>
            </w:r>
          </w:p>
        </w:tc>
        <w:tc>
          <w:tcPr>
            <w:tcW w:w="679" w:type="dxa"/>
            <w:tcBorders>
              <w:top w:val="nil"/>
              <w:left w:val="nil"/>
              <w:bottom w:val="nil"/>
              <w:right w:val="nil"/>
            </w:tcBorders>
            <w:shd w:val="clear" w:color="000000" w:fill="FFFFFF"/>
            <w:noWrap/>
            <w:hideMark/>
          </w:tcPr>
          <w:p w14:paraId="62306088" w14:textId="65FA81D2" w:rsidR="001720A8" w:rsidRPr="001720A8" w:rsidRDefault="001720A8" w:rsidP="001720A8">
            <w:pPr>
              <w:spacing w:after="0"/>
              <w:jc w:val="right"/>
              <w:rPr>
                <w:color w:val="000000"/>
                <w:sz w:val="15"/>
                <w:szCs w:val="13"/>
                <w:lang w:val="en-US" w:eastAsia="en-US"/>
              </w:rPr>
            </w:pPr>
            <w:r w:rsidRPr="001720A8">
              <w:rPr>
                <w:color w:val="000000"/>
                <w:sz w:val="14"/>
                <w:szCs w:val="14"/>
              </w:rPr>
              <w:t>8.1</w:t>
            </w:r>
          </w:p>
        </w:tc>
        <w:tc>
          <w:tcPr>
            <w:tcW w:w="691" w:type="dxa"/>
            <w:tcBorders>
              <w:top w:val="nil"/>
              <w:left w:val="single" w:sz="4" w:space="0" w:color="000000"/>
              <w:bottom w:val="nil"/>
              <w:right w:val="nil"/>
            </w:tcBorders>
            <w:shd w:val="clear" w:color="000000" w:fill="FFFFFF"/>
            <w:noWrap/>
            <w:hideMark/>
          </w:tcPr>
          <w:p w14:paraId="74F43697" w14:textId="51A566C1" w:rsidR="001720A8" w:rsidRPr="001720A8" w:rsidRDefault="001720A8" w:rsidP="001720A8">
            <w:pPr>
              <w:spacing w:after="0"/>
              <w:jc w:val="right"/>
              <w:rPr>
                <w:color w:val="000000"/>
                <w:sz w:val="15"/>
                <w:szCs w:val="13"/>
                <w:lang w:val="en-US" w:eastAsia="en-US"/>
              </w:rPr>
            </w:pPr>
            <w:r w:rsidRPr="001720A8">
              <w:rPr>
                <w:color w:val="000000"/>
                <w:sz w:val="14"/>
                <w:szCs w:val="14"/>
              </w:rPr>
              <w:t>16%</w:t>
            </w:r>
          </w:p>
        </w:tc>
        <w:tc>
          <w:tcPr>
            <w:tcW w:w="735" w:type="dxa"/>
            <w:tcBorders>
              <w:top w:val="nil"/>
              <w:left w:val="nil"/>
              <w:bottom w:val="nil"/>
              <w:right w:val="nil"/>
            </w:tcBorders>
            <w:shd w:val="clear" w:color="000000" w:fill="FFFFFF"/>
            <w:noWrap/>
            <w:hideMark/>
          </w:tcPr>
          <w:p w14:paraId="57DF425A" w14:textId="7C7C782E" w:rsidR="001720A8" w:rsidRPr="001720A8" w:rsidRDefault="001720A8" w:rsidP="001720A8">
            <w:pPr>
              <w:spacing w:after="0"/>
              <w:jc w:val="right"/>
              <w:rPr>
                <w:color w:val="000000"/>
                <w:sz w:val="15"/>
                <w:szCs w:val="13"/>
                <w:lang w:val="en-US" w:eastAsia="en-US"/>
              </w:rPr>
            </w:pPr>
            <w:r w:rsidRPr="001720A8">
              <w:rPr>
                <w:color w:val="000000"/>
                <w:sz w:val="14"/>
                <w:szCs w:val="14"/>
              </w:rPr>
              <w:t>6%</w:t>
            </w:r>
          </w:p>
        </w:tc>
        <w:tc>
          <w:tcPr>
            <w:tcW w:w="752" w:type="dxa"/>
            <w:tcBorders>
              <w:top w:val="nil"/>
              <w:left w:val="nil"/>
              <w:bottom w:val="nil"/>
              <w:right w:val="nil"/>
            </w:tcBorders>
            <w:shd w:val="clear" w:color="000000" w:fill="FFFFFF"/>
            <w:noWrap/>
            <w:hideMark/>
          </w:tcPr>
          <w:p w14:paraId="2B016E82" w14:textId="118AF833" w:rsidR="001720A8" w:rsidRPr="001720A8" w:rsidRDefault="001720A8" w:rsidP="001720A8">
            <w:pPr>
              <w:spacing w:after="0"/>
              <w:jc w:val="right"/>
              <w:rPr>
                <w:color w:val="000000"/>
                <w:sz w:val="15"/>
                <w:szCs w:val="13"/>
                <w:lang w:val="en-US" w:eastAsia="en-US"/>
              </w:rPr>
            </w:pPr>
            <w:r w:rsidRPr="001720A8">
              <w:rPr>
                <w:color w:val="000000"/>
                <w:sz w:val="14"/>
                <w:szCs w:val="14"/>
              </w:rPr>
              <w:t>46%</w:t>
            </w:r>
          </w:p>
        </w:tc>
        <w:tc>
          <w:tcPr>
            <w:tcW w:w="779" w:type="dxa"/>
            <w:tcBorders>
              <w:top w:val="nil"/>
              <w:left w:val="nil"/>
              <w:bottom w:val="nil"/>
              <w:right w:val="nil"/>
            </w:tcBorders>
            <w:shd w:val="clear" w:color="000000" w:fill="FFFFFF"/>
            <w:noWrap/>
            <w:hideMark/>
          </w:tcPr>
          <w:p w14:paraId="70F935B5" w14:textId="60E3236F" w:rsidR="001720A8" w:rsidRPr="001720A8" w:rsidRDefault="001720A8" w:rsidP="001720A8">
            <w:pPr>
              <w:spacing w:after="0"/>
              <w:jc w:val="right"/>
              <w:rPr>
                <w:color w:val="000000"/>
                <w:sz w:val="15"/>
                <w:szCs w:val="13"/>
                <w:lang w:val="en-US" w:eastAsia="en-US"/>
              </w:rPr>
            </w:pPr>
            <w:r w:rsidRPr="001720A8">
              <w:rPr>
                <w:color w:val="000000"/>
                <w:sz w:val="14"/>
                <w:szCs w:val="14"/>
              </w:rPr>
              <w:t>32%</w:t>
            </w:r>
          </w:p>
        </w:tc>
        <w:tc>
          <w:tcPr>
            <w:tcW w:w="989" w:type="dxa"/>
            <w:tcBorders>
              <w:top w:val="nil"/>
              <w:left w:val="single" w:sz="4" w:space="0" w:color="auto"/>
              <w:bottom w:val="nil"/>
              <w:right w:val="nil"/>
            </w:tcBorders>
            <w:shd w:val="clear" w:color="000000" w:fill="FFFFFF"/>
            <w:noWrap/>
            <w:hideMark/>
          </w:tcPr>
          <w:p w14:paraId="238E61B5" w14:textId="38BFDD01" w:rsidR="001720A8" w:rsidRPr="001720A8" w:rsidRDefault="001720A8" w:rsidP="001720A8">
            <w:pPr>
              <w:spacing w:after="0"/>
              <w:jc w:val="right"/>
              <w:rPr>
                <w:color w:val="000000"/>
                <w:sz w:val="15"/>
                <w:szCs w:val="13"/>
                <w:lang w:val="en-US" w:eastAsia="en-US"/>
              </w:rPr>
            </w:pPr>
            <w:r w:rsidRPr="001720A8">
              <w:rPr>
                <w:color w:val="000000"/>
                <w:sz w:val="14"/>
                <w:szCs w:val="14"/>
              </w:rPr>
              <w:t>2.86</w:t>
            </w:r>
          </w:p>
        </w:tc>
        <w:tc>
          <w:tcPr>
            <w:tcW w:w="701" w:type="dxa"/>
            <w:tcBorders>
              <w:top w:val="nil"/>
              <w:left w:val="nil"/>
              <w:bottom w:val="nil"/>
              <w:right w:val="nil"/>
            </w:tcBorders>
            <w:shd w:val="clear" w:color="000000" w:fill="FFFFFF"/>
            <w:noWrap/>
            <w:hideMark/>
          </w:tcPr>
          <w:p w14:paraId="28472776" w14:textId="729E5873"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18 </w:t>
            </w:r>
          </w:p>
        </w:tc>
      </w:tr>
      <w:tr w:rsidR="001720A8" w:rsidRPr="00E4527E" w14:paraId="1DC05C0D"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38E5144E" w14:textId="7F3DD5B9" w:rsidR="001720A8" w:rsidRPr="001720A8" w:rsidRDefault="001720A8" w:rsidP="001720A8">
            <w:pPr>
              <w:spacing w:after="0"/>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4748C39C" w14:textId="7C7BA7DA" w:rsidR="001720A8" w:rsidRPr="001720A8" w:rsidRDefault="001720A8" w:rsidP="001720A8">
            <w:pPr>
              <w:spacing w:after="0"/>
              <w:jc w:val="center"/>
              <w:rPr>
                <w:color w:val="000000"/>
                <w:sz w:val="15"/>
                <w:szCs w:val="13"/>
                <w:lang w:val="en-US" w:eastAsia="en-US"/>
              </w:rPr>
            </w:pPr>
            <w:r w:rsidRPr="001720A8">
              <w:rPr>
                <w:color w:val="000000"/>
                <w:sz w:val="14"/>
                <w:szCs w:val="14"/>
              </w:rPr>
              <w:t>19</w:t>
            </w:r>
          </w:p>
        </w:tc>
        <w:tc>
          <w:tcPr>
            <w:tcW w:w="585" w:type="dxa"/>
            <w:tcBorders>
              <w:top w:val="nil"/>
              <w:left w:val="nil"/>
              <w:bottom w:val="nil"/>
              <w:right w:val="nil"/>
            </w:tcBorders>
            <w:shd w:val="clear" w:color="000000" w:fill="FFFFFF"/>
            <w:noWrap/>
            <w:hideMark/>
          </w:tcPr>
          <w:p w14:paraId="4D851841" w14:textId="61E99624" w:rsidR="001720A8" w:rsidRPr="001720A8" w:rsidRDefault="001720A8" w:rsidP="001720A8">
            <w:pPr>
              <w:spacing w:after="0"/>
              <w:rPr>
                <w:color w:val="000000"/>
                <w:sz w:val="15"/>
                <w:szCs w:val="13"/>
                <w:lang w:val="en-US" w:eastAsia="en-US"/>
              </w:rPr>
            </w:pPr>
            <w:r w:rsidRPr="001720A8">
              <w:rPr>
                <w:color w:val="000000"/>
                <w:sz w:val="14"/>
                <w:szCs w:val="14"/>
              </w:rPr>
              <w:t>I05A</w:t>
            </w:r>
          </w:p>
        </w:tc>
        <w:tc>
          <w:tcPr>
            <w:tcW w:w="4639" w:type="dxa"/>
            <w:tcBorders>
              <w:top w:val="nil"/>
              <w:left w:val="nil"/>
              <w:bottom w:val="nil"/>
              <w:right w:val="nil"/>
            </w:tcBorders>
            <w:shd w:val="clear" w:color="000000" w:fill="FFFFFF"/>
            <w:noWrap/>
            <w:hideMark/>
          </w:tcPr>
          <w:p w14:paraId="060054A0" w14:textId="654BA7FB" w:rsidR="001720A8" w:rsidRPr="001720A8" w:rsidRDefault="001720A8" w:rsidP="001720A8">
            <w:pPr>
              <w:spacing w:after="0"/>
              <w:rPr>
                <w:color w:val="000000"/>
                <w:sz w:val="15"/>
                <w:szCs w:val="13"/>
                <w:lang w:val="en-US" w:eastAsia="en-US"/>
              </w:rPr>
            </w:pPr>
            <w:r w:rsidRPr="001720A8">
              <w:rPr>
                <w:color w:val="000000"/>
                <w:sz w:val="14"/>
                <w:szCs w:val="14"/>
              </w:rPr>
              <w:t>Other Joint Replacement, Major Complexity</w:t>
            </w:r>
          </w:p>
        </w:tc>
        <w:tc>
          <w:tcPr>
            <w:tcW w:w="752" w:type="dxa"/>
            <w:tcBorders>
              <w:top w:val="nil"/>
              <w:left w:val="nil"/>
              <w:bottom w:val="nil"/>
              <w:right w:val="nil"/>
            </w:tcBorders>
            <w:shd w:val="clear" w:color="000000" w:fill="FFFFFF"/>
            <w:noWrap/>
            <w:hideMark/>
          </w:tcPr>
          <w:p w14:paraId="55BB3DE3" w14:textId="768A28AB" w:rsidR="001720A8" w:rsidRPr="001720A8" w:rsidRDefault="001720A8" w:rsidP="001720A8">
            <w:pPr>
              <w:spacing w:after="0"/>
              <w:jc w:val="right"/>
              <w:rPr>
                <w:b/>
                <w:bCs/>
                <w:color w:val="000000"/>
                <w:sz w:val="15"/>
                <w:szCs w:val="13"/>
                <w:lang w:val="en-US" w:eastAsia="en-US"/>
              </w:rPr>
            </w:pPr>
            <w:r w:rsidRPr="001720A8">
              <w:rPr>
                <w:b/>
                <w:bCs/>
                <w:color w:val="000000"/>
                <w:sz w:val="14"/>
                <w:szCs w:val="14"/>
              </w:rPr>
              <w:t>2.82</w:t>
            </w:r>
          </w:p>
        </w:tc>
        <w:tc>
          <w:tcPr>
            <w:tcW w:w="897" w:type="dxa"/>
            <w:tcBorders>
              <w:top w:val="nil"/>
              <w:left w:val="nil"/>
              <w:bottom w:val="nil"/>
              <w:right w:val="nil"/>
            </w:tcBorders>
            <w:shd w:val="clear" w:color="000000" w:fill="FFFFFF"/>
            <w:noWrap/>
            <w:hideMark/>
          </w:tcPr>
          <w:p w14:paraId="0B421D69" w14:textId="1A36D41E" w:rsidR="001720A8" w:rsidRPr="001720A8" w:rsidRDefault="001720A8" w:rsidP="001720A8">
            <w:pPr>
              <w:spacing w:after="0"/>
              <w:jc w:val="right"/>
              <w:rPr>
                <w:color w:val="000000"/>
                <w:sz w:val="15"/>
                <w:szCs w:val="13"/>
                <w:lang w:val="en-US" w:eastAsia="en-US"/>
              </w:rPr>
            </w:pPr>
            <w:r w:rsidRPr="001720A8">
              <w:rPr>
                <w:color w:val="000000"/>
                <w:sz w:val="14"/>
                <w:szCs w:val="14"/>
              </w:rPr>
              <w:t>652</w:t>
            </w:r>
          </w:p>
        </w:tc>
        <w:tc>
          <w:tcPr>
            <w:tcW w:w="735" w:type="dxa"/>
            <w:tcBorders>
              <w:top w:val="nil"/>
              <w:left w:val="nil"/>
              <w:bottom w:val="nil"/>
              <w:right w:val="nil"/>
            </w:tcBorders>
            <w:shd w:val="clear" w:color="000000" w:fill="FFFFFF"/>
            <w:noWrap/>
            <w:hideMark/>
          </w:tcPr>
          <w:p w14:paraId="026F06DC" w14:textId="3A006AEB" w:rsidR="001720A8" w:rsidRPr="001720A8" w:rsidRDefault="001720A8" w:rsidP="001720A8">
            <w:pPr>
              <w:spacing w:after="0"/>
              <w:jc w:val="right"/>
              <w:rPr>
                <w:color w:val="000000"/>
                <w:sz w:val="15"/>
                <w:szCs w:val="13"/>
                <w:lang w:val="en-US" w:eastAsia="en-US"/>
              </w:rPr>
            </w:pPr>
            <w:r w:rsidRPr="001720A8">
              <w:rPr>
                <w:color w:val="000000"/>
                <w:sz w:val="14"/>
                <w:szCs w:val="14"/>
              </w:rPr>
              <w:t>6.17</w:t>
            </w:r>
          </w:p>
        </w:tc>
        <w:tc>
          <w:tcPr>
            <w:tcW w:w="679" w:type="dxa"/>
            <w:tcBorders>
              <w:top w:val="nil"/>
              <w:left w:val="nil"/>
              <w:bottom w:val="nil"/>
              <w:right w:val="nil"/>
            </w:tcBorders>
            <w:shd w:val="clear" w:color="000000" w:fill="FFFFFF"/>
            <w:noWrap/>
            <w:hideMark/>
          </w:tcPr>
          <w:p w14:paraId="7866E4DC" w14:textId="0AA3C771" w:rsidR="001720A8" w:rsidRPr="001720A8" w:rsidRDefault="001720A8" w:rsidP="001720A8">
            <w:pPr>
              <w:spacing w:after="0"/>
              <w:jc w:val="right"/>
              <w:rPr>
                <w:color w:val="000000"/>
                <w:sz w:val="15"/>
                <w:szCs w:val="13"/>
                <w:lang w:val="en-US" w:eastAsia="en-US"/>
              </w:rPr>
            </w:pPr>
            <w:r w:rsidRPr="001720A8">
              <w:rPr>
                <w:color w:val="000000"/>
                <w:sz w:val="14"/>
                <w:szCs w:val="14"/>
              </w:rPr>
              <w:t>7.4</w:t>
            </w:r>
          </w:p>
        </w:tc>
        <w:tc>
          <w:tcPr>
            <w:tcW w:w="691" w:type="dxa"/>
            <w:tcBorders>
              <w:top w:val="nil"/>
              <w:left w:val="single" w:sz="4" w:space="0" w:color="000000"/>
              <w:bottom w:val="nil"/>
              <w:right w:val="nil"/>
            </w:tcBorders>
            <w:shd w:val="clear" w:color="000000" w:fill="FFFFFF"/>
            <w:noWrap/>
            <w:hideMark/>
          </w:tcPr>
          <w:p w14:paraId="1E66BBF2" w14:textId="19B2375D" w:rsidR="001720A8" w:rsidRPr="001720A8" w:rsidRDefault="001720A8" w:rsidP="001720A8">
            <w:pPr>
              <w:spacing w:after="0"/>
              <w:jc w:val="right"/>
              <w:rPr>
                <w:color w:val="000000"/>
                <w:sz w:val="15"/>
                <w:szCs w:val="13"/>
                <w:lang w:val="en-US" w:eastAsia="en-US"/>
              </w:rPr>
            </w:pPr>
            <w:r w:rsidRPr="001720A8">
              <w:rPr>
                <w:color w:val="000000"/>
                <w:sz w:val="14"/>
                <w:szCs w:val="14"/>
              </w:rPr>
              <w:t>19%</w:t>
            </w:r>
          </w:p>
        </w:tc>
        <w:tc>
          <w:tcPr>
            <w:tcW w:w="735" w:type="dxa"/>
            <w:tcBorders>
              <w:top w:val="nil"/>
              <w:left w:val="nil"/>
              <w:bottom w:val="nil"/>
              <w:right w:val="nil"/>
            </w:tcBorders>
            <w:shd w:val="clear" w:color="000000" w:fill="FFFFFF"/>
            <w:noWrap/>
            <w:hideMark/>
          </w:tcPr>
          <w:p w14:paraId="6644EC3B" w14:textId="30DD1DBF" w:rsidR="001720A8" w:rsidRPr="001720A8" w:rsidRDefault="001720A8" w:rsidP="001720A8">
            <w:pPr>
              <w:spacing w:after="0"/>
              <w:jc w:val="right"/>
              <w:rPr>
                <w:color w:val="000000"/>
                <w:sz w:val="15"/>
                <w:szCs w:val="13"/>
                <w:lang w:val="en-US" w:eastAsia="en-US"/>
              </w:rPr>
            </w:pPr>
            <w:r w:rsidRPr="001720A8">
              <w:rPr>
                <w:color w:val="000000"/>
                <w:sz w:val="14"/>
                <w:szCs w:val="14"/>
              </w:rPr>
              <w:t>6%</w:t>
            </w:r>
          </w:p>
        </w:tc>
        <w:tc>
          <w:tcPr>
            <w:tcW w:w="752" w:type="dxa"/>
            <w:tcBorders>
              <w:top w:val="nil"/>
              <w:left w:val="nil"/>
              <w:bottom w:val="nil"/>
              <w:right w:val="nil"/>
            </w:tcBorders>
            <w:shd w:val="clear" w:color="000000" w:fill="FFFFFF"/>
            <w:noWrap/>
            <w:hideMark/>
          </w:tcPr>
          <w:p w14:paraId="7D2791E9" w14:textId="5CEE0199" w:rsidR="001720A8" w:rsidRPr="001720A8" w:rsidRDefault="001720A8" w:rsidP="001720A8">
            <w:pPr>
              <w:spacing w:after="0"/>
              <w:jc w:val="right"/>
              <w:rPr>
                <w:color w:val="000000"/>
                <w:sz w:val="15"/>
                <w:szCs w:val="13"/>
                <w:lang w:val="en-US" w:eastAsia="en-US"/>
              </w:rPr>
            </w:pPr>
            <w:r w:rsidRPr="001720A8">
              <w:rPr>
                <w:color w:val="000000"/>
                <w:sz w:val="14"/>
                <w:szCs w:val="14"/>
              </w:rPr>
              <w:t>46%</w:t>
            </w:r>
          </w:p>
        </w:tc>
        <w:tc>
          <w:tcPr>
            <w:tcW w:w="779" w:type="dxa"/>
            <w:tcBorders>
              <w:top w:val="nil"/>
              <w:left w:val="nil"/>
              <w:bottom w:val="nil"/>
              <w:right w:val="nil"/>
            </w:tcBorders>
            <w:shd w:val="clear" w:color="000000" w:fill="FFFFFF"/>
            <w:noWrap/>
            <w:hideMark/>
          </w:tcPr>
          <w:p w14:paraId="721588DC" w14:textId="36BA4CF2" w:rsidR="001720A8" w:rsidRPr="001720A8" w:rsidRDefault="001720A8" w:rsidP="001720A8">
            <w:pPr>
              <w:spacing w:after="0"/>
              <w:jc w:val="right"/>
              <w:rPr>
                <w:color w:val="000000"/>
                <w:sz w:val="15"/>
                <w:szCs w:val="13"/>
                <w:lang w:val="en-US" w:eastAsia="en-US"/>
              </w:rPr>
            </w:pPr>
            <w:r w:rsidRPr="001720A8">
              <w:rPr>
                <w:color w:val="000000"/>
                <w:sz w:val="14"/>
                <w:szCs w:val="14"/>
              </w:rPr>
              <w:t>29%</w:t>
            </w:r>
          </w:p>
        </w:tc>
        <w:tc>
          <w:tcPr>
            <w:tcW w:w="989" w:type="dxa"/>
            <w:tcBorders>
              <w:top w:val="nil"/>
              <w:left w:val="single" w:sz="4" w:space="0" w:color="auto"/>
              <w:bottom w:val="nil"/>
              <w:right w:val="nil"/>
            </w:tcBorders>
            <w:shd w:val="clear" w:color="000000" w:fill="FFFFFF"/>
            <w:noWrap/>
            <w:hideMark/>
          </w:tcPr>
          <w:p w14:paraId="3F304B72" w14:textId="7B83205C" w:rsidR="001720A8" w:rsidRPr="001720A8" w:rsidRDefault="001720A8" w:rsidP="001720A8">
            <w:pPr>
              <w:spacing w:after="0"/>
              <w:jc w:val="right"/>
              <w:rPr>
                <w:color w:val="000000"/>
                <w:sz w:val="15"/>
                <w:szCs w:val="13"/>
                <w:lang w:val="en-US" w:eastAsia="en-US"/>
              </w:rPr>
            </w:pPr>
            <w:r w:rsidRPr="001720A8">
              <w:rPr>
                <w:color w:val="000000"/>
                <w:sz w:val="14"/>
                <w:szCs w:val="14"/>
              </w:rPr>
              <w:t>2.92</w:t>
            </w:r>
          </w:p>
        </w:tc>
        <w:tc>
          <w:tcPr>
            <w:tcW w:w="701" w:type="dxa"/>
            <w:tcBorders>
              <w:top w:val="nil"/>
              <w:left w:val="nil"/>
              <w:bottom w:val="nil"/>
              <w:right w:val="nil"/>
            </w:tcBorders>
            <w:shd w:val="clear" w:color="000000" w:fill="FFFFFF"/>
            <w:noWrap/>
            <w:hideMark/>
          </w:tcPr>
          <w:p w14:paraId="3ACB2111" w14:textId="17D3BF15" w:rsidR="001720A8" w:rsidRPr="001720A8" w:rsidRDefault="001720A8" w:rsidP="001720A8">
            <w:pPr>
              <w:spacing w:after="0"/>
              <w:jc w:val="right"/>
              <w:rPr>
                <w:color w:val="000000"/>
                <w:sz w:val="15"/>
                <w:szCs w:val="13"/>
                <w:lang w:val="en-US" w:eastAsia="en-US"/>
              </w:rPr>
            </w:pPr>
            <w:r w:rsidRPr="001720A8">
              <w:rPr>
                <w:color w:val="000000"/>
                <w:sz w:val="14"/>
                <w:szCs w:val="14"/>
              </w:rPr>
              <w:t xml:space="preserve">17 </w:t>
            </w:r>
          </w:p>
        </w:tc>
      </w:tr>
      <w:tr w:rsidR="001720A8" w:rsidRPr="00E4527E" w14:paraId="05668E99" w14:textId="77777777" w:rsidTr="003A166C">
        <w:trPr>
          <w:trHeight w:hRule="exact" w:val="300"/>
          <w:tblHeader/>
        </w:trPr>
        <w:tc>
          <w:tcPr>
            <w:tcW w:w="709" w:type="dxa"/>
            <w:gridSpan w:val="2"/>
            <w:tcBorders>
              <w:top w:val="nil"/>
              <w:left w:val="nil"/>
              <w:bottom w:val="nil"/>
              <w:right w:val="nil"/>
            </w:tcBorders>
            <w:shd w:val="clear" w:color="000000" w:fill="FFFFFF"/>
            <w:noWrap/>
            <w:hideMark/>
          </w:tcPr>
          <w:p w14:paraId="77980E26" w14:textId="55DF1760" w:rsidR="001720A8" w:rsidRPr="001720A8" w:rsidRDefault="001720A8" w:rsidP="001720A8">
            <w:pPr>
              <w:jc w:val="center"/>
              <w:rPr>
                <w:color w:val="000000"/>
                <w:sz w:val="15"/>
                <w:szCs w:val="13"/>
                <w:lang w:val="en-US" w:eastAsia="en-US"/>
              </w:rPr>
            </w:pPr>
            <w:r w:rsidRPr="001720A8">
              <w:rPr>
                <w:color w:val="000000"/>
                <w:sz w:val="14"/>
                <w:szCs w:val="14"/>
              </w:rPr>
              <w:t>Yes</w:t>
            </w:r>
          </w:p>
        </w:tc>
        <w:tc>
          <w:tcPr>
            <w:tcW w:w="691" w:type="dxa"/>
            <w:tcBorders>
              <w:top w:val="nil"/>
              <w:left w:val="nil"/>
              <w:bottom w:val="nil"/>
              <w:right w:val="nil"/>
            </w:tcBorders>
            <w:shd w:val="clear" w:color="000000" w:fill="FFFFFF"/>
            <w:noWrap/>
            <w:hideMark/>
          </w:tcPr>
          <w:p w14:paraId="1F63C72F" w14:textId="47CE5C84" w:rsidR="001720A8" w:rsidRPr="001720A8" w:rsidRDefault="001720A8" w:rsidP="001720A8">
            <w:pPr>
              <w:jc w:val="center"/>
              <w:rPr>
                <w:color w:val="000000"/>
                <w:sz w:val="15"/>
                <w:szCs w:val="13"/>
                <w:lang w:val="en-US" w:eastAsia="en-US"/>
              </w:rPr>
            </w:pPr>
            <w:r w:rsidRPr="001720A8">
              <w:rPr>
                <w:color w:val="000000"/>
                <w:sz w:val="14"/>
                <w:szCs w:val="14"/>
              </w:rPr>
              <w:t>20</w:t>
            </w:r>
          </w:p>
        </w:tc>
        <w:tc>
          <w:tcPr>
            <w:tcW w:w="585" w:type="dxa"/>
            <w:tcBorders>
              <w:top w:val="nil"/>
              <w:left w:val="nil"/>
              <w:bottom w:val="nil"/>
              <w:right w:val="nil"/>
            </w:tcBorders>
            <w:shd w:val="clear" w:color="000000" w:fill="FFFFFF"/>
            <w:noWrap/>
            <w:hideMark/>
          </w:tcPr>
          <w:p w14:paraId="51DD27D2" w14:textId="2B9C04E7" w:rsidR="001720A8" w:rsidRPr="001720A8" w:rsidRDefault="001720A8" w:rsidP="001720A8">
            <w:pPr>
              <w:rPr>
                <w:color w:val="000000"/>
                <w:sz w:val="15"/>
                <w:szCs w:val="13"/>
                <w:lang w:val="en-US" w:eastAsia="en-US"/>
              </w:rPr>
            </w:pPr>
            <w:r w:rsidRPr="001720A8">
              <w:rPr>
                <w:color w:val="000000"/>
                <w:sz w:val="14"/>
                <w:szCs w:val="14"/>
              </w:rPr>
              <w:t>I31B</w:t>
            </w:r>
          </w:p>
        </w:tc>
        <w:tc>
          <w:tcPr>
            <w:tcW w:w="4639" w:type="dxa"/>
            <w:tcBorders>
              <w:top w:val="nil"/>
              <w:left w:val="nil"/>
              <w:bottom w:val="nil"/>
              <w:right w:val="nil"/>
            </w:tcBorders>
            <w:shd w:val="clear" w:color="000000" w:fill="FFFFFF"/>
            <w:noWrap/>
            <w:hideMark/>
          </w:tcPr>
          <w:p w14:paraId="2C4D83A6" w14:textId="6FA201DA" w:rsidR="001720A8" w:rsidRPr="001720A8" w:rsidRDefault="001720A8" w:rsidP="001720A8">
            <w:pPr>
              <w:rPr>
                <w:color w:val="000000"/>
                <w:sz w:val="15"/>
                <w:szCs w:val="13"/>
                <w:lang w:val="en-US" w:eastAsia="en-US"/>
              </w:rPr>
            </w:pPr>
            <w:r w:rsidRPr="001720A8">
              <w:rPr>
                <w:color w:val="000000"/>
                <w:sz w:val="14"/>
                <w:szCs w:val="14"/>
              </w:rPr>
              <w:t>Revision of Hip Replacement, Intermediate Complexity</w:t>
            </w:r>
          </w:p>
        </w:tc>
        <w:tc>
          <w:tcPr>
            <w:tcW w:w="752" w:type="dxa"/>
            <w:tcBorders>
              <w:top w:val="nil"/>
              <w:left w:val="nil"/>
              <w:bottom w:val="nil"/>
              <w:right w:val="nil"/>
            </w:tcBorders>
            <w:shd w:val="clear" w:color="000000" w:fill="FFFFFF"/>
            <w:noWrap/>
            <w:hideMark/>
          </w:tcPr>
          <w:p w14:paraId="34C04169" w14:textId="4186887E" w:rsidR="001720A8" w:rsidRPr="001720A8" w:rsidRDefault="001720A8" w:rsidP="001720A8">
            <w:pPr>
              <w:jc w:val="right"/>
              <w:rPr>
                <w:b/>
                <w:bCs/>
                <w:color w:val="000000"/>
                <w:sz w:val="15"/>
                <w:szCs w:val="13"/>
                <w:lang w:val="en-US" w:eastAsia="en-US"/>
              </w:rPr>
            </w:pPr>
            <w:r w:rsidRPr="001720A8">
              <w:rPr>
                <w:b/>
                <w:bCs/>
                <w:color w:val="000000"/>
                <w:sz w:val="14"/>
                <w:szCs w:val="14"/>
              </w:rPr>
              <w:t>2.78</w:t>
            </w:r>
          </w:p>
        </w:tc>
        <w:tc>
          <w:tcPr>
            <w:tcW w:w="897" w:type="dxa"/>
            <w:tcBorders>
              <w:top w:val="nil"/>
              <w:left w:val="nil"/>
              <w:bottom w:val="nil"/>
              <w:right w:val="nil"/>
            </w:tcBorders>
            <w:shd w:val="clear" w:color="000000" w:fill="FFFFFF"/>
            <w:noWrap/>
            <w:hideMark/>
          </w:tcPr>
          <w:p w14:paraId="4E9A2545" w14:textId="67DDB68F" w:rsidR="001720A8" w:rsidRPr="001720A8" w:rsidRDefault="001720A8" w:rsidP="001720A8">
            <w:pPr>
              <w:jc w:val="right"/>
              <w:rPr>
                <w:color w:val="000000"/>
                <w:sz w:val="15"/>
                <w:szCs w:val="13"/>
                <w:lang w:val="en-US" w:eastAsia="en-US"/>
              </w:rPr>
            </w:pPr>
            <w:r w:rsidRPr="001720A8">
              <w:rPr>
                <w:color w:val="000000"/>
                <w:sz w:val="14"/>
                <w:szCs w:val="14"/>
              </w:rPr>
              <w:t>844</w:t>
            </w:r>
          </w:p>
        </w:tc>
        <w:tc>
          <w:tcPr>
            <w:tcW w:w="735" w:type="dxa"/>
            <w:tcBorders>
              <w:top w:val="nil"/>
              <w:left w:val="nil"/>
              <w:bottom w:val="nil"/>
              <w:right w:val="nil"/>
            </w:tcBorders>
            <w:shd w:val="clear" w:color="000000" w:fill="FFFFFF"/>
            <w:noWrap/>
            <w:hideMark/>
          </w:tcPr>
          <w:p w14:paraId="0A94B6E4" w14:textId="1785FAEC" w:rsidR="001720A8" w:rsidRPr="001720A8" w:rsidRDefault="001720A8" w:rsidP="001720A8">
            <w:pPr>
              <w:jc w:val="right"/>
              <w:rPr>
                <w:color w:val="000000"/>
                <w:sz w:val="15"/>
                <w:szCs w:val="13"/>
                <w:lang w:val="en-US" w:eastAsia="en-US"/>
              </w:rPr>
            </w:pPr>
            <w:r w:rsidRPr="001720A8">
              <w:rPr>
                <w:color w:val="000000"/>
                <w:sz w:val="14"/>
                <w:szCs w:val="14"/>
              </w:rPr>
              <w:t>7.18</w:t>
            </w:r>
          </w:p>
        </w:tc>
        <w:tc>
          <w:tcPr>
            <w:tcW w:w="679" w:type="dxa"/>
            <w:tcBorders>
              <w:top w:val="nil"/>
              <w:left w:val="nil"/>
              <w:bottom w:val="nil"/>
              <w:right w:val="nil"/>
            </w:tcBorders>
            <w:shd w:val="clear" w:color="000000" w:fill="FFFFFF"/>
            <w:noWrap/>
            <w:hideMark/>
          </w:tcPr>
          <w:p w14:paraId="0638EEBF" w14:textId="08B15F51" w:rsidR="001720A8" w:rsidRPr="001720A8" w:rsidRDefault="001720A8" w:rsidP="001720A8">
            <w:pPr>
              <w:jc w:val="right"/>
              <w:rPr>
                <w:color w:val="000000"/>
                <w:sz w:val="15"/>
                <w:szCs w:val="13"/>
                <w:lang w:val="en-US" w:eastAsia="en-US"/>
              </w:rPr>
            </w:pPr>
            <w:r w:rsidRPr="001720A8">
              <w:rPr>
                <w:color w:val="000000"/>
                <w:sz w:val="14"/>
                <w:szCs w:val="14"/>
              </w:rPr>
              <w:t>10.0</w:t>
            </w:r>
          </w:p>
        </w:tc>
        <w:tc>
          <w:tcPr>
            <w:tcW w:w="691" w:type="dxa"/>
            <w:tcBorders>
              <w:top w:val="nil"/>
              <w:left w:val="single" w:sz="4" w:space="0" w:color="000000"/>
              <w:bottom w:val="nil"/>
              <w:right w:val="nil"/>
            </w:tcBorders>
            <w:shd w:val="clear" w:color="000000" w:fill="FFFFFF"/>
            <w:noWrap/>
            <w:hideMark/>
          </w:tcPr>
          <w:p w14:paraId="512BC56A" w14:textId="480CBF5C" w:rsidR="001720A8" w:rsidRPr="001720A8" w:rsidRDefault="001720A8" w:rsidP="001720A8">
            <w:pPr>
              <w:jc w:val="right"/>
              <w:rPr>
                <w:color w:val="000000"/>
                <w:sz w:val="15"/>
                <w:szCs w:val="13"/>
                <w:lang w:val="en-US" w:eastAsia="en-US"/>
              </w:rPr>
            </w:pPr>
            <w:r w:rsidRPr="001720A8">
              <w:rPr>
                <w:color w:val="000000"/>
                <w:sz w:val="14"/>
                <w:szCs w:val="14"/>
              </w:rPr>
              <w:t>19%</w:t>
            </w:r>
          </w:p>
        </w:tc>
        <w:tc>
          <w:tcPr>
            <w:tcW w:w="735" w:type="dxa"/>
            <w:tcBorders>
              <w:top w:val="nil"/>
              <w:left w:val="nil"/>
              <w:bottom w:val="nil"/>
              <w:right w:val="nil"/>
            </w:tcBorders>
            <w:shd w:val="clear" w:color="000000" w:fill="FFFFFF"/>
            <w:noWrap/>
            <w:hideMark/>
          </w:tcPr>
          <w:p w14:paraId="17415DE9" w14:textId="65459B23" w:rsidR="001720A8" w:rsidRPr="001720A8" w:rsidRDefault="001720A8" w:rsidP="001720A8">
            <w:pPr>
              <w:jc w:val="right"/>
              <w:rPr>
                <w:color w:val="000000"/>
                <w:sz w:val="15"/>
                <w:szCs w:val="13"/>
                <w:lang w:val="en-US" w:eastAsia="en-US"/>
              </w:rPr>
            </w:pPr>
            <w:r w:rsidRPr="001720A8">
              <w:rPr>
                <w:color w:val="000000"/>
                <w:sz w:val="14"/>
                <w:szCs w:val="14"/>
              </w:rPr>
              <w:t>8%</w:t>
            </w:r>
          </w:p>
        </w:tc>
        <w:tc>
          <w:tcPr>
            <w:tcW w:w="752" w:type="dxa"/>
            <w:tcBorders>
              <w:top w:val="nil"/>
              <w:left w:val="nil"/>
              <w:bottom w:val="nil"/>
              <w:right w:val="nil"/>
            </w:tcBorders>
            <w:shd w:val="clear" w:color="000000" w:fill="FFFFFF"/>
            <w:noWrap/>
            <w:hideMark/>
          </w:tcPr>
          <w:p w14:paraId="41BC646C" w14:textId="3000BA3A" w:rsidR="001720A8" w:rsidRPr="001720A8" w:rsidRDefault="001720A8" w:rsidP="001720A8">
            <w:pPr>
              <w:jc w:val="right"/>
              <w:rPr>
                <w:color w:val="000000"/>
                <w:sz w:val="15"/>
                <w:szCs w:val="13"/>
                <w:lang w:val="en-US" w:eastAsia="en-US"/>
              </w:rPr>
            </w:pPr>
            <w:r w:rsidRPr="001720A8">
              <w:rPr>
                <w:color w:val="000000"/>
                <w:sz w:val="14"/>
                <w:szCs w:val="14"/>
              </w:rPr>
              <w:t>39%</w:t>
            </w:r>
          </w:p>
        </w:tc>
        <w:tc>
          <w:tcPr>
            <w:tcW w:w="779" w:type="dxa"/>
            <w:tcBorders>
              <w:top w:val="nil"/>
              <w:left w:val="nil"/>
              <w:bottom w:val="nil"/>
              <w:right w:val="nil"/>
            </w:tcBorders>
            <w:shd w:val="clear" w:color="000000" w:fill="FFFFFF"/>
            <w:noWrap/>
            <w:hideMark/>
          </w:tcPr>
          <w:p w14:paraId="73656696" w14:textId="24D30346" w:rsidR="001720A8" w:rsidRPr="001720A8" w:rsidRDefault="001720A8" w:rsidP="001720A8">
            <w:pPr>
              <w:jc w:val="right"/>
              <w:rPr>
                <w:color w:val="000000"/>
                <w:sz w:val="15"/>
                <w:szCs w:val="13"/>
                <w:lang w:val="en-US" w:eastAsia="en-US"/>
              </w:rPr>
            </w:pPr>
            <w:r w:rsidRPr="001720A8">
              <w:rPr>
                <w:color w:val="000000"/>
                <w:sz w:val="14"/>
                <w:szCs w:val="14"/>
              </w:rPr>
              <w:t>34%</w:t>
            </w:r>
          </w:p>
        </w:tc>
        <w:tc>
          <w:tcPr>
            <w:tcW w:w="989" w:type="dxa"/>
            <w:tcBorders>
              <w:top w:val="nil"/>
              <w:left w:val="single" w:sz="4" w:space="0" w:color="auto"/>
              <w:bottom w:val="nil"/>
              <w:right w:val="nil"/>
            </w:tcBorders>
            <w:shd w:val="clear" w:color="000000" w:fill="FFFFFF"/>
            <w:noWrap/>
            <w:hideMark/>
          </w:tcPr>
          <w:p w14:paraId="141D8327" w14:textId="58380C0F" w:rsidR="001720A8" w:rsidRPr="001720A8" w:rsidRDefault="001720A8" w:rsidP="001720A8">
            <w:pPr>
              <w:jc w:val="right"/>
              <w:rPr>
                <w:color w:val="000000"/>
                <w:sz w:val="15"/>
                <w:szCs w:val="13"/>
                <w:lang w:val="en-US" w:eastAsia="en-US"/>
              </w:rPr>
            </w:pPr>
            <w:r w:rsidRPr="001720A8">
              <w:rPr>
                <w:color w:val="000000"/>
                <w:sz w:val="14"/>
                <w:szCs w:val="14"/>
              </w:rPr>
              <w:t>2.85</w:t>
            </w:r>
          </w:p>
        </w:tc>
        <w:tc>
          <w:tcPr>
            <w:tcW w:w="701" w:type="dxa"/>
            <w:tcBorders>
              <w:top w:val="nil"/>
              <w:left w:val="nil"/>
              <w:bottom w:val="nil"/>
              <w:right w:val="nil"/>
            </w:tcBorders>
            <w:shd w:val="clear" w:color="000000" w:fill="FFFFFF"/>
            <w:noWrap/>
            <w:hideMark/>
          </w:tcPr>
          <w:p w14:paraId="4B3D2FFB" w14:textId="46750610" w:rsidR="001720A8" w:rsidRPr="001720A8" w:rsidRDefault="001720A8" w:rsidP="001720A8">
            <w:pPr>
              <w:jc w:val="right"/>
              <w:rPr>
                <w:color w:val="000000"/>
                <w:sz w:val="15"/>
                <w:szCs w:val="13"/>
                <w:lang w:val="en-US" w:eastAsia="en-US"/>
              </w:rPr>
            </w:pPr>
            <w:r w:rsidRPr="001720A8">
              <w:rPr>
                <w:color w:val="000000"/>
                <w:sz w:val="14"/>
                <w:szCs w:val="14"/>
              </w:rPr>
              <w:t xml:space="preserve">19 </w:t>
            </w:r>
          </w:p>
        </w:tc>
      </w:tr>
      <w:tr w:rsidR="00F32225" w:rsidRPr="00E4527E" w14:paraId="55AE1311" w14:textId="77777777" w:rsidTr="00387025">
        <w:trPr>
          <w:trHeight w:val="244"/>
          <w:tblHeader/>
        </w:trPr>
        <w:tc>
          <w:tcPr>
            <w:tcW w:w="700" w:type="dxa"/>
            <w:tcBorders>
              <w:top w:val="single" w:sz="4" w:space="0" w:color="auto"/>
              <w:left w:val="nil"/>
              <w:bottom w:val="nil"/>
              <w:right w:val="nil"/>
            </w:tcBorders>
            <w:shd w:val="clear" w:color="000000" w:fill="FFFFFF"/>
            <w:noWrap/>
            <w:hideMark/>
          </w:tcPr>
          <w:p w14:paraId="136D7EE3" w14:textId="77777777" w:rsidR="00F32225" w:rsidRPr="001720A8" w:rsidRDefault="00F32225" w:rsidP="00F32225">
            <w:pPr>
              <w:spacing w:after="0"/>
              <w:jc w:val="center"/>
              <w:rPr>
                <w:color w:val="000000"/>
                <w:sz w:val="15"/>
                <w:szCs w:val="13"/>
                <w:lang w:val="en-US" w:eastAsia="en-US"/>
              </w:rPr>
            </w:pPr>
            <w:r w:rsidRPr="001720A8">
              <w:rPr>
                <w:color w:val="000000"/>
                <w:sz w:val="15"/>
                <w:szCs w:val="13"/>
                <w:lang w:val="en-US" w:eastAsia="en-US"/>
              </w:rPr>
              <w:t>19</w:t>
            </w:r>
          </w:p>
        </w:tc>
        <w:tc>
          <w:tcPr>
            <w:tcW w:w="5924" w:type="dxa"/>
            <w:gridSpan w:val="4"/>
            <w:tcBorders>
              <w:top w:val="single" w:sz="4" w:space="0" w:color="auto"/>
              <w:left w:val="nil"/>
              <w:bottom w:val="nil"/>
              <w:right w:val="nil"/>
            </w:tcBorders>
            <w:shd w:val="clear" w:color="000000" w:fill="FFFFFF"/>
          </w:tcPr>
          <w:p w14:paraId="6123BA16" w14:textId="32BB3DB0" w:rsidR="00F32225" w:rsidRPr="001720A8" w:rsidRDefault="00F32225" w:rsidP="00F32225">
            <w:pPr>
              <w:spacing w:after="0"/>
              <w:rPr>
                <w:b/>
                <w:bCs/>
                <w:color w:val="000000"/>
                <w:sz w:val="15"/>
                <w:szCs w:val="13"/>
                <w:lang w:val="en-US" w:eastAsia="en-US"/>
              </w:rPr>
            </w:pPr>
            <w:r w:rsidRPr="001720A8">
              <w:rPr>
                <w:b/>
                <w:bCs/>
                <w:color w:val="000000"/>
                <w:sz w:val="15"/>
                <w:szCs w:val="13"/>
                <w:lang w:val="en-US" w:eastAsia="en-US"/>
              </w:rPr>
              <w:t>Sub-total, top 20 highest prosthesis cost</w:t>
            </w:r>
            <w:r>
              <w:rPr>
                <w:b/>
                <w:bCs/>
                <w:color w:val="000000"/>
                <w:sz w:val="15"/>
                <w:szCs w:val="13"/>
                <w:lang w:val="en-US" w:eastAsia="en-US"/>
              </w:rPr>
              <w:t xml:space="preserve"> </w:t>
            </w:r>
            <w:r w:rsidRPr="001720A8">
              <w:rPr>
                <w:b/>
                <w:bCs/>
                <w:color w:val="000000"/>
                <w:sz w:val="15"/>
                <w:szCs w:val="13"/>
                <w:lang w:val="en-US" w:eastAsia="en-US"/>
              </w:rPr>
              <w:t>weight DRGs</w:t>
            </w:r>
          </w:p>
        </w:tc>
        <w:tc>
          <w:tcPr>
            <w:tcW w:w="752" w:type="dxa"/>
            <w:tcBorders>
              <w:top w:val="single" w:sz="4" w:space="0" w:color="000000"/>
              <w:left w:val="nil"/>
              <w:bottom w:val="nil"/>
              <w:right w:val="nil"/>
            </w:tcBorders>
            <w:shd w:val="clear" w:color="000000" w:fill="FFFFFF"/>
            <w:noWrap/>
            <w:hideMark/>
          </w:tcPr>
          <w:p w14:paraId="32A6B91B" w14:textId="13185247"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3.99</w:t>
            </w:r>
          </w:p>
        </w:tc>
        <w:tc>
          <w:tcPr>
            <w:tcW w:w="897" w:type="dxa"/>
            <w:tcBorders>
              <w:top w:val="single" w:sz="4" w:space="0" w:color="000000"/>
              <w:left w:val="nil"/>
              <w:bottom w:val="nil"/>
              <w:right w:val="nil"/>
            </w:tcBorders>
            <w:shd w:val="clear" w:color="000000" w:fill="FFFFFF"/>
            <w:noWrap/>
            <w:hideMark/>
          </w:tcPr>
          <w:p w14:paraId="411815DA" w14:textId="097A4D1D"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57,143</w:t>
            </w:r>
          </w:p>
        </w:tc>
        <w:tc>
          <w:tcPr>
            <w:tcW w:w="735" w:type="dxa"/>
            <w:tcBorders>
              <w:top w:val="single" w:sz="4" w:space="0" w:color="000000"/>
              <w:left w:val="nil"/>
              <w:bottom w:val="nil"/>
              <w:right w:val="nil"/>
            </w:tcBorders>
            <w:shd w:val="clear" w:color="000000" w:fill="FFFFFF"/>
            <w:noWrap/>
            <w:hideMark/>
          </w:tcPr>
          <w:p w14:paraId="540B2C41" w14:textId="2789EE64"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6.61</w:t>
            </w:r>
          </w:p>
        </w:tc>
        <w:tc>
          <w:tcPr>
            <w:tcW w:w="679" w:type="dxa"/>
            <w:tcBorders>
              <w:top w:val="single" w:sz="4" w:space="0" w:color="000000"/>
              <w:left w:val="nil"/>
              <w:bottom w:val="nil"/>
              <w:right w:val="nil"/>
            </w:tcBorders>
            <w:shd w:val="clear" w:color="000000" w:fill="FFFFFF"/>
            <w:noWrap/>
            <w:hideMark/>
          </w:tcPr>
          <w:p w14:paraId="4BAD8E35" w14:textId="072F8838"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5.3</w:t>
            </w:r>
          </w:p>
        </w:tc>
        <w:tc>
          <w:tcPr>
            <w:tcW w:w="691" w:type="dxa"/>
            <w:tcBorders>
              <w:top w:val="single" w:sz="4" w:space="0" w:color="auto"/>
              <w:left w:val="single" w:sz="4" w:space="0" w:color="000000"/>
              <w:bottom w:val="nil"/>
              <w:right w:val="nil"/>
            </w:tcBorders>
            <w:shd w:val="clear" w:color="000000" w:fill="FFFFFF"/>
            <w:noWrap/>
            <w:hideMark/>
          </w:tcPr>
          <w:p w14:paraId="5C3563DD" w14:textId="49499252" w:rsidR="00F32225" w:rsidRPr="001720A8" w:rsidRDefault="00F32225" w:rsidP="001720A8">
            <w:pPr>
              <w:spacing w:after="0"/>
              <w:jc w:val="right"/>
              <w:rPr>
                <w:color w:val="000000"/>
                <w:sz w:val="15"/>
                <w:szCs w:val="13"/>
                <w:lang w:val="en-US" w:eastAsia="en-US"/>
              </w:rPr>
            </w:pPr>
            <w:r w:rsidRPr="001720A8">
              <w:rPr>
                <w:color w:val="000000"/>
                <w:sz w:val="14"/>
                <w:szCs w:val="14"/>
              </w:rPr>
              <w:t>15%</w:t>
            </w:r>
          </w:p>
        </w:tc>
        <w:tc>
          <w:tcPr>
            <w:tcW w:w="735" w:type="dxa"/>
            <w:tcBorders>
              <w:top w:val="single" w:sz="4" w:space="0" w:color="auto"/>
              <w:left w:val="nil"/>
              <w:bottom w:val="nil"/>
              <w:right w:val="nil"/>
            </w:tcBorders>
            <w:shd w:val="clear" w:color="000000" w:fill="FFFFFF"/>
            <w:noWrap/>
            <w:hideMark/>
          </w:tcPr>
          <w:p w14:paraId="0745029C" w14:textId="77375478" w:rsidR="00F32225" w:rsidRPr="001720A8" w:rsidRDefault="00F32225" w:rsidP="001720A8">
            <w:pPr>
              <w:spacing w:after="0"/>
              <w:jc w:val="right"/>
              <w:rPr>
                <w:color w:val="000000"/>
                <w:sz w:val="15"/>
                <w:szCs w:val="13"/>
                <w:lang w:val="en-US" w:eastAsia="en-US"/>
              </w:rPr>
            </w:pPr>
            <w:r w:rsidRPr="001720A8">
              <w:rPr>
                <w:color w:val="000000"/>
                <w:sz w:val="14"/>
                <w:szCs w:val="14"/>
              </w:rPr>
              <w:t>4%</w:t>
            </w:r>
          </w:p>
        </w:tc>
        <w:tc>
          <w:tcPr>
            <w:tcW w:w="752" w:type="dxa"/>
            <w:tcBorders>
              <w:top w:val="single" w:sz="4" w:space="0" w:color="auto"/>
              <w:left w:val="nil"/>
              <w:bottom w:val="nil"/>
              <w:right w:val="nil"/>
            </w:tcBorders>
            <w:shd w:val="clear" w:color="000000" w:fill="FFFFFF"/>
            <w:noWrap/>
            <w:hideMark/>
          </w:tcPr>
          <w:p w14:paraId="7D81CEAB" w14:textId="2C8B5939" w:rsidR="00F32225" w:rsidRPr="001720A8" w:rsidRDefault="00F32225" w:rsidP="001720A8">
            <w:pPr>
              <w:spacing w:after="0"/>
              <w:jc w:val="right"/>
              <w:rPr>
                <w:color w:val="000000"/>
                <w:sz w:val="15"/>
                <w:szCs w:val="13"/>
                <w:lang w:val="en-US" w:eastAsia="en-US"/>
              </w:rPr>
            </w:pPr>
            <w:r w:rsidRPr="001720A8">
              <w:rPr>
                <w:color w:val="000000"/>
                <w:sz w:val="14"/>
                <w:szCs w:val="14"/>
              </w:rPr>
              <w:t>60%</w:t>
            </w:r>
          </w:p>
        </w:tc>
        <w:tc>
          <w:tcPr>
            <w:tcW w:w="779" w:type="dxa"/>
            <w:tcBorders>
              <w:top w:val="single" w:sz="4" w:space="0" w:color="auto"/>
              <w:left w:val="nil"/>
              <w:bottom w:val="nil"/>
              <w:right w:val="nil"/>
            </w:tcBorders>
            <w:shd w:val="clear" w:color="000000" w:fill="FFFFFF"/>
            <w:noWrap/>
            <w:hideMark/>
          </w:tcPr>
          <w:p w14:paraId="77E27891" w14:textId="5C8D07AE" w:rsidR="00F32225" w:rsidRPr="001720A8" w:rsidRDefault="00F32225" w:rsidP="001720A8">
            <w:pPr>
              <w:spacing w:after="0"/>
              <w:jc w:val="right"/>
              <w:rPr>
                <w:color w:val="000000"/>
                <w:sz w:val="15"/>
                <w:szCs w:val="13"/>
                <w:lang w:val="en-US" w:eastAsia="en-US"/>
              </w:rPr>
            </w:pPr>
            <w:r w:rsidRPr="001720A8">
              <w:rPr>
                <w:color w:val="000000"/>
                <w:sz w:val="14"/>
                <w:szCs w:val="14"/>
              </w:rPr>
              <w:t>20%</w:t>
            </w:r>
          </w:p>
        </w:tc>
        <w:tc>
          <w:tcPr>
            <w:tcW w:w="989" w:type="dxa"/>
            <w:tcBorders>
              <w:top w:val="single" w:sz="4" w:space="0" w:color="auto"/>
              <w:left w:val="single" w:sz="4" w:space="0" w:color="auto"/>
              <w:bottom w:val="nil"/>
              <w:right w:val="nil"/>
            </w:tcBorders>
            <w:shd w:val="clear" w:color="000000" w:fill="FFFFFF"/>
            <w:noWrap/>
            <w:hideMark/>
          </w:tcPr>
          <w:p w14:paraId="46385C05" w14:textId="77777777" w:rsidR="00F32225" w:rsidRPr="001720A8" w:rsidRDefault="00F32225" w:rsidP="001720A8">
            <w:pPr>
              <w:spacing w:after="0"/>
              <w:rPr>
                <w:b/>
                <w:bCs/>
                <w:color w:val="000000"/>
                <w:sz w:val="15"/>
                <w:szCs w:val="13"/>
                <w:lang w:val="en-US" w:eastAsia="en-US"/>
              </w:rPr>
            </w:pPr>
            <w:r w:rsidRPr="001720A8">
              <w:rPr>
                <w:b/>
                <w:bCs/>
                <w:color w:val="000000"/>
                <w:sz w:val="15"/>
                <w:szCs w:val="13"/>
                <w:lang w:val="en-US" w:eastAsia="en-US"/>
              </w:rPr>
              <w:t> </w:t>
            </w:r>
          </w:p>
        </w:tc>
        <w:tc>
          <w:tcPr>
            <w:tcW w:w="701" w:type="dxa"/>
            <w:tcBorders>
              <w:top w:val="single" w:sz="4" w:space="0" w:color="auto"/>
              <w:left w:val="nil"/>
              <w:bottom w:val="nil"/>
              <w:right w:val="nil"/>
            </w:tcBorders>
            <w:shd w:val="clear" w:color="000000" w:fill="FFFFFF"/>
            <w:noWrap/>
            <w:hideMark/>
          </w:tcPr>
          <w:p w14:paraId="7B2F03B4" w14:textId="77777777" w:rsidR="00F32225" w:rsidRPr="001720A8" w:rsidRDefault="00F32225" w:rsidP="001720A8">
            <w:pPr>
              <w:spacing w:after="0"/>
              <w:rPr>
                <w:b/>
                <w:bCs/>
                <w:color w:val="000000"/>
                <w:sz w:val="15"/>
                <w:szCs w:val="13"/>
                <w:lang w:val="en-US" w:eastAsia="en-US"/>
              </w:rPr>
            </w:pPr>
            <w:r w:rsidRPr="001720A8">
              <w:rPr>
                <w:b/>
                <w:bCs/>
                <w:color w:val="000000"/>
                <w:sz w:val="15"/>
                <w:szCs w:val="13"/>
                <w:lang w:val="en-US" w:eastAsia="en-US"/>
              </w:rPr>
              <w:t> </w:t>
            </w:r>
          </w:p>
        </w:tc>
      </w:tr>
      <w:tr w:rsidR="00F32225" w:rsidRPr="00E4527E" w14:paraId="4831BF85" w14:textId="77777777" w:rsidTr="00387025">
        <w:trPr>
          <w:trHeight w:val="244"/>
          <w:tblHeader/>
        </w:trPr>
        <w:tc>
          <w:tcPr>
            <w:tcW w:w="709" w:type="dxa"/>
            <w:gridSpan w:val="2"/>
            <w:tcBorders>
              <w:top w:val="nil"/>
              <w:left w:val="nil"/>
              <w:bottom w:val="nil"/>
              <w:right w:val="nil"/>
            </w:tcBorders>
            <w:shd w:val="clear" w:color="000000" w:fill="FFFFFF"/>
            <w:noWrap/>
          </w:tcPr>
          <w:p w14:paraId="121E44A0" w14:textId="32AEE3CF" w:rsidR="00F32225" w:rsidRPr="001720A8" w:rsidRDefault="00F32225" w:rsidP="001720A8">
            <w:pPr>
              <w:spacing w:after="0"/>
              <w:jc w:val="center"/>
              <w:rPr>
                <w:color w:val="000000"/>
                <w:sz w:val="15"/>
                <w:szCs w:val="13"/>
                <w:lang w:val="en-US" w:eastAsia="en-US"/>
              </w:rPr>
            </w:pPr>
            <w:r>
              <w:rPr>
                <w:color w:val="000000"/>
                <w:sz w:val="15"/>
                <w:szCs w:val="13"/>
                <w:lang w:val="en-US" w:eastAsia="en-US"/>
              </w:rPr>
              <w:t>In</w:t>
            </w:r>
          </w:p>
        </w:tc>
        <w:tc>
          <w:tcPr>
            <w:tcW w:w="5915" w:type="dxa"/>
            <w:gridSpan w:val="3"/>
            <w:tcBorders>
              <w:top w:val="nil"/>
              <w:left w:val="nil"/>
              <w:bottom w:val="nil"/>
              <w:right w:val="nil"/>
            </w:tcBorders>
            <w:shd w:val="clear" w:color="000000" w:fill="FFFFFF"/>
            <w:noWrap/>
          </w:tcPr>
          <w:p w14:paraId="15D8C5F9" w14:textId="3DBBE4BD" w:rsidR="00F32225" w:rsidRPr="001720A8" w:rsidRDefault="00F32225" w:rsidP="001720A8">
            <w:pPr>
              <w:spacing w:after="0"/>
              <w:rPr>
                <w:b/>
                <w:bCs/>
                <w:color w:val="000000"/>
                <w:sz w:val="15"/>
                <w:szCs w:val="13"/>
                <w:lang w:val="en-US" w:eastAsia="en-US"/>
              </w:rPr>
            </w:pPr>
            <w:r w:rsidRPr="001720A8">
              <w:rPr>
                <w:b/>
                <w:bCs/>
                <w:color w:val="000000"/>
                <w:sz w:val="15"/>
                <w:szCs w:val="13"/>
                <w:lang w:val="en-US" w:eastAsia="en-US"/>
              </w:rPr>
              <w:t>All DRGs</w:t>
            </w:r>
          </w:p>
        </w:tc>
        <w:tc>
          <w:tcPr>
            <w:tcW w:w="752" w:type="dxa"/>
            <w:tcBorders>
              <w:top w:val="nil"/>
              <w:left w:val="nil"/>
              <w:bottom w:val="nil"/>
              <w:right w:val="nil"/>
            </w:tcBorders>
            <w:shd w:val="clear" w:color="000000" w:fill="FFFFFF"/>
            <w:noWrap/>
            <w:hideMark/>
          </w:tcPr>
          <w:p w14:paraId="382F91A3" w14:textId="5445E54B"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0.18</w:t>
            </w:r>
          </w:p>
        </w:tc>
        <w:tc>
          <w:tcPr>
            <w:tcW w:w="897" w:type="dxa"/>
            <w:tcBorders>
              <w:top w:val="nil"/>
              <w:left w:val="nil"/>
              <w:bottom w:val="nil"/>
              <w:right w:val="nil"/>
            </w:tcBorders>
            <w:shd w:val="clear" w:color="000000" w:fill="FFFFFF"/>
            <w:noWrap/>
            <w:hideMark/>
          </w:tcPr>
          <w:p w14:paraId="13F2EC30" w14:textId="262C45AA"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3,242,411</w:t>
            </w:r>
          </w:p>
        </w:tc>
        <w:tc>
          <w:tcPr>
            <w:tcW w:w="735" w:type="dxa"/>
            <w:tcBorders>
              <w:top w:val="nil"/>
              <w:left w:val="nil"/>
              <w:bottom w:val="nil"/>
              <w:right w:val="nil"/>
            </w:tcBorders>
            <w:shd w:val="clear" w:color="000000" w:fill="FFFFFF"/>
            <w:noWrap/>
            <w:hideMark/>
          </w:tcPr>
          <w:p w14:paraId="695BBC56" w14:textId="4B03D408"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1.00</w:t>
            </w:r>
          </w:p>
        </w:tc>
        <w:tc>
          <w:tcPr>
            <w:tcW w:w="679" w:type="dxa"/>
            <w:tcBorders>
              <w:top w:val="nil"/>
              <w:left w:val="nil"/>
              <w:bottom w:val="nil"/>
              <w:right w:val="nil"/>
            </w:tcBorders>
            <w:shd w:val="clear" w:color="000000" w:fill="FFFFFF"/>
            <w:noWrap/>
            <w:hideMark/>
          </w:tcPr>
          <w:p w14:paraId="7F551358" w14:textId="6874D95F" w:rsidR="00F32225" w:rsidRPr="001720A8" w:rsidRDefault="00F32225" w:rsidP="001720A8">
            <w:pPr>
              <w:spacing w:after="0"/>
              <w:jc w:val="right"/>
              <w:rPr>
                <w:b/>
                <w:bCs/>
                <w:color w:val="000000"/>
                <w:sz w:val="15"/>
                <w:szCs w:val="13"/>
                <w:lang w:val="en-US" w:eastAsia="en-US"/>
              </w:rPr>
            </w:pPr>
            <w:r w:rsidRPr="001720A8">
              <w:rPr>
                <w:b/>
                <w:bCs/>
                <w:color w:val="000000"/>
                <w:sz w:val="14"/>
                <w:szCs w:val="14"/>
              </w:rPr>
              <w:t>2.3</w:t>
            </w:r>
          </w:p>
        </w:tc>
        <w:tc>
          <w:tcPr>
            <w:tcW w:w="691" w:type="dxa"/>
            <w:tcBorders>
              <w:top w:val="nil"/>
              <w:left w:val="single" w:sz="4" w:space="0" w:color="000000"/>
              <w:bottom w:val="nil"/>
              <w:right w:val="nil"/>
            </w:tcBorders>
            <w:shd w:val="clear" w:color="000000" w:fill="FFFFFF"/>
            <w:noWrap/>
            <w:hideMark/>
          </w:tcPr>
          <w:p w14:paraId="7DD40A94" w14:textId="293CA0F4" w:rsidR="00F32225" w:rsidRPr="001720A8" w:rsidRDefault="00F32225" w:rsidP="001720A8">
            <w:pPr>
              <w:spacing w:after="0"/>
              <w:jc w:val="right"/>
              <w:rPr>
                <w:color w:val="000000"/>
                <w:sz w:val="15"/>
                <w:szCs w:val="13"/>
                <w:lang w:val="en-US" w:eastAsia="en-US"/>
              </w:rPr>
            </w:pPr>
            <w:r w:rsidRPr="001720A8">
              <w:rPr>
                <w:color w:val="000000"/>
                <w:sz w:val="14"/>
                <w:szCs w:val="14"/>
              </w:rPr>
              <w:t>28%</w:t>
            </w:r>
          </w:p>
        </w:tc>
        <w:tc>
          <w:tcPr>
            <w:tcW w:w="735" w:type="dxa"/>
            <w:tcBorders>
              <w:top w:val="nil"/>
              <w:left w:val="nil"/>
              <w:bottom w:val="nil"/>
              <w:right w:val="nil"/>
            </w:tcBorders>
            <w:shd w:val="clear" w:color="000000" w:fill="FFFFFF"/>
            <w:noWrap/>
            <w:hideMark/>
          </w:tcPr>
          <w:p w14:paraId="4AA6DA75" w14:textId="52AB37D3" w:rsidR="00F32225" w:rsidRPr="001720A8" w:rsidRDefault="00F32225" w:rsidP="001720A8">
            <w:pPr>
              <w:spacing w:after="0"/>
              <w:jc w:val="right"/>
              <w:rPr>
                <w:color w:val="000000"/>
                <w:sz w:val="15"/>
                <w:szCs w:val="13"/>
                <w:lang w:val="en-US" w:eastAsia="en-US"/>
              </w:rPr>
            </w:pPr>
            <w:r w:rsidRPr="001720A8">
              <w:rPr>
                <w:color w:val="000000"/>
                <w:sz w:val="14"/>
                <w:szCs w:val="14"/>
              </w:rPr>
              <w:t>6%</w:t>
            </w:r>
          </w:p>
        </w:tc>
        <w:tc>
          <w:tcPr>
            <w:tcW w:w="752" w:type="dxa"/>
            <w:tcBorders>
              <w:top w:val="nil"/>
              <w:left w:val="nil"/>
              <w:bottom w:val="nil"/>
              <w:right w:val="nil"/>
            </w:tcBorders>
            <w:shd w:val="clear" w:color="000000" w:fill="FFFFFF"/>
            <w:noWrap/>
            <w:hideMark/>
          </w:tcPr>
          <w:p w14:paraId="7E179CBB" w14:textId="6C180657" w:rsidR="00F32225" w:rsidRPr="001720A8" w:rsidRDefault="00F32225" w:rsidP="001720A8">
            <w:pPr>
              <w:spacing w:after="0"/>
              <w:jc w:val="right"/>
              <w:rPr>
                <w:color w:val="000000"/>
                <w:sz w:val="15"/>
                <w:szCs w:val="13"/>
                <w:lang w:val="en-US" w:eastAsia="en-US"/>
              </w:rPr>
            </w:pPr>
            <w:r w:rsidRPr="001720A8">
              <w:rPr>
                <w:color w:val="000000"/>
                <w:sz w:val="14"/>
                <w:szCs w:val="14"/>
              </w:rPr>
              <w:t>18%</w:t>
            </w:r>
          </w:p>
        </w:tc>
        <w:tc>
          <w:tcPr>
            <w:tcW w:w="779" w:type="dxa"/>
            <w:tcBorders>
              <w:top w:val="nil"/>
              <w:left w:val="nil"/>
              <w:bottom w:val="nil"/>
              <w:right w:val="nil"/>
            </w:tcBorders>
            <w:shd w:val="clear" w:color="000000" w:fill="FFFFFF"/>
            <w:noWrap/>
            <w:hideMark/>
          </w:tcPr>
          <w:p w14:paraId="6AE4B727" w14:textId="65841A7B" w:rsidR="00F32225" w:rsidRPr="001720A8" w:rsidRDefault="00F32225" w:rsidP="001720A8">
            <w:pPr>
              <w:spacing w:after="0"/>
              <w:jc w:val="right"/>
              <w:rPr>
                <w:color w:val="000000"/>
                <w:sz w:val="15"/>
                <w:szCs w:val="13"/>
                <w:lang w:val="en-US" w:eastAsia="en-US"/>
              </w:rPr>
            </w:pPr>
            <w:r w:rsidRPr="001720A8">
              <w:rPr>
                <w:color w:val="000000"/>
                <w:sz w:val="14"/>
                <w:szCs w:val="14"/>
              </w:rPr>
              <w:t>49%</w:t>
            </w:r>
          </w:p>
        </w:tc>
        <w:tc>
          <w:tcPr>
            <w:tcW w:w="989" w:type="dxa"/>
            <w:tcBorders>
              <w:top w:val="nil"/>
              <w:left w:val="single" w:sz="4" w:space="0" w:color="auto"/>
              <w:bottom w:val="nil"/>
              <w:right w:val="nil"/>
            </w:tcBorders>
            <w:shd w:val="clear" w:color="000000" w:fill="FFFFFF"/>
            <w:noWrap/>
            <w:hideMark/>
          </w:tcPr>
          <w:p w14:paraId="635351DF" w14:textId="77777777" w:rsidR="00F32225" w:rsidRPr="001720A8" w:rsidRDefault="00F32225" w:rsidP="001720A8">
            <w:pPr>
              <w:spacing w:after="0"/>
              <w:rPr>
                <w:b/>
                <w:bCs/>
                <w:color w:val="000000"/>
                <w:sz w:val="15"/>
                <w:szCs w:val="13"/>
                <w:lang w:val="en-US" w:eastAsia="en-US"/>
              </w:rPr>
            </w:pPr>
            <w:r w:rsidRPr="001720A8">
              <w:rPr>
                <w:b/>
                <w:bCs/>
                <w:color w:val="000000"/>
                <w:sz w:val="15"/>
                <w:szCs w:val="13"/>
                <w:lang w:val="en-US" w:eastAsia="en-US"/>
              </w:rPr>
              <w:t> </w:t>
            </w:r>
          </w:p>
        </w:tc>
        <w:tc>
          <w:tcPr>
            <w:tcW w:w="701" w:type="dxa"/>
            <w:tcBorders>
              <w:top w:val="nil"/>
              <w:left w:val="nil"/>
              <w:bottom w:val="nil"/>
              <w:right w:val="nil"/>
            </w:tcBorders>
            <w:shd w:val="clear" w:color="000000" w:fill="FFFFFF"/>
            <w:noWrap/>
            <w:hideMark/>
          </w:tcPr>
          <w:p w14:paraId="0E78B7D9" w14:textId="77777777" w:rsidR="00F32225" w:rsidRPr="001720A8" w:rsidRDefault="00F32225" w:rsidP="001720A8">
            <w:pPr>
              <w:spacing w:after="0"/>
              <w:rPr>
                <w:b/>
                <w:bCs/>
                <w:color w:val="000000"/>
                <w:sz w:val="15"/>
                <w:szCs w:val="13"/>
                <w:lang w:val="en-US" w:eastAsia="en-US"/>
              </w:rPr>
            </w:pPr>
            <w:r w:rsidRPr="001720A8">
              <w:rPr>
                <w:b/>
                <w:bCs/>
                <w:color w:val="000000"/>
                <w:sz w:val="15"/>
                <w:szCs w:val="13"/>
                <w:lang w:val="en-US" w:eastAsia="en-US"/>
              </w:rPr>
              <w:t> </w:t>
            </w:r>
          </w:p>
        </w:tc>
      </w:tr>
      <w:tr w:rsidR="00F32225" w:rsidRPr="00E4527E" w14:paraId="5B63CD35" w14:textId="77777777" w:rsidTr="00387025">
        <w:trPr>
          <w:trHeight w:val="244"/>
          <w:tblHeader/>
        </w:trPr>
        <w:tc>
          <w:tcPr>
            <w:tcW w:w="709" w:type="dxa"/>
            <w:gridSpan w:val="2"/>
            <w:tcBorders>
              <w:top w:val="nil"/>
              <w:left w:val="nil"/>
              <w:bottom w:val="single" w:sz="4" w:space="0" w:color="auto"/>
              <w:right w:val="nil"/>
            </w:tcBorders>
            <w:shd w:val="clear" w:color="000000" w:fill="FFFFFF"/>
            <w:noWrap/>
          </w:tcPr>
          <w:p w14:paraId="378D3A4B" w14:textId="14BCACC3" w:rsidR="00F32225" w:rsidRPr="001720A8" w:rsidRDefault="00F32225" w:rsidP="00CD460D">
            <w:pPr>
              <w:spacing w:after="0"/>
              <w:jc w:val="center"/>
              <w:rPr>
                <w:color w:val="000000"/>
                <w:sz w:val="15"/>
                <w:szCs w:val="13"/>
                <w:lang w:val="en-US" w:eastAsia="en-US"/>
              </w:rPr>
            </w:pPr>
            <w:r>
              <w:rPr>
                <w:color w:val="000000"/>
                <w:sz w:val="15"/>
                <w:szCs w:val="13"/>
                <w:lang w:val="en-US" w:eastAsia="en-US"/>
              </w:rPr>
              <w:t>Top 20</w:t>
            </w:r>
          </w:p>
        </w:tc>
        <w:tc>
          <w:tcPr>
            <w:tcW w:w="5915" w:type="dxa"/>
            <w:gridSpan w:val="3"/>
            <w:tcBorders>
              <w:top w:val="nil"/>
              <w:left w:val="nil"/>
              <w:bottom w:val="single" w:sz="4" w:space="0" w:color="auto"/>
              <w:right w:val="nil"/>
            </w:tcBorders>
            <w:shd w:val="clear" w:color="000000" w:fill="FFFFFF"/>
            <w:noWrap/>
          </w:tcPr>
          <w:p w14:paraId="2AEF8532" w14:textId="468F03ED" w:rsidR="00F32225" w:rsidRPr="001720A8" w:rsidRDefault="00F32225" w:rsidP="00CD460D">
            <w:pPr>
              <w:spacing w:after="0"/>
              <w:rPr>
                <w:b/>
                <w:bCs/>
                <w:color w:val="000000"/>
                <w:sz w:val="15"/>
                <w:szCs w:val="13"/>
                <w:lang w:val="en-US" w:eastAsia="en-US"/>
              </w:rPr>
            </w:pPr>
            <w:r>
              <w:rPr>
                <w:b/>
                <w:bCs/>
                <w:color w:val="000000"/>
                <w:sz w:val="15"/>
                <w:szCs w:val="13"/>
                <w:lang w:val="en-US" w:eastAsia="en-US"/>
              </w:rPr>
              <w:t xml:space="preserve">Top 20 Prosthesis cost </w:t>
            </w:r>
            <w:r w:rsidRPr="001720A8">
              <w:rPr>
                <w:b/>
                <w:bCs/>
                <w:color w:val="000000"/>
                <w:sz w:val="15"/>
                <w:szCs w:val="13"/>
                <w:lang w:val="en-US" w:eastAsia="en-US"/>
              </w:rPr>
              <w:t>weight DRGs, % of all DRGs</w:t>
            </w:r>
          </w:p>
        </w:tc>
        <w:tc>
          <w:tcPr>
            <w:tcW w:w="752" w:type="dxa"/>
            <w:tcBorders>
              <w:top w:val="nil"/>
              <w:left w:val="nil"/>
              <w:bottom w:val="single" w:sz="4" w:space="0" w:color="auto"/>
              <w:right w:val="nil"/>
            </w:tcBorders>
            <w:shd w:val="clear" w:color="000000" w:fill="FFFFFF"/>
            <w:noWrap/>
            <w:hideMark/>
          </w:tcPr>
          <w:p w14:paraId="41D59C57" w14:textId="77777777" w:rsidR="00F32225" w:rsidRPr="001720A8" w:rsidRDefault="00F32225" w:rsidP="00CD460D">
            <w:pPr>
              <w:spacing w:after="0"/>
              <w:rPr>
                <w:b/>
                <w:bCs/>
                <w:color w:val="000000"/>
                <w:sz w:val="15"/>
                <w:szCs w:val="13"/>
                <w:lang w:val="en-US" w:eastAsia="en-US"/>
              </w:rPr>
            </w:pPr>
            <w:r w:rsidRPr="001720A8">
              <w:rPr>
                <w:b/>
                <w:bCs/>
                <w:color w:val="000000"/>
                <w:sz w:val="15"/>
                <w:szCs w:val="13"/>
                <w:lang w:val="en-US" w:eastAsia="en-US"/>
              </w:rPr>
              <w:t> </w:t>
            </w:r>
          </w:p>
        </w:tc>
        <w:tc>
          <w:tcPr>
            <w:tcW w:w="897" w:type="dxa"/>
            <w:tcBorders>
              <w:top w:val="nil"/>
              <w:left w:val="nil"/>
              <w:bottom w:val="single" w:sz="4" w:space="0" w:color="auto"/>
              <w:right w:val="nil"/>
            </w:tcBorders>
            <w:shd w:val="clear" w:color="000000" w:fill="FFFFFF"/>
            <w:noWrap/>
            <w:hideMark/>
          </w:tcPr>
          <w:p w14:paraId="3ADB92E4" w14:textId="4A30ACEC" w:rsidR="00F32225" w:rsidRPr="001720A8" w:rsidRDefault="00F32225" w:rsidP="001720A8">
            <w:pPr>
              <w:spacing w:after="0"/>
              <w:jc w:val="right"/>
              <w:rPr>
                <w:b/>
                <w:bCs/>
                <w:color w:val="000000"/>
                <w:sz w:val="15"/>
                <w:szCs w:val="13"/>
                <w:lang w:val="en-US" w:eastAsia="en-US"/>
              </w:rPr>
            </w:pPr>
            <w:r w:rsidRPr="001720A8">
              <w:rPr>
                <w:b/>
                <w:bCs/>
                <w:color w:val="000000"/>
                <w:sz w:val="15"/>
                <w:szCs w:val="13"/>
                <w:lang w:val="en-US" w:eastAsia="en-US"/>
              </w:rPr>
              <w:t>1.8%</w:t>
            </w:r>
          </w:p>
        </w:tc>
        <w:tc>
          <w:tcPr>
            <w:tcW w:w="735" w:type="dxa"/>
            <w:tcBorders>
              <w:top w:val="nil"/>
              <w:left w:val="nil"/>
              <w:bottom w:val="single" w:sz="4" w:space="0" w:color="auto"/>
              <w:right w:val="nil"/>
            </w:tcBorders>
            <w:shd w:val="clear" w:color="000000" w:fill="FFFFFF"/>
            <w:noWrap/>
            <w:hideMark/>
          </w:tcPr>
          <w:p w14:paraId="149F1424" w14:textId="271918F9"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679" w:type="dxa"/>
            <w:tcBorders>
              <w:top w:val="nil"/>
              <w:left w:val="nil"/>
              <w:bottom w:val="single" w:sz="4" w:space="0" w:color="auto"/>
              <w:right w:val="nil"/>
            </w:tcBorders>
            <w:shd w:val="clear" w:color="000000" w:fill="FFFFFF"/>
            <w:noWrap/>
            <w:hideMark/>
          </w:tcPr>
          <w:p w14:paraId="35D45E5A"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691" w:type="dxa"/>
            <w:tcBorders>
              <w:top w:val="nil"/>
              <w:left w:val="single" w:sz="4" w:space="0" w:color="000000"/>
              <w:bottom w:val="single" w:sz="4" w:space="0" w:color="000000"/>
              <w:right w:val="nil"/>
            </w:tcBorders>
            <w:shd w:val="clear" w:color="000000" w:fill="FFFFFF"/>
            <w:noWrap/>
            <w:hideMark/>
          </w:tcPr>
          <w:p w14:paraId="2F348228"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735" w:type="dxa"/>
            <w:tcBorders>
              <w:top w:val="nil"/>
              <w:left w:val="nil"/>
              <w:bottom w:val="single" w:sz="4" w:space="0" w:color="000000"/>
              <w:right w:val="nil"/>
            </w:tcBorders>
            <w:shd w:val="clear" w:color="000000" w:fill="FFFFFF"/>
            <w:noWrap/>
            <w:hideMark/>
          </w:tcPr>
          <w:p w14:paraId="0C71FBBF"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752" w:type="dxa"/>
            <w:tcBorders>
              <w:top w:val="nil"/>
              <w:left w:val="nil"/>
              <w:bottom w:val="single" w:sz="4" w:space="0" w:color="000000"/>
              <w:right w:val="nil"/>
            </w:tcBorders>
            <w:shd w:val="clear" w:color="000000" w:fill="FFFFFF"/>
            <w:noWrap/>
            <w:hideMark/>
          </w:tcPr>
          <w:p w14:paraId="0BD37F3E"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779" w:type="dxa"/>
            <w:tcBorders>
              <w:top w:val="nil"/>
              <w:left w:val="nil"/>
              <w:bottom w:val="single" w:sz="4" w:space="0" w:color="000000"/>
              <w:right w:val="nil"/>
            </w:tcBorders>
            <w:shd w:val="clear" w:color="000000" w:fill="FFFFFF"/>
            <w:noWrap/>
            <w:hideMark/>
          </w:tcPr>
          <w:p w14:paraId="4BC5317C"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989" w:type="dxa"/>
            <w:tcBorders>
              <w:top w:val="nil"/>
              <w:left w:val="single" w:sz="4" w:space="0" w:color="auto"/>
              <w:bottom w:val="single" w:sz="4" w:space="0" w:color="auto"/>
              <w:right w:val="nil"/>
            </w:tcBorders>
            <w:shd w:val="clear" w:color="000000" w:fill="FFFFFF"/>
            <w:noWrap/>
            <w:hideMark/>
          </w:tcPr>
          <w:p w14:paraId="67083238"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c>
          <w:tcPr>
            <w:tcW w:w="701" w:type="dxa"/>
            <w:tcBorders>
              <w:top w:val="nil"/>
              <w:left w:val="nil"/>
              <w:bottom w:val="single" w:sz="4" w:space="0" w:color="auto"/>
              <w:right w:val="nil"/>
            </w:tcBorders>
            <w:shd w:val="clear" w:color="000000" w:fill="FFFFFF"/>
            <w:noWrap/>
            <w:hideMark/>
          </w:tcPr>
          <w:p w14:paraId="407B75D2" w14:textId="77777777" w:rsidR="00F32225" w:rsidRPr="001720A8" w:rsidRDefault="00F32225" w:rsidP="00CD460D">
            <w:pPr>
              <w:spacing w:after="0"/>
              <w:rPr>
                <w:color w:val="000000"/>
                <w:sz w:val="15"/>
                <w:szCs w:val="13"/>
                <w:lang w:val="en-US" w:eastAsia="en-US"/>
              </w:rPr>
            </w:pPr>
            <w:r w:rsidRPr="001720A8">
              <w:rPr>
                <w:color w:val="000000"/>
                <w:sz w:val="15"/>
                <w:szCs w:val="13"/>
                <w:lang w:val="en-US" w:eastAsia="en-US"/>
              </w:rPr>
              <w:t> </w:t>
            </w:r>
          </w:p>
        </w:tc>
      </w:tr>
    </w:tbl>
    <w:p w14:paraId="3BD84B7F" w14:textId="50B9524A" w:rsidR="00A24567" w:rsidRPr="00F039A3" w:rsidRDefault="00A24567" w:rsidP="003A166C">
      <w:pPr>
        <w:spacing w:after="0" w:line="240" w:lineRule="auto"/>
        <w:rPr>
          <w:rFonts w:asciiTheme="minorHAnsi" w:hAnsiTheme="minorHAnsi" w:cstheme="minorHAnsi"/>
          <w:color w:val="008A00" w:themeColor="accent2"/>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color w:val="008A00" w:themeColor="accent2"/>
          <w:sz w:val="14"/>
        </w:rPr>
        <w:tab/>
      </w:r>
      <w:r w:rsidRPr="00F039A3">
        <w:rPr>
          <w:rFonts w:asciiTheme="minorHAnsi" w:hAnsiTheme="minorHAnsi" w:cstheme="minorHAnsi"/>
          <w:color w:val="008A00" w:themeColor="accent2"/>
          <w:sz w:val="14"/>
        </w:rPr>
        <w:tab/>
      </w:r>
    </w:p>
    <w:p w14:paraId="73D51DE7" w14:textId="76DE20F3" w:rsidR="00A24567" w:rsidRPr="00DF0CF9" w:rsidRDefault="00A24567" w:rsidP="003A166C">
      <w:pPr>
        <w:spacing w:after="0" w:line="240" w:lineRule="auto"/>
        <w:rPr>
          <w:rFonts w:asciiTheme="minorHAnsi" w:hAnsiTheme="minorHAnsi" w:cstheme="minorHAnsi"/>
          <w:sz w:val="14"/>
        </w:rPr>
      </w:pPr>
      <w:r w:rsidRPr="00DF0CF9">
        <w:rPr>
          <w:rFonts w:asciiTheme="minorHAnsi" w:hAnsiTheme="minorHAnsi" w:cstheme="minorHAnsi"/>
          <w:sz w:val="14"/>
        </w:rPr>
        <w:t xml:space="preserve">(a) For cost weight (cost bucket specific) calculations please refer to </w:t>
      </w:r>
      <w:r w:rsidR="00AF1F7A" w:rsidRPr="00DF0CF9">
        <w:rPr>
          <w:rFonts w:asciiTheme="minorHAnsi" w:hAnsiTheme="minorHAnsi" w:cstheme="minorHAnsi"/>
          <w:sz w:val="14"/>
        </w:rPr>
        <w:fldChar w:fldCharType="begin"/>
      </w:r>
      <w:r w:rsidR="00AF1F7A" w:rsidRPr="00DF0CF9">
        <w:rPr>
          <w:rFonts w:asciiTheme="minorHAnsi" w:hAnsiTheme="minorHAnsi" w:cstheme="minorHAnsi"/>
          <w:sz w:val="14"/>
        </w:rPr>
        <w:instrText xml:space="preserve"> REF _Ref497335615 \h  \* MERGEFORMAT </w:instrText>
      </w:r>
      <w:r w:rsidR="00AF1F7A" w:rsidRPr="00DF0CF9">
        <w:rPr>
          <w:rFonts w:asciiTheme="minorHAnsi" w:hAnsiTheme="minorHAnsi" w:cstheme="minorHAnsi"/>
          <w:sz w:val="14"/>
        </w:rPr>
      </w:r>
      <w:r w:rsidR="00AF1F7A" w:rsidRPr="00DF0CF9">
        <w:rPr>
          <w:rFonts w:asciiTheme="minorHAnsi" w:hAnsiTheme="minorHAnsi" w:cstheme="minorHAnsi"/>
          <w:sz w:val="14"/>
        </w:rPr>
        <w:fldChar w:fldCharType="separate"/>
      </w:r>
      <w:r w:rsidR="003D3E16" w:rsidRPr="003D3E16">
        <w:rPr>
          <w:rFonts w:asciiTheme="minorHAnsi" w:hAnsiTheme="minorHAnsi" w:cstheme="minorHAnsi"/>
          <w:sz w:val="14"/>
        </w:rPr>
        <w:t>Appendix D: Cost weight tables by AR-DRG Version 9.0</w:t>
      </w:r>
      <w:r w:rsidR="00AF1F7A" w:rsidRPr="00DF0CF9">
        <w:rPr>
          <w:rFonts w:asciiTheme="minorHAnsi" w:hAnsiTheme="minorHAnsi" w:cstheme="minorHAnsi"/>
          <w:sz w:val="14"/>
        </w:rPr>
        <w:fldChar w:fldCharType="end"/>
      </w:r>
      <w:r w:rsidR="00544B40" w:rsidRPr="00DF0CF9">
        <w:rPr>
          <w:rFonts w:asciiTheme="minorHAnsi" w:hAnsiTheme="minorHAnsi" w:cstheme="minorHAnsi"/>
          <w:sz w:val="14"/>
        </w:rPr>
        <w:tab/>
      </w:r>
    </w:p>
    <w:p w14:paraId="74C30DB8" w14:textId="2E393A62" w:rsidR="00A24567" w:rsidRPr="00235DEA" w:rsidRDefault="00A24567" w:rsidP="00235DEA">
      <w:pPr>
        <w:spacing w:after="0" w:line="240" w:lineRule="auto"/>
        <w:rPr>
          <w:rFonts w:asciiTheme="minorHAnsi" w:hAnsiTheme="minorHAnsi" w:cstheme="minorHAnsi"/>
          <w:sz w:val="14"/>
        </w:rPr>
      </w:pPr>
      <w:bookmarkStart w:id="195" w:name="_Toc497332782"/>
      <w:bookmarkStart w:id="196" w:name="_Toc497332921"/>
      <w:bookmarkStart w:id="197" w:name="_Toc497486125"/>
      <w:bookmarkStart w:id="198" w:name="_Toc497488045"/>
      <w:r w:rsidRPr="00235DEA">
        <w:rPr>
          <w:rFonts w:asciiTheme="minorHAnsi" w:hAnsiTheme="minorHAnsi" w:cstheme="minorHAnsi"/>
          <w:sz w:val="14"/>
        </w:rPr>
        <w:t>(b) Separations shown are strata weighted</w:t>
      </w:r>
      <w:bookmarkEnd w:id="195"/>
      <w:bookmarkEnd w:id="196"/>
      <w:bookmarkEnd w:id="197"/>
      <w:bookmarkEnd w:id="198"/>
      <w:r w:rsidRPr="00235DEA">
        <w:rPr>
          <w:rFonts w:asciiTheme="minorHAnsi" w:hAnsiTheme="minorHAnsi" w:cstheme="minorHAnsi"/>
          <w:sz w:val="14"/>
        </w:rPr>
        <w:tab/>
      </w:r>
      <w:r w:rsidR="006C4E43" w:rsidRPr="00235DEA">
        <w:rPr>
          <w:rFonts w:asciiTheme="minorHAnsi" w:hAnsiTheme="minorHAnsi" w:cstheme="minorHAnsi"/>
          <w:sz w:val="14"/>
        </w:rPr>
        <w:t xml:space="preserve"> </w:t>
      </w:r>
    </w:p>
    <w:p w14:paraId="0D45345D" w14:textId="20D49F87" w:rsidR="006C4E43" w:rsidRPr="00235DEA" w:rsidRDefault="00A24567" w:rsidP="00235DEA">
      <w:pPr>
        <w:spacing w:after="0" w:line="240" w:lineRule="auto"/>
        <w:rPr>
          <w:rFonts w:asciiTheme="minorHAnsi" w:hAnsiTheme="minorHAnsi" w:cstheme="minorHAnsi"/>
          <w:sz w:val="14"/>
        </w:rPr>
      </w:pPr>
      <w:bookmarkStart w:id="199" w:name="_Toc497332784"/>
      <w:bookmarkStart w:id="200" w:name="_Toc497332923"/>
      <w:bookmarkStart w:id="201" w:name="_Toc497486127"/>
      <w:bookmarkStart w:id="202" w:name="_Toc497488047"/>
      <w:r w:rsidRPr="00235DEA">
        <w:rPr>
          <w:rFonts w:asciiTheme="minorHAnsi" w:hAnsiTheme="minorHAnsi" w:cstheme="minorHAnsi"/>
          <w:sz w:val="14"/>
        </w:rPr>
        <w:t xml:space="preserve">(d) ALoS means </w:t>
      </w:r>
      <w:r w:rsidR="008C3232" w:rsidRPr="00235DEA">
        <w:rPr>
          <w:rFonts w:asciiTheme="minorHAnsi" w:hAnsiTheme="minorHAnsi" w:cstheme="minorHAnsi"/>
          <w:sz w:val="14"/>
        </w:rPr>
        <w:t>A</w:t>
      </w:r>
      <w:r w:rsidRPr="00235DEA">
        <w:rPr>
          <w:rFonts w:asciiTheme="minorHAnsi" w:hAnsiTheme="minorHAnsi" w:cstheme="minorHAnsi"/>
          <w:sz w:val="14"/>
        </w:rPr>
        <w:t xml:space="preserve">verage </w:t>
      </w:r>
      <w:r w:rsidR="008C3232" w:rsidRPr="00235DEA">
        <w:rPr>
          <w:rFonts w:asciiTheme="minorHAnsi" w:hAnsiTheme="minorHAnsi" w:cstheme="minorHAnsi"/>
          <w:sz w:val="14"/>
        </w:rPr>
        <w:t>L</w:t>
      </w:r>
      <w:r w:rsidRPr="00235DEA">
        <w:rPr>
          <w:rFonts w:asciiTheme="minorHAnsi" w:hAnsiTheme="minorHAnsi" w:cstheme="minorHAnsi"/>
          <w:sz w:val="14"/>
        </w:rPr>
        <w:t xml:space="preserve">ength of </w:t>
      </w:r>
      <w:r w:rsidR="008C3232" w:rsidRPr="00235DEA">
        <w:rPr>
          <w:rFonts w:asciiTheme="minorHAnsi" w:hAnsiTheme="minorHAnsi" w:cstheme="minorHAnsi"/>
          <w:sz w:val="14"/>
        </w:rPr>
        <w:t>S</w:t>
      </w:r>
      <w:r w:rsidRPr="00235DEA">
        <w:rPr>
          <w:rFonts w:asciiTheme="minorHAnsi" w:hAnsiTheme="minorHAnsi" w:cstheme="minorHAnsi"/>
          <w:sz w:val="14"/>
        </w:rPr>
        <w:t>tay</w:t>
      </w:r>
      <w:bookmarkEnd w:id="199"/>
      <w:bookmarkEnd w:id="200"/>
      <w:bookmarkEnd w:id="201"/>
      <w:bookmarkEnd w:id="202"/>
      <w:r w:rsidR="006C4E43" w:rsidRPr="00235DEA">
        <w:rPr>
          <w:rFonts w:asciiTheme="minorHAnsi" w:hAnsiTheme="minorHAnsi" w:cstheme="minorHAnsi"/>
          <w:sz w:val="14"/>
        </w:rPr>
        <w:t xml:space="preserve"> </w:t>
      </w:r>
    </w:p>
    <w:p w14:paraId="063EB71F" w14:textId="77777777" w:rsidR="006C4E43" w:rsidRPr="00F039A3" w:rsidRDefault="006C4E43" w:rsidP="006C4E43">
      <w:pPr>
        <w:rPr>
          <w:sz w:val="20"/>
          <w:highlight w:val="yellow"/>
          <w:lang w:val="en-GB" w:eastAsia="en-US"/>
        </w:rPr>
        <w:sectPr w:rsidR="006C4E43" w:rsidRPr="00F039A3" w:rsidSect="00384647">
          <w:pgSz w:w="16840" w:h="11907" w:orient="landscape" w:code="9"/>
          <w:pgMar w:top="1843" w:right="1440" w:bottom="1021" w:left="1021" w:header="680" w:footer="510" w:gutter="0"/>
          <w:cols w:space="708"/>
          <w:docGrid w:linePitch="360"/>
        </w:sectPr>
      </w:pPr>
    </w:p>
    <w:p w14:paraId="09C0B501" w14:textId="6E31D37B" w:rsidR="005D7320" w:rsidRPr="00FE0356" w:rsidRDefault="005D7320" w:rsidP="00302DDA">
      <w:pPr>
        <w:pStyle w:val="Heading3"/>
        <w:rPr>
          <w:rFonts w:ascii="Georgia" w:hAnsi="Georgia"/>
          <w:sz w:val="20"/>
          <w:szCs w:val="20"/>
        </w:rPr>
      </w:pPr>
      <w:bookmarkStart w:id="203" w:name="_Toc496857587"/>
      <w:r w:rsidRPr="00FE0356">
        <w:lastRenderedPageBreak/>
        <w:t>Miscellaneous cost bucket</w:t>
      </w:r>
      <w:bookmarkEnd w:id="203"/>
    </w:p>
    <w:p w14:paraId="40ECA302" w14:textId="77777777" w:rsidR="005D7320" w:rsidRPr="00FE0356" w:rsidRDefault="005D7320" w:rsidP="005D7320">
      <w:pPr>
        <w:pStyle w:val="Intro"/>
      </w:pPr>
      <w:r w:rsidRPr="00FE0356">
        <w:t>Key findings</w:t>
      </w:r>
    </w:p>
    <w:p w14:paraId="64DBEE2E" w14:textId="1C512FB4" w:rsidR="00AE0155" w:rsidRPr="00AE0155" w:rsidRDefault="00FE0356" w:rsidP="005D7320">
      <w:r w:rsidRPr="00AE0155">
        <w:t>As in previous rounds, t</w:t>
      </w:r>
      <w:r w:rsidR="00532BC8" w:rsidRPr="00AE0155">
        <w:t>h</w:t>
      </w:r>
      <w:r w:rsidRPr="00AE0155">
        <w:t>e miscellaneous</w:t>
      </w:r>
      <w:r w:rsidR="00A3433C">
        <w:t xml:space="preserve"> cost bucket wa</w:t>
      </w:r>
      <w:r w:rsidR="00532BC8" w:rsidRPr="00AE0155">
        <w:t xml:space="preserve">s the most volatile in rankings of all the </w:t>
      </w:r>
      <w:r w:rsidRPr="00AE0155">
        <w:t xml:space="preserve">cost </w:t>
      </w:r>
      <w:r w:rsidR="00532BC8" w:rsidRPr="00AE0155">
        <w:t>buckets</w:t>
      </w:r>
      <w:r w:rsidR="00AE0155" w:rsidRPr="00AE0155">
        <w:t xml:space="preserve">. The volatility may be </w:t>
      </w:r>
      <w:r w:rsidR="00580247" w:rsidRPr="00AE0155">
        <w:t>driven by</w:t>
      </w:r>
      <w:r w:rsidR="00AE0155" w:rsidRPr="00AE0155">
        <w:t>;</w:t>
      </w:r>
      <w:r w:rsidR="00580247" w:rsidRPr="00AE0155">
        <w:t xml:space="preserve"> the</w:t>
      </w:r>
      <w:r w:rsidR="00532BC8" w:rsidRPr="00AE0155">
        <w:t xml:space="preserve"> sample size</w:t>
      </w:r>
      <w:r w:rsidR="005D3E1D" w:rsidRPr="00AE0155">
        <w:t>, different hospitals participating</w:t>
      </w:r>
      <w:r w:rsidR="00532BC8" w:rsidRPr="00AE0155">
        <w:t xml:space="preserve"> and </w:t>
      </w:r>
      <w:r w:rsidR="00AE0155" w:rsidRPr="00AE0155">
        <w:t>a</w:t>
      </w:r>
      <w:r w:rsidR="00532BC8" w:rsidRPr="00AE0155">
        <w:t xml:space="preserve"> different approach to costing</w:t>
      </w:r>
      <w:r w:rsidR="00AE0155" w:rsidRPr="00AE0155">
        <w:t xml:space="preserve"> being used by the participating hospitals.</w:t>
      </w:r>
      <w:r w:rsidR="00532BC8" w:rsidRPr="00AE0155">
        <w:t xml:space="preserve"> </w:t>
      </w:r>
    </w:p>
    <w:p w14:paraId="63E86CE1" w14:textId="6B8600F9" w:rsidR="00E7439E" w:rsidRPr="00AE0155" w:rsidRDefault="006654BA" w:rsidP="005D7320">
      <w:r w:rsidRPr="00AE0155">
        <w:t>Table 13</w:t>
      </w:r>
      <w:r w:rsidR="005D7320" w:rsidRPr="00AE0155">
        <w:t xml:space="preserve"> </w:t>
      </w:r>
      <w:r w:rsidR="00AE0155" w:rsidRPr="00AE0155">
        <w:rPr>
          <w:szCs w:val="22"/>
        </w:rPr>
        <w:t>shows</w:t>
      </w:r>
      <w:r w:rsidR="00580247" w:rsidRPr="00AE0155">
        <w:rPr>
          <w:szCs w:val="22"/>
        </w:rPr>
        <w:t xml:space="preserve"> that</w:t>
      </w:r>
      <w:r w:rsidR="006723AA" w:rsidRPr="00AE0155">
        <w:rPr>
          <w:szCs w:val="22"/>
        </w:rPr>
        <w:t xml:space="preserve"> the highest cost weight </w:t>
      </w:r>
      <w:r w:rsidR="005D7320" w:rsidRPr="00AE0155">
        <w:rPr>
          <w:szCs w:val="22"/>
        </w:rPr>
        <w:t xml:space="preserve">DRG </w:t>
      </w:r>
      <w:r w:rsidR="00AE0155" w:rsidRPr="00AE0155">
        <w:rPr>
          <w:szCs w:val="22"/>
        </w:rPr>
        <w:t xml:space="preserve">in this cost bucket </w:t>
      </w:r>
      <w:r w:rsidR="00A3433C">
        <w:rPr>
          <w:szCs w:val="22"/>
        </w:rPr>
        <w:t>wa</w:t>
      </w:r>
      <w:r w:rsidR="005D7320" w:rsidRPr="00AE0155">
        <w:rPr>
          <w:szCs w:val="22"/>
        </w:rPr>
        <w:t xml:space="preserve">s </w:t>
      </w:r>
      <w:r w:rsidR="00E83DC2" w:rsidRPr="00AE0155">
        <w:rPr>
          <w:szCs w:val="22"/>
        </w:rPr>
        <w:t>A14</w:t>
      </w:r>
      <w:r w:rsidR="00532BC8" w:rsidRPr="00AE0155">
        <w:rPr>
          <w:szCs w:val="22"/>
        </w:rPr>
        <w:t>A</w:t>
      </w:r>
      <w:r w:rsidR="00AE0155" w:rsidRPr="00AE0155">
        <w:rPr>
          <w:szCs w:val="22"/>
        </w:rPr>
        <w:t xml:space="preserve"> (</w:t>
      </w:r>
      <w:r w:rsidR="00E83DC2" w:rsidRPr="00AE0155">
        <w:rPr>
          <w:color w:val="000000"/>
          <w:szCs w:val="22"/>
        </w:rPr>
        <w:t>Ventilation &gt;=96hours &amp; &lt;336hours, Major Complexity</w:t>
      </w:r>
      <w:r w:rsidR="00AE0155" w:rsidRPr="00AE0155">
        <w:rPr>
          <w:color w:val="000000"/>
          <w:szCs w:val="22"/>
        </w:rPr>
        <w:t>)</w:t>
      </w:r>
      <w:r w:rsidR="005D7320" w:rsidRPr="00AE0155">
        <w:t xml:space="preserve">. This was ranked number </w:t>
      </w:r>
      <w:r w:rsidR="00E83DC2" w:rsidRPr="00AE0155">
        <w:t xml:space="preserve">three </w:t>
      </w:r>
      <w:r w:rsidR="006723AA" w:rsidRPr="00AE0155">
        <w:t xml:space="preserve">in Round </w:t>
      </w:r>
      <w:r w:rsidR="00E83DC2" w:rsidRPr="00AE0155">
        <w:t>20.</w:t>
      </w:r>
      <w:r w:rsidR="00355E24" w:rsidRPr="00AE0155">
        <w:t xml:space="preserve"> </w:t>
      </w:r>
    </w:p>
    <w:p w14:paraId="0E775FE7" w14:textId="0630D359" w:rsidR="005D7320" w:rsidRPr="00E83DC2" w:rsidRDefault="00E83DC2" w:rsidP="005D7320">
      <w:r w:rsidRPr="00AE0155">
        <w:t>T</w:t>
      </w:r>
      <w:r w:rsidR="006723AA" w:rsidRPr="00AE0155">
        <w:t xml:space="preserve">he </w:t>
      </w:r>
      <w:r w:rsidR="00AE0155" w:rsidRPr="00AE0155">
        <w:t xml:space="preserve">DRGs listed in the top 20 </w:t>
      </w:r>
      <w:r w:rsidR="00A3433C">
        <w:t>were</w:t>
      </w:r>
      <w:r w:rsidR="00AE0155" w:rsidRPr="00AE0155">
        <w:t xml:space="preserve"> to be expected</w:t>
      </w:r>
      <w:r w:rsidR="005D7320" w:rsidRPr="00AE0155">
        <w:t xml:space="preserve"> given that they </w:t>
      </w:r>
      <w:r w:rsidRPr="00AE0155">
        <w:t xml:space="preserve">are high cost, </w:t>
      </w:r>
      <w:r w:rsidR="005D7320" w:rsidRPr="00AE0155">
        <w:t xml:space="preserve">low volume </w:t>
      </w:r>
      <w:r w:rsidRPr="00AE0155">
        <w:t>treatments</w:t>
      </w:r>
      <w:r w:rsidR="005D7320" w:rsidRPr="00AE0155">
        <w:t xml:space="preserve"> and have appeared in the top 20 of previous tables through</w:t>
      </w:r>
      <w:r w:rsidR="00476F62" w:rsidRPr="00AE0155">
        <w:t>out</w:t>
      </w:r>
      <w:r w:rsidR="005D7320" w:rsidRPr="00AE0155">
        <w:t xml:space="preserve"> this </w:t>
      </w:r>
      <w:r w:rsidR="00AE0155" w:rsidRPr="00AE0155">
        <w:t>report</w:t>
      </w:r>
      <w:r w:rsidR="005D7320" w:rsidRPr="00AE0155">
        <w:t>.</w:t>
      </w:r>
      <w:r w:rsidR="005D7320" w:rsidRPr="00E83DC2">
        <w:t xml:space="preserve"> </w:t>
      </w:r>
    </w:p>
    <w:p w14:paraId="66A5E2A1" w14:textId="0DBA2276" w:rsidR="00E7439E" w:rsidRPr="00AE0155" w:rsidRDefault="00AE0155" w:rsidP="005D7320">
      <w:r>
        <w:t xml:space="preserve">These DRGs </w:t>
      </w:r>
      <w:r w:rsidR="00355E24" w:rsidRPr="00AE0155">
        <w:t>represent</w:t>
      </w:r>
      <w:r w:rsidR="00A3433C">
        <w:t>ed</w:t>
      </w:r>
      <w:r>
        <w:t xml:space="preserve"> only</w:t>
      </w:r>
      <w:r w:rsidR="00355E24" w:rsidRPr="00AE0155">
        <w:t xml:space="preserve"> 0.</w:t>
      </w:r>
      <w:r w:rsidR="00E83DC2" w:rsidRPr="00AE0155">
        <w:t>1</w:t>
      </w:r>
      <w:r w:rsidR="00BA2940" w:rsidRPr="00AE0155">
        <w:t xml:space="preserve"> </w:t>
      </w:r>
      <w:r w:rsidR="00F74337" w:rsidRPr="00AE0155">
        <w:t>percent</w:t>
      </w:r>
      <w:r w:rsidR="005D7320" w:rsidRPr="00AE0155">
        <w:t xml:space="preserve"> (</w:t>
      </w:r>
      <w:r w:rsidR="00E83DC2" w:rsidRPr="00AE0155">
        <w:t>3</w:t>
      </w:r>
      <w:r w:rsidR="00355E24" w:rsidRPr="00AE0155">
        <w:t>,</w:t>
      </w:r>
      <w:r w:rsidR="00E83DC2" w:rsidRPr="00AE0155">
        <w:t>647</w:t>
      </w:r>
      <w:r w:rsidR="005D7320" w:rsidRPr="00AE0155">
        <w:t xml:space="preserve"> population-adjusted separations) of the total </w:t>
      </w:r>
      <w:r w:rsidRPr="00AE0155">
        <w:t xml:space="preserve">3,242,411 </w:t>
      </w:r>
      <w:r>
        <w:t>population-adjusted separations.</w:t>
      </w:r>
    </w:p>
    <w:p w14:paraId="22CA65AE" w14:textId="184EA762" w:rsidR="005D7320" w:rsidRPr="00E83DC2" w:rsidRDefault="00162614" w:rsidP="005D7320">
      <w:pPr>
        <w:pStyle w:val="Intro"/>
      </w:pPr>
      <w:r>
        <w:t>Consistencies between Round 21 and Round 20</w:t>
      </w:r>
    </w:p>
    <w:p w14:paraId="277F755B" w14:textId="5F67F69C" w:rsidR="00E7439E" w:rsidRDefault="00E83DC2" w:rsidP="005D7320">
      <w:r w:rsidRPr="007E3821">
        <w:t>7</w:t>
      </w:r>
      <w:r w:rsidR="00355E24" w:rsidRPr="007E3821">
        <w:t>5</w:t>
      </w:r>
      <w:r w:rsidR="00BA2940" w:rsidRPr="007E3821">
        <w:t xml:space="preserve"> </w:t>
      </w:r>
      <w:r w:rsidR="00F74337">
        <w:t>percent</w:t>
      </w:r>
      <w:r w:rsidR="005D7320" w:rsidRPr="007E3821">
        <w:t xml:space="preserve"> (</w:t>
      </w:r>
      <w:r w:rsidRPr="007E3821">
        <w:t>15</w:t>
      </w:r>
      <w:r w:rsidR="00355E24" w:rsidRPr="007E3821">
        <w:t xml:space="preserve"> </w:t>
      </w:r>
      <w:r w:rsidR="00476F62" w:rsidRPr="007E3821">
        <w:t xml:space="preserve">out of 20) of the top 20 </w:t>
      </w:r>
      <w:r w:rsidR="005D7320" w:rsidRPr="007E3821">
        <w:t xml:space="preserve">DRGs were included in </w:t>
      </w:r>
      <w:r w:rsidR="00AE0155">
        <w:t xml:space="preserve">the </w:t>
      </w:r>
      <w:r w:rsidR="005D7320" w:rsidRPr="007E3821">
        <w:t xml:space="preserve">Round </w:t>
      </w:r>
      <w:r w:rsidRPr="007E3821">
        <w:t>20</w:t>
      </w:r>
      <w:r w:rsidR="005D7320" w:rsidRPr="007E3821">
        <w:t xml:space="preserve"> results, which </w:t>
      </w:r>
      <w:r w:rsidR="007E3821" w:rsidRPr="007E3821">
        <w:t xml:space="preserve">is a </w:t>
      </w:r>
      <w:r w:rsidR="007E3821">
        <w:t xml:space="preserve">relatively </w:t>
      </w:r>
      <w:r w:rsidR="007E3821" w:rsidRPr="007E3821">
        <w:t xml:space="preserve">high level of consistency given the volatility in miscellaneous costs between years. </w:t>
      </w:r>
    </w:p>
    <w:p w14:paraId="02283625" w14:textId="6B19E2A5" w:rsidR="007E3821" w:rsidRDefault="00AE0155" w:rsidP="005D7320">
      <w:pPr>
        <w:rPr>
          <w:color w:val="000000"/>
          <w:szCs w:val="22"/>
        </w:rPr>
      </w:pPr>
      <w:r>
        <w:rPr>
          <w:szCs w:val="22"/>
        </w:rPr>
        <w:t>I01A (</w:t>
      </w:r>
      <w:r w:rsidR="007E3821" w:rsidRPr="007E3821">
        <w:rPr>
          <w:color w:val="000000"/>
          <w:szCs w:val="22"/>
        </w:rPr>
        <w:t>Microvascular Tissue Transfers or Skin Grafts, Excluding Hand, Major Complexity</w:t>
      </w:r>
      <w:r>
        <w:rPr>
          <w:color w:val="000000"/>
          <w:szCs w:val="22"/>
        </w:rPr>
        <w:t>)</w:t>
      </w:r>
      <w:r w:rsidR="007E3821">
        <w:rPr>
          <w:color w:val="000000"/>
          <w:szCs w:val="22"/>
        </w:rPr>
        <w:t xml:space="preserve"> was ranked number one in Round 20, but has fallen to rank 6 in Round 21. Its miscellaneous cost weight has decreased from 11.87 to 8.93, which is a decrease of 2.94 cost weights, or 25%.</w:t>
      </w:r>
    </w:p>
    <w:p w14:paraId="60211DC1" w14:textId="25379356" w:rsidR="00BF794D" w:rsidRPr="007E3821" w:rsidRDefault="00162614" w:rsidP="00BF794D">
      <w:pPr>
        <w:pStyle w:val="Intro"/>
      </w:pPr>
      <w:r>
        <w:t>Differences between Round 21 and Round 20</w:t>
      </w:r>
    </w:p>
    <w:p w14:paraId="738BE2A1" w14:textId="1CCBB32A" w:rsidR="007E3821" w:rsidRPr="007E3821" w:rsidRDefault="007E3821" w:rsidP="005D7320">
      <w:pPr>
        <w:rPr>
          <w:szCs w:val="22"/>
        </w:rPr>
      </w:pPr>
      <w:r w:rsidRPr="007E3821">
        <w:rPr>
          <w:szCs w:val="22"/>
        </w:rPr>
        <w:t xml:space="preserve">There </w:t>
      </w:r>
      <w:r w:rsidR="003C059B">
        <w:rPr>
          <w:szCs w:val="22"/>
        </w:rPr>
        <w:t>were</w:t>
      </w:r>
      <w:r w:rsidRPr="007E3821">
        <w:rPr>
          <w:szCs w:val="22"/>
        </w:rPr>
        <w:t xml:space="preserve"> five new DRGs in the top 20 in Round 21:</w:t>
      </w:r>
    </w:p>
    <w:p w14:paraId="6F8299D2" w14:textId="541E44C5" w:rsidR="007E3821" w:rsidRPr="007E3821" w:rsidRDefault="00AE0155" w:rsidP="007B51EC">
      <w:pPr>
        <w:pStyle w:val="ListParagraph"/>
        <w:numPr>
          <w:ilvl w:val="0"/>
          <w:numId w:val="14"/>
        </w:numPr>
        <w:spacing w:before="60" w:after="60"/>
        <w:ind w:left="357" w:hanging="357"/>
        <w:rPr>
          <w:szCs w:val="22"/>
        </w:rPr>
      </w:pPr>
      <w:r>
        <w:rPr>
          <w:szCs w:val="22"/>
        </w:rPr>
        <w:t>B83A (</w:t>
      </w:r>
      <w:r w:rsidR="007E3821" w:rsidRPr="007E3821">
        <w:rPr>
          <w:color w:val="000000"/>
          <w:szCs w:val="22"/>
        </w:rPr>
        <w:t>Acute Paraplegia and Quadriplegia and Spinal Cord Conditions, Major Complexity</w:t>
      </w:r>
      <w:r>
        <w:rPr>
          <w:color w:val="000000"/>
          <w:szCs w:val="22"/>
        </w:rPr>
        <w:t>)</w:t>
      </w:r>
    </w:p>
    <w:p w14:paraId="3CC17AE9" w14:textId="64F45282" w:rsidR="007E3821" w:rsidRPr="007E3821" w:rsidRDefault="00AE0155" w:rsidP="007B51EC">
      <w:pPr>
        <w:pStyle w:val="ListParagraph"/>
        <w:numPr>
          <w:ilvl w:val="0"/>
          <w:numId w:val="14"/>
        </w:numPr>
        <w:spacing w:before="60" w:after="60"/>
        <w:ind w:left="357" w:hanging="357"/>
        <w:rPr>
          <w:szCs w:val="22"/>
        </w:rPr>
      </w:pPr>
      <w:r>
        <w:rPr>
          <w:szCs w:val="22"/>
        </w:rPr>
        <w:t>X07A (</w:t>
      </w:r>
      <w:r w:rsidR="007E3821" w:rsidRPr="007E3821">
        <w:rPr>
          <w:color w:val="000000"/>
          <w:szCs w:val="22"/>
        </w:rPr>
        <w:t>Skin Grafts for Injuries Excluding Hand, Major Complexity</w:t>
      </w:r>
      <w:r>
        <w:rPr>
          <w:color w:val="000000"/>
          <w:szCs w:val="22"/>
        </w:rPr>
        <w:t>)</w:t>
      </w:r>
    </w:p>
    <w:p w14:paraId="29C0BF19" w14:textId="5C3EF672" w:rsidR="007E3821" w:rsidRPr="007E3821" w:rsidRDefault="00AE0155" w:rsidP="007B51EC">
      <w:pPr>
        <w:pStyle w:val="ListParagraph"/>
        <w:numPr>
          <w:ilvl w:val="0"/>
          <w:numId w:val="14"/>
        </w:numPr>
        <w:spacing w:before="60" w:after="60"/>
        <w:ind w:left="357" w:hanging="357"/>
        <w:rPr>
          <w:szCs w:val="22"/>
        </w:rPr>
      </w:pPr>
      <w:r>
        <w:rPr>
          <w:szCs w:val="22"/>
        </w:rPr>
        <w:t>L09A (</w:t>
      </w:r>
      <w:r w:rsidR="007E3821" w:rsidRPr="007E3821">
        <w:rPr>
          <w:color w:val="000000"/>
          <w:szCs w:val="22"/>
        </w:rPr>
        <w:t>Other Procedures for Kidney and Urinary Tract Disorders, Major Complexity</w:t>
      </w:r>
      <w:r>
        <w:rPr>
          <w:color w:val="000000"/>
          <w:szCs w:val="22"/>
        </w:rPr>
        <w:t>)</w:t>
      </w:r>
    </w:p>
    <w:p w14:paraId="4BC5A833" w14:textId="0CA52DB4" w:rsidR="007E3821" w:rsidRPr="007E3821" w:rsidRDefault="00AE0155" w:rsidP="007B51EC">
      <w:pPr>
        <w:pStyle w:val="ListParagraph"/>
        <w:numPr>
          <w:ilvl w:val="0"/>
          <w:numId w:val="14"/>
        </w:numPr>
        <w:spacing w:before="60" w:after="60"/>
        <w:ind w:left="357" w:hanging="357"/>
        <w:rPr>
          <w:szCs w:val="22"/>
        </w:rPr>
      </w:pPr>
      <w:r>
        <w:rPr>
          <w:szCs w:val="22"/>
        </w:rPr>
        <w:t>F04A (</w:t>
      </w:r>
      <w:r w:rsidR="007E3821" w:rsidRPr="007E3821">
        <w:rPr>
          <w:color w:val="000000"/>
          <w:szCs w:val="22"/>
        </w:rPr>
        <w:t>Cardiac Valve Procedures W CPB Pump W/O Invasive Cardiac Invest, Major Comp</w:t>
      </w:r>
      <w:r>
        <w:rPr>
          <w:color w:val="000000"/>
          <w:szCs w:val="22"/>
        </w:rPr>
        <w:t>)</w:t>
      </w:r>
    </w:p>
    <w:p w14:paraId="25DE80FB" w14:textId="7EA6E93E" w:rsidR="007E3821" w:rsidRPr="00D73ECD" w:rsidRDefault="00AE0155" w:rsidP="007B51EC">
      <w:pPr>
        <w:pStyle w:val="ListParagraph"/>
        <w:numPr>
          <w:ilvl w:val="0"/>
          <w:numId w:val="14"/>
        </w:numPr>
        <w:ind w:left="357" w:hanging="357"/>
        <w:rPr>
          <w:szCs w:val="22"/>
        </w:rPr>
      </w:pPr>
      <w:r>
        <w:rPr>
          <w:szCs w:val="22"/>
        </w:rPr>
        <w:t>H01A (</w:t>
      </w:r>
      <w:r w:rsidR="007E3821" w:rsidRPr="007E3821">
        <w:rPr>
          <w:color w:val="000000"/>
          <w:szCs w:val="22"/>
        </w:rPr>
        <w:t>Pancreas, Liver and Shunt Procedures, Major Complexity</w:t>
      </w:r>
      <w:r>
        <w:rPr>
          <w:color w:val="000000"/>
          <w:szCs w:val="22"/>
        </w:rPr>
        <w:t>).</w:t>
      </w:r>
    </w:p>
    <w:p w14:paraId="70A5BA24" w14:textId="07B34901" w:rsidR="00D73ECD" w:rsidRPr="00D73ECD" w:rsidRDefault="003D29E9" w:rsidP="00D73ECD">
      <w:pPr>
        <w:rPr>
          <w:szCs w:val="22"/>
        </w:rPr>
      </w:pPr>
      <w:r>
        <w:rPr>
          <w:szCs w:val="22"/>
        </w:rPr>
        <w:t>Of the DRGs above, t</w:t>
      </w:r>
      <w:r w:rsidR="00D73ECD">
        <w:rPr>
          <w:szCs w:val="22"/>
        </w:rPr>
        <w:t xml:space="preserve">he biggest movement </w:t>
      </w:r>
      <w:r w:rsidR="003C059B">
        <w:rPr>
          <w:szCs w:val="22"/>
        </w:rPr>
        <w:t>was</w:t>
      </w:r>
      <w:r w:rsidR="00D73ECD">
        <w:rPr>
          <w:szCs w:val="22"/>
        </w:rPr>
        <w:t xml:space="preserve"> B83A, which moved</w:t>
      </w:r>
      <w:r>
        <w:rPr>
          <w:szCs w:val="22"/>
        </w:rPr>
        <w:t xml:space="preserve"> from a rank of 98 in Round 20, </w:t>
      </w:r>
      <w:r w:rsidR="00D73ECD">
        <w:rPr>
          <w:szCs w:val="22"/>
        </w:rPr>
        <w:t>with a miscellaneous cost weight of 3</w:t>
      </w:r>
      <w:r>
        <w:rPr>
          <w:szCs w:val="22"/>
        </w:rPr>
        <w:t xml:space="preserve">.19 to a rank of 7 in Round 21, </w:t>
      </w:r>
      <w:r w:rsidR="00D73ECD">
        <w:rPr>
          <w:szCs w:val="22"/>
        </w:rPr>
        <w:t xml:space="preserve">with a miscellaneous cost weight of 8.44. The movement </w:t>
      </w:r>
      <w:r w:rsidR="003C059B">
        <w:rPr>
          <w:szCs w:val="22"/>
        </w:rPr>
        <w:t>was</w:t>
      </w:r>
      <w:r w:rsidR="00D73ECD">
        <w:rPr>
          <w:szCs w:val="22"/>
        </w:rPr>
        <w:t xml:space="preserve"> likely due to the low number of population-adjusted separations in this DRG (54 in Round 21) leading to volatility.</w:t>
      </w:r>
    </w:p>
    <w:p w14:paraId="65AA72DD" w14:textId="77777777" w:rsidR="00D363C9" w:rsidRPr="00E4527E" w:rsidRDefault="00D363C9" w:rsidP="00D42284">
      <w:pPr>
        <w:rPr>
          <w:highlight w:val="yellow"/>
        </w:rPr>
      </w:pPr>
    </w:p>
    <w:p w14:paraId="5705796D" w14:textId="77777777" w:rsidR="00D363C9" w:rsidRPr="00E4527E" w:rsidRDefault="00D363C9" w:rsidP="00D42284">
      <w:pPr>
        <w:rPr>
          <w:highlight w:val="yellow"/>
        </w:rPr>
        <w:sectPr w:rsidR="00D363C9" w:rsidRPr="00E4527E" w:rsidSect="00384647">
          <w:pgSz w:w="11907" w:h="16840" w:code="9"/>
          <w:pgMar w:top="1843" w:right="1440" w:bottom="1021" w:left="1021" w:header="680" w:footer="510" w:gutter="0"/>
          <w:cols w:space="708"/>
          <w:docGrid w:linePitch="360"/>
        </w:sectPr>
      </w:pPr>
    </w:p>
    <w:p w14:paraId="0CE4A285" w14:textId="05D61628" w:rsidR="00A24567" w:rsidRPr="00C55807" w:rsidRDefault="006654BA" w:rsidP="00E763E2">
      <w:pPr>
        <w:pStyle w:val="TableHeadings3"/>
      </w:pPr>
      <w:bookmarkStart w:id="204" w:name="_Toc497488049"/>
      <w:bookmarkStart w:id="205" w:name="_Toc162003"/>
      <w:r w:rsidRPr="00C55807">
        <w:lastRenderedPageBreak/>
        <w:t>Table 13</w:t>
      </w:r>
      <w:r w:rsidR="008C0756" w:rsidRPr="00C55807">
        <w:t>.</w:t>
      </w:r>
      <w:r w:rsidR="00476F62" w:rsidRPr="00C55807">
        <w:t xml:space="preserve"> Top 20 </w:t>
      </w:r>
      <w:r w:rsidR="005D7320" w:rsidRPr="00C55807">
        <w:t>DRGs for miscellaneous (Misc.) cost bucket</w:t>
      </w:r>
      <w:bookmarkEnd w:id="204"/>
      <w:bookmarkEnd w:id="205"/>
      <w:r w:rsidR="005D7320" w:rsidRPr="00C55807">
        <w:t xml:space="preserve"> </w:t>
      </w:r>
    </w:p>
    <w:tbl>
      <w:tblPr>
        <w:tblW w:w="14766" w:type="dxa"/>
        <w:tblInd w:w="59" w:type="dxa"/>
        <w:tblLook w:val="04A0" w:firstRow="1" w:lastRow="0" w:firstColumn="1" w:lastColumn="0" w:noHBand="0" w:noVBand="1"/>
      </w:tblPr>
      <w:tblGrid>
        <w:gridCol w:w="660"/>
        <w:gridCol w:w="758"/>
        <w:gridCol w:w="605"/>
        <w:gridCol w:w="5182"/>
        <w:gridCol w:w="308"/>
        <w:gridCol w:w="567"/>
        <w:gridCol w:w="839"/>
        <w:gridCol w:w="702"/>
        <w:gridCol w:w="702"/>
        <w:gridCol w:w="702"/>
        <w:gridCol w:w="702"/>
        <w:gridCol w:w="706"/>
        <w:gridCol w:w="730"/>
        <w:gridCol w:w="901"/>
        <w:gridCol w:w="702"/>
      </w:tblGrid>
      <w:tr w:rsidR="00532BC8" w:rsidRPr="00E4527E" w14:paraId="6B724DA7" w14:textId="77777777" w:rsidTr="008C0756">
        <w:tc>
          <w:tcPr>
            <w:tcW w:w="660" w:type="dxa"/>
            <w:vMerge w:val="restart"/>
            <w:tcBorders>
              <w:top w:val="single" w:sz="4" w:space="0" w:color="auto"/>
              <w:left w:val="nil"/>
              <w:bottom w:val="single" w:sz="4" w:space="0" w:color="000000"/>
              <w:right w:val="nil"/>
            </w:tcBorders>
            <w:shd w:val="clear" w:color="000000" w:fill="FFFFFF"/>
            <w:hideMark/>
          </w:tcPr>
          <w:p w14:paraId="20BDA3DA" w14:textId="7DBA622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 xml:space="preserve">Top 20 Round </w:t>
            </w:r>
            <w:r w:rsidR="00C55807" w:rsidRPr="00C55807">
              <w:rPr>
                <w:b/>
                <w:bCs/>
                <w:color w:val="000000"/>
                <w:sz w:val="14"/>
                <w:szCs w:val="14"/>
                <w:lang w:val="en-US" w:eastAsia="en-US"/>
              </w:rPr>
              <w:t>20</w:t>
            </w:r>
          </w:p>
        </w:tc>
        <w:tc>
          <w:tcPr>
            <w:tcW w:w="758" w:type="dxa"/>
            <w:vMerge w:val="restart"/>
            <w:tcBorders>
              <w:top w:val="single" w:sz="4" w:space="0" w:color="auto"/>
              <w:left w:val="nil"/>
              <w:bottom w:val="single" w:sz="4" w:space="0" w:color="000000"/>
              <w:right w:val="nil"/>
            </w:tcBorders>
            <w:shd w:val="clear" w:color="000000" w:fill="FFFFFF"/>
            <w:hideMark/>
          </w:tcPr>
          <w:p w14:paraId="26439719" w14:textId="4D307CA5"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Rank Round 2</w:t>
            </w:r>
            <w:r w:rsidR="00C55807" w:rsidRPr="00C55807">
              <w:rPr>
                <w:b/>
                <w:bCs/>
                <w:color w:val="000000"/>
                <w:sz w:val="14"/>
                <w:szCs w:val="14"/>
                <w:lang w:val="en-US" w:eastAsia="en-US"/>
              </w:rPr>
              <w:t>1</w:t>
            </w:r>
          </w:p>
        </w:tc>
        <w:tc>
          <w:tcPr>
            <w:tcW w:w="605" w:type="dxa"/>
            <w:vMerge w:val="restart"/>
            <w:tcBorders>
              <w:top w:val="single" w:sz="4" w:space="0" w:color="auto"/>
              <w:left w:val="nil"/>
              <w:bottom w:val="single" w:sz="4" w:space="0" w:color="000000"/>
              <w:right w:val="nil"/>
            </w:tcBorders>
            <w:shd w:val="clear" w:color="000000" w:fill="FFFFFF"/>
            <w:hideMark/>
          </w:tcPr>
          <w:p w14:paraId="0A0856B4" w14:textId="6F86E100" w:rsidR="00532BC8" w:rsidRPr="00C55807" w:rsidRDefault="00532BC8" w:rsidP="00D407E3">
            <w:pPr>
              <w:spacing w:after="0" w:line="240" w:lineRule="auto"/>
              <w:rPr>
                <w:b/>
                <w:bCs/>
                <w:color w:val="000000"/>
                <w:sz w:val="14"/>
                <w:szCs w:val="14"/>
                <w:lang w:val="en-US" w:eastAsia="en-US"/>
              </w:rPr>
            </w:pPr>
            <w:r w:rsidRPr="00C55807">
              <w:rPr>
                <w:b/>
                <w:bCs/>
                <w:color w:val="000000"/>
                <w:sz w:val="14"/>
                <w:szCs w:val="14"/>
                <w:lang w:val="en-US" w:eastAsia="en-US"/>
              </w:rPr>
              <w:t>DRG</w:t>
            </w:r>
          </w:p>
        </w:tc>
        <w:tc>
          <w:tcPr>
            <w:tcW w:w="5182" w:type="dxa"/>
            <w:vMerge w:val="restart"/>
            <w:tcBorders>
              <w:top w:val="single" w:sz="4" w:space="0" w:color="auto"/>
              <w:left w:val="nil"/>
              <w:bottom w:val="single" w:sz="4" w:space="0" w:color="000000"/>
              <w:right w:val="nil"/>
            </w:tcBorders>
            <w:shd w:val="clear" w:color="000000" w:fill="FFFFFF"/>
            <w:noWrap/>
            <w:hideMark/>
          </w:tcPr>
          <w:p w14:paraId="7CF2E8D7" w14:textId="313ADD5D"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DRG Description</w:t>
            </w:r>
          </w:p>
        </w:tc>
        <w:tc>
          <w:tcPr>
            <w:tcW w:w="875" w:type="dxa"/>
            <w:gridSpan w:val="2"/>
            <w:vMerge w:val="restart"/>
            <w:tcBorders>
              <w:top w:val="single" w:sz="4" w:space="0" w:color="auto"/>
              <w:left w:val="nil"/>
              <w:bottom w:val="single" w:sz="4" w:space="0" w:color="000000"/>
              <w:right w:val="nil"/>
            </w:tcBorders>
            <w:shd w:val="clear" w:color="000000" w:fill="FFFFFF"/>
            <w:hideMark/>
          </w:tcPr>
          <w:p w14:paraId="0DDB7BD1" w14:textId="7777777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Miscell-aneous cost weight</w:t>
            </w:r>
            <w:r w:rsidRPr="00C55807">
              <w:rPr>
                <w:b/>
                <w:bCs/>
                <w:color w:val="000000"/>
                <w:sz w:val="14"/>
                <w:szCs w:val="14"/>
                <w:lang w:val="en-US" w:eastAsia="en-US"/>
              </w:rPr>
              <w:br/>
              <w:t>(a)</w:t>
            </w:r>
          </w:p>
        </w:tc>
        <w:tc>
          <w:tcPr>
            <w:tcW w:w="839" w:type="dxa"/>
            <w:vMerge w:val="restart"/>
            <w:tcBorders>
              <w:top w:val="single" w:sz="4" w:space="0" w:color="auto"/>
              <w:left w:val="nil"/>
              <w:bottom w:val="single" w:sz="4" w:space="0" w:color="000000"/>
              <w:right w:val="nil"/>
            </w:tcBorders>
            <w:shd w:val="clear" w:color="000000" w:fill="FFFFFF"/>
            <w:hideMark/>
          </w:tcPr>
          <w:p w14:paraId="3829B035" w14:textId="7777777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No. of weighted seps</w:t>
            </w:r>
            <w:r w:rsidRPr="00C55807">
              <w:rPr>
                <w:b/>
                <w:bCs/>
                <w:color w:val="000000"/>
                <w:sz w:val="14"/>
                <w:szCs w:val="14"/>
                <w:lang w:val="en-US" w:eastAsia="en-US"/>
              </w:rPr>
              <w:br/>
              <w:t>(b)</w:t>
            </w:r>
          </w:p>
        </w:tc>
        <w:tc>
          <w:tcPr>
            <w:tcW w:w="702" w:type="dxa"/>
            <w:vMerge w:val="restart"/>
            <w:tcBorders>
              <w:top w:val="single" w:sz="4" w:space="0" w:color="auto"/>
              <w:left w:val="nil"/>
              <w:bottom w:val="single" w:sz="4" w:space="0" w:color="000000"/>
              <w:right w:val="nil"/>
            </w:tcBorders>
            <w:shd w:val="clear" w:color="000000" w:fill="FFFFFF"/>
            <w:hideMark/>
          </w:tcPr>
          <w:p w14:paraId="3259AC55" w14:textId="7777777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Overall cost weight</w:t>
            </w:r>
            <w:r w:rsidRPr="00C55807">
              <w:rPr>
                <w:b/>
                <w:bCs/>
                <w:color w:val="000000"/>
                <w:sz w:val="14"/>
                <w:szCs w:val="14"/>
                <w:lang w:val="en-US" w:eastAsia="en-US"/>
              </w:rPr>
              <w:br/>
              <w:t>(c)</w:t>
            </w:r>
          </w:p>
        </w:tc>
        <w:tc>
          <w:tcPr>
            <w:tcW w:w="702" w:type="dxa"/>
            <w:vMerge w:val="restart"/>
            <w:tcBorders>
              <w:top w:val="single" w:sz="4" w:space="0" w:color="auto"/>
              <w:left w:val="nil"/>
              <w:bottom w:val="single" w:sz="4" w:space="0" w:color="000000"/>
              <w:right w:val="single" w:sz="4" w:space="0" w:color="000000"/>
            </w:tcBorders>
            <w:shd w:val="clear" w:color="000000" w:fill="FFFFFF"/>
            <w:hideMark/>
          </w:tcPr>
          <w:p w14:paraId="353512DE" w14:textId="7777777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ALoS (days)</w:t>
            </w:r>
            <w:r w:rsidRPr="00C55807">
              <w:rPr>
                <w:b/>
                <w:bCs/>
                <w:color w:val="000000"/>
                <w:sz w:val="14"/>
                <w:szCs w:val="14"/>
                <w:lang w:val="en-US" w:eastAsia="en-US"/>
              </w:rPr>
              <w:br/>
              <w:t>(d)</w:t>
            </w:r>
          </w:p>
        </w:tc>
        <w:tc>
          <w:tcPr>
            <w:tcW w:w="2840" w:type="dxa"/>
            <w:gridSpan w:val="4"/>
            <w:tcBorders>
              <w:top w:val="single" w:sz="4" w:space="0" w:color="auto"/>
              <w:left w:val="single" w:sz="4" w:space="0" w:color="000000"/>
              <w:bottom w:val="single" w:sz="4" w:space="0" w:color="auto"/>
              <w:right w:val="nil"/>
            </w:tcBorders>
            <w:shd w:val="clear" w:color="000000" w:fill="FFFFFF"/>
            <w:noWrap/>
            <w:hideMark/>
          </w:tcPr>
          <w:p w14:paraId="5021AE42" w14:textId="1A7022BD" w:rsidR="00532BC8" w:rsidRPr="00C55807" w:rsidRDefault="00476F62"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 xml:space="preserve">% of </w:t>
            </w:r>
            <w:r w:rsidR="00532BC8" w:rsidRPr="00C55807">
              <w:rPr>
                <w:b/>
                <w:bCs/>
                <w:color w:val="000000"/>
                <w:sz w:val="14"/>
                <w:szCs w:val="14"/>
                <w:lang w:val="en-US" w:eastAsia="en-US"/>
              </w:rPr>
              <w:t>DRG total cost</w:t>
            </w:r>
          </w:p>
        </w:tc>
        <w:tc>
          <w:tcPr>
            <w:tcW w:w="901" w:type="dxa"/>
            <w:vMerge w:val="restart"/>
            <w:tcBorders>
              <w:top w:val="single" w:sz="4" w:space="0" w:color="auto"/>
              <w:left w:val="single" w:sz="4" w:space="0" w:color="auto"/>
              <w:bottom w:val="single" w:sz="4" w:space="0" w:color="000000"/>
              <w:right w:val="nil"/>
            </w:tcBorders>
            <w:shd w:val="clear" w:color="000000" w:fill="FFFFFF"/>
            <w:hideMark/>
          </w:tcPr>
          <w:p w14:paraId="3726EB20" w14:textId="4E8588DF" w:rsidR="00532BC8" w:rsidRPr="00C55807" w:rsidRDefault="00A330F5" w:rsidP="00D407E3">
            <w:pPr>
              <w:spacing w:after="0" w:line="240" w:lineRule="auto"/>
              <w:jc w:val="center"/>
              <w:rPr>
                <w:b/>
                <w:bCs/>
                <w:color w:val="000000"/>
                <w:sz w:val="14"/>
                <w:szCs w:val="14"/>
                <w:lang w:val="en-US" w:eastAsia="en-US"/>
              </w:rPr>
            </w:pPr>
            <w:r>
              <w:rPr>
                <w:b/>
                <w:bCs/>
                <w:color w:val="000000"/>
                <w:sz w:val="14"/>
                <w:szCs w:val="14"/>
                <w:lang w:val="en-US" w:eastAsia="en-US"/>
              </w:rPr>
              <w:t>M</w:t>
            </w:r>
            <w:r w:rsidR="00532BC8" w:rsidRPr="00C55807">
              <w:rPr>
                <w:b/>
                <w:bCs/>
                <w:color w:val="000000"/>
                <w:sz w:val="14"/>
                <w:szCs w:val="14"/>
                <w:lang w:val="en-US" w:eastAsia="en-US"/>
              </w:rPr>
              <w:t>iscellan-eous cost weight</w:t>
            </w:r>
            <w:r>
              <w:rPr>
                <w:b/>
                <w:bCs/>
                <w:color w:val="000000"/>
                <w:sz w:val="14"/>
                <w:szCs w:val="14"/>
                <w:lang w:val="en-US" w:eastAsia="en-US"/>
              </w:rPr>
              <w:t xml:space="preserve"> </w:t>
            </w:r>
            <w:r w:rsidRPr="001720A8">
              <w:rPr>
                <w:b/>
                <w:bCs/>
                <w:color w:val="000000"/>
                <w:sz w:val="14"/>
                <w:szCs w:val="14"/>
                <w:lang w:val="en-US" w:eastAsia="en-US"/>
              </w:rPr>
              <w:t>Round 20</w:t>
            </w:r>
          </w:p>
        </w:tc>
        <w:tc>
          <w:tcPr>
            <w:tcW w:w="702" w:type="dxa"/>
            <w:vMerge w:val="restart"/>
            <w:tcBorders>
              <w:top w:val="single" w:sz="4" w:space="0" w:color="auto"/>
              <w:left w:val="nil"/>
              <w:bottom w:val="single" w:sz="4" w:space="0" w:color="000000"/>
              <w:right w:val="nil"/>
            </w:tcBorders>
            <w:shd w:val="clear" w:color="000000" w:fill="FFFFFF"/>
            <w:hideMark/>
          </w:tcPr>
          <w:p w14:paraId="6B16F999" w14:textId="09B6D0E7" w:rsidR="00532BC8" w:rsidRPr="00C55807" w:rsidRDefault="00532BC8" w:rsidP="00D407E3">
            <w:pPr>
              <w:spacing w:after="0" w:line="240" w:lineRule="auto"/>
              <w:jc w:val="center"/>
              <w:rPr>
                <w:b/>
                <w:bCs/>
                <w:color w:val="000000"/>
                <w:sz w:val="14"/>
                <w:szCs w:val="14"/>
                <w:lang w:val="en-US" w:eastAsia="en-US"/>
              </w:rPr>
            </w:pPr>
            <w:r w:rsidRPr="00C55807">
              <w:rPr>
                <w:b/>
                <w:bCs/>
                <w:color w:val="000000"/>
                <w:sz w:val="14"/>
                <w:szCs w:val="14"/>
                <w:lang w:val="en-US" w:eastAsia="en-US"/>
              </w:rPr>
              <w:t>R</w:t>
            </w:r>
            <w:r w:rsidR="00C55807" w:rsidRPr="00C55807">
              <w:rPr>
                <w:b/>
                <w:bCs/>
                <w:color w:val="000000"/>
                <w:sz w:val="14"/>
                <w:szCs w:val="14"/>
                <w:lang w:val="en-US" w:eastAsia="en-US"/>
              </w:rPr>
              <w:t>ank Round 20</w:t>
            </w:r>
          </w:p>
        </w:tc>
      </w:tr>
      <w:tr w:rsidR="00532BC8" w:rsidRPr="00E4527E" w14:paraId="629BEDE1" w14:textId="77777777" w:rsidTr="008C0756">
        <w:trPr>
          <w:trHeight w:val="380"/>
        </w:trPr>
        <w:tc>
          <w:tcPr>
            <w:tcW w:w="660" w:type="dxa"/>
            <w:vMerge/>
            <w:tcBorders>
              <w:top w:val="single" w:sz="4" w:space="0" w:color="auto"/>
              <w:left w:val="nil"/>
              <w:bottom w:val="single" w:sz="4" w:space="0" w:color="000000"/>
              <w:right w:val="nil"/>
            </w:tcBorders>
            <w:vAlign w:val="center"/>
            <w:hideMark/>
          </w:tcPr>
          <w:p w14:paraId="1B19EF3D" w14:textId="77777777" w:rsidR="00532BC8" w:rsidRPr="00C55807" w:rsidRDefault="00532BC8" w:rsidP="00532BC8">
            <w:pPr>
              <w:rPr>
                <w:b/>
                <w:bCs/>
                <w:color w:val="000000"/>
                <w:sz w:val="14"/>
                <w:szCs w:val="14"/>
                <w:lang w:val="en-US" w:eastAsia="en-US"/>
              </w:rPr>
            </w:pPr>
          </w:p>
        </w:tc>
        <w:tc>
          <w:tcPr>
            <w:tcW w:w="758" w:type="dxa"/>
            <w:vMerge/>
            <w:tcBorders>
              <w:top w:val="single" w:sz="4" w:space="0" w:color="auto"/>
              <w:left w:val="nil"/>
              <w:bottom w:val="single" w:sz="4" w:space="0" w:color="000000"/>
              <w:right w:val="nil"/>
            </w:tcBorders>
            <w:vAlign w:val="center"/>
            <w:hideMark/>
          </w:tcPr>
          <w:p w14:paraId="4CFBBC78" w14:textId="77777777" w:rsidR="00532BC8" w:rsidRPr="00C55807" w:rsidRDefault="00532BC8" w:rsidP="00532BC8">
            <w:pPr>
              <w:rPr>
                <w:b/>
                <w:bCs/>
                <w:color w:val="000000"/>
                <w:sz w:val="14"/>
                <w:szCs w:val="14"/>
                <w:lang w:val="en-US" w:eastAsia="en-US"/>
              </w:rPr>
            </w:pPr>
          </w:p>
        </w:tc>
        <w:tc>
          <w:tcPr>
            <w:tcW w:w="605" w:type="dxa"/>
            <w:vMerge/>
            <w:tcBorders>
              <w:top w:val="single" w:sz="4" w:space="0" w:color="auto"/>
              <w:left w:val="nil"/>
              <w:bottom w:val="single" w:sz="4" w:space="0" w:color="000000"/>
              <w:right w:val="nil"/>
            </w:tcBorders>
            <w:vAlign w:val="center"/>
            <w:hideMark/>
          </w:tcPr>
          <w:p w14:paraId="707A221B" w14:textId="77777777" w:rsidR="00532BC8" w:rsidRPr="00C55807" w:rsidRDefault="00532BC8" w:rsidP="00532BC8">
            <w:pPr>
              <w:rPr>
                <w:b/>
                <w:bCs/>
                <w:color w:val="000000"/>
                <w:sz w:val="14"/>
                <w:szCs w:val="14"/>
                <w:lang w:val="en-US" w:eastAsia="en-US"/>
              </w:rPr>
            </w:pPr>
          </w:p>
        </w:tc>
        <w:tc>
          <w:tcPr>
            <w:tcW w:w="5182" w:type="dxa"/>
            <w:vMerge/>
            <w:tcBorders>
              <w:top w:val="single" w:sz="4" w:space="0" w:color="auto"/>
              <w:left w:val="nil"/>
              <w:bottom w:val="single" w:sz="4" w:space="0" w:color="000000"/>
              <w:right w:val="nil"/>
            </w:tcBorders>
            <w:vAlign w:val="center"/>
            <w:hideMark/>
          </w:tcPr>
          <w:p w14:paraId="187B4FD6" w14:textId="77777777" w:rsidR="00532BC8" w:rsidRPr="00C55807" w:rsidRDefault="00532BC8" w:rsidP="00532BC8">
            <w:pPr>
              <w:rPr>
                <w:b/>
                <w:bCs/>
                <w:color w:val="000000"/>
                <w:sz w:val="14"/>
                <w:szCs w:val="14"/>
                <w:lang w:val="en-US" w:eastAsia="en-US"/>
              </w:rPr>
            </w:pPr>
          </w:p>
        </w:tc>
        <w:tc>
          <w:tcPr>
            <w:tcW w:w="875" w:type="dxa"/>
            <w:gridSpan w:val="2"/>
            <w:vMerge/>
            <w:tcBorders>
              <w:top w:val="single" w:sz="4" w:space="0" w:color="auto"/>
              <w:left w:val="nil"/>
              <w:bottom w:val="single" w:sz="4" w:space="0" w:color="000000"/>
              <w:right w:val="nil"/>
            </w:tcBorders>
            <w:vAlign w:val="center"/>
            <w:hideMark/>
          </w:tcPr>
          <w:p w14:paraId="4DB2791E" w14:textId="77777777" w:rsidR="00532BC8" w:rsidRPr="00C55807" w:rsidRDefault="00532BC8" w:rsidP="00532BC8">
            <w:pPr>
              <w:rPr>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52DD4C76" w14:textId="77777777" w:rsidR="00532BC8" w:rsidRPr="00C55807"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0ECB3F89" w14:textId="77777777" w:rsidR="00532BC8" w:rsidRPr="00C55807"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single" w:sz="4" w:space="0" w:color="000000"/>
            </w:tcBorders>
            <w:vAlign w:val="center"/>
            <w:hideMark/>
          </w:tcPr>
          <w:p w14:paraId="26511721" w14:textId="77777777" w:rsidR="00532BC8" w:rsidRPr="00C55807" w:rsidRDefault="00532BC8" w:rsidP="00532BC8">
            <w:pPr>
              <w:rPr>
                <w:b/>
                <w:bCs/>
                <w:color w:val="000000"/>
                <w:sz w:val="14"/>
                <w:szCs w:val="14"/>
                <w:lang w:val="en-US" w:eastAsia="en-US"/>
              </w:rPr>
            </w:pPr>
          </w:p>
        </w:tc>
        <w:tc>
          <w:tcPr>
            <w:tcW w:w="702" w:type="dxa"/>
            <w:tcBorders>
              <w:top w:val="nil"/>
              <w:left w:val="single" w:sz="4" w:space="0" w:color="000000"/>
              <w:bottom w:val="single" w:sz="4" w:space="0" w:color="000000"/>
              <w:right w:val="nil"/>
            </w:tcBorders>
            <w:shd w:val="clear" w:color="000000" w:fill="FFFFFF"/>
            <w:hideMark/>
          </w:tcPr>
          <w:p w14:paraId="0FF114D9" w14:textId="77777777" w:rsidR="00532BC8" w:rsidRPr="00C55807" w:rsidRDefault="00532BC8" w:rsidP="00D407E3">
            <w:pPr>
              <w:spacing w:line="240" w:lineRule="auto"/>
              <w:jc w:val="center"/>
              <w:rPr>
                <w:b/>
                <w:bCs/>
                <w:color w:val="000000"/>
                <w:sz w:val="14"/>
                <w:szCs w:val="14"/>
                <w:lang w:val="en-US" w:eastAsia="en-US"/>
              </w:rPr>
            </w:pPr>
            <w:r w:rsidRPr="00C55807">
              <w:rPr>
                <w:b/>
                <w:bCs/>
                <w:color w:val="000000"/>
                <w:sz w:val="14"/>
                <w:szCs w:val="14"/>
                <w:lang w:val="en-US" w:eastAsia="en-US"/>
              </w:rPr>
              <w:t>OR and SPS</w:t>
            </w:r>
          </w:p>
        </w:tc>
        <w:tc>
          <w:tcPr>
            <w:tcW w:w="702" w:type="dxa"/>
            <w:tcBorders>
              <w:top w:val="nil"/>
              <w:left w:val="nil"/>
              <w:bottom w:val="single" w:sz="4" w:space="0" w:color="000000"/>
              <w:right w:val="nil"/>
            </w:tcBorders>
            <w:shd w:val="clear" w:color="000000" w:fill="FFFFFF"/>
            <w:hideMark/>
          </w:tcPr>
          <w:p w14:paraId="2EB983BA" w14:textId="77777777" w:rsidR="00532BC8" w:rsidRPr="00C55807" w:rsidRDefault="00532BC8" w:rsidP="00D407E3">
            <w:pPr>
              <w:spacing w:line="240" w:lineRule="auto"/>
              <w:jc w:val="center"/>
              <w:rPr>
                <w:b/>
                <w:bCs/>
                <w:color w:val="000000"/>
                <w:sz w:val="14"/>
                <w:szCs w:val="14"/>
                <w:lang w:val="en-US" w:eastAsia="en-US"/>
              </w:rPr>
            </w:pPr>
            <w:r w:rsidRPr="00C55807">
              <w:rPr>
                <w:b/>
                <w:bCs/>
                <w:color w:val="000000"/>
                <w:sz w:val="14"/>
                <w:szCs w:val="14"/>
                <w:lang w:val="en-US" w:eastAsia="en-US"/>
              </w:rPr>
              <w:t>Critical care</w:t>
            </w:r>
          </w:p>
        </w:tc>
        <w:tc>
          <w:tcPr>
            <w:tcW w:w="706" w:type="dxa"/>
            <w:tcBorders>
              <w:top w:val="nil"/>
              <w:left w:val="nil"/>
              <w:bottom w:val="single" w:sz="4" w:space="0" w:color="000000"/>
              <w:right w:val="nil"/>
            </w:tcBorders>
            <w:shd w:val="clear" w:color="000000" w:fill="FFFFFF"/>
            <w:hideMark/>
          </w:tcPr>
          <w:p w14:paraId="1DFF4792" w14:textId="77777777" w:rsidR="00532BC8" w:rsidRPr="00C55807" w:rsidRDefault="00532BC8" w:rsidP="00D407E3">
            <w:pPr>
              <w:spacing w:line="240" w:lineRule="auto"/>
              <w:jc w:val="center"/>
              <w:rPr>
                <w:b/>
                <w:bCs/>
                <w:color w:val="000000"/>
                <w:sz w:val="14"/>
                <w:szCs w:val="14"/>
                <w:lang w:val="en-US" w:eastAsia="en-US"/>
              </w:rPr>
            </w:pPr>
            <w:r w:rsidRPr="00C55807">
              <w:rPr>
                <w:b/>
                <w:bCs/>
                <w:color w:val="000000"/>
                <w:sz w:val="14"/>
                <w:szCs w:val="14"/>
                <w:lang w:val="en-US" w:eastAsia="en-US"/>
              </w:rPr>
              <w:t>Prosth-esis</w:t>
            </w:r>
          </w:p>
        </w:tc>
        <w:tc>
          <w:tcPr>
            <w:tcW w:w="730" w:type="dxa"/>
            <w:tcBorders>
              <w:top w:val="nil"/>
              <w:left w:val="nil"/>
              <w:bottom w:val="single" w:sz="4" w:space="0" w:color="000000"/>
              <w:right w:val="nil"/>
            </w:tcBorders>
            <w:shd w:val="clear" w:color="000000" w:fill="FFFFFF"/>
            <w:hideMark/>
          </w:tcPr>
          <w:p w14:paraId="65696D13" w14:textId="77777777" w:rsidR="00532BC8" w:rsidRPr="00C55807" w:rsidRDefault="00532BC8" w:rsidP="00D407E3">
            <w:pPr>
              <w:spacing w:line="240" w:lineRule="auto"/>
              <w:jc w:val="center"/>
              <w:rPr>
                <w:b/>
                <w:bCs/>
                <w:color w:val="000000"/>
                <w:sz w:val="14"/>
                <w:szCs w:val="14"/>
                <w:lang w:val="en-US" w:eastAsia="en-US"/>
              </w:rPr>
            </w:pPr>
            <w:r w:rsidRPr="00C55807">
              <w:rPr>
                <w:b/>
                <w:bCs/>
                <w:color w:val="000000"/>
                <w:sz w:val="14"/>
                <w:szCs w:val="14"/>
                <w:lang w:val="en-US" w:eastAsia="en-US"/>
              </w:rPr>
              <w:t xml:space="preserve">Miscell-aneous </w:t>
            </w:r>
          </w:p>
        </w:tc>
        <w:tc>
          <w:tcPr>
            <w:tcW w:w="901" w:type="dxa"/>
            <w:vMerge/>
            <w:tcBorders>
              <w:top w:val="single" w:sz="4" w:space="0" w:color="auto"/>
              <w:left w:val="single" w:sz="4" w:space="0" w:color="auto"/>
              <w:bottom w:val="single" w:sz="4" w:space="0" w:color="000000"/>
              <w:right w:val="nil"/>
            </w:tcBorders>
            <w:vAlign w:val="center"/>
            <w:hideMark/>
          </w:tcPr>
          <w:p w14:paraId="188A6538" w14:textId="77777777" w:rsidR="00532BC8" w:rsidRPr="00C55807"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1059DDBA" w14:textId="77777777" w:rsidR="00532BC8" w:rsidRPr="00C55807" w:rsidRDefault="00532BC8" w:rsidP="00532BC8">
            <w:pPr>
              <w:rPr>
                <w:b/>
                <w:bCs/>
                <w:color w:val="000000"/>
                <w:sz w:val="14"/>
                <w:szCs w:val="14"/>
                <w:lang w:val="en-US" w:eastAsia="en-US"/>
              </w:rPr>
            </w:pPr>
          </w:p>
        </w:tc>
      </w:tr>
      <w:tr w:rsidR="00C55807" w:rsidRPr="00E4527E" w14:paraId="58FD2B34" w14:textId="77777777" w:rsidTr="00460980">
        <w:trPr>
          <w:trHeight w:hRule="exact" w:val="249"/>
        </w:trPr>
        <w:tc>
          <w:tcPr>
            <w:tcW w:w="660" w:type="dxa"/>
            <w:tcBorders>
              <w:top w:val="nil"/>
              <w:left w:val="nil"/>
              <w:bottom w:val="nil"/>
              <w:right w:val="nil"/>
            </w:tcBorders>
            <w:shd w:val="clear" w:color="000000" w:fill="FFFFFF"/>
            <w:noWrap/>
            <w:hideMark/>
          </w:tcPr>
          <w:p w14:paraId="29E5BDE3" w14:textId="66225946"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6DB27731" w14:textId="6210CC39" w:rsidR="00C55807" w:rsidRPr="00C55807" w:rsidRDefault="00C55807" w:rsidP="00C55807">
            <w:pPr>
              <w:jc w:val="center"/>
              <w:rPr>
                <w:color w:val="000000"/>
                <w:sz w:val="14"/>
                <w:szCs w:val="14"/>
                <w:lang w:val="en-US" w:eastAsia="en-US"/>
              </w:rPr>
            </w:pPr>
            <w:r w:rsidRPr="00C55807">
              <w:rPr>
                <w:color w:val="000000"/>
                <w:sz w:val="14"/>
                <w:szCs w:val="14"/>
              </w:rPr>
              <w:t>1</w:t>
            </w:r>
          </w:p>
        </w:tc>
        <w:tc>
          <w:tcPr>
            <w:tcW w:w="605" w:type="dxa"/>
            <w:tcBorders>
              <w:top w:val="nil"/>
              <w:left w:val="nil"/>
              <w:bottom w:val="nil"/>
              <w:right w:val="nil"/>
            </w:tcBorders>
            <w:shd w:val="clear" w:color="000000" w:fill="FFFFFF"/>
            <w:noWrap/>
            <w:hideMark/>
          </w:tcPr>
          <w:p w14:paraId="729388CF" w14:textId="38CD698F" w:rsidR="00C55807" w:rsidRPr="00C55807" w:rsidRDefault="00C55807" w:rsidP="00C55807">
            <w:pPr>
              <w:rPr>
                <w:color w:val="000000"/>
                <w:sz w:val="14"/>
                <w:szCs w:val="14"/>
                <w:lang w:val="en-US" w:eastAsia="en-US"/>
              </w:rPr>
            </w:pPr>
            <w:r w:rsidRPr="00C55807">
              <w:rPr>
                <w:color w:val="000000"/>
                <w:sz w:val="14"/>
                <w:szCs w:val="14"/>
              </w:rPr>
              <w:t>A14A</w:t>
            </w:r>
          </w:p>
        </w:tc>
        <w:tc>
          <w:tcPr>
            <w:tcW w:w="5490" w:type="dxa"/>
            <w:gridSpan w:val="2"/>
            <w:tcBorders>
              <w:top w:val="nil"/>
              <w:left w:val="nil"/>
              <w:bottom w:val="nil"/>
              <w:right w:val="nil"/>
            </w:tcBorders>
            <w:shd w:val="clear" w:color="000000" w:fill="FFFFFF"/>
            <w:noWrap/>
            <w:hideMark/>
          </w:tcPr>
          <w:p w14:paraId="20F470B3" w14:textId="212F5300" w:rsidR="00C55807" w:rsidRPr="00C55807" w:rsidRDefault="00C55807" w:rsidP="00C55807">
            <w:pPr>
              <w:rPr>
                <w:color w:val="000000"/>
                <w:sz w:val="14"/>
                <w:szCs w:val="14"/>
                <w:lang w:val="en-US" w:eastAsia="en-US"/>
              </w:rPr>
            </w:pPr>
            <w:r w:rsidRPr="00C55807">
              <w:rPr>
                <w:color w:val="000000"/>
                <w:sz w:val="14"/>
                <w:szCs w:val="14"/>
              </w:rPr>
              <w:t>Ventilation &gt;=96hours &amp; &lt;336hours, Major Complexity</w:t>
            </w:r>
          </w:p>
        </w:tc>
        <w:tc>
          <w:tcPr>
            <w:tcW w:w="567" w:type="dxa"/>
            <w:tcBorders>
              <w:top w:val="nil"/>
              <w:left w:val="nil"/>
              <w:bottom w:val="nil"/>
              <w:right w:val="nil"/>
            </w:tcBorders>
            <w:shd w:val="clear" w:color="000000" w:fill="FFFFFF"/>
            <w:noWrap/>
            <w:hideMark/>
          </w:tcPr>
          <w:p w14:paraId="5C945479" w14:textId="3FBCC976" w:rsidR="00C55807" w:rsidRPr="00C55807" w:rsidRDefault="00C55807" w:rsidP="00C55807">
            <w:pPr>
              <w:jc w:val="right"/>
              <w:rPr>
                <w:b/>
                <w:bCs/>
                <w:color w:val="000000"/>
                <w:sz w:val="14"/>
                <w:szCs w:val="14"/>
                <w:lang w:val="en-US" w:eastAsia="en-US"/>
              </w:rPr>
            </w:pPr>
            <w:r w:rsidRPr="00C55807">
              <w:rPr>
                <w:b/>
                <w:bCs/>
                <w:color w:val="000000"/>
                <w:sz w:val="14"/>
                <w:szCs w:val="14"/>
              </w:rPr>
              <w:t>12.50</w:t>
            </w:r>
          </w:p>
        </w:tc>
        <w:tc>
          <w:tcPr>
            <w:tcW w:w="839" w:type="dxa"/>
            <w:tcBorders>
              <w:top w:val="nil"/>
              <w:left w:val="nil"/>
              <w:bottom w:val="nil"/>
              <w:right w:val="nil"/>
            </w:tcBorders>
            <w:shd w:val="clear" w:color="000000" w:fill="FFFFFF"/>
            <w:noWrap/>
            <w:hideMark/>
          </w:tcPr>
          <w:p w14:paraId="417990CE" w14:textId="61D1761F" w:rsidR="00C55807" w:rsidRPr="00C55807" w:rsidRDefault="00C55807" w:rsidP="00C55807">
            <w:pPr>
              <w:jc w:val="right"/>
              <w:rPr>
                <w:color w:val="000000"/>
                <w:sz w:val="14"/>
                <w:szCs w:val="14"/>
                <w:lang w:val="en-US" w:eastAsia="en-US"/>
              </w:rPr>
            </w:pPr>
            <w:r w:rsidRPr="00C55807">
              <w:rPr>
                <w:color w:val="000000"/>
                <w:sz w:val="14"/>
                <w:szCs w:val="14"/>
              </w:rPr>
              <w:t>165</w:t>
            </w:r>
          </w:p>
        </w:tc>
        <w:tc>
          <w:tcPr>
            <w:tcW w:w="702" w:type="dxa"/>
            <w:tcBorders>
              <w:top w:val="nil"/>
              <w:left w:val="nil"/>
              <w:bottom w:val="nil"/>
              <w:right w:val="nil"/>
            </w:tcBorders>
            <w:shd w:val="clear" w:color="000000" w:fill="FFFFFF"/>
            <w:noWrap/>
            <w:hideMark/>
          </w:tcPr>
          <w:p w14:paraId="6FB5096C" w14:textId="058E97F9" w:rsidR="00C55807" w:rsidRPr="00C55807" w:rsidRDefault="00C55807" w:rsidP="00C55807">
            <w:pPr>
              <w:jc w:val="right"/>
              <w:rPr>
                <w:color w:val="000000"/>
                <w:sz w:val="14"/>
                <w:szCs w:val="14"/>
                <w:lang w:val="en-US" w:eastAsia="en-US"/>
              </w:rPr>
            </w:pPr>
            <w:r w:rsidRPr="00C55807">
              <w:rPr>
                <w:color w:val="000000"/>
                <w:sz w:val="14"/>
                <w:szCs w:val="14"/>
              </w:rPr>
              <w:t>38.79</w:t>
            </w:r>
          </w:p>
        </w:tc>
        <w:tc>
          <w:tcPr>
            <w:tcW w:w="702" w:type="dxa"/>
            <w:tcBorders>
              <w:top w:val="nil"/>
              <w:left w:val="nil"/>
              <w:bottom w:val="nil"/>
              <w:right w:val="nil"/>
            </w:tcBorders>
            <w:shd w:val="clear" w:color="000000" w:fill="FFFFFF"/>
            <w:noWrap/>
            <w:hideMark/>
          </w:tcPr>
          <w:p w14:paraId="0F37653B" w14:textId="358219E2" w:rsidR="00C55807" w:rsidRPr="00C55807" w:rsidRDefault="00C55807" w:rsidP="00C55807">
            <w:pPr>
              <w:jc w:val="right"/>
              <w:rPr>
                <w:color w:val="000000"/>
                <w:sz w:val="14"/>
                <w:szCs w:val="14"/>
                <w:lang w:val="en-US" w:eastAsia="en-US"/>
              </w:rPr>
            </w:pPr>
            <w:r w:rsidRPr="00C55807">
              <w:rPr>
                <w:color w:val="000000"/>
                <w:sz w:val="14"/>
                <w:szCs w:val="14"/>
              </w:rPr>
              <w:t>51.2</w:t>
            </w:r>
          </w:p>
        </w:tc>
        <w:tc>
          <w:tcPr>
            <w:tcW w:w="702" w:type="dxa"/>
            <w:tcBorders>
              <w:top w:val="nil"/>
              <w:left w:val="single" w:sz="4" w:space="0" w:color="000000"/>
              <w:bottom w:val="nil"/>
              <w:right w:val="nil"/>
            </w:tcBorders>
            <w:shd w:val="clear" w:color="000000" w:fill="FFFFFF"/>
            <w:noWrap/>
            <w:hideMark/>
          </w:tcPr>
          <w:p w14:paraId="5B33389C" w14:textId="2010B52F" w:rsidR="00C55807" w:rsidRPr="00C55807" w:rsidRDefault="00C55807" w:rsidP="00C55807">
            <w:pPr>
              <w:jc w:val="right"/>
              <w:rPr>
                <w:color w:val="000000"/>
                <w:sz w:val="14"/>
                <w:szCs w:val="14"/>
                <w:lang w:val="en-US" w:eastAsia="en-US"/>
              </w:rPr>
            </w:pPr>
            <w:r w:rsidRPr="00C55807">
              <w:rPr>
                <w:color w:val="000000"/>
                <w:sz w:val="14"/>
                <w:szCs w:val="14"/>
              </w:rPr>
              <w:t>9%</w:t>
            </w:r>
          </w:p>
        </w:tc>
        <w:tc>
          <w:tcPr>
            <w:tcW w:w="702" w:type="dxa"/>
            <w:tcBorders>
              <w:top w:val="nil"/>
              <w:left w:val="nil"/>
              <w:bottom w:val="nil"/>
              <w:right w:val="nil"/>
            </w:tcBorders>
            <w:shd w:val="clear" w:color="000000" w:fill="FFFFFF"/>
            <w:noWrap/>
            <w:hideMark/>
          </w:tcPr>
          <w:p w14:paraId="570FB101" w14:textId="6EBF64B1" w:rsidR="00C55807" w:rsidRPr="00C55807" w:rsidRDefault="00C55807" w:rsidP="00C55807">
            <w:pPr>
              <w:jc w:val="right"/>
              <w:rPr>
                <w:color w:val="000000"/>
                <w:sz w:val="14"/>
                <w:szCs w:val="14"/>
                <w:lang w:val="en-US" w:eastAsia="en-US"/>
              </w:rPr>
            </w:pPr>
            <w:r w:rsidRPr="00C55807">
              <w:rPr>
                <w:color w:val="000000"/>
                <w:sz w:val="14"/>
                <w:szCs w:val="14"/>
              </w:rPr>
              <w:t>54%</w:t>
            </w:r>
          </w:p>
        </w:tc>
        <w:tc>
          <w:tcPr>
            <w:tcW w:w="706" w:type="dxa"/>
            <w:tcBorders>
              <w:top w:val="nil"/>
              <w:left w:val="nil"/>
              <w:bottom w:val="nil"/>
              <w:right w:val="nil"/>
            </w:tcBorders>
            <w:shd w:val="clear" w:color="000000" w:fill="FFFFFF"/>
            <w:noWrap/>
            <w:hideMark/>
          </w:tcPr>
          <w:p w14:paraId="100668A1" w14:textId="31C18C79" w:rsidR="00C55807" w:rsidRPr="00C55807" w:rsidRDefault="00C55807" w:rsidP="00C55807">
            <w:pPr>
              <w:jc w:val="right"/>
              <w:rPr>
                <w:color w:val="000000"/>
                <w:sz w:val="14"/>
                <w:szCs w:val="14"/>
                <w:lang w:val="en-US" w:eastAsia="en-US"/>
              </w:rPr>
            </w:pPr>
            <w:r w:rsidRPr="00C55807">
              <w:rPr>
                <w:color w:val="000000"/>
                <w:sz w:val="14"/>
                <w:szCs w:val="14"/>
              </w:rPr>
              <w:t>5%</w:t>
            </w:r>
          </w:p>
        </w:tc>
        <w:tc>
          <w:tcPr>
            <w:tcW w:w="730" w:type="dxa"/>
            <w:tcBorders>
              <w:top w:val="nil"/>
              <w:left w:val="nil"/>
              <w:bottom w:val="nil"/>
              <w:right w:val="nil"/>
            </w:tcBorders>
            <w:shd w:val="clear" w:color="000000" w:fill="FFFFFF"/>
            <w:noWrap/>
            <w:hideMark/>
          </w:tcPr>
          <w:p w14:paraId="60E8A63A" w14:textId="76C82CE0" w:rsidR="00C55807" w:rsidRPr="00C55807" w:rsidRDefault="00C55807" w:rsidP="00C55807">
            <w:pPr>
              <w:jc w:val="right"/>
              <w:rPr>
                <w:color w:val="000000"/>
                <w:sz w:val="14"/>
                <w:szCs w:val="14"/>
                <w:lang w:val="en-US" w:eastAsia="en-US"/>
              </w:rPr>
            </w:pPr>
            <w:r w:rsidRPr="00C55807">
              <w:rPr>
                <w:color w:val="000000"/>
                <w:sz w:val="14"/>
                <w:szCs w:val="14"/>
              </w:rPr>
              <w:t>32%</w:t>
            </w:r>
          </w:p>
        </w:tc>
        <w:tc>
          <w:tcPr>
            <w:tcW w:w="901" w:type="dxa"/>
            <w:tcBorders>
              <w:top w:val="nil"/>
              <w:left w:val="single" w:sz="4" w:space="0" w:color="auto"/>
              <w:bottom w:val="nil"/>
              <w:right w:val="nil"/>
            </w:tcBorders>
            <w:shd w:val="clear" w:color="000000" w:fill="FFFFFF"/>
            <w:noWrap/>
            <w:hideMark/>
          </w:tcPr>
          <w:p w14:paraId="583DF2AF" w14:textId="427CAC7C" w:rsidR="00C55807" w:rsidRPr="00C55807" w:rsidRDefault="00C55807" w:rsidP="00C55807">
            <w:pPr>
              <w:jc w:val="right"/>
              <w:rPr>
                <w:color w:val="000000"/>
                <w:sz w:val="14"/>
                <w:szCs w:val="14"/>
                <w:lang w:val="en-US" w:eastAsia="en-US"/>
              </w:rPr>
            </w:pPr>
            <w:r w:rsidRPr="00C55807">
              <w:rPr>
                <w:color w:val="000000"/>
                <w:sz w:val="14"/>
                <w:szCs w:val="14"/>
              </w:rPr>
              <w:t>8.94</w:t>
            </w:r>
          </w:p>
        </w:tc>
        <w:tc>
          <w:tcPr>
            <w:tcW w:w="702" w:type="dxa"/>
            <w:tcBorders>
              <w:top w:val="nil"/>
              <w:left w:val="nil"/>
              <w:bottom w:val="nil"/>
              <w:right w:val="nil"/>
            </w:tcBorders>
            <w:shd w:val="clear" w:color="000000" w:fill="FFFFFF"/>
            <w:noWrap/>
            <w:hideMark/>
          </w:tcPr>
          <w:p w14:paraId="5B9407D4" w14:textId="30BBEFEF" w:rsidR="00C55807" w:rsidRPr="00C55807" w:rsidRDefault="00C55807" w:rsidP="00C55807">
            <w:pPr>
              <w:jc w:val="right"/>
              <w:rPr>
                <w:color w:val="000000"/>
                <w:sz w:val="14"/>
                <w:szCs w:val="14"/>
                <w:lang w:val="en-US" w:eastAsia="en-US"/>
              </w:rPr>
            </w:pPr>
            <w:r w:rsidRPr="00C55807">
              <w:rPr>
                <w:color w:val="000000"/>
                <w:sz w:val="14"/>
                <w:szCs w:val="14"/>
              </w:rPr>
              <w:t xml:space="preserve">3 </w:t>
            </w:r>
          </w:p>
        </w:tc>
      </w:tr>
      <w:tr w:rsidR="00C55807" w:rsidRPr="00E4527E" w14:paraId="525929ED" w14:textId="77777777" w:rsidTr="00F32225">
        <w:trPr>
          <w:trHeight w:hRule="exact" w:val="300"/>
        </w:trPr>
        <w:tc>
          <w:tcPr>
            <w:tcW w:w="660" w:type="dxa"/>
            <w:tcBorders>
              <w:top w:val="nil"/>
              <w:left w:val="nil"/>
              <w:bottom w:val="nil"/>
              <w:right w:val="nil"/>
            </w:tcBorders>
            <w:shd w:val="clear" w:color="000000" w:fill="FFFFFF"/>
            <w:noWrap/>
            <w:hideMark/>
          </w:tcPr>
          <w:p w14:paraId="036F45E8" w14:textId="07A784BA"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5ED98ADA" w14:textId="2C9B0660" w:rsidR="00C55807" w:rsidRPr="00C55807" w:rsidRDefault="00C55807" w:rsidP="00C55807">
            <w:pPr>
              <w:jc w:val="center"/>
              <w:rPr>
                <w:color w:val="000000"/>
                <w:sz w:val="14"/>
                <w:szCs w:val="14"/>
                <w:lang w:val="en-US" w:eastAsia="en-US"/>
              </w:rPr>
            </w:pPr>
            <w:r w:rsidRPr="00C55807">
              <w:rPr>
                <w:color w:val="000000"/>
                <w:sz w:val="14"/>
                <w:szCs w:val="14"/>
              </w:rPr>
              <w:t>2</w:t>
            </w:r>
          </w:p>
        </w:tc>
        <w:tc>
          <w:tcPr>
            <w:tcW w:w="605" w:type="dxa"/>
            <w:tcBorders>
              <w:top w:val="nil"/>
              <w:left w:val="nil"/>
              <w:bottom w:val="nil"/>
              <w:right w:val="nil"/>
            </w:tcBorders>
            <w:shd w:val="clear" w:color="000000" w:fill="FFFFFF"/>
            <w:noWrap/>
            <w:hideMark/>
          </w:tcPr>
          <w:p w14:paraId="5AB0C887" w14:textId="6D80352C" w:rsidR="00C55807" w:rsidRPr="00C55807" w:rsidRDefault="00C55807" w:rsidP="00C55807">
            <w:pPr>
              <w:rPr>
                <w:color w:val="000000"/>
                <w:sz w:val="14"/>
                <w:szCs w:val="14"/>
                <w:lang w:val="en-US" w:eastAsia="en-US"/>
              </w:rPr>
            </w:pPr>
            <w:r w:rsidRPr="00C55807">
              <w:rPr>
                <w:color w:val="000000"/>
                <w:sz w:val="14"/>
                <w:szCs w:val="14"/>
              </w:rPr>
              <w:t>A13A</w:t>
            </w:r>
          </w:p>
        </w:tc>
        <w:tc>
          <w:tcPr>
            <w:tcW w:w="5490" w:type="dxa"/>
            <w:gridSpan w:val="2"/>
            <w:tcBorders>
              <w:top w:val="nil"/>
              <w:left w:val="nil"/>
              <w:bottom w:val="nil"/>
              <w:right w:val="nil"/>
            </w:tcBorders>
            <w:shd w:val="clear" w:color="000000" w:fill="FFFFFF"/>
            <w:noWrap/>
            <w:hideMark/>
          </w:tcPr>
          <w:p w14:paraId="4B09BC22" w14:textId="05BAD61E" w:rsidR="00C55807" w:rsidRPr="00C55807" w:rsidRDefault="00C55807" w:rsidP="00C55807">
            <w:pPr>
              <w:rPr>
                <w:color w:val="000000"/>
                <w:sz w:val="14"/>
                <w:szCs w:val="14"/>
                <w:lang w:val="en-US" w:eastAsia="en-US"/>
              </w:rPr>
            </w:pPr>
            <w:r w:rsidRPr="00C55807">
              <w:rPr>
                <w:color w:val="000000"/>
                <w:sz w:val="14"/>
                <w:szCs w:val="14"/>
              </w:rPr>
              <w:t>Ventilation &gt;=336hours, Major Complexity</w:t>
            </w:r>
          </w:p>
        </w:tc>
        <w:tc>
          <w:tcPr>
            <w:tcW w:w="567" w:type="dxa"/>
            <w:tcBorders>
              <w:top w:val="nil"/>
              <w:left w:val="nil"/>
              <w:bottom w:val="nil"/>
              <w:right w:val="nil"/>
            </w:tcBorders>
            <w:shd w:val="clear" w:color="000000" w:fill="FFFFFF"/>
            <w:noWrap/>
            <w:hideMark/>
          </w:tcPr>
          <w:p w14:paraId="4F833D11" w14:textId="1A0E66AD" w:rsidR="00C55807" w:rsidRPr="00C55807" w:rsidRDefault="00C55807" w:rsidP="00C55807">
            <w:pPr>
              <w:jc w:val="right"/>
              <w:rPr>
                <w:b/>
                <w:bCs/>
                <w:color w:val="000000"/>
                <w:sz w:val="14"/>
                <w:szCs w:val="14"/>
                <w:lang w:val="en-US" w:eastAsia="en-US"/>
              </w:rPr>
            </w:pPr>
            <w:r w:rsidRPr="00C55807">
              <w:rPr>
                <w:b/>
                <w:bCs/>
                <w:color w:val="000000"/>
                <w:sz w:val="14"/>
                <w:szCs w:val="14"/>
              </w:rPr>
              <w:t>12.22</w:t>
            </w:r>
          </w:p>
        </w:tc>
        <w:tc>
          <w:tcPr>
            <w:tcW w:w="839" w:type="dxa"/>
            <w:tcBorders>
              <w:top w:val="nil"/>
              <w:left w:val="nil"/>
              <w:bottom w:val="nil"/>
              <w:right w:val="nil"/>
            </w:tcBorders>
            <w:shd w:val="clear" w:color="000000" w:fill="FFFFFF"/>
            <w:noWrap/>
            <w:hideMark/>
          </w:tcPr>
          <w:p w14:paraId="78CA9169" w14:textId="65802C2F" w:rsidR="00C55807" w:rsidRPr="00C55807" w:rsidRDefault="00C55807" w:rsidP="00C55807">
            <w:pPr>
              <w:jc w:val="right"/>
              <w:rPr>
                <w:color w:val="000000"/>
                <w:sz w:val="14"/>
                <w:szCs w:val="14"/>
                <w:lang w:val="en-US" w:eastAsia="en-US"/>
              </w:rPr>
            </w:pPr>
            <w:r w:rsidRPr="00C55807">
              <w:rPr>
                <w:color w:val="000000"/>
                <w:sz w:val="14"/>
                <w:szCs w:val="14"/>
              </w:rPr>
              <w:t>98</w:t>
            </w:r>
          </w:p>
        </w:tc>
        <w:tc>
          <w:tcPr>
            <w:tcW w:w="702" w:type="dxa"/>
            <w:tcBorders>
              <w:top w:val="nil"/>
              <w:left w:val="nil"/>
              <w:bottom w:val="nil"/>
              <w:right w:val="nil"/>
            </w:tcBorders>
            <w:shd w:val="clear" w:color="000000" w:fill="FFFFFF"/>
            <w:noWrap/>
            <w:hideMark/>
          </w:tcPr>
          <w:p w14:paraId="0E3959FD" w14:textId="0D37AD79" w:rsidR="00C55807" w:rsidRPr="00C55807" w:rsidRDefault="00C55807" w:rsidP="00C55807">
            <w:pPr>
              <w:jc w:val="right"/>
              <w:rPr>
                <w:color w:val="000000"/>
                <w:sz w:val="14"/>
                <w:szCs w:val="14"/>
                <w:lang w:val="en-US" w:eastAsia="en-US"/>
              </w:rPr>
            </w:pPr>
            <w:r w:rsidRPr="00C55807">
              <w:rPr>
                <w:color w:val="000000"/>
                <w:sz w:val="14"/>
                <w:szCs w:val="14"/>
              </w:rPr>
              <w:t>46.60</w:t>
            </w:r>
          </w:p>
        </w:tc>
        <w:tc>
          <w:tcPr>
            <w:tcW w:w="702" w:type="dxa"/>
            <w:tcBorders>
              <w:top w:val="nil"/>
              <w:left w:val="nil"/>
              <w:bottom w:val="nil"/>
              <w:right w:val="nil"/>
            </w:tcBorders>
            <w:shd w:val="clear" w:color="000000" w:fill="FFFFFF"/>
            <w:noWrap/>
            <w:hideMark/>
          </w:tcPr>
          <w:p w14:paraId="493E07AA" w14:textId="1980DCEE" w:rsidR="00C55807" w:rsidRPr="00C55807" w:rsidRDefault="00C55807" w:rsidP="00C55807">
            <w:pPr>
              <w:jc w:val="right"/>
              <w:rPr>
                <w:color w:val="000000"/>
                <w:sz w:val="14"/>
                <w:szCs w:val="14"/>
                <w:lang w:val="en-US" w:eastAsia="en-US"/>
              </w:rPr>
            </w:pPr>
            <w:r w:rsidRPr="00C55807">
              <w:rPr>
                <w:color w:val="000000"/>
                <w:sz w:val="14"/>
                <w:szCs w:val="14"/>
              </w:rPr>
              <w:t>56.7</w:t>
            </w:r>
          </w:p>
        </w:tc>
        <w:tc>
          <w:tcPr>
            <w:tcW w:w="702" w:type="dxa"/>
            <w:tcBorders>
              <w:top w:val="nil"/>
              <w:left w:val="single" w:sz="4" w:space="0" w:color="000000"/>
              <w:bottom w:val="nil"/>
              <w:right w:val="nil"/>
            </w:tcBorders>
            <w:shd w:val="clear" w:color="000000" w:fill="FFFFFF"/>
            <w:noWrap/>
            <w:hideMark/>
          </w:tcPr>
          <w:p w14:paraId="6BB8ECE8" w14:textId="75EE6082" w:rsidR="00C55807" w:rsidRPr="00C55807" w:rsidRDefault="00C55807" w:rsidP="00C55807">
            <w:pPr>
              <w:jc w:val="right"/>
              <w:rPr>
                <w:color w:val="000000"/>
                <w:sz w:val="14"/>
                <w:szCs w:val="14"/>
                <w:lang w:val="en-US" w:eastAsia="en-US"/>
              </w:rPr>
            </w:pPr>
            <w:r w:rsidRPr="00C55807">
              <w:rPr>
                <w:color w:val="000000"/>
                <w:sz w:val="14"/>
                <w:szCs w:val="14"/>
              </w:rPr>
              <w:t>7%</w:t>
            </w:r>
          </w:p>
        </w:tc>
        <w:tc>
          <w:tcPr>
            <w:tcW w:w="702" w:type="dxa"/>
            <w:tcBorders>
              <w:top w:val="nil"/>
              <w:left w:val="nil"/>
              <w:bottom w:val="nil"/>
              <w:right w:val="nil"/>
            </w:tcBorders>
            <w:shd w:val="clear" w:color="000000" w:fill="FFFFFF"/>
            <w:noWrap/>
            <w:hideMark/>
          </w:tcPr>
          <w:p w14:paraId="30656C8E" w14:textId="7B6F3123" w:rsidR="00C55807" w:rsidRPr="00C55807" w:rsidRDefault="00C55807" w:rsidP="00C55807">
            <w:pPr>
              <w:jc w:val="right"/>
              <w:rPr>
                <w:color w:val="000000"/>
                <w:sz w:val="14"/>
                <w:szCs w:val="14"/>
                <w:lang w:val="en-US" w:eastAsia="en-US"/>
              </w:rPr>
            </w:pPr>
            <w:r w:rsidRPr="00C55807">
              <w:rPr>
                <w:color w:val="000000"/>
                <w:sz w:val="14"/>
                <w:szCs w:val="14"/>
              </w:rPr>
              <w:t>64%</w:t>
            </w:r>
          </w:p>
        </w:tc>
        <w:tc>
          <w:tcPr>
            <w:tcW w:w="706" w:type="dxa"/>
            <w:tcBorders>
              <w:top w:val="nil"/>
              <w:left w:val="nil"/>
              <w:bottom w:val="nil"/>
              <w:right w:val="nil"/>
            </w:tcBorders>
            <w:shd w:val="clear" w:color="000000" w:fill="FFFFFF"/>
            <w:noWrap/>
            <w:hideMark/>
          </w:tcPr>
          <w:p w14:paraId="3E024932" w14:textId="3750DE9A" w:rsidR="00C55807" w:rsidRPr="00C55807" w:rsidRDefault="00C55807" w:rsidP="00C55807">
            <w:pPr>
              <w:jc w:val="right"/>
              <w:rPr>
                <w:color w:val="000000"/>
                <w:sz w:val="14"/>
                <w:szCs w:val="14"/>
                <w:lang w:val="en-US" w:eastAsia="en-US"/>
              </w:rPr>
            </w:pPr>
            <w:r w:rsidRPr="00C55807">
              <w:rPr>
                <w:color w:val="000000"/>
                <w:sz w:val="14"/>
                <w:szCs w:val="14"/>
              </w:rPr>
              <w:t>3%</w:t>
            </w:r>
          </w:p>
        </w:tc>
        <w:tc>
          <w:tcPr>
            <w:tcW w:w="730" w:type="dxa"/>
            <w:tcBorders>
              <w:top w:val="nil"/>
              <w:left w:val="nil"/>
              <w:bottom w:val="nil"/>
              <w:right w:val="nil"/>
            </w:tcBorders>
            <w:shd w:val="clear" w:color="000000" w:fill="FFFFFF"/>
            <w:noWrap/>
            <w:hideMark/>
          </w:tcPr>
          <w:p w14:paraId="78BED32F" w14:textId="11A4CDDE" w:rsidR="00C55807" w:rsidRPr="00C55807" w:rsidRDefault="00C55807" w:rsidP="00C55807">
            <w:pPr>
              <w:jc w:val="right"/>
              <w:rPr>
                <w:color w:val="000000"/>
                <w:sz w:val="14"/>
                <w:szCs w:val="14"/>
                <w:lang w:val="en-US" w:eastAsia="en-US"/>
              </w:rPr>
            </w:pPr>
            <w:r w:rsidRPr="00C55807">
              <w:rPr>
                <w:color w:val="000000"/>
                <w:sz w:val="14"/>
                <w:szCs w:val="14"/>
              </w:rPr>
              <w:t>26%</w:t>
            </w:r>
          </w:p>
        </w:tc>
        <w:tc>
          <w:tcPr>
            <w:tcW w:w="901" w:type="dxa"/>
            <w:tcBorders>
              <w:top w:val="nil"/>
              <w:left w:val="single" w:sz="4" w:space="0" w:color="auto"/>
              <w:bottom w:val="nil"/>
              <w:right w:val="nil"/>
            </w:tcBorders>
            <w:shd w:val="clear" w:color="000000" w:fill="FFFFFF"/>
            <w:noWrap/>
            <w:hideMark/>
          </w:tcPr>
          <w:p w14:paraId="4BB8B1FA" w14:textId="454FF5F0" w:rsidR="00C55807" w:rsidRPr="00C55807" w:rsidRDefault="00C55807" w:rsidP="00C55807">
            <w:pPr>
              <w:jc w:val="right"/>
              <w:rPr>
                <w:color w:val="000000"/>
                <w:sz w:val="14"/>
                <w:szCs w:val="14"/>
                <w:lang w:val="en-US" w:eastAsia="en-US"/>
              </w:rPr>
            </w:pPr>
            <w:r w:rsidRPr="00C55807">
              <w:rPr>
                <w:color w:val="000000"/>
                <w:sz w:val="14"/>
                <w:szCs w:val="14"/>
              </w:rPr>
              <w:t>10.09</w:t>
            </w:r>
          </w:p>
        </w:tc>
        <w:tc>
          <w:tcPr>
            <w:tcW w:w="702" w:type="dxa"/>
            <w:tcBorders>
              <w:top w:val="nil"/>
              <w:left w:val="nil"/>
              <w:bottom w:val="nil"/>
              <w:right w:val="nil"/>
            </w:tcBorders>
            <w:shd w:val="clear" w:color="000000" w:fill="FFFFFF"/>
            <w:noWrap/>
            <w:hideMark/>
          </w:tcPr>
          <w:p w14:paraId="0790A010" w14:textId="777E3EF9" w:rsidR="00C55807" w:rsidRPr="00C55807" w:rsidRDefault="00C55807" w:rsidP="00C55807">
            <w:pPr>
              <w:jc w:val="right"/>
              <w:rPr>
                <w:color w:val="000000"/>
                <w:sz w:val="14"/>
                <w:szCs w:val="14"/>
                <w:lang w:val="en-US" w:eastAsia="en-US"/>
              </w:rPr>
            </w:pPr>
            <w:r w:rsidRPr="00C55807">
              <w:rPr>
                <w:color w:val="000000"/>
                <w:sz w:val="14"/>
                <w:szCs w:val="14"/>
              </w:rPr>
              <w:t xml:space="preserve">2 </w:t>
            </w:r>
          </w:p>
        </w:tc>
      </w:tr>
      <w:tr w:rsidR="00C55807" w:rsidRPr="00E4527E" w14:paraId="4FCC2E6F" w14:textId="77777777" w:rsidTr="00F32225">
        <w:trPr>
          <w:trHeight w:hRule="exact" w:val="300"/>
        </w:trPr>
        <w:tc>
          <w:tcPr>
            <w:tcW w:w="660" w:type="dxa"/>
            <w:tcBorders>
              <w:top w:val="nil"/>
              <w:left w:val="nil"/>
              <w:bottom w:val="nil"/>
              <w:right w:val="nil"/>
            </w:tcBorders>
            <w:shd w:val="clear" w:color="000000" w:fill="FFFFFF"/>
            <w:noWrap/>
            <w:hideMark/>
          </w:tcPr>
          <w:p w14:paraId="41AA5811" w14:textId="3B96AA20"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3F015E64" w14:textId="69A7F3D7" w:rsidR="00C55807" w:rsidRPr="00C55807" w:rsidRDefault="00C55807" w:rsidP="00C55807">
            <w:pPr>
              <w:jc w:val="center"/>
              <w:rPr>
                <w:color w:val="000000"/>
                <w:sz w:val="14"/>
                <w:szCs w:val="14"/>
                <w:lang w:val="en-US" w:eastAsia="en-US"/>
              </w:rPr>
            </w:pPr>
            <w:r w:rsidRPr="00C55807">
              <w:rPr>
                <w:color w:val="000000"/>
                <w:sz w:val="14"/>
                <w:szCs w:val="14"/>
              </w:rPr>
              <w:t>3</w:t>
            </w:r>
          </w:p>
        </w:tc>
        <w:tc>
          <w:tcPr>
            <w:tcW w:w="605" w:type="dxa"/>
            <w:tcBorders>
              <w:top w:val="nil"/>
              <w:left w:val="nil"/>
              <w:bottom w:val="nil"/>
              <w:right w:val="nil"/>
            </w:tcBorders>
            <w:shd w:val="clear" w:color="000000" w:fill="FFFFFF"/>
            <w:noWrap/>
            <w:hideMark/>
          </w:tcPr>
          <w:p w14:paraId="328EF07B" w14:textId="6ECD85E1" w:rsidR="00C55807" w:rsidRPr="00C55807" w:rsidRDefault="00C55807" w:rsidP="00C55807">
            <w:pPr>
              <w:rPr>
                <w:color w:val="000000"/>
                <w:sz w:val="14"/>
                <w:szCs w:val="14"/>
                <w:lang w:val="en-US" w:eastAsia="en-US"/>
              </w:rPr>
            </w:pPr>
            <w:r w:rsidRPr="00C55807">
              <w:rPr>
                <w:color w:val="000000"/>
                <w:sz w:val="14"/>
                <w:szCs w:val="14"/>
              </w:rPr>
              <w:t>R03A</w:t>
            </w:r>
          </w:p>
        </w:tc>
        <w:tc>
          <w:tcPr>
            <w:tcW w:w="5490" w:type="dxa"/>
            <w:gridSpan w:val="2"/>
            <w:tcBorders>
              <w:top w:val="nil"/>
              <w:left w:val="nil"/>
              <w:bottom w:val="nil"/>
              <w:right w:val="nil"/>
            </w:tcBorders>
            <w:shd w:val="clear" w:color="000000" w:fill="FFFFFF"/>
            <w:noWrap/>
            <w:hideMark/>
          </w:tcPr>
          <w:p w14:paraId="30AC6378" w14:textId="5FF31685" w:rsidR="00C55807" w:rsidRPr="00C55807" w:rsidRDefault="00C55807" w:rsidP="00C55807">
            <w:pPr>
              <w:rPr>
                <w:color w:val="000000"/>
                <w:sz w:val="14"/>
                <w:szCs w:val="14"/>
                <w:lang w:val="en-US" w:eastAsia="en-US"/>
              </w:rPr>
            </w:pPr>
            <w:r w:rsidRPr="00C55807">
              <w:rPr>
                <w:color w:val="000000"/>
                <w:sz w:val="14"/>
                <w:szCs w:val="14"/>
              </w:rPr>
              <w:t>Lymphoma and Leukaemia W Other GIs, Major Complexity</w:t>
            </w:r>
          </w:p>
        </w:tc>
        <w:tc>
          <w:tcPr>
            <w:tcW w:w="567" w:type="dxa"/>
            <w:tcBorders>
              <w:top w:val="nil"/>
              <w:left w:val="nil"/>
              <w:bottom w:val="nil"/>
              <w:right w:val="nil"/>
            </w:tcBorders>
            <w:shd w:val="clear" w:color="000000" w:fill="FFFFFF"/>
            <w:noWrap/>
            <w:hideMark/>
          </w:tcPr>
          <w:p w14:paraId="6070C2B1" w14:textId="0DCAFB6B" w:rsidR="00C55807" w:rsidRPr="00C55807" w:rsidRDefault="00C55807" w:rsidP="00C55807">
            <w:pPr>
              <w:jc w:val="right"/>
              <w:rPr>
                <w:b/>
                <w:bCs/>
                <w:color w:val="000000"/>
                <w:sz w:val="14"/>
                <w:szCs w:val="14"/>
                <w:lang w:val="en-US" w:eastAsia="en-US"/>
              </w:rPr>
            </w:pPr>
            <w:r w:rsidRPr="00C55807">
              <w:rPr>
                <w:b/>
                <w:bCs/>
                <w:color w:val="000000"/>
                <w:sz w:val="14"/>
                <w:szCs w:val="14"/>
              </w:rPr>
              <w:t>11.10</w:t>
            </w:r>
          </w:p>
        </w:tc>
        <w:tc>
          <w:tcPr>
            <w:tcW w:w="839" w:type="dxa"/>
            <w:tcBorders>
              <w:top w:val="nil"/>
              <w:left w:val="nil"/>
              <w:bottom w:val="nil"/>
              <w:right w:val="nil"/>
            </w:tcBorders>
            <w:shd w:val="clear" w:color="000000" w:fill="FFFFFF"/>
            <w:noWrap/>
            <w:hideMark/>
          </w:tcPr>
          <w:p w14:paraId="60E9E0CF" w14:textId="2DA7A0ED" w:rsidR="00C55807" w:rsidRPr="00C55807" w:rsidRDefault="00C55807" w:rsidP="00C55807">
            <w:pPr>
              <w:jc w:val="right"/>
              <w:rPr>
                <w:color w:val="000000"/>
                <w:sz w:val="14"/>
                <w:szCs w:val="14"/>
                <w:lang w:val="en-US" w:eastAsia="en-US"/>
              </w:rPr>
            </w:pPr>
            <w:r w:rsidRPr="00C55807">
              <w:rPr>
                <w:color w:val="000000"/>
                <w:sz w:val="14"/>
                <w:szCs w:val="14"/>
              </w:rPr>
              <w:t>78</w:t>
            </w:r>
          </w:p>
        </w:tc>
        <w:tc>
          <w:tcPr>
            <w:tcW w:w="702" w:type="dxa"/>
            <w:tcBorders>
              <w:top w:val="nil"/>
              <w:left w:val="nil"/>
              <w:bottom w:val="nil"/>
              <w:right w:val="nil"/>
            </w:tcBorders>
            <w:shd w:val="clear" w:color="000000" w:fill="FFFFFF"/>
            <w:noWrap/>
            <w:hideMark/>
          </w:tcPr>
          <w:p w14:paraId="07623D3E" w14:textId="22F415DF" w:rsidR="00C55807" w:rsidRPr="00C55807" w:rsidRDefault="00C55807" w:rsidP="00C55807">
            <w:pPr>
              <w:jc w:val="right"/>
              <w:rPr>
                <w:color w:val="000000"/>
                <w:sz w:val="14"/>
                <w:szCs w:val="14"/>
                <w:lang w:val="en-US" w:eastAsia="en-US"/>
              </w:rPr>
            </w:pPr>
            <w:r w:rsidRPr="00C55807">
              <w:rPr>
                <w:color w:val="000000"/>
                <w:sz w:val="14"/>
                <w:szCs w:val="14"/>
              </w:rPr>
              <w:t>12.86</w:t>
            </w:r>
          </w:p>
        </w:tc>
        <w:tc>
          <w:tcPr>
            <w:tcW w:w="702" w:type="dxa"/>
            <w:tcBorders>
              <w:top w:val="nil"/>
              <w:left w:val="nil"/>
              <w:bottom w:val="nil"/>
              <w:right w:val="nil"/>
            </w:tcBorders>
            <w:shd w:val="clear" w:color="000000" w:fill="FFFFFF"/>
            <w:noWrap/>
            <w:hideMark/>
          </w:tcPr>
          <w:p w14:paraId="5ED43768" w14:textId="254E7B01" w:rsidR="00C55807" w:rsidRPr="00C55807" w:rsidRDefault="00C55807" w:rsidP="00C55807">
            <w:pPr>
              <w:jc w:val="right"/>
              <w:rPr>
                <w:color w:val="000000"/>
                <w:sz w:val="14"/>
                <w:szCs w:val="14"/>
                <w:lang w:val="en-US" w:eastAsia="en-US"/>
              </w:rPr>
            </w:pPr>
            <w:r w:rsidRPr="00C55807">
              <w:rPr>
                <w:color w:val="000000"/>
                <w:sz w:val="14"/>
                <w:szCs w:val="14"/>
              </w:rPr>
              <w:t>41.1</w:t>
            </w:r>
          </w:p>
        </w:tc>
        <w:tc>
          <w:tcPr>
            <w:tcW w:w="702" w:type="dxa"/>
            <w:tcBorders>
              <w:top w:val="nil"/>
              <w:left w:val="single" w:sz="4" w:space="0" w:color="000000"/>
              <w:bottom w:val="nil"/>
              <w:right w:val="nil"/>
            </w:tcBorders>
            <w:shd w:val="clear" w:color="000000" w:fill="FFFFFF"/>
            <w:noWrap/>
            <w:hideMark/>
          </w:tcPr>
          <w:p w14:paraId="0E5E805A" w14:textId="5A3BB217" w:rsidR="00C55807" w:rsidRPr="00C55807" w:rsidRDefault="00C55807" w:rsidP="00C55807">
            <w:pPr>
              <w:jc w:val="right"/>
              <w:rPr>
                <w:color w:val="000000"/>
                <w:sz w:val="14"/>
                <w:szCs w:val="14"/>
                <w:lang w:val="en-US" w:eastAsia="en-US"/>
              </w:rPr>
            </w:pPr>
            <w:r w:rsidRPr="00C55807">
              <w:rPr>
                <w:color w:val="000000"/>
                <w:sz w:val="14"/>
                <w:szCs w:val="14"/>
              </w:rPr>
              <w:t>4%</w:t>
            </w:r>
          </w:p>
        </w:tc>
        <w:tc>
          <w:tcPr>
            <w:tcW w:w="702" w:type="dxa"/>
            <w:tcBorders>
              <w:top w:val="nil"/>
              <w:left w:val="nil"/>
              <w:bottom w:val="nil"/>
              <w:right w:val="nil"/>
            </w:tcBorders>
            <w:shd w:val="clear" w:color="000000" w:fill="FFFFFF"/>
            <w:noWrap/>
            <w:hideMark/>
          </w:tcPr>
          <w:p w14:paraId="5A6EC1EE" w14:textId="186AA17B" w:rsidR="00C55807" w:rsidRPr="00C55807" w:rsidRDefault="00C55807" w:rsidP="00C55807">
            <w:pPr>
              <w:jc w:val="right"/>
              <w:rPr>
                <w:color w:val="000000"/>
                <w:sz w:val="14"/>
                <w:szCs w:val="14"/>
                <w:lang w:val="en-US" w:eastAsia="en-US"/>
              </w:rPr>
            </w:pPr>
            <w:r w:rsidRPr="00C55807">
              <w:rPr>
                <w:color w:val="000000"/>
                <w:sz w:val="14"/>
                <w:szCs w:val="14"/>
              </w:rPr>
              <w:t>7%</w:t>
            </w:r>
          </w:p>
        </w:tc>
        <w:tc>
          <w:tcPr>
            <w:tcW w:w="706" w:type="dxa"/>
            <w:tcBorders>
              <w:top w:val="nil"/>
              <w:left w:val="nil"/>
              <w:bottom w:val="nil"/>
              <w:right w:val="nil"/>
            </w:tcBorders>
            <w:shd w:val="clear" w:color="000000" w:fill="FFFFFF"/>
            <w:noWrap/>
            <w:hideMark/>
          </w:tcPr>
          <w:p w14:paraId="66129B01" w14:textId="18D59021" w:rsidR="00C55807" w:rsidRPr="00C55807" w:rsidRDefault="00C55807" w:rsidP="00C55807">
            <w:pPr>
              <w:jc w:val="right"/>
              <w:rPr>
                <w:color w:val="000000"/>
                <w:sz w:val="14"/>
                <w:szCs w:val="14"/>
                <w:lang w:val="en-US" w:eastAsia="en-US"/>
              </w:rPr>
            </w:pPr>
            <w:r w:rsidRPr="00C55807">
              <w:rPr>
                <w:color w:val="000000"/>
                <w:sz w:val="14"/>
                <w:szCs w:val="14"/>
              </w:rPr>
              <w:t>4%</w:t>
            </w:r>
          </w:p>
        </w:tc>
        <w:tc>
          <w:tcPr>
            <w:tcW w:w="730" w:type="dxa"/>
            <w:tcBorders>
              <w:top w:val="nil"/>
              <w:left w:val="nil"/>
              <w:bottom w:val="nil"/>
              <w:right w:val="nil"/>
            </w:tcBorders>
            <w:shd w:val="clear" w:color="000000" w:fill="FFFFFF"/>
            <w:noWrap/>
            <w:hideMark/>
          </w:tcPr>
          <w:p w14:paraId="72D16381" w14:textId="2ADB3E34" w:rsidR="00C55807" w:rsidRPr="00C55807" w:rsidRDefault="00C55807" w:rsidP="00C55807">
            <w:pPr>
              <w:jc w:val="right"/>
              <w:rPr>
                <w:color w:val="000000"/>
                <w:sz w:val="14"/>
                <w:szCs w:val="14"/>
                <w:lang w:val="en-US" w:eastAsia="en-US"/>
              </w:rPr>
            </w:pPr>
            <w:r w:rsidRPr="00C55807">
              <w:rPr>
                <w:color w:val="000000"/>
                <w:sz w:val="14"/>
                <w:szCs w:val="14"/>
              </w:rPr>
              <w:t>86%</w:t>
            </w:r>
          </w:p>
        </w:tc>
        <w:tc>
          <w:tcPr>
            <w:tcW w:w="901" w:type="dxa"/>
            <w:tcBorders>
              <w:top w:val="nil"/>
              <w:left w:val="single" w:sz="4" w:space="0" w:color="auto"/>
              <w:bottom w:val="nil"/>
              <w:right w:val="nil"/>
            </w:tcBorders>
            <w:shd w:val="clear" w:color="000000" w:fill="FFFFFF"/>
            <w:noWrap/>
            <w:hideMark/>
          </w:tcPr>
          <w:p w14:paraId="65E34C83" w14:textId="46857E22" w:rsidR="00C55807" w:rsidRPr="00C55807" w:rsidRDefault="00C55807" w:rsidP="00C55807">
            <w:pPr>
              <w:jc w:val="right"/>
              <w:rPr>
                <w:color w:val="000000"/>
                <w:sz w:val="14"/>
                <w:szCs w:val="14"/>
                <w:lang w:val="en-US" w:eastAsia="en-US"/>
              </w:rPr>
            </w:pPr>
            <w:r w:rsidRPr="00C55807">
              <w:rPr>
                <w:color w:val="000000"/>
                <w:sz w:val="14"/>
                <w:szCs w:val="14"/>
              </w:rPr>
              <w:t>6.96</w:t>
            </w:r>
          </w:p>
        </w:tc>
        <w:tc>
          <w:tcPr>
            <w:tcW w:w="702" w:type="dxa"/>
            <w:tcBorders>
              <w:top w:val="nil"/>
              <w:left w:val="nil"/>
              <w:bottom w:val="nil"/>
              <w:right w:val="nil"/>
            </w:tcBorders>
            <w:shd w:val="clear" w:color="000000" w:fill="FFFFFF"/>
            <w:noWrap/>
            <w:hideMark/>
          </w:tcPr>
          <w:p w14:paraId="5BFB3925" w14:textId="07E83229" w:rsidR="00C55807" w:rsidRPr="00C55807" w:rsidRDefault="00C55807" w:rsidP="00C55807">
            <w:pPr>
              <w:jc w:val="right"/>
              <w:rPr>
                <w:color w:val="000000"/>
                <w:sz w:val="14"/>
                <w:szCs w:val="14"/>
                <w:lang w:val="en-US" w:eastAsia="en-US"/>
              </w:rPr>
            </w:pPr>
            <w:r w:rsidRPr="00C55807">
              <w:rPr>
                <w:color w:val="000000"/>
                <w:sz w:val="14"/>
                <w:szCs w:val="14"/>
              </w:rPr>
              <w:t xml:space="preserve">9 </w:t>
            </w:r>
          </w:p>
        </w:tc>
      </w:tr>
      <w:tr w:rsidR="00C55807" w:rsidRPr="00E4527E" w14:paraId="610328D4" w14:textId="77777777" w:rsidTr="00F32225">
        <w:trPr>
          <w:trHeight w:hRule="exact" w:val="300"/>
        </w:trPr>
        <w:tc>
          <w:tcPr>
            <w:tcW w:w="660" w:type="dxa"/>
            <w:tcBorders>
              <w:top w:val="nil"/>
              <w:left w:val="nil"/>
              <w:bottom w:val="nil"/>
              <w:right w:val="nil"/>
            </w:tcBorders>
            <w:shd w:val="clear" w:color="000000" w:fill="FFFFFF"/>
            <w:noWrap/>
            <w:hideMark/>
          </w:tcPr>
          <w:p w14:paraId="671E4B0A" w14:textId="2C59B267"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10319BFF" w14:textId="7D079F4E" w:rsidR="00C55807" w:rsidRPr="00C55807" w:rsidRDefault="00C55807" w:rsidP="00C55807">
            <w:pPr>
              <w:jc w:val="center"/>
              <w:rPr>
                <w:color w:val="000000"/>
                <w:sz w:val="14"/>
                <w:szCs w:val="14"/>
                <w:lang w:val="en-US" w:eastAsia="en-US"/>
              </w:rPr>
            </w:pPr>
            <w:r w:rsidRPr="00C55807">
              <w:rPr>
                <w:color w:val="000000"/>
                <w:sz w:val="14"/>
                <w:szCs w:val="14"/>
              </w:rPr>
              <w:t>4</w:t>
            </w:r>
          </w:p>
        </w:tc>
        <w:tc>
          <w:tcPr>
            <w:tcW w:w="605" w:type="dxa"/>
            <w:tcBorders>
              <w:top w:val="nil"/>
              <w:left w:val="nil"/>
              <w:bottom w:val="nil"/>
              <w:right w:val="nil"/>
            </w:tcBorders>
            <w:shd w:val="clear" w:color="000000" w:fill="FFFFFF"/>
            <w:noWrap/>
            <w:hideMark/>
          </w:tcPr>
          <w:p w14:paraId="5A3A458D" w14:textId="085095A0" w:rsidR="00C55807" w:rsidRPr="00C55807" w:rsidRDefault="00C55807" w:rsidP="00C55807">
            <w:pPr>
              <w:rPr>
                <w:color w:val="000000"/>
                <w:sz w:val="14"/>
                <w:szCs w:val="14"/>
                <w:lang w:val="en-US" w:eastAsia="en-US"/>
              </w:rPr>
            </w:pPr>
            <w:r w:rsidRPr="00C55807">
              <w:rPr>
                <w:color w:val="000000"/>
                <w:sz w:val="14"/>
                <w:szCs w:val="14"/>
              </w:rPr>
              <w:t>F11A</w:t>
            </w:r>
          </w:p>
        </w:tc>
        <w:tc>
          <w:tcPr>
            <w:tcW w:w="5490" w:type="dxa"/>
            <w:gridSpan w:val="2"/>
            <w:tcBorders>
              <w:top w:val="nil"/>
              <w:left w:val="nil"/>
              <w:bottom w:val="nil"/>
              <w:right w:val="nil"/>
            </w:tcBorders>
            <w:shd w:val="clear" w:color="000000" w:fill="FFFFFF"/>
            <w:noWrap/>
            <w:hideMark/>
          </w:tcPr>
          <w:p w14:paraId="088B09BE" w14:textId="1BCF0013" w:rsidR="00C55807" w:rsidRPr="00C55807" w:rsidRDefault="00C55807" w:rsidP="00C55807">
            <w:pPr>
              <w:rPr>
                <w:color w:val="000000"/>
                <w:sz w:val="14"/>
                <w:szCs w:val="14"/>
                <w:lang w:val="en-US" w:eastAsia="en-US"/>
              </w:rPr>
            </w:pPr>
            <w:r w:rsidRPr="00C55807">
              <w:rPr>
                <w:color w:val="000000"/>
                <w:sz w:val="14"/>
                <w:szCs w:val="14"/>
              </w:rPr>
              <w:t>Amputation, Except Upper Limb and Toe, for Circulatory Disorders, Major Comp</w:t>
            </w:r>
          </w:p>
        </w:tc>
        <w:tc>
          <w:tcPr>
            <w:tcW w:w="567" w:type="dxa"/>
            <w:tcBorders>
              <w:top w:val="nil"/>
              <w:left w:val="nil"/>
              <w:bottom w:val="nil"/>
              <w:right w:val="nil"/>
            </w:tcBorders>
            <w:shd w:val="clear" w:color="000000" w:fill="FFFFFF"/>
            <w:noWrap/>
            <w:hideMark/>
          </w:tcPr>
          <w:p w14:paraId="5901777E" w14:textId="67AE4FCC" w:rsidR="00C55807" w:rsidRPr="00C55807" w:rsidRDefault="00C55807" w:rsidP="00C55807">
            <w:pPr>
              <w:jc w:val="right"/>
              <w:rPr>
                <w:b/>
                <w:bCs/>
                <w:color w:val="000000"/>
                <w:sz w:val="14"/>
                <w:szCs w:val="14"/>
                <w:lang w:val="en-US" w:eastAsia="en-US"/>
              </w:rPr>
            </w:pPr>
            <w:r w:rsidRPr="00C55807">
              <w:rPr>
                <w:b/>
                <w:bCs/>
                <w:color w:val="000000"/>
                <w:sz w:val="14"/>
                <w:szCs w:val="14"/>
              </w:rPr>
              <w:t>10.88</w:t>
            </w:r>
          </w:p>
        </w:tc>
        <w:tc>
          <w:tcPr>
            <w:tcW w:w="839" w:type="dxa"/>
            <w:tcBorders>
              <w:top w:val="nil"/>
              <w:left w:val="nil"/>
              <w:bottom w:val="nil"/>
              <w:right w:val="nil"/>
            </w:tcBorders>
            <w:shd w:val="clear" w:color="000000" w:fill="FFFFFF"/>
            <w:noWrap/>
            <w:hideMark/>
          </w:tcPr>
          <w:p w14:paraId="285202D4" w14:textId="7580DC84" w:rsidR="00C55807" w:rsidRPr="00C55807" w:rsidRDefault="00C55807" w:rsidP="00C55807">
            <w:pPr>
              <w:jc w:val="right"/>
              <w:rPr>
                <w:color w:val="000000"/>
                <w:sz w:val="14"/>
                <w:szCs w:val="14"/>
                <w:lang w:val="en-US" w:eastAsia="en-US"/>
              </w:rPr>
            </w:pPr>
            <w:r w:rsidRPr="00C55807">
              <w:rPr>
                <w:color w:val="000000"/>
                <w:sz w:val="14"/>
                <w:szCs w:val="14"/>
              </w:rPr>
              <w:t>62</w:t>
            </w:r>
          </w:p>
        </w:tc>
        <w:tc>
          <w:tcPr>
            <w:tcW w:w="702" w:type="dxa"/>
            <w:tcBorders>
              <w:top w:val="nil"/>
              <w:left w:val="nil"/>
              <w:bottom w:val="nil"/>
              <w:right w:val="nil"/>
            </w:tcBorders>
            <w:shd w:val="clear" w:color="000000" w:fill="FFFFFF"/>
            <w:noWrap/>
            <w:hideMark/>
          </w:tcPr>
          <w:p w14:paraId="6D4341A0" w14:textId="5941D6F0" w:rsidR="00C55807" w:rsidRPr="00C55807" w:rsidRDefault="00C55807" w:rsidP="00C55807">
            <w:pPr>
              <w:jc w:val="right"/>
              <w:rPr>
                <w:color w:val="000000"/>
                <w:sz w:val="14"/>
                <w:szCs w:val="14"/>
                <w:lang w:val="en-US" w:eastAsia="en-US"/>
              </w:rPr>
            </w:pPr>
            <w:r w:rsidRPr="00C55807">
              <w:rPr>
                <w:color w:val="000000"/>
                <w:sz w:val="14"/>
                <w:szCs w:val="14"/>
              </w:rPr>
              <w:t>15.16</w:t>
            </w:r>
          </w:p>
        </w:tc>
        <w:tc>
          <w:tcPr>
            <w:tcW w:w="702" w:type="dxa"/>
            <w:tcBorders>
              <w:top w:val="nil"/>
              <w:left w:val="nil"/>
              <w:bottom w:val="nil"/>
              <w:right w:val="nil"/>
            </w:tcBorders>
            <w:shd w:val="clear" w:color="000000" w:fill="FFFFFF"/>
            <w:noWrap/>
            <w:hideMark/>
          </w:tcPr>
          <w:p w14:paraId="48398352" w14:textId="144553CE" w:rsidR="00C55807" w:rsidRPr="00C55807" w:rsidRDefault="00C55807" w:rsidP="00C55807">
            <w:pPr>
              <w:jc w:val="right"/>
              <w:rPr>
                <w:color w:val="000000"/>
                <w:sz w:val="14"/>
                <w:szCs w:val="14"/>
                <w:lang w:val="en-US" w:eastAsia="en-US"/>
              </w:rPr>
            </w:pPr>
            <w:r w:rsidRPr="00C55807">
              <w:rPr>
                <w:color w:val="000000"/>
                <w:sz w:val="14"/>
                <w:szCs w:val="14"/>
              </w:rPr>
              <w:t>46.5</w:t>
            </w:r>
          </w:p>
        </w:tc>
        <w:tc>
          <w:tcPr>
            <w:tcW w:w="702" w:type="dxa"/>
            <w:tcBorders>
              <w:top w:val="nil"/>
              <w:left w:val="single" w:sz="4" w:space="0" w:color="000000"/>
              <w:bottom w:val="nil"/>
              <w:right w:val="nil"/>
            </w:tcBorders>
            <w:shd w:val="clear" w:color="000000" w:fill="FFFFFF"/>
            <w:noWrap/>
            <w:hideMark/>
          </w:tcPr>
          <w:p w14:paraId="616FC5B7" w14:textId="78173AAE" w:rsidR="00C55807" w:rsidRPr="00C55807" w:rsidRDefault="00C55807" w:rsidP="00C55807">
            <w:pPr>
              <w:jc w:val="right"/>
              <w:rPr>
                <w:color w:val="000000"/>
                <w:sz w:val="14"/>
                <w:szCs w:val="14"/>
                <w:lang w:val="en-US" w:eastAsia="en-US"/>
              </w:rPr>
            </w:pPr>
            <w:r w:rsidRPr="00C55807">
              <w:rPr>
                <w:color w:val="000000"/>
                <w:sz w:val="14"/>
                <w:szCs w:val="14"/>
              </w:rPr>
              <w:t>15%</w:t>
            </w:r>
          </w:p>
        </w:tc>
        <w:tc>
          <w:tcPr>
            <w:tcW w:w="702" w:type="dxa"/>
            <w:tcBorders>
              <w:top w:val="nil"/>
              <w:left w:val="nil"/>
              <w:bottom w:val="nil"/>
              <w:right w:val="nil"/>
            </w:tcBorders>
            <w:shd w:val="clear" w:color="000000" w:fill="FFFFFF"/>
            <w:noWrap/>
            <w:hideMark/>
          </w:tcPr>
          <w:p w14:paraId="1800F106" w14:textId="7821486E" w:rsidR="00C55807" w:rsidRPr="00C55807" w:rsidRDefault="00C55807" w:rsidP="00C55807">
            <w:pPr>
              <w:jc w:val="right"/>
              <w:rPr>
                <w:color w:val="000000"/>
                <w:sz w:val="14"/>
                <w:szCs w:val="14"/>
                <w:lang w:val="en-US" w:eastAsia="en-US"/>
              </w:rPr>
            </w:pPr>
            <w:r w:rsidRPr="00C55807">
              <w:rPr>
                <w:color w:val="000000"/>
                <w:sz w:val="14"/>
                <w:szCs w:val="14"/>
              </w:rPr>
              <w:t>11%</w:t>
            </w:r>
          </w:p>
        </w:tc>
        <w:tc>
          <w:tcPr>
            <w:tcW w:w="706" w:type="dxa"/>
            <w:tcBorders>
              <w:top w:val="nil"/>
              <w:left w:val="nil"/>
              <w:bottom w:val="nil"/>
              <w:right w:val="nil"/>
            </w:tcBorders>
            <w:shd w:val="clear" w:color="000000" w:fill="FFFFFF"/>
            <w:noWrap/>
            <w:hideMark/>
          </w:tcPr>
          <w:p w14:paraId="772B2A19" w14:textId="6DF6F98E" w:rsidR="00C55807" w:rsidRPr="00C55807" w:rsidRDefault="00C55807" w:rsidP="00C55807">
            <w:pPr>
              <w:jc w:val="right"/>
              <w:rPr>
                <w:color w:val="000000"/>
                <w:sz w:val="14"/>
                <w:szCs w:val="14"/>
                <w:lang w:val="en-US" w:eastAsia="en-US"/>
              </w:rPr>
            </w:pPr>
            <w:r w:rsidRPr="00C55807">
              <w:rPr>
                <w:color w:val="000000"/>
                <w:sz w:val="14"/>
                <w:szCs w:val="14"/>
              </w:rPr>
              <w:t>3%</w:t>
            </w:r>
          </w:p>
        </w:tc>
        <w:tc>
          <w:tcPr>
            <w:tcW w:w="730" w:type="dxa"/>
            <w:tcBorders>
              <w:top w:val="nil"/>
              <w:left w:val="nil"/>
              <w:bottom w:val="nil"/>
              <w:right w:val="nil"/>
            </w:tcBorders>
            <w:shd w:val="clear" w:color="000000" w:fill="FFFFFF"/>
            <w:noWrap/>
            <w:hideMark/>
          </w:tcPr>
          <w:p w14:paraId="4DFB06C1" w14:textId="00C204E4" w:rsidR="00C55807" w:rsidRPr="00C55807" w:rsidRDefault="00C55807" w:rsidP="00C55807">
            <w:pPr>
              <w:jc w:val="right"/>
              <w:rPr>
                <w:color w:val="000000"/>
                <w:sz w:val="14"/>
                <w:szCs w:val="14"/>
                <w:lang w:val="en-US" w:eastAsia="en-US"/>
              </w:rPr>
            </w:pPr>
            <w:r w:rsidRPr="00C55807">
              <w:rPr>
                <w:color w:val="000000"/>
                <w:sz w:val="14"/>
                <w:szCs w:val="14"/>
              </w:rPr>
              <w:t>72%</w:t>
            </w:r>
          </w:p>
        </w:tc>
        <w:tc>
          <w:tcPr>
            <w:tcW w:w="901" w:type="dxa"/>
            <w:tcBorders>
              <w:top w:val="nil"/>
              <w:left w:val="single" w:sz="4" w:space="0" w:color="auto"/>
              <w:bottom w:val="nil"/>
              <w:right w:val="nil"/>
            </w:tcBorders>
            <w:shd w:val="clear" w:color="000000" w:fill="FFFFFF"/>
            <w:noWrap/>
            <w:hideMark/>
          </w:tcPr>
          <w:p w14:paraId="323EF5C0" w14:textId="3FE97CB1" w:rsidR="00C55807" w:rsidRPr="00C55807" w:rsidRDefault="00C55807" w:rsidP="00C55807">
            <w:pPr>
              <w:jc w:val="right"/>
              <w:rPr>
                <w:color w:val="000000"/>
                <w:sz w:val="14"/>
                <w:szCs w:val="14"/>
                <w:lang w:val="en-US" w:eastAsia="en-US"/>
              </w:rPr>
            </w:pPr>
            <w:r w:rsidRPr="00C55807">
              <w:rPr>
                <w:color w:val="000000"/>
                <w:sz w:val="14"/>
                <w:szCs w:val="14"/>
              </w:rPr>
              <w:t>7.93</w:t>
            </w:r>
          </w:p>
        </w:tc>
        <w:tc>
          <w:tcPr>
            <w:tcW w:w="702" w:type="dxa"/>
            <w:tcBorders>
              <w:top w:val="nil"/>
              <w:left w:val="nil"/>
              <w:bottom w:val="nil"/>
              <w:right w:val="nil"/>
            </w:tcBorders>
            <w:shd w:val="clear" w:color="000000" w:fill="FFFFFF"/>
            <w:noWrap/>
            <w:hideMark/>
          </w:tcPr>
          <w:p w14:paraId="3466A636" w14:textId="64549913" w:rsidR="00C55807" w:rsidRPr="00C55807" w:rsidRDefault="00C55807" w:rsidP="00C55807">
            <w:pPr>
              <w:jc w:val="right"/>
              <w:rPr>
                <w:color w:val="000000"/>
                <w:sz w:val="14"/>
                <w:szCs w:val="14"/>
                <w:lang w:val="en-US" w:eastAsia="en-US"/>
              </w:rPr>
            </w:pPr>
            <w:r w:rsidRPr="00C55807">
              <w:rPr>
                <w:color w:val="000000"/>
                <w:sz w:val="14"/>
                <w:szCs w:val="14"/>
              </w:rPr>
              <w:t xml:space="preserve">7 </w:t>
            </w:r>
          </w:p>
        </w:tc>
      </w:tr>
      <w:tr w:rsidR="00C55807" w:rsidRPr="00E4527E" w14:paraId="4A6581C1" w14:textId="77777777" w:rsidTr="00F32225">
        <w:trPr>
          <w:trHeight w:hRule="exact" w:val="300"/>
        </w:trPr>
        <w:tc>
          <w:tcPr>
            <w:tcW w:w="660" w:type="dxa"/>
            <w:tcBorders>
              <w:top w:val="nil"/>
              <w:left w:val="nil"/>
              <w:bottom w:val="nil"/>
              <w:right w:val="nil"/>
            </w:tcBorders>
            <w:shd w:val="clear" w:color="000000" w:fill="FFFFFF"/>
            <w:noWrap/>
            <w:hideMark/>
          </w:tcPr>
          <w:p w14:paraId="5142243B" w14:textId="2BD45A35"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7174D5C1" w14:textId="5B7A2F95" w:rsidR="00C55807" w:rsidRPr="00C55807" w:rsidRDefault="00C55807" w:rsidP="00C55807">
            <w:pPr>
              <w:jc w:val="center"/>
              <w:rPr>
                <w:color w:val="000000"/>
                <w:sz w:val="14"/>
                <w:szCs w:val="14"/>
                <w:lang w:val="en-US" w:eastAsia="en-US"/>
              </w:rPr>
            </w:pPr>
            <w:r w:rsidRPr="00C55807">
              <w:rPr>
                <w:color w:val="000000"/>
                <w:sz w:val="14"/>
                <w:szCs w:val="14"/>
              </w:rPr>
              <w:t>5</w:t>
            </w:r>
          </w:p>
        </w:tc>
        <w:tc>
          <w:tcPr>
            <w:tcW w:w="605" w:type="dxa"/>
            <w:tcBorders>
              <w:top w:val="nil"/>
              <w:left w:val="nil"/>
              <w:bottom w:val="nil"/>
              <w:right w:val="nil"/>
            </w:tcBorders>
            <w:shd w:val="clear" w:color="000000" w:fill="FFFFFF"/>
            <w:noWrap/>
            <w:hideMark/>
          </w:tcPr>
          <w:p w14:paraId="2A3943A7" w14:textId="4A9F20DE" w:rsidR="00C55807" w:rsidRPr="00C55807" w:rsidRDefault="00C55807" w:rsidP="00C55807">
            <w:pPr>
              <w:rPr>
                <w:color w:val="000000"/>
                <w:sz w:val="14"/>
                <w:szCs w:val="14"/>
                <w:lang w:val="en-US" w:eastAsia="en-US"/>
              </w:rPr>
            </w:pPr>
            <w:r w:rsidRPr="00C55807">
              <w:rPr>
                <w:color w:val="000000"/>
                <w:sz w:val="14"/>
                <w:szCs w:val="14"/>
              </w:rPr>
              <w:t>R06A</w:t>
            </w:r>
          </w:p>
        </w:tc>
        <w:tc>
          <w:tcPr>
            <w:tcW w:w="5490" w:type="dxa"/>
            <w:gridSpan w:val="2"/>
            <w:tcBorders>
              <w:top w:val="nil"/>
              <w:left w:val="nil"/>
              <w:bottom w:val="nil"/>
              <w:right w:val="nil"/>
            </w:tcBorders>
            <w:shd w:val="clear" w:color="000000" w:fill="FFFFFF"/>
            <w:noWrap/>
            <w:hideMark/>
          </w:tcPr>
          <w:p w14:paraId="71E51EEE" w14:textId="42DF2A5C" w:rsidR="00C55807" w:rsidRPr="00C55807" w:rsidRDefault="00C55807" w:rsidP="00C55807">
            <w:pPr>
              <w:rPr>
                <w:color w:val="000000"/>
                <w:sz w:val="14"/>
                <w:szCs w:val="14"/>
                <w:lang w:val="en-US" w:eastAsia="en-US"/>
              </w:rPr>
            </w:pPr>
            <w:r w:rsidRPr="00C55807">
              <w:rPr>
                <w:color w:val="000000"/>
                <w:sz w:val="14"/>
                <w:szCs w:val="14"/>
              </w:rPr>
              <w:t>Autologous Bone Marrow Transplant, Major Complexity</w:t>
            </w:r>
          </w:p>
        </w:tc>
        <w:tc>
          <w:tcPr>
            <w:tcW w:w="567" w:type="dxa"/>
            <w:tcBorders>
              <w:top w:val="nil"/>
              <w:left w:val="nil"/>
              <w:bottom w:val="nil"/>
              <w:right w:val="nil"/>
            </w:tcBorders>
            <w:shd w:val="clear" w:color="000000" w:fill="FFFFFF"/>
            <w:noWrap/>
            <w:hideMark/>
          </w:tcPr>
          <w:p w14:paraId="7DE07250" w14:textId="030D378C" w:rsidR="00C55807" w:rsidRPr="00C55807" w:rsidRDefault="00C55807" w:rsidP="00C55807">
            <w:pPr>
              <w:jc w:val="right"/>
              <w:rPr>
                <w:b/>
                <w:bCs/>
                <w:color w:val="000000"/>
                <w:sz w:val="14"/>
                <w:szCs w:val="14"/>
                <w:lang w:val="en-US" w:eastAsia="en-US"/>
              </w:rPr>
            </w:pPr>
            <w:r w:rsidRPr="00C55807">
              <w:rPr>
                <w:b/>
                <w:bCs/>
                <w:color w:val="000000"/>
                <w:sz w:val="14"/>
                <w:szCs w:val="14"/>
              </w:rPr>
              <w:t>9.99</w:t>
            </w:r>
          </w:p>
        </w:tc>
        <w:tc>
          <w:tcPr>
            <w:tcW w:w="839" w:type="dxa"/>
            <w:tcBorders>
              <w:top w:val="nil"/>
              <w:left w:val="nil"/>
              <w:bottom w:val="nil"/>
              <w:right w:val="nil"/>
            </w:tcBorders>
            <w:shd w:val="clear" w:color="000000" w:fill="FFFFFF"/>
            <w:noWrap/>
            <w:hideMark/>
          </w:tcPr>
          <w:p w14:paraId="268E6FF5" w14:textId="270B0F92" w:rsidR="00C55807" w:rsidRPr="00C55807" w:rsidRDefault="00C55807" w:rsidP="00C55807">
            <w:pPr>
              <w:jc w:val="right"/>
              <w:rPr>
                <w:color w:val="000000"/>
                <w:sz w:val="14"/>
                <w:szCs w:val="14"/>
                <w:lang w:val="en-US" w:eastAsia="en-US"/>
              </w:rPr>
            </w:pPr>
            <w:r w:rsidRPr="00C55807">
              <w:rPr>
                <w:color w:val="000000"/>
                <w:sz w:val="14"/>
                <w:szCs w:val="14"/>
              </w:rPr>
              <w:t>148</w:t>
            </w:r>
          </w:p>
        </w:tc>
        <w:tc>
          <w:tcPr>
            <w:tcW w:w="702" w:type="dxa"/>
            <w:tcBorders>
              <w:top w:val="nil"/>
              <w:left w:val="nil"/>
              <w:bottom w:val="nil"/>
              <w:right w:val="nil"/>
            </w:tcBorders>
            <w:shd w:val="clear" w:color="000000" w:fill="FFFFFF"/>
            <w:noWrap/>
            <w:hideMark/>
          </w:tcPr>
          <w:p w14:paraId="4169DE73" w14:textId="212142CD" w:rsidR="00C55807" w:rsidRPr="00C55807" w:rsidRDefault="00C55807" w:rsidP="00C55807">
            <w:pPr>
              <w:jc w:val="right"/>
              <w:rPr>
                <w:color w:val="000000"/>
                <w:sz w:val="14"/>
                <w:szCs w:val="14"/>
                <w:lang w:val="en-US" w:eastAsia="en-US"/>
              </w:rPr>
            </w:pPr>
            <w:r w:rsidRPr="00C55807">
              <w:rPr>
                <w:color w:val="000000"/>
                <w:sz w:val="14"/>
                <w:szCs w:val="14"/>
              </w:rPr>
              <w:t>11.65</w:t>
            </w:r>
          </w:p>
        </w:tc>
        <w:tc>
          <w:tcPr>
            <w:tcW w:w="702" w:type="dxa"/>
            <w:tcBorders>
              <w:top w:val="nil"/>
              <w:left w:val="nil"/>
              <w:bottom w:val="nil"/>
              <w:right w:val="nil"/>
            </w:tcBorders>
            <w:shd w:val="clear" w:color="000000" w:fill="FFFFFF"/>
            <w:noWrap/>
            <w:hideMark/>
          </w:tcPr>
          <w:p w14:paraId="1587B074" w14:textId="3C7BD842" w:rsidR="00C55807" w:rsidRPr="00C55807" w:rsidRDefault="00C55807" w:rsidP="00C55807">
            <w:pPr>
              <w:jc w:val="right"/>
              <w:rPr>
                <w:color w:val="000000"/>
                <w:sz w:val="14"/>
                <w:szCs w:val="14"/>
                <w:lang w:val="en-US" w:eastAsia="en-US"/>
              </w:rPr>
            </w:pPr>
            <w:r w:rsidRPr="00C55807">
              <w:rPr>
                <w:color w:val="000000"/>
                <w:sz w:val="14"/>
                <w:szCs w:val="14"/>
              </w:rPr>
              <w:t>30.1</w:t>
            </w:r>
          </w:p>
        </w:tc>
        <w:tc>
          <w:tcPr>
            <w:tcW w:w="702" w:type="dxa"/>
            <w:tcBorders>
              <w:top w:val="nil"/>
              <w:left w:val="single" w:sz="4" w:space="0" w:color="000000"/>
              <w:bottom w:val="nil"/>
              <w:right w:val="nil"/>
            </w:tcBorders>
            <w:shd w:val="clear" w:color="000000" w:fill="FFFFFF"/>
            <w:noWrap/>
            <w:hideMark/>
          </w:tcPr>
          <w:p w14:paraId="11892158" w14:textId="650C31C9" w:rsidR="00C55807" w:rsidRPr="00C55807" w:rsidRDefault="00C55807" w:rsidP="00C55807">
            <w:pPr>
              <w:jc w:val="right"/>
              <w:rPr>
                <w:color w:val="000000"/>
                <w:sz w:val="14"/>
                <w:szCs w:val="14"/>
                <w:lang w:val="en-US" w:eastAsia="en-US"/>
              </w:rPr>
            </w:pPr>
            <w:r w:rsidRPr="00C55807">
              <w:rPr>
                <w:color w:val="000000"/>
                <w:sz w:val="14"/>
                <w:szCs w:val="14"/>
              </w:rPr>
              <w:t>3%</w:t>
            </w:r>
          </w:p>
        </w:tc>
        <w:tc>
          <w:tcPr>
            <w:tcW w:w="702" w:type="dxa"/>
            <w:tcBorders>
              <w:top w:val="nil"/>
              <w:left w:val="nil"/>
              <w:bottom w:val="nil"/>
              <w:right w:val="nil"/>
            </w:tcBorders>
            <w:shd w:val="clear" w:color="000000" w:fill="FFFFFF"/>
            <w:noWrap/>
            <w:hideMark/>
          </w:tcPr>
          <w:p w14:paraId="54D0E038" w14:textId="45C89C00" w:rsidR="00C55807" w:rsidRPr="00C55807" w:rsidRDefault="00C55807" w:rsidP="00C55807">
            <w:pPr>
              <w:jc w:val="right"/>
              <w:rPr>
                <w:color w:val="000000"/>
                <w:sz w:val="14"/>
                <w:szCs w:val="14"/>
                <w:lang w:val="en-US" w:eastAsia="en-US"/>
              </w:rPr>
            </w:pPr>
            <w:r w:rsidRPr="00C55807">
              <w:rPr>
                <w:color w:val="000000"/>
                <w:sz w:val="14"/>
                <w:szCs w:val="14"/>
              </w:rPr>
              <w:t>10%</w:t>
            </w:r>
          </w:p>
        </w:tc>
        <w:tc>
          <w:tcPr>
            <w:tcW w:w="706" w:type="dxa"/>
            <w:tcBorders>
              <w:top w:val="nil"/>
              <w:left w:val="nil"/>
              <w:bottom w:val="nil"/>
              <w:right w:val="nil"/>
            </w:tcBorders>
            <w:shd w:val="clear" w:color="000000" w:fill="FFFFFF"/>
            <w:noWrap/>
            <w:hideMark/>
          </w:tcPr>
          <w:p w14:paraId="6C36A779" w14:textId="20B69B0A" w:rsidR="00C55807" w:rsidRPr="00C55807" w:rsidRDefault="00C55807" w:rsidP="00C55807">
            <w:pPr>
              <w:jc w:val="right"/>
              <w:rPr>
                <w:color w:val="000000"/>
                <w:sz w:val="14"/>
                <w:szCs w:val="14"/>
                <w:lang w:val="en-US" w:eastAsia="en-US"/>
              </w:rPr>
            </w:pPr>
            <w:r w:rsidRPr="00C55807">
              <w:rPr>
                <w:color w:val="000000"/>
                <w:sz w:val="14"/>
                <w:szCs w:val="14"/>
              </w:rPr>
              <w:t>1%</w:t>
            </w:r>
          </w:p>
        </w:tc>
        <w:tc>
          <w:tcPr>
            <w:tcW w:w="730" w:type="dxa"/>
            <w:tcBorders>
              <w:top w:val="nil"/>
              <w:left w:val="nil"/>
              <w:bottom w:val="nil"/>
              <w:right w:val="nil"/>
            </w:tcBorders>
            <w:shd w:val="clear" w:color="000000" w:fill="FFFFFF"/>
            <w:noWrap/>
            <w:hideMark/>
          </w:tcPr>
          <w:p w14:paraId="07C3B2B7" w14:textId="30C53065" w:rsidR="00C55807" w:rsidRPr="00C55807" w:rsidRDefault="00C55807" w:rsidP="00C55807">
            <w:pPr>
              <w:jc w:val="right"/>
              <w:rPr>
                <w:color w:val="000000"/>
                <w:sz w:val="14"/>
                <w:szCs w:val="14"/>
                <w:lang w:val="en-US" w:eastAsia="en-US"/>
              </w:rPr>
            </w:pPr>
            <w:r w:rsidRPr="00C55807">
              <w:rPr>
                <w:color w:val="000000"/>
                <w:sz w:val="14"/>
                <w:szCs w:val="14"/>
              </w:rPr>
              <w:t>86%</w:t>
            </w:r>
          </w:p>
        </w:tc>
        <w:tc>
          <w:tcPr>
            <w:tcW w:w="901" w:type="dxa"/>
            <w:tcBorders>
              <w:top w:val="nil"/>
              <w:left w:val="single" w:sz="4" w:space="0" w:color="auto"/>
              <w:bottom w:val="nil"/>
              <w:right w:val="nil"/>
            </w:tcBorders>
            <w:shd w:val="clear" w:color="000000" w:fill="FFFFFF"/>
            <w:noWrap/>
            <w:hideMark/>
          </w:tcPr>
          <w:p w14:paraId="79ABBD5D" w14:textId="49E83B3C" w:rsidR="00C55807" w:rsidRPr="00C55807" w:rsidRDefault="00C55807" w:rsidP="00C55807">
            <w:pPr>
              <w:jc w:val="right"/>
              <w:rPr>
                <w:color w:val="000000"/>
                <w:sz w:val="14"/>
                <w:szCs w:val="14"/>
                <w:lang w:val="en-US" w:eastAsia="en-US"/>
              </w:rPr>
            </w:pPr>
            <w:r w:rsidRPr="00C55807">
              <w:rPr>
                <w:color w:val="000000"/>
                <w:sz w:val="14"/>
                <w:szCs w:val="14"/>
              </w:rPr>
              <w:t>7.99</w:t>
            </w:r>
          </w:p>
        </w:tc>
        <w:tc>
          <w:tcPr>
            <w:tcW w:w="702" w:type="dxa"/>
            <w:tcBorders>
              <w:top w:val="nil"/>
              <w:left w:val="nil"/>
              <w:bottom w:val="nil"/>
              <w:right w:val="nil"/>
            </w:tcBorders>
            <w:shd w:val="clear" w:color="000000" w:fill="FFFFFF"/>
            <w:noWrap/>
            <w:hideMark/>
          </w:tcPr>
          <w:p w14:paraId="4C8CA367" w14:textId="30622733" w:rsidR="00C55807" w:rsidRPr="00C55807" w:rsidRDefault="00C55807" w:rsidP="00C55807">
            <w:pPr>
              <w:jc w:val="right"/>
              <w:rPr>
                <w:color w:val="000000"/>
                <w:sz w:val="14"/>
                <w:szCs w:val="14"/>
                <w:lang w:val="en-US" w:eastAsia="en-US"/>
              </w:rPr>
            </w:pPr>
            <w:r w:rsidRPr="00C55807">
              <w:rPr>
                <w:color w:val="000000"/>
                <w:sz w:val="14"/>
                <w:szCs w:val="14"/>
              </w:rPr>
              <w:t xml:space="preserve">6 </w:t>
            </w:r>
          </w:p>
        </w:tc>
      </w:tr>
      <w:tr w:rsidR="00C55807" w:rsidRPr="00E4527E" w14:paraId="6657A17D" w14:textId="77777777" w:rsidTr="00F32225">
        <w:trPr>
          <w:trHeight w:hRule="exact" w:val="300"/>
        </w:trPr>
        <w:tc>
          <w:tcPr>
            <w:tcW w:w="660" w:type="dxa"/>
            <w:tcBorders>
              <w:top w:val="nil"/>
              <w:left w:val="nil"/>
              <w:bottom w:val="nil"/>
              <w:right w:val="nil"/>
            </w:tcBorders>
            <w:shd w:val="clear" w:color="000000" w:fill="FFFFFF"/>
            <w:noWrap/>
            <w:hideMark/>
          </w:tcPr>
          <w:p w14:paraId="332FB310" w14:textId="04E37D73"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47F54082" w14:textId="75842E31" w:rsidR="00C55807" w:rsidRPr="00C55807" w:rsidRDefault="00C55807" w:rsidP="00C55807">
            <w:pPr>
              <w:jc w:val="center"/>
              <w:rPr>
                <w:color w:val="000000"/>
                <w:sz w:val="14"/>
                <w:szCs w:val="14"/>
                <w:lang w:val="en-US" w:eastAsia="en-US"/>
              </w:rPr>
            </w:pPr>
            <w:r w:rsidRPr="00C55807">
              <w:rPr>
                <w:color w:val="000000"/>
                <w:sz w:val="14"/>
                <w:szCs w:val="14"/>
              </w:rPr>
              <w:t>6</w:t>
            </w:r>
          </w:p>
        </w:tc>
        <w:tc>
          <w:tcPr>
            <w:tcW w:w="605" w:type="dxa"/>
            <w:tcBorders>
              <w:top w:val="nil"/>
              <w:left w:val="nil"/>
              <w:bottom w:val="nil"/>
              <w:right w:val="nil"/>
            </w:tcBorders>
            <w:shd w:val="clear" w:color="000000" w:fill="FFFFFF"/>
            <w:noWrap/>
            <w:hideMark/>
          </w:tcPr>
          <w:p w14:paraId="26B890F2" w14:textId="24198449" w:rsidR="00C55807" w:rsidRPr="00C55807" w:rsidRDefault="00C55807" w:rsidP="00C55807">
            <w:pPr>
              <w:rPr>
                <w:color w:val="000000"/>
                <w:sz w:val="14"/>
                <w:szCs w:val="14"/>
                <w:lang w:val="en-US" w:eastAsia="en-US"/>
              </w:rPr>
            </w:pPr>
            <w:r w:rsidRPr="00C55807">
              <w:rPr>
                <w:color w:val="000000"/>
                <w:sz w:val="14"/>
                <w:szCs w:val="14"/>
              </w:rPr>
              <w:t>I02A</w:t>
            </w:r>
          </w:p>
        </w:tc>
        <w:tc>
          <w:tcPr>
            <w:tcW w:w="5490" w:type="dxa"/>
            <w:gridSpan w:val="2"/>
            <w:tcBorders>
              <w:top w:val="nil"/>
              <w:left w:val="nil"/>
              <w:bottom w:val="nil"/>
              <w:right w:val="nil"/>
            </w:tcBorders>
            <w:shd w:val="clear" w:color="000000" w:fill="FFFFFF"/>
            <w:noWrap/>
            <w:hideMark/>
          </w:tcPr>
          <w:p w14:paraId="119D65F7" w14:textId="1F8362CB" w:rsidR="00C55807" w:rsidRPr="00C55807" w:rsidRDefault="00C55807" w:rsidP="00C55807">
            <w:pPr>
              <w:rPr>
                <w:color w:val="000000"/>
                <w:sz w:val="14"/>
                <w:szCs w:val="14"/>
                <w:lang w:val="en-US" w:eastAsia="en-US"/>
              </w:rPr>
            </w:pPr>
            <w:r w:rsidRPr="00C55807">
              <w:rPr>
                <w:color w:val="000000"/>
                <w:sz w:val="14"/>
                <w:szCs w:val="14"/>
              </w:rPr>
              <w:t>Microvascular Tissue Transfers or Skin Grafts, Excluding Hand, Major Complexity</w:t>
            </w:r>
          </w:p>
        </w:tc>
        <w:tc>
          <w:tcPr>
            <w:tcW w:w="567" w:type="dxa"/>
            <w:tcBorders>
              <w:top w:val="nil"/>
              <w:left w:val="nil"/>
              <w:bottom w:val="nil"/>
              <w:right w:val="nil"/>
            </w:tcBorders>
            <w:shd w:val="clear" w:color="000000" w:fill="FFFFFF"/>
            <w:noWrap/>
            <w:hideMark/>
          </w:tcPr>
          <w:p w14:paraId="5E5D643C" w14:textId="3F11C365" w:rsidR="00C55807" w:rsidRPr="00C55807" w:rsidRDefault="00C55807" w:rsidP="00C55807">
            <w:pPr>
              <w:jc w:val="right"/>
              <w:rPr>
                <w:b/>
                <w:bCs/>
                <w:color w:val="000000"/>
                <w:sz w:val="14"/>
                <w:szCs w:val="14"/>
                <w:lang w:val="en-US" w:eastAsia="en-US"/>
              </w:rPr>
            </w:pPr>
            <w:r w:rsidRPr="00C55807">
              <w:rPr>
                <w:b/>
                <w:bCs/>
                <w:color w:val="000000"/>
                <w:sz w:val="14"/>
                <w:szCs w:val="14"/>
              </w:rPr>
              <w:t>8.93</w:t>
            </w:r>
          </w:p>
        </w:tc>
        <w:tc>
          <w:tcPr>
            <w:tcW w:w="839" w:type="dxa"/>
            <w:tcBorders>
              <w:top w:val="nil"/>
              <w:left w:val="nil"/>
              <w:bottom w:val="nil"/>
              <w:right w:val="nil"/>
            </w:tcBorders>
            <w:shd w:val="clear" w:color="000000" w:fill="FFFFFF"/>
            <w:noWrap/>
            <w:hideMark/>
          </w:tcPr>
          <w:p w14:paraId="3FDB31C8" w14:textId="3AC7F824" w:rsidR="00C55807" w:rsidRPr="00C55807" w:rsidRDefault="00C55807" w:rsidP="00C55807">
            <w:pPr>
              <w:jc w:val="right"/>
              <w:rPr>
                <w:color w:val="000000"/>
                <w:sz w:val="14"/>
                <w:szCs w:val="14"/>
                <w:lang w:val="en-US" w:eastAsia="en-US"/>
              </w:rPr>
            </w:pPr>
            <w:r w:rsidRPr="00C55807">
              <w:rPr>
                <w:color w:val="000000"/>
                <w:sz w:val="14"/>
                <w:szCs w:val="14"/>
              </w:rPr>
              <w:t>59</w:t>
            </w:r>
          </w:p>
        </w:tc>
        <w:tc>
          <w:tcPr>
            <w:tcW w:w="702" w:type="dxa"/>
            <w:tcBorders>
              <w:top w:val="nil"/>
              <w:left w:val="nil"/>
              <w:bottom w:val="nil"/>
              <w:right w:val="nil"/>
            </w:tcBorders>
            <w:shd w:val="clear" w:color="000000" w:fill="FFFFFF"/>
            <w:noWrap/>
            <w:hideMark/>
          </w:tcPr>
          <w:p w14:paraId="57119348" w14:textId="7389504C" w:rsidR="00C55807" w:rsidRPr="00C55807" w:rsidRDefault="00C55807" w:rsidP="00C55807">
            <w:pPr>
              <w:jc w:val="right"/>
              <w:rPr>
                <w:color w:val="000000"/>
                <w:sz w:val="14"/>
                <w:szCs w:val="14"/>
                <w:lang w:val="en-US" w:eastAsia="en-US"/>
              </w:rPr>
            </w:pPr>
            <w:r w:rsidRPr="00C55807">
              <w:rPr>
                <w:color w:val="000000"/>
                <w:sz w:val="14"/>
                <w:szCs w:val="14"/>
              </w:rPr>
              <w:t>15.04</w:t>
            </w:r>
          </w:p>
        </w:tc>
        <w:tc>
          <w:tcPr>
            <w:tcW w:w="702" w:type="dxa"/>
            <w:tcBorders>
              <w:top w:val="nil"/>
              <w:left w:val="nil"/>
              <w:bottom w:val="nil"/>
              <w:right w:val="nil"/>
            </w:tcBorders>
            <w:shd w:val="clear" w:color="000000" w:fill="FFFFFF"/>
            <w:noWrap/>
            <w:hideMark/>
          </w:tcPr>
          <w:p w14:paraId="584C11E3" w14:textId="545295A8" w:rsidR="00C55807" w:rsidRPr="00C55807" w:rsidRDefault="00C55807" w:rsidP="00C55807">
            <w:pPr>
              <w:jc w:val="right"/>
              <w:rPr>
                <w:color w:val="000000"/>
                <w:sz w:val="14"/>
                <w:szCs w:val="14"/>
                <w:lang w:val="en-US" w:eastAsia="en-US"/>
              </w:rPr>
            </w:pPr>
            <w:r w:rsidRPr="00C55807">
              <w:rPr>
                <w:color w:val="000000"/>
                <w:sz w:val="14"/>
                <w:szCs w:val="14"/>
              </w:rPr>
              <w:t>34.3</w:t>
            </w:r>
          </w:p>
        </w:tc>
        <w:tc>
          <w:tcPr>
            <w:tcW w:w="702" w:type="dxa"/>
            <w:tcBorders>
              <w:top w:val="nil"/>
              <w:left w:val="single" w:sz="4" w:space="0" w:color="000000"/>
              <w:bottom w:val="nil"/>
              <w:right w:val="nil"/>
            </w:tcBorders>
            <w:shd w:val="clear" w:color="000000" w:fill="FFFFFF"/>
            <w:noWrap/>
            <w:hideMark/>
          </w:tcPr>
          <w:p w14:paraId="79571E68" w14:textId="7658550F" w:rsidR="00C55807" w:rsidRPr="00C55807" w:rsidRDefault="00C55807" w:rsidP="00C55807">
            <w:pPr>
              <w:jc w:val="right"/>
              <w:rPr>
                <w:color w:val="000000"/>
                <w:sz w:val="14"/>
                <w:szCs w:val="14"/>
                <w:lang w:val="en-US" w:eastAsia="en-US"/>
              </w:rPr>
            </w:pPr>
            <w:r w:rsidRPr="00C55807">
              <w:rPr>
                <w:color w:val="000000"/>
                <w:sz w:val="14"/>
                <w:szCs w:val="14"/>
              </w:rPr>
              <w:t>16%</w:t>
            </w:r>
          </w:p>
        </w:tc>
        <w:tc>
          <w:tcPr>
            <w:tcW w:w="702" w:type="dxa"/>
            <w:tcBorders>
              <w:top w:val="nil"/>
              <w:left w:val="nil"/>
              <w:bottom w:val="nil"/>
              <w:right w:val="nil"/>
            </w:tcBorders>
            <w:shd w:val="clear" w:color="000000" w:fill="FFFFFF"/>
            <w:noWrap/>
            <w:hideMark/>
          </w:tcPr>
          <w:p w14:paraId="1E368008" w14:textId="3D6817F9" w:rsidR="00C55807" w:rsidRPr="00C55807" w:rsidRDefault="00C55807" w:rsidP="00C55807">
            <w:pPr>
              <w:jc w:val="right"/>
              <w:rPr>
                <w:color w:val="000000"/>
                <w:sz w:val="14"/>
                <w:szCs w:val="14"/>
                <w:lang w:val="en-US" w:eastAsia="en-US"/>
              </w:rPr>
            </w:pPr>
            <w:r w:rsidRPr="00C55807">
              <w:rPr>
                <w:color w:val="000000"/>
                <w:sz w:val="14"/>
                <w:szCs w:val="14"/>
              </w:rPr>
              <w:t>10%</w:t>
            </w:r>
          </w:p>
        </w:tc>
        <w:tc>
          <w:tcPr>
            <w:tcW w:w="706" w:type="dxa"/>
            <w:tcBorders>
              <w:top w:val="nil"/>
              <w:left w:val="nil"/>
              <w:bottom w:val="nil"/>
              <w:right w:val="nil"/>
            </w:tcBorders>
            <w:shd w:val="clear" w:color="000000" w:fill="FFFFFF"/>
            <w:noWrap/>
            <w:hideMark/>
          </w:tcPr>
          <w:p w14:paraId="2BDA7D50" w14:textId="23B34F48" w:rsidR="00C55807" w:rsidRPr="00C55807" w:rsidRDefault="00C55807" w:rsidP="00C55807">
            <w:pPr>
              <w:jc w:val="right"/>
              <w:rPr>
                <w:color w:val="000000"/>
                <w:sz w:val="14"/>
                <w:szCs w:val="14"/>
                <w:lang w:val="en-US" w:eastAsia="en-US"/>
              </w:rPr>
            </w:pPr>
            <w:r w:rsidRPr="00C55807">
              <w:rPr>
                <w:color w:val="000000"/>
                <w:sz w:val="14"/>
                <w:szCs w:val="14"/>
              </w:rPr>
              <w:t>15%</w:t>
            </w:r>
          </w:p>
        </w:tc>
        <w:tc>
          <w:tcPr>
            <w:tcW w:w="730" w:type="dxa"/>
            <w:tcBorders>
              <w:top w:val="nil"/>
              <w:left w:val="nil"/>
              <w:bottom w:val="nil"/>
              <w:right w:val="nil"/>
            </w:tcBorders>
            <w:shd w:val="clear" w:color="000000" w:fill="FFFFFF"/>
            <w:noWrap/>
            <w:hideMark/>
          </w:tcPr>
          <w:p w14:paraId="780627B2" w14:textId="4993E5CF" w:rsidR="00C55807" w:rsidRPr="00C55807" w:rsidRDefault="00C55807" w:rsidP="00C55807">
            <w:pPr>
              <w:jc w:val="right"/>
              <w:rPr>
                <w:color w:val="000000"/>
                <w:sz w:val="14"/>
                <w:szCs w:val="14"/>
                <w:lang w:val="en-US" w:eastAsia="en-US"/>
              </w:rPr>
            </w:pPr>
            <w:r w:rsidRPr="00C55807">
              <w:rPr>
                <w:color w:val="000000"/>
                <w:sz w:val="14"/>
                <w:szCs w:val="14"/>
              </w:rPr>
              <w:t>59%</w:t>
            </w:r>
          </w:p>
        </w:tc>
        <w:tc>
          <w:tcPr>
            <w:tcW w:w="901" w:type="dxa"/>
            <w:tcBorders>
              <w:top w:val="nil"/>
              <w:left w:val="single" w:sz="4" w:space="0" w:color="auto"/>
              <w:bottom w:val="nil"/>
              <w:right w:val="nil"/>
            </w:tcBorders>
            <w:shd w:val="clear" w:color="000000" w:fill="FFFFFF"/>
            <w:noWrap/>
            <w:hideMark/>
          </w:tcPr>
          <w:p w14:paraId="1F2DDC5D" w14:textId="4BBE5306" w:rsidR="00C55807" w:rsidRPr="00C55807" w:rsidRDefault="00C55807" w:rsidP="00C55807">
            <w:pPr>
              <w:jc w:val="right"/>
              <w:rPr>
                <w:color w:val="000000"/>
                <w:sz w:val="14"/>
                <w:szCs w:val="14"/>
                <w:lang w:val="en-US" w:eastAsia="en-US"/>
              </w:rPr>
            </w:pPr>
            <w:r w:rsidRPr="00C55807">
              <w:rPr>
                <w:color w:val="000000"/>
                <w:sz w:val="14"/>
                <w:szCs w:val="14"/>
              </w:rPr>
              <w:t>11.87</w:t>
            </w:r>
          </w:p>
        </w:tc>
        <w:tc>
          <w:tcPr>
            <w:tcW w:w="702" w:type="dxa"/>
            <w:tcBorders>
              <w:top w:val="nil"/>
              <w:left w:val="nil"/>
              <w:bottom w:val="nil"/>
              <w:right w:val="nil"/>
            </w:tcBorders>
            <w:shd w:val="clear" w:color="000000" w:fill="FFFFFF"/>
            <w:noWrap/>
            <w:hideMark/>
          </w:tcPr>
          <w:p w14:paraId="3D6BA9A3" w14:textId="60907004" w:rsidR="00C55807" w:rsidRPr="00C55807" w:rsidRDefault="00C55807" w:rsidP="00C55807">
            <w:pPr>
              <w:jc w:val="right"/>
              <w:rPr>
                <w:color w:val="000000"/>
                <w:sz w:val="14"/>
                <w:szCs w:val="14"/>
                <w:lang w:val="en-US" w:eastAsia="en-US"/>
              </w:rPr>
            </w:pPr>
            <w:r w:rsidRPr="00C55807">
              <w:rPr>
                <w:color w:val="000000"/>
                <w:sz w:val="14"/>
                <w:szCs w:val="14"/>
              </w:rPr>
              <w:t xml:space="preserve">1 </w:t>
            </w:r>
          </w:p>
        </w:tc>
      </w:tr>
      <w:tr w:rsidR="00C55807" w:rsidRPr="00E4527E" w14:paraId="4966D5F6" w14:textId="77777777" w:rsidTr="00F32225">
        <w:trPr>
          <w:trHeight w:hRule="exact" w:val="300"/>
        </w:trPr>
        <w:tc>
          <w:tcPr>
            <w:tcW w:w="660" w:type="dxa"/>
            <w:tcBorders>
              <w:top w:val="nil"/>
              <w:left w:val="nil"/>
              <w:bottom w:val="nil"/>
              <w:right w:val="nil"/>
            </w:tcBorders>
            <w:shd w:val="clear" w:color="000000" w:fill="FFFFFF"/>
            <w:noWrap/>
            <w:hideMark/>
          </w:tcPr>
          <w:p w14:paraId="4ADB18FE" w14:textId="73585814" w:rsidR="00C55807" w:rsidRPr="00C55807" w:rsidRDefault="00C55807" w:rsidP="00C55807">
            <w:pPr>
              <w:jc w:val="center"/>
              <w:rPr>
                <w:color w:val="000000"/>
                <w:sz w:val="14"/>
                <w:szCs w:val="14"/>
                <w:lang w:val="en-US" w:eastAsia="en-US"/>
              </w:rPr>
            </w:pPr>
            <w:r w:rsidRPr="00C55807">
              <w:rPr>
                <w:color w:val="000000"/>
                <w:sz w:val="14"/>
                <w:szCs w:val="14"/>
              </w:rPr>
              <w:t>No</w:t>
            </w:r>
          </w:p>
        </w:tc>
        <w:tc>
          <w:tcPr>
            <w:tcW w:w="758" w:type="dxa"/>
            <w:tcBorders>
              <w:top w:val="nil"/>
              <w:left w:val="nil"/>
              <w:bottom w:val="nil"/>
              <w:right w:val="nil"/>
            </w:tcBorders>
            <w:shd w:val="clear" w:color="000000" w:fill="FFFFFF"/>
            <w:noWrap/>
            <w:hideMark/>
          </w:tcPr>
          <w:p w14:paraId="525AA748" w14:textId="3E3509C3" w:rsidR="00C55807" w:rsidRPr="00C55807" w:rsidRDefault="00C55807" w:rsidP="00C55807">
            <w:pPr>
              <w:jc w:val="center"/>
              <w:rPr>
                <w:color w:val="000000"/>
                <w:sz w:val="14"/>
                <w:szCs w:val="14"/>
                <w:lang w:val="en-US" w:eastAsia="en-US"/>
              </w:rPr>
            </w:pPr>
            <w:r w:rsidRPr="00C55807">
              <w:rPr>
                <w:color w:val="000000"/>
                <w:sz w:val="14"/>
                <w:szCs w:val="14"/>
              </w:rPr>
              <w:t>7</w:t>
            </w:r>
          </w:p>
        </w:tc>
        <w:tc>
          <w:tcPr>
            <w:tcW w:w="605" w:type="dxa"/>
            <w:tcBorders>
              <w:top w:val="nil"/>
              <w:left w:val="nil"/>
              <w:bottom w:val="nil"/>
              <w:right w:val="nil"/>
            </w:tcBorders>
            <w:shd w:val="clear" w:color="000000" w:fill="FFFFFF"/>
            <w:noWrap/>
            <w:hideMark/>
          </w:tcPr>
          <w:p w14:paraId="7AD05B48" w14:textId="6D4DAC6D" w:rsidR="00C55807" w:rsidRPr="00C55807" w:rsidRDefault="00C55807" w:rsidP="00C55807">
            <w:pPr>
              <w:rPr>
                <w:color w:val="000000"/>
                <w:sz w:val="14"/>
                <w:szCs w:val="14"/>
                <w:lang w:val="en-US" w:eastAsia="en-US"/>
              </w:rPr>
            </w:pPr>
            <w:r w:rsidRPr="00C55807">
              <w:rPr>
                <w:color w:val="000000"/>
                <w:sz w:val="14"/>
                <w:szCs w:val="14"/>
              </w:rPr>
              <w:t>B83A</w:t>
            </w:r>
          </w:p>
        </w:tc>
        <w:tc>
          <w:tcPr>
            <w:tcW w:w="5490" w:type="dxa"/>
            <w:gridSpan w:val="2"/>
            <w:tcBorders>
              <w:top w:val="nil"/>
              <w:left w:val="nil"/>
              <w:bottom w:val="nil"/>
              <w:right w:val="nil"/>
            </w:tcBorders>
            <w:shd w:val="clear" w:color="000000" w:fill="FFFFFF"/>
            <w:noWrap/>
            <w:hideMark/>
          </w:tcPr>
          <w:p w14:paraId="264AC91A" w14:textId="4A027E54" w:rsidR="00C55807" w:rsidRPr="00C55807" w:rsidRDefault="00C55807" w:rsidP="00C55807">
            <w:pPr>
              <w:rPr>
                <w:color w:val="000000"/>
                <w:sz w:val="14"/>
                <w:szCs w:val="14"/>
                <w:lang w:val="en-US" w:eastAsia="en-US"/>
              </w:rPr>
            </w:pPr>
            <w:r w:rsidRPr="00C55807">
              <w:rPr>
                <w:color w:val="000000"/>
                <w:sz w:val="14"/>
                <w:szCs w:val="14"/>
              </w:rPr>
              <w:t>Acute Paraplegia and Quadriplegia and Spinal Cord Conditions, Major Complexity</w:t>
            </w:r>
          </w:p>
        </w:tc>
        <w:tc>
          <w:tcPr>
            <w:tcW w:w="567" w:type="dxa"/>
            <w:tcBorders>
              <w:top w:val="nil"/>
              <w:left w:val="nil"/>
              <w:bottom w:val="nil"/>
              <w:right w:val="nil"/>
            </w:tcBorders>
            <w:shd w:val="clear" w:color="000000" w:fill="FFFFFF"/>
            <w:noWrap/>
            <w:hideMark/>
          </w:tcPr>
          <w:p w14:paraId="1E11AC4F" w14:textId="32098F2B" w:rsidR="00C55807" w:rsidRPr="00C55807" w:rsidRDefault="00C55807" w:rsidP="00C55807">
            <w:pPr>
              <w:jc w:val="right"/>
              <w:rPr>
                <w:b/>
                <w:bCs/>
                <w:color w:val="000000"/>
                <w:sz w:val="14"/>
                <w:szCs w:val="14"/>
                <w:lang w:val="en-US" w:eastAsia="en-US"/>
              </w:rPr>
            </w:pPr>
            <w:r w:rsidRPr="00C55807">
              <w:rPr>
                <w:b/>
                <w:bCs/>
                <w:color w:val="000000"/>
                <w:sz w:val="14"/>
                <w:szCs w:val="14"/>
              </w:rPr>
              <w:t>8.44</w:t>
            </w:r>
          </w:p>
        </w:tc>
        <w:tc>
          <w:tcPr>
            <w:tcW w:w="839" w:type="dxa"/>
            <w:tcBorders>
              <w:top w:val="nil"/>
              <w:left w:val="nil"/>
              <w:bottom w:val="nil"/>
              <w:right w:val="nil"/>
            </w:tcBorders>
            <w:shd w:val="clear" w:color="000000" w:fill="FFFFFF"/>
            <w:noWrap/>
            <w:hideMark/>
          </w:tcPr>
          <w:p w14:paraId="270C1F94" w14:textId="54298B23" w:rsidR="00C55807" w:rsidRPr="00C55807" w:rsidRDefault="00C55807" w:rsidP="00C55807">
            <w:pPr>
              <w:jc w:val="right"/>
              <w:rPr>
                <w:color w:val="000000"/>
                <w:sz w:val="14"/>
                <w:szCs w:val="14"/>
                <w:lang w:val="en-US" w:eastAsia="en-US"/>
              </w:rPr>
            </w:pPr>
            <w:r w:rsidRPr="00C55807">
              <w:rPr>
                <w:color w:val="000000"/>
                <w:sz w:val="14"/>
                <w:szCs w:val="14"/>
              </w:rPr>
              <w:t>54</w:t>
            </w:r>
          </w:p>
        </w:tc>
        <w:tc>
          <w:tcPr>
            <w:tcW w:w="702" w:type="dxa"/>
            <w:tcBorders>
              <w:top w:val="nil"/>
              <w:left w:val="nil"/>
              <w:bottom w:val="nil"/>
              <w:right w:val="nil"/>
            </w:tcBorders>
            <w:shd w:val="clear" w:color="000000" w:fill="FFFFFF"/>
            <w:noWrap/>
            <w:hideMark/>
          </w:tcPr>
          <w:p w14:paraId="1724322E" w14:textId="17BDFA86" w:rsidR="00C55807" w:rsidRPr="00C55807" w:rsidRDefault="00C55807" w:rsidP="00C55807">
            <w:pPr>
              <w:jc w:val="right"/>
              <w:rPr>
                <w:color w:val="000000"/>
                <w:sz w:val="14"/>
                <w:szCs w:val="14"/>
                <w:lang w:val="en-US" w:eastAsia="en-US"/>
              </w:rPr>
            </w:pPr>
            <w:r w:rsidRPr="00C55807">
              <w:rPr>
                <w:color w:val="000000"/>
                <w:sz w:val="14"/>
                <w:szCs w:val="14"/>
              </w:rPr>
              <w:t>8.62</w:t>
            </w:r>
          </w:p>
        </w:tc>
        <w:tc>
          <w:tcPr>
            <w:tcW w:w="702" w:type="dxa"/>
            <w:tcBorders>
              <w:top w:val="nil"/>
              <w:left w:val="nil"/>
              <w:bottom w:val="nil"/>
              <w:right w:val="nil"/>
            </w:tcBorders>
            <w:shd w:val="clear" w:color="000000" w:fill="FFFFFF"/>
            <w:noWrap/>
            <w:hideMark/>
          </w:tcPr>
          <w:p w14:paraId="62A5D824" w14:textId="42EA79B9" w:rsidR="00C55807" w:rsidRPr="00C55807" w:rsidRDefault="00C55807" w:rsidP="00C55807">
            <w:pPr>
              <w:jc w:val="right"/>
              <w:rPr>
                <w:color w:val="000000"/>
                <w:sz w:val="14"/>
                <w:szCs w:val="14"/>
                <w:lang w:val="en-US" w:eastAsia="en-US"/>
              </w:rPr>
            </w:pPr>
            <w:r w:rsidRPr="00C55807">
              <w:rPr>
                <w:color w:val="000000"/>
                <w:sz w:val="14"/>
                <w:szCs w:val="14"/>
              </w:rPr>
              <w:t>34.1</w:t>
            </w:r>
          </w:p>
        </w:tc>
        <w:tc>
          <w:tcPr>
            <w:tcW w:w="702" w:type="dxa"/>
            <w:tcBorders>
              <w:top w:val="nil"/>
              <w:left w:val="single" w:sz="4" w:space="0" w:color="000000"/>
              <w:bottom w:val="nil"/>
              <w:right w:val="nil"/>
            </w:tcBorders>
            <w:shd w:val="clear" w:color="000000" w:fill="FFFFFF"/>
            <w:noWrap/>
            <w:hideMark/>
          </w:tcPr>
          <w:p w14:paraId="0F61B738" w14:textId="6D286DB7" w:rsidR="00C55807" w:rsidRPr="00C55807" w:rsidRDefault="00C55807" w:rsidP="00C55807">
            <w:pPr>
              <w:jc w:val="right"/>
              <w:rPr>
                <w:color w:val="000000"/>
                <w:sz w:val="14"/>
                <w:szCs w:val="14"/>
                <w:lang w:val="en-US" w:eastAsia="en-US"/>
              </w:rPr>
            </w:pPr>
            <w:r w:rsidRPr="00C55807">
              <w:rPr>
                <w:color w:val="000000"/>
                <w:sz w:val="14"/>
                <w:szCs w:val="14"/>
              </w:rPr>
              <w:t>0%</w:t>
            </w:r>
          </w:p>
        </w:tc>
        <w:tc>
          <w:tcPr>
            <w:tcW w:w="702" w:type="dxa"/>
            <w:tcBorders>
              <w:top w:val="nil"/>
              <w:left w:val="nil"/>
              <w:bottom w:val="nil"/>
              <w:right w:val="nil"/>
            </w:tcBorders>
            <w:shd w:val="clear" w:color="000000" w:fill="FFFFFF"/>
            <w:noWrap/>
            <w:hideMark/>
          </w:tcPr>
          <w:p w14:paraId="32BEA687" w14:textId="57E42A07" w:rsidR="00C55807" w:rsidRPr="00C55807" w:rsidRDefault="00C55807" w:rsidP="00C55807">
            <w:pPr>
              <w:jc w:val="right"/>
              <w:rPr>
                <w:color w:val="000000"/>
                <w:sz w:val="14"/>
                <w:szCs w:val="14"/>
                <w:lang w:val="en-US" w:eastAsia="en-US"/>
              </w:rPr>
            </w:pPr>
            <w:r w:rsidRPr="00C55807">
              <w:rPr>
                <w:color w:val="000000"/>
                <w:sz w:val="14"/>
                <w:szCs w:val="14"/>
              </w:rPr>
              <w:t>1%</w:t>
            </w:r>
          </w:p>
        </w:tc>
        <w:tc>
          <w:tcPr>
            <w:tcW w:w="706" w:type="dxa"/>
            <w:tcBorders>
              <w:top w:val="nil"/>
              <w:left w:val="nil"/>
              <w:bottom w:val="nil"/>
              <w:right w:val="nil"/>
            </w:tcBorders>
            <w:shd w:val="clear" w:color="000000" w:fill="FFFFFF"/>
            <w:noWrap/>
            <w:hideMark/>
          </w:tcPr>
          <w:p w14:paraId="570751F2" w14:textId="4DA6446A" w:rsidR="00C55807" w:rsidRPr="00C55807" w:rsidRDefault="00C55807" w:rsidP="00C55807">
            <w:pPr>
              <w:jc w:val="right"/>
              <w:rPr>
                <w:color w:val="000000"/>
                <w:sz w:val="14"/>
                <w:szCs w:val="14"/>
                <w:lang w:val="en-US" w:eastAsia="en-US"/>
              </w:rPr>
            </w:pPr>
            <w:r w:rsidRPr="00C55807">
              <w:rPr>
                <w:color w:val="000000"/>
                <w:sz w:val="14"/>
                <w:szCs w:val="14"/>
              </w:rPr>
              <w:t>0%</w:t>
            </w:r>
          </w:p>
        </w:tc>
        <w:tc>
          <w:tcPr>
            <w:tcW w:w="730" w:type="dxa"/>
            <w:tcBorders>
              <w:top w:val="nil"/>
              <w:left w:val="nil"/>
              <w:bottom w:val="nil"/>
              <w:right w:val="nil"/>
            </w:tcBorders>
            <w:shd w:val="clear" w:color="000000" w:fill="FFFFFF"/>
            <w:noWrap/>
            <w:hideMark/>
          </w:tcPr>
          <w:p w14:paraId="4EDFA700" w14:textId="2E56DF4E" w:rsidR="00C55807" w:rsidRPr="00C55807" w:rsidRDefault="00C55807" w:rsidP="00C55807">
            <w:pPr>
              <w:jc w:val="right"/>
              <w:rPr>
                <w:color w:val="000000"/>
                <w:sz w:val="14"/>
                <w:szCs w:val="14"/>
                <w:lang w:val="en-US" w:eastAsia="en-US"/>
              </w:rPr>
            </w:pPr>
            <w:r w:rsidRPr="00C55807">
              <w:rPr>
                <w:color w:val="000000"/>
                <w:sz w:val="14"/>
                <w:szCs w:val="14"/>
              </w:rPr>
              <w:t>98%</w:t>
            </w:r>
          </w:p>
        </w:tc>
        <w:tc>
          <w:tcPr>
            <w:tcW w:w="901" w:type="dxa"/>
            <w:tcBorders>
              <w:top w:val="nil"/>
              <w:left w:val="single" w:sz="4" w:space="0" w:color="auto"/>
              <w:bottom w:val="nil"/>
              <w:right w:val="nil"/>
            </w:tcBorders>
            <w:shd w:val="clear" w:color="000000" w:fill="FFFFFF"/>
            <w:noWrap/>
            <w:hideMark/>
          </w:tcPr>
          <w:p w14:paraId="75168F07" w14:textId="7A49ABEF" w:rsidR="00C55807" w:rsidRPr="00C55807" w:rsidRDefault="00C55807" w:rsidP="00C55807">
            <w:pPr>
              <w:jc w:val="right"/>
              <w:rPr>
                <w:color w:val="000000"/>
                <w:sz w:val="14"/>
                <w:szCs w:val="14"/>
                <w:lang w:val="en-US" w:eastAsia="en-US"/>
              </w:rPr>
            </w:pPr>
            <w:r w:rsidRPr="00C55807">
              <w:rPr>
                <w:color w:val="000000"/>
                <w:sz w:val="14"/>
                <w:szCs w:val="14"/>
              </w:rPr>
              <w:t>3.19</w:t>
            </w:r>
          </w:p>
        </w:tc>
        <w:tc>
          <w:tcPr>
            <w:tcW w:w="702" w:type="dxa"/>
            <w:tcBorders>
              <w:top w:val="nil"/>
              <w:left w:val="nil"/>
              <w:bottom w:val="nil"/>
              <w:right w:val="nil"/>
            </w:tcBorders>
            <w:shd w:val="clear" w:color="000000" w:fill="FFFFFF"/>
            <w:noWrap/>
            <w:hideMark/>
          </w:tcPr>
          <w:p w14:paraId="7D79EC30" w14:textId="36DA8ECF" w:rsidR="00C55807" w:rsidRPr="00C55807" w:rsidRDefault="00C55807" w:rsidP="00C55807">
            <w:pPr>
              <w:jc w:val="right"/>
              <w:rPr>
                <w:color w:val="000000"/>
                <w:sz w:val="14"/>
                <w:szCs w:val="14"/>
                <w:lang w:val="en-US" w:eastAsia="en-US"/>
              </w:rPr>
            </w:pPr>
            <w:r w:rsidRPr="00C55807">
              <w:rPr>
                <w:color w:val="000000"/>
                <w:sz w:val="14"/>
                <w:szCs w:val="14"/>
              </w:rPr>
              <w:t xml:space="preserve">98 </w:t>
            </w:r>
          </w:p>
        </w:tc>
      </w:tr>
      <w:tr w:rsidR="00C55807" w:rsidRPr="00E4527E" w14:paraId="7FFCCDE3" w14:textId="77777777" w:rsidTr="00F32225">
        <w:trPr>
          <w:trHeight w:hRule="exact" w:val="300"/>
        </w:trPr>
        <w:tc>
          <w:tcPr>
            <w:tcW w:w="660" w:type="dxa"/>
            <w:tcBorders>
              <w:top w:val="nil"/>
              <w:left w:val="nil"/>
              <w:bottom w:val="nil"/>
              <w:right w:val="nil"/>
            </w:tcBorders>
            <w:shd w:val="clear" w:color="000000" w:fill="FFFFFF"/>
            <w:noWrap/>
            <w:hideMark/>
          </w:tcPr>
          <w:p w14:paraId="092B2732" w14:textId="593D6CB0"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578B610F" w14:textId="484C2B2C" w:rsidR="00C55807" w:rsidRPr="00C55807" w:rsidRDefault="00C55807" w:rsidP="00C55807">
            <w:pPr>
              <w:jc w:val="center"/>
              <w:rPr>
                <w:color w:val="000000"/>
                <w:sz w:val="14"/>
                <w:szCs w:val="14"/>
                <w:lang w:val="en-US" w:eastAsia="en-US"/>
              </w:rPr>
            </w:pPr>
            <w:r w:rsidRPr="00C55807">
              <w:rPr>
                <w:color w:val="000000"/>
                <w:sz w:val="14"/>
                <w:szCs w:val="14"/>
              </w:rPr>
              <w:t>8</w:t>
            </w:r>
          </w:p>
        </w:tc>
        <w:tc>
          <w:tcPr>
            <w:tcW w:w="605" w:type="dxa"/>
            <w:tcBorders>
              <w:top w:val="nil"/>
              <w:left w:val="nil"/>
              <w:bottom w:val="nil"/>
              <w:right w:val="nil"/>
            </w:tcBorders>
            <w:shd w:val="clear" w:color="000000" w:fill="FFFFFF"/>
            <w:noWrap/>
            <w:hideMark/>
          </w:tcPr>
          <w:p w14:paraId="1917699F" w14:textId="6963F6C0" w:rsidR="00C55807" w:rsidRPr="00C55807" w:rsidRDefault="00C55807" w:rsidP="00C55807">
            <w:pPr>
              <w:rPr>
                <w:color w:val="000000"/>
                <w:sz w:val="14"/>
                <w:szCs w:val="14"/>
                <w:lang w:val="en-US" w:eastAsia="en-US"/>
              </w:rPr>
            </w:pPr>
            <w:r w:rsidRPr="00C55807">
              <w:rPr>
                <w:color w:val="000000"/>
                <w:sz w:val="14"/>
                <w:szCs w:val="14"/>
              </w:rPr>
              <w:t>R60A</w:t>
            </w:r>
          </w:p>
        </w:tc>
        <w:tc>
          <w:tcPr>
            <w:tcW w:w="5490" w:type="dxa"/>
            <w:gridSpan w:val="2"/>
            <w:tcBorders>
              <w:top w:val="nil"/>
              <w:left w:val="nil"/>
              <w:bottom w:val="nil"/>
              <w:right w:val="nil"/>
            </w:tcBorders>
            <w:shd w:val="clear" w:color="000000" w:fill="FFFFFF"/>
            <w:noWrap/>
            <w:hideMark/>
          </w:tcPr>
          <w:p w14:paraId="323BC531" w14:textId="42EF96BA" w:rsidR="00C55807" w:rsidRPr="00C55807" w:rsidRDefault="00C55807" w:rsidP="00C55807">
            <w:pPr>
              <w:rPr>
                <w:color w:val="000000"/>
                <w:sz w:val="14"/>
                <w:szCs w:val="14"/>
                <w:lang w:val="en-US" w:eastAsia="en-US"/>
              </w:rPr>
            </w:pPr>
            <w:r w:rsidRPr="00C55807">
              <w:rPr>
                <w:color w:val="000000"/>
                <w:sz w:val="14"/>
                <w:szCs w:val="14"/>
              </w:rPr>
              <w:t>Acute Leukaemia, Major Complexity</w:t>
            </w:r>
          </w:p>
        </w:tc>
        <w:tc>
          <w:tcPr>
            <w:tcW w:w="567" w:type="dxa"/>
            <w:tcBorders>
              <w:top w:val="nil"/>
              <w:left w:val="nil"/>
              <w:bottom w:val="nil"/>
              <w:right w:val="nil"/>
            </w:tcBorders>
            <w:shd w:val="clear" w:color="000000" w:fill="FFFFFF"/>
            <w:noWrap/>
            <w:hideMark/>
          </w:tcPr>
          <w:p w14:paraId="3A08A6C4" w14:textId="5D4CD36B" w:rsidR="00C55807" w:rsidRPr="00C55807" w:rsidRDefault="00C55807" w:rsidP="00C55807">
            <w:pPr>
              <w:jc w:val="right"/>
              <w:rPr>
                <w:b/>
                <w:bCs/>
                <w:color w:val="000000"/>
                <w:sz w:val="14"/>
                <w:szCs w:val="14"/>
                <w:lang w:val="en-US" w:eastAsia="en-US"/>
              </w:rPr>
            </w:pPr>
            <w:r w:rsidRPr="00C55807">
              <w:rPr>
                <w:b/>
                <w:bCs/>
                <w:color w:val="000000"/>
                <w:sz w:val="14"/>
                <w:szCs w:val="14"/>
              </w:rPr>
              <w:t>7.77</w:t>
            </w:r>
          </w:p>
        </w:tc>
        <w:tc>
          <w:tcPr>
            <w:tcW w:w="839" w:type="dxa"/>
            <w:tcBorders>
              <w:top w:val="nil"/>
              <w:left w:val="nil"/>
              <w:bottom w:val="nil"/>
              <w:right w:val="nil"/>
            </w:tcBorders>
            <w:shd w:val="clear" w:color="000000" w:fill="FFFFFF"/>
            <w:noWrap/>
            <w:hideMark/>
          </w:tcPr>
          <w:p w14:paraId="78F28F5B" w14:textId="28DFA807" w:rsidR="00C55807" w:rsidRPr="00C55807" w:rsidRDefault="00C55807" w:rsidP="00C55807">
            <w:pPr>
              <w:jc w:val="right"/>
              <w:rPr>
                <w:color w:val="000000"/>
                <w:sz w:val="14"/>
                <w:szCs w:val="14"/>
                <w:lang w:val="en-US" w:eastAsia="en-US"/>
              </w:rPr>
            </w:pPr>
            <w:r w:rsidRPr="00C55807">
              <w:rPr>
                <w:color w:val="000000"/>
                <w:sz w:val="14"/>
                <w:szCs w:val="14"/>
              </w:rPr>
              <w:t>323</w:t>
            </w:r>
          </w:p>
        </w:tc>
        <w:tc>
          <w:tcPr>
            <w:tcW w:w="702" w:type="dxa"/>
            <w:tcBorders>
              <w:top w:val="nil"/>
              <w:left w:val="nil"/>
              <w:bottom w:val="nil"/>
              <w:right w:val="nil"/>
            </w:tcBorders>
            <w:shd w:val="clear" w:color="000000" w:fill="FFFFFF"/>
            <w:noWrap/>
            <w:hideMark/>
          </w:tcPr>
          <w:p w14:paraId="0C729451" w14:textId="091AEEE3" w:rsidR="00C55807" w:rsidRPr="00C55807" w:rsidRDefault="00C55807" w:rsidP="00C55807">
            <w:pPr>
              <w:jc w:val="right"/>
              <w:rPr>
                <w:color w:val="000000"/>
                <w:sz w:val="14"/>
                <w:szCs w:val="14"/>
                <w:lang w:val="en-US" w:eastAsia="en-US"/>
              </w:rPr>
            </w:pPr>
            <w:r w:rsidRPr="00C55807">
              <w:rPr>
                <w:color w:val="000000"/>
                <w:sz w:val="14"/>
                <w:szCs w:val="14"/>
              </w:rPr>
              <w:t>8.42</w:t>
            </w:r>
          </w:p>
        </w:tc>
        <w:tc>
          <w:tcPr>
            <w:tcW w:w="702" w:type="dxa"/>
            <w:tcBorders>
              <w:top w:val="nil"/>
              <w:left w:val="nil"/>
              <w:bottom w:val="nil"/>
              <w:right w:val="nil"/>
            </w:tcBorders>
            <w:shd w:val="clear" w:color="000000" w:fill="FFFFFF"/>
            <w:noWrap/>
            <w:hideMark/>
          </w:tcPr>
          <w:p w14:paraId="22B09D74" w14:textId="0536BC54" w:rsidR="00C55807" w:rsidRPr="00C55807" w:rsidRDefault="00C55807" w:rsidP="00C55807">
            <w:pPr>
              <w:jc w:val="right"/>
              <w:rPr>
                <w:color w:val="000000"/>
                <w:sz w:val="14"/>
                <w:szCs w:val="14"/>
                <w:lang w:val="en-US" w:eastAsia="en-US"/>
              </w:rPr>
            </w:pPr>
            <w:r w:rsidRPr="00C55807">
              <w:rPr>
                <w:color w:val="000000"/>
                <w:sz w:val="14"/>
                <w:szCs w:val="14"/>
              </w:rPr>
              <w:t>27.0</w:t>
            </w:r>
          </w:p>
        </w:tc>
        <w:tc>
          <w:tcPr>
            <w:tcW w:w="702" w:type="dxa"/>
            <w:tcBorders>
              <w:top w:val="nil"/>
              <w:left w:val="single" w:sz="4" w:space="0" w:color="000000"/>
              <w:bottom w:val="nil"/>
              <w:right w:val="nil"/>
            </w:tcBorders>
            <w:shd w:val="clear" w:color="000000" w:fill="FFFFFF"/>
            <w:noWrap/>
            <w:hideMark/>
          </w:tcPr>
          <w:p w14:paraId="6C951D31" w14:textId="79993BF5" w:rsidR="00C55807" w:rsidRPr="00C55807" w:rsidRDefault="00C55807" w:rsidP="00C55807">
            <w:pPr>
              <w:jc w:val="right"/>
              <w:rPr>
                <w:color w:val="000000"/>
                <w:sz w:val="14"/>
                <w:szCs w:val="14"/>
                <w:lang w:val="en-US" w:eastAsia="en-US"/>
              </w:rPr>
            </w:pPr>
            <w:r w:rsidRPr="00C55807">
              <w:rPr>
                <w:color w:val="000000"/>
                <w:sz w:val="14"/>
                <w:szCs w:val="14"/>
              </w:rPr>
              <w:t>1%</w:t>
            </w:r>
          </w:p>
        </w:tc>
        <w:tc>
          <w:tcPr>
            <w:tcW w:w="702" w:type="dxa"/>
            <w:tcBorders>
              <w:top w:val="nil"/>
              <w:left w:val="nil"/>
              <w:bottom w:val="nil"/>
              <w:right w:val="nil"/>
            </w:tcBorders>
            <w:shd w:val="clear" w:color="000000" w:fill="FFFFFF"/>
            <w:noWrap/>
            <w:hideMark/>
          </w:tcPr>
          <w:p w14:paraId="2F8DC787" w14:textId="7D408495" w:rsidR="00C55807" w:rsidRPr="00C55807" w:rsidRDefault="00C55807" w:rsidP="00C55807">
            <w:pPr>
              <w:jc w:val="right"/>
              <w:rPr>
                <w:color w:val="000000"/>
                <w:sz w:val="14"/>
                <w:szCs w:val="14"/>
                <w:lang w:val="en-US" w:eastAsia="en-US"/>
              </w:rPr>
            </w:pPr>
            <w:r w:rsidRPr="00C55807">
              <w:rPr>
                <w:color w:val="000000"/>
                <w:sz w:val="14"/>
                <w:szCs w:val="14"/>
              </w:rPr>
              <w:t>6%</w:t>
            </w:r>
          </w:p>
        </w:tc>
        <w:tc>
          <w:tcPr>
            <w:tcW w:w="706" w:type="dxa"/>
            <w:tcBorders>
              <w:top w:val="nil"/>
              <w:left w:val="nil"/>
              <w:bottom w:val="nil"/>
              <w:right w:val="nil"/>
            </w:tcBorders>
            <w:shd w:val="clear" w:color="000000" w:fill="FFFFFF"/>
            <w:noWrap/>
            <w:hideMark/>
          </w:tcPr>
          <w:p w14:paraId="6D2C6114" w14:textId="29B0E025" w:rsidR="00C55807" w:rsidRPr="00C55807" w:rsidRDefault="00C55807" w:rsidP="00C55807">
            <w:pPr>
              <w:jc w:val="right"/>
              <w:rPr>
                <w:color w:val="000000"/>
                <w:sz w:val="14"/>
                <w:szCs w:val="14"/>
                <w:lang w:val="en-US" w:eastAsia="en-US"/>
              </w:rPr>
            </w:pPr>
            <w:r w:rsidRPr="00C55807">
              <w:rPr>
                <w:color w:val="000000"/>
                <w:sz w:val="14"/>
                <w:szCs w:val="14"/>
              </w:rPr>
              <w:t>0%</w:t>
            </w:r>
          </w:p>
        </w:tc>
        <w:tc>
          <w:tcPr>
            <w:tcW w:w="730" w:type="dxa"/>
            <w:tcBorders>
              <w:top w:val="nil"/>
              <w:left w:val="nil"/>
              <w:bottom w:val="nil"/>
              <w:right w:val="nil"/>
            </w:tcBorders>
            <w:shd w:val="clear" w:color="000000" w:fill="FFFFFF"/>
            <w:noWrap/>
            <w:hideMark/>
          </w:tcPr>
          <w:p w14:paraId="5A9530B4" w14:textId="1861023E" w:rsidR="00C55807" w:rsidRPr="00C55807" w:rsidRDefault="00C55807" w:rsidP="00C55807">
            <w:pPr>
              <w:jc w:val="right"/>
              <w:rPr>
                <w:color w:val="000000"/>
                <w:sz w:val="14"/>
                <w:szCs w:val="14"/>
                <w:lang w:val="en-US" w:eastAsia="en-US"/>
              </w:rPr>
            </w:pPr>
            <w:r w:rsidRPr="00C55807">
              <w:rPr>
                <w:color w:val="000000"/>
                <w:sz w:val="14"/>
                <w:szCs w:val="14"/>
              </w:rPr>
              <w:t>92%</w:t>
            </w:r>
          </w:p>
        </w:tc>
        <w:tc>
          <w:tcPr>
            <w:tcW w:w="901" w:type="dxa"/>
            <w:tcBorders>
              <w:top w:val="nil"/>
              <w:left w:val="single" w:sz="4" w:space="0" w:color="auto"/>
              <w:bottom w:val="nil"/>
              <w:right w:val="nil"/>
            </w:tcBorders>
            <w:shd w:val="clear" w:color="000000" w:fill="FFFFFF"/>
            <w:noWrap/>
            <w:hideMark/>
          </w:tcPr>
          <w:p w14:paraId="287A4DB9" w14:textId="786AFDC3" w:rsidR="00C55807" w:rsidRPr="00C55807" w:rsidRDefault="00C55807" w:rsidP="00C55807">
            <w:pPr>
              <w:jc w:val="right"/>
              <w:rPr>
                <w:color w:val="000000"/>
                <w:sz w:val="14"/>
                <w:szCs w:val="14"/>
                <w:lang w:val="en-US" w:eastAsia="en-US"/>
              </w:rPr>
            </w:pPr>
            <w:r w:rsidRPr="00C55807">
              <w:rPr>
                <w:color w:val="000000"/>
                <w:sz w:val="14"/>
                <w:szCs w:val="14"/>
              </w:rPr>
              <w:t>7.26</w:t>
            </w:r>
          </w:p>
        </w:tc>
        <w:tc>
          <w:tcPr>
            <w:tcW w:w="702" w:type="dxa"/>
            <w:tcBorders>
              <w:top w:val="nil"/>
              <w:left w:val="nil"/>
              <w:bottom w:val="nil"/>
              <w:right w:val="nil"/>
            </w:tcBorders>
            <w:shd w:val="clear" w:color="000000" w:fill="FFFFFF"/>
            <w:noWrap/>
            <w:hideMark/>
          </w:tcPr>
          <w:p w14:paraId="77046DFF" w14:textId="093A769B" w:rsidR="00C55807" w:rsidRPr="00C55807" w:rsidRDefault="00C55807" w:rsidP="00C55807">
            <w:pPr>
              <w:jc w:val="right"/>
              <w:rPr>
                <w:color w:val="000000"/>
                <w:sz w:val="14"/>
                <w:szCs w:val="14"/>
                <w:lang w:val="en-US" w:eastAsia="en-US"/>
              </w:rPr>
            </w:pPr>
            <w:r w:rsidRPr="00C55807">
              <w:rPr>
                <w:color w:val="000000"/>
                <w:sz w:val="14"/>
                <w:szCs w:val="14"/>
              </w:rPr>
              <w:t xml:space="preserve">8 </w:t>
            </w:r>
          </w:p>
        </w:tc>
      </w:tr>
      <w:tr w:rsidR="00C55807" w:rsidRPr="00E4527E" w14:paraId="3672F54A" w14:textId="77777777" w:rsidTr="00F32225">
        <w:trPr>
          <w:trHeight w:hRule="exact" w:val="300"/>
        </w:trPr>
        <w:tc>
          <w:tcPr>
            <w:tcW w:w="660" w:type="dxa"/>
            <w:tcBorders>
              <w:top w:val="nil"/>
              <w:left w:val="nil"/>
              <w:bottom w:val="nil"/>
              <w:right w:val="nil"/>
            </w:tcBorders>
            <w:shd w:val="clear" w:color="000000" w:fill="FFFFFF"/>
            <w:noWrap/>
            <w:hideMark/>
          </w:tcPr>
          <w:p w14:paraId="20738038" w14:textId="404ABA18"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0A0A9679" w14:textId="4D4D9063" w:rsidR="00C55807" w:rsidRPr="00C55807" w:rsidRDefault="00C55807" w:rsidP="00C55807">
            <w:pPr>
              <w:jc w:val="center"/>
              <w:rPr>
                <w:color w:val="000000"/>
                <w:sz w:val="14"/>
                <w:szCs w:val="14"/>
                <w:lang w:val="en-US" w:eastAsia="en-US"/>
              </w:rPr>
            </w:pPr>
            <w:r w:rsidRPr="00C55807">
              <w:rPr>
                <w:color w:val="000000"/>
                <w:sz w:val="14"/>
                <w:szCs w:val="14"/>
              </w:rPr>
              <w:t>9</w:t>
            </w:r>
          </w:p>
        </w:tc>
        <w:tc>
          <w:tcPr>
            <w:tcW w:w="605" w:type="dxa"/>
            <w:tcBorders>
              <w:top w:val="nil"/>
              <w:left w:val="nil"/>
              <w:bottom w:val="nil"/>
              <w:right w:val="nil"/>
            </w:tcBorders>
            <w:shd w:val="clear" w:color="000000" w:fill="FFFFFF"/>
            <w:noWrap/>
            <w:hideMark/>
          </w:tcPr>
          <w:p w14:paraId="533B674A" w14:textId="7727DF76" w:rsidR="00C55807" w:rsidRPr="00C55807" w:rsidRDefault="00C55807" w:rsidP="00C55807">
            <w:pPr>
              <w:rPr>
                <w:color w:val="000000"/>
                <w:sz w:val="14"/>
                <w:szCs w:val="14"/>
                <w:lang w:val="en-US" w:eastAsia="en-US"/>
              </w:rPr>
            </w:pPr>
            <w:r w:rsidRPr="00C55807">
              <w:rPr>
                <w:color w:val="000000"/>
                <w:sz w:val="14"/>
                <w:szCs w:val="14"/>
              </w:rPr>
              <w:t>G01A</w:t>
            </w:r>
          </w:p>
        </w:tc>
        <w:tc>
          <w:tcPr>
            <w:tcW w:w="5490" w:type="dxa"/>
            <w:gridSpan w:val="2"/>
            <w:tcBorders>
              <w:top w:val="nil"/>
              <w:left w:val="nil"/>
              <w:bottom w:val="nil"/>
              <w:right w:val="nil"/>
            </w:tcBorders>
            <w:shd w:val="clear" w:color="000000" w:fill="FFFFFF"/>
            <w:noWrap/>
            <w:hideMark/>
          </w:tcPr>
          <w:p w14:paraId="28F658BA" w14:textId="5E51BA0D" w:rsidR="00C55807" w:rsidRPr="00C55807" w:rsidRDefault="00C55807" w:rsidP="00C55807">
            <w:pPr>
              <w:rPr>
                <w:color w:val="000000"/>
                <w:sz w:val="14"/>
                <w:szCs w:val="14"/>
                <w:lang w:val="en-US" w:eastAsia="en-US"/>
              </w:rPr>
            </w:pPr>
            <w:r w:rsidRPr="00C55807">
              <w:rPr>
                <w:color w:val="000000"/>
                <w:sz w:val="14"/>
                <w:szCs w:val="14"/>
              </w:rPr>
              <w:t>Rectal Resection, Major Complexity</w:t>
            </w:r>
          </w:p>
        </w:tc>
        <w:tc>
          <w:tcPr>
            <w:tcW w:w="567" w:type="dxa"/>
            <w:tcBorders>
              <w:top w:val="nil"/>
              <w:left w:val="nil"/>
              <w:bottom w:val="nil"/>
              <w:right w:val="nil"/>
            </w:tcBorders>
            <w:shd w:val="clear" w:color="000000" w:fill="FFFFFF"/>
            <w:noWrap/>
            <w:hideMark/>
          </w:tcPr>
          <w:p w14:paraId="0DB69F0E" w14:textId="4E9A9137" w:rsidR="00C55807" w:rsidRPr="00C55807" w:rsidRDefault="00C55807" w:rsidP="00C55807">
            <w:pPr>
              <w:jc w:val="right"/>
              <w:rPr>
                <w:b/>
                <w:bCs/>
                <w:color w:val="000000"/>
                <w:sz w:val="14"/>
                <w:szCs w:val="14"/>
                <w:lang w:val="en-US" w:eastAsia="en-US"/>
              </w:rPr>
            </w:pPr>
            <w:r w:rsidRPr="00C55807">
              <w:rPr>
                <w:b/>
                <w:bCs/>
                <w:color w:val="000000"/>
                <w:sz w:val="14"/>
                <w:szCs w:val="14"/>
              </w:rPr>
              <w:t>7.57</w:t>
            </w:r>
          </w:p>
        </w:tc>
        <w:tc>
          <w:tcPr>
            <w:tcW w:w="839" w:type="dxa"/>
            <w:tcBorders>
              <w:top w:val="nil"/>
              <w:left w:val="nil"/>
              <w:bottom w:val="nil"/>
              <w:right w:val="nil"/>
            </w:tcBorders>
            <w:shd w:val="clear" w:color="000000" w:fill="FFFFFF"/>
            <w:noWrap/>
            <w:hideMark/>
          </w:tcPr>
          <w:p w14:paraId="32009A81" w14:textId="153B7CC6" w:rsidR="00C55807" w:rsidRPr="00C55807" w:rsidRDefault="00C55807" w:rsidP="00C55807">
            <w:pPr>
              <w:jc w:val="right"/>
              <w:rPr>
                <w:color w:val="000000"/>
                <w:sz w:val="14"/>
                <w:szCs w:val="14"/>
                <w:lang w:val="en-US" w:eastAsia="en-US"/>
              </w:rPr>
            </w:pPr>
            <w:r w:rsidRPr="00C55807">
              <w:rPr>
                <w:color w:val="000000"/>
                <w:sz w:val="14"/>
                <w:szCs w:val="14"/>
              </w:rPr>
              <w:t>285</w:t>
            </w:r>
          </w:p>
        </w:tc>
        <w:tc>
          <w:tcPr>
            <w:tcW w:w="702" w:type="dxa"/>
            <w:tcBorders>
              <w:top w:val="nil"/>
              <w:left w:val="nil"/>
              <w:bottom w:val="nil"/>
              <w:right w:val="nil"/>
            </w:tcBorders>
            <w:shd w:val="clear" w:color="000000" w:fill="FFFFFF"/>
            <w:noWrap/>
            <w:hideMark/>
          </w:tcPr>
          <w:p w14:paraId="5C34061A" w14:textId="60C3C4F5" w:rsidR="00C55807" w:rsidRPr="00C55807" w:rsidRDefault="00C55807" w:rsidP="00C55807">
            <w:pPr>
              <w:jc w:val="right"/>
              <w:rPr>
                <w:color w:val="000000"/>
                <w:sz w:val="14"/>
                <w:szCs w:val="14"/>
                <w:lang w:val="en-US" w:eastAsia="en-US"/>
              </w:rPr>
            </w:pPr>
            <w:r w:rsidRPr="00C55807">
              <w:rPr>
                <w:color w:val="000000"/>
                <w:sz w:val="14"/>
                <w:szCs w:val="14"/>
              </w:rPr>
              <w:t>14.00</w:t>
            </w:r>
          </w:p>
        </w:tc>
        <w:tc>
          <w:tcPr>
            <w:tcW w:w="702" w:type="dxa"/>
            <w:tcBorders>
              <w:top w:val="nil"/>
              <w:left w:val="nil"/>
              <w:bottom w:val="nil"/>
              <w:right w:val="nil"/>
            </w:tcBorders>
            <w:shd w:val="clear" w:color="000000" w:fill="FFFFFF"/>
            <w:noWrap/>
            <w:hideMark/>
          </w:tcPr>
          <w:p w14:paraId="52DAF8F9" w14:textId="15EBB927" w:rsidR="00C55807" w:rsidRPr="00C55807" w:rsidRDefault="00C55807" w:rsidP="00C55807">
            <w:pPr>
              <w:jc w:val="right"/>
              <w:rPr>
                <w:color w:val="000000"/>
                <w:sz w:val="14"/>
                <w:szCs w:val="14"/>
                <w:lang w:val="en-US" w:eastAsia="en-US"/>
              </w:rPr>
            </w:pPr>
            <w:r w:rsidRPr="00C55807">
              <w:rPr>
                <w:color w:val="000000"/>
                <w:sz w:val="14"/>
                <w:szCs w:val="14"/>
              </w:rPr>
              <w:t>32.1</w:t>
            </w:r>
          </w:p>
        </w:tc>
        <w:tc>
          <w:tcPr>
            <w:tcW w:w="702" w:type="dxa"/>
            <w:tcBorders>
              <w:top w:val="nil"/>
              <w:left w:val="single" w:sz="4" w:space="0" w:color="000000"/>
              <w:bottom w:val="nil"/>
              <w:right w:val="nil"/>
            </w:tcBorders>
            <w:shd w:val="clear" w:color="000000" w:fill="FFFFFF"/>
            <w:noWrap/>
            <w:hideMark/>
          </w:tcPr>
          <w:p w14:paraId="358E4704" w14:textId="755B750D" w:rsidR="00C55807" w:rsidRPr="00C55807" w:rsidRDefault="00C55807" w:rsidP="00C55807">
            <w:pPr>
              <w:jc w:val="right"/>
              <w:rPr>
                <w:color w:val="000000"/>
                <w:sz w:val="14"/>
                <w:szCs w:val="14"/>
                <w:lang w:val="en-US" w:eastAsia="en-US"/>
              </w:rPr>
            </w:pPr>
            <w:r w:rsidRPr="00C55807">
              <w:rPr>
                <w:color w:val="000000"/>
                <w:sz w:val="14"/>
                <w:szCs w:val="14"/>
              </w:rPr>
              <w:t>17%</w:t>
            </w:r>
          </w:p>
        </w:tc>
        <w:tc>
          <w:tcPr>
            <w:tcW w:w="702" w:type="dxa"/>
            <w:tcBorders>
              <w:top w:val="nil"/>
              <w:left w:val="nil"/>
              <w:bottom w:val="nil"/>
              <w:right w:val="nil"/>
            </w:tcBorders>
            <w:shd w:val="clear" w:color="000000" w:fill="FFFFFF"/>
            <w:noWrap/>
            <w:hideMark/>
          </w:tcPr>
          <w:p w14:paraId="2E474723" w14:textId="1BC00806" w:rsidR="00C55807" w:rsidRPr="00C55807" w:rsidRDefault="00C55807" w:rsidP="00C55807">
            <w:pPr>
              <w:jc w:val="right"/>
              <w:rPr>
                <w:color w:val="000000"/>
                <w:sz w:val="14"/>
                <w:szCs w:val="14"/>
                <w:lang w:val="en-US" w:eastAsia="en-US"/>
              </w:rPr>
            </w:pPr>
            <w:r w:rsidRPr="00C55807">
              <w:rPr>
                <w:color w:val="000000"/>
                <w:sz w:val="14"/>
                <w:szCs w:val="14"/>
              </w:rPr>
              <w:t>25%</w:t>
            </w:r>
          </w:p>
        </w:tc>
        <w:tc>
          <w:tcPr>
            <w:tcW w:w="706" w:type="dxa"/>
            <w:tcBorders>
              <w:top w:val="nil"/>
              <w:left w:val="nil"/>
              <w:bottom w:val="nil"/>
              <w:right w:val="nil"/>
            </w:tcBorders>
            <w:shd w:val="clear" w:color="000000" w:fill="FFFFFF"/>
            <w:noWrap/>
            <w:hideMark/>
          </w:tcPr>
          <w:p w14:paraId="7F80C5A7" w14:textId="7D666596" w:rsidR="00C55807" w:rsidRPr="00C55807" w:rsidRDefault="00C55807" w:rsidP="00C55807">
            <w:pPr>
              <w:jc w:val="right"/>
              <w:rPr>
                <w:color w:val="000000"/>
                <w:sz w:val="14"/>
                <w:szCs w:val="14"/>
                <w:lang w:val="en-US" w:eastAsia="en-US"/>
              </w:rPr>
            </w:pPr>
            <w:r w:rsidRPr="00C55807">
              <w:rPr>
                <w:color w:val="000000"/>
                <w:sz w:val="14"/>
                <w:szCs w:val="14"/>
              </w:rPr>
              <w:t>4%</w:t>
            </w:r>
          </w:p>
        </w:tc>
        <w:tc>
          <w:tcPr>
            <w:tcW w:w="730" w:type="dxa"/>
            <w:tcBorders>
              <w:top w:val="nil"/>
              <w:left w:val="nil"/>
              <w:bottom w:val="nil"/>
              <w:right w:val="nil"/>
            </w:tcBorders>
            <w:shd w:val="clear" w:color="000000" w:fill="FFFFFF"/>
            <w:noWrap/>
            <w:hideMark/>
          </w:tcPr>
          <w:p w14:paraId="0A2BA3DD" w14:textId="21EC968E" w:rsidR="00C55807" w:rsidRPr="00C55807" w:rsidRDefault="00C55807" w:rsidP="00C55807">
            <w:pPr>
              <w:jc w:val="right"/>
              <w:rPr>
                <w:color w:val="000000"/>
                <w:sz w:val="14"/>
                <w:szCs w:val="14"/>
                <w:lang w:val="en-US" w:eastAsia="en-US"/>
              </w:rPr>
            </w:pPr>
            <w:r w:rsidRPr="00C55807">
              <w:rPr>
                <w:color w:val="000000"/>
                <w:sz w:val="14"/>
                <w:szCs w:val="14"/>
              </w:rPr>
              <w:t>54%</w:t>
            </w:r>
          </w:p>
        </w:tc>
        <w:tc>
          <w:tcPr>
            <w:tcW w:w="901" w:type="dxa"/>
            <w:tcBorders>
              <w:top w:val="nil"/>
              <w:left w:val="single" w:sz="4" w:space="0" w:color="auto"/>
              <w:bottom w:val="nil"/>
              <w:right w:val="nil"/>
            </w:tcBorders>
            <w:shd w:val="clear" w:color="000000" w:fill="FFFFFF"/>
            <w:noWrap/>
            <w:hideMark/>
          </w:tcPr>
          <w:p w14:paraId="473A0311" w14:textId="3E8A0E8A" w:rsidR="00C55807" w:rsidRPr="00C55807" w:rsidRDefault="00C55807" w:rsidP="00C55807">
            <w:pPr>
              <w:jc w:val="right"/>
              <w:rPr>
                <w:color w:val="000000"/>
                <w:sz w:val="14"/>
                <w:szCs w:val="14"/>
                <w:lang w:val="en-US" w:eastAsia="en-US"/>
              </w:rPr>
            </w:pPr>
            <w:r w:rsidRPr="00C55807">
              <w:rPr>
                <w:color w:val="000000"/>
                <w:sz w:val="14"/>
                <w:szCs w:val="14"/>
              </w:rPr>
              <w:t>5.63</w:t>
            </w:r>
          </w:p>
        </w:tc>
        <w:tc>
          <w:tcPr>
            <w:tcW w:w="702" w:type="dxa"/>
            <w:tcBorders>
              <w:top w:val="nil"/>
              <w:left w:val="nil"/>
              <w:bottom w:val="nil"/>
              <w:right w:val="nil"/>
            </w:tcBorders>
            <w:shd w:val="clear" w:color="000000" w:fill="FFFFFF"/>
            <w:noWrap/>
            <w:hideMark/>
          </w:tcPr>
          <w:p w14:paraId="17947C58" w14:textId="66762A09" w:rsidR="00C55807" w:rsidRPr="00C55807" w:rsidRDefault="00C55807" w:rsidP="00C55807">
            <w:pPr>
              <w:jc w:val="right"/>
              <w:rPr>
                <w:color w:val="000000"/>
                <w:sz w:val="14"/>
                <w:szCs w:val="14"/>
                <w:lang w:val="en-US" w:eastAsia="en-US"/>
              </w:rPr>
            </w:pPr>
            <w:r w:rsidRPr="00C55807">
              <w:rPr>
                <w:color w:val="000000"/>
                <w:sz w:val="14"/>
                <w:szCs w:val="14"/>
              </w:rPr>
              <w:t xml:space="preserve">17 </w:t>
            </w:r>
          </w:p>
        </w:tc>
      </w:tr>
      <w:tr w:rsidR="00C55807" w:rsidRPr="00E4527E" w14:paraId="3816047D" w14:textId="77777777" w:rsidTr="00F32225">
        <w:trPr>
          <w:trHeight w:hRule="exact" w:val="300"/>
        </w:trPr>
        <w:tc>
          <w:tcPr>
            <w:tcW w:w="660" w:type="dxa"/>
            <w:tcBorders>
              <w:top w:val="nil"/>
              <w:left w:val="nil"/>
              <w:bottom w:val="nil"/>
              <w:right w:val="nil"/>
            </w:tcBorders>
            <w:shd w:val="clear" w:color="000000" w:fill="FFFFFF"/>
            <w:noWrap/>
            <w:hideMark/>
          </w:tcPr>
          <w:p w14:paraId="7338EFFF" w14:textId="1462F901"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6A5BFADA" w14:textId="34E299E3" w:rsidR="00C55807" w:rsidRPr="00C55807" w:rsidRDefault="00C55807" w:rsidP="00C55807">
            <w:pPr>
              <w:jc w:val="center"/>
              <w:rPr>
                <w:color w:val="000000"/>
                <w:sz w:val="14"/>
                <w:szCs w:val="14"/>
                <w:lang w:val="en-US" w:eastAsia="en-US"/>
              </w:rPr>
            </w:pPr>
            <w:r w:rsidRPr="00C55807">
              <w:rPr>
                <w:color w:val="000000"/>
                <w:sz w:val="14"/>
                <w:szCs w:val="14"/>
              </w:rPr>
              <w:t>10</w:t>
            </w:r>
          </w:p>
        </w:tc>
        <w:tc>
          <w:tcPr>
            <w:tcW w:w="605" w:type="dxa"/>
            <w:tcBorders>
              <w:top w:val="nil"/>
              <w:left w:val="nil"/>
              <w:bottom w:val="nil"/>
              <w:right w:val="nil"/>
            </w:tcBorders>
            <w:shd w:val="clear" w:color="000000" w:fill="FFFFFF"/>
            <w:noWrap/>
            <w:hideMark/>
          </w:tcPr>
          <w:p w14:paraId="65B368B7" w14:textId="65268935" w:rsidR="00C55807" w:rsidRPr="00C55807" w:rsidRDefault="00C55807" w:rsidP="00C55807">
            <w:pPr>
              <w:rPr>
                <w:color w:val="000000"/>
                <w:sz w:val="14"/>
                <w:szCs w:val="14"/>
                <w:lang w:val="en-US" w:eastAsia="en-US"/>
              </w:rPr>
            </w:pPr>
            <w:r w:rsidRPr="00C55807">
              <w:rPr>
                <w:color w:val="000000"/>
                <w:sz w:val="14"/>
                <w:szCs w:val="14"/>
              </w:rPr>
              <w:t>A14B</w:t>
            </w:r>
          </w:p>
        </w:tc>
        <w:tc>
          <w:tcPr>
            <w:tcW w:w="5490" w:type="dxa"/>
            <w:gridSpan w:val="2"/>
            <w:tcBorders>
              <w:top w:val="nil"/>
              <w:left w:val="nil"/>
              <w:bottom w:val="nil"/>
              <w:right w:val="nil"/>
            </w:tcBorders>
            <w:shd w:val="clear" w:color="000000" w:fill="FFFFFF"/>
            <w:noWrap/>
            <w:hideMark/>
          </w:tcPr>
          <w:p w14:paraId="2EC5276C" w14:textId="21654982" w:rsidR="00C55807" w:rsidRPr="00C55807" w:rsidRDefault="00C55807" w:rsidP="00C55807">
            <w:pPr>
              <w:rPr>
                <w:color w:val="000000"/>
                <w:sz w:val="14"/>
                <w:szCs w:val="14"/>
                <w:lang w:val="en-US" w:eastAsia="en-US"/>
              </w:rPr>
            </w:pPr>
            <w:r w:rsidRPr="00C55807">
              <w:rPr>
                <w:color w:val="000000"/>
                <w:sz w:val="14"/>
                <w:szCs w:val="14"/>
              </w:rPr>
              <w:t>Ventilation &gt;=96hours &amp; &lt;336hours, Intermediate Complexity</w:t>
            </w:r>
          </w:p>
        </w:tc>
        <w:tc>
          <w:tcPr>
            <w:tcW w:w="567" w:type="dxa"/>
            <w:tcBorders>
              <w:top w:val="nil"/>
              <w:left w:val="nil"/>
              <w:bottom w:val="nil"/>
              <w:right w:val="nil"/>
            </w:tcBorders>
            <w:shd w:val="clear" w:color="000000" w:fill="FFFFFF"/>
            <w:noWrap/>
            <w:hideMark/>
          </w:tcPr>
          <w:p w14:paraId="5C862623" w14:textId="354B38B7" w:rsidR="00C55807" w:rsidRPr="00C55807" w:rsidRDefault="00C55807" w:rsidP="00C55807">
            <w:pPr>
              <w:jc w:val="right"/>
              <w:rPr>
                <w:b/>
                <w:bCs/>
                <w:color w:val="000000"/>
                <w:sz w:val="14"/>
                <w:szCs w:val="14"/>
                <w:lang w:val="en-US" w:eastAsia="en-US"/>
              </w:rPr>
            </w:pPr>
            <w:r w:rsidRPr="00C55807">
              <w:rPr>
                <w:b/>
                <w:bCs/>
                <w:color w:val="000000"/>
                <w:sz w:val="14"/>
                <w:szCs w:val="14"/>
              </w:rPr>
              <w:t>6.86</w:t>
            </w:r>
          </w:p>
        </w:tc>
        <w:tc>
          <w:tcPr>
            <w:tcW w:w="839" w:type="dxa"/>
            <w:tcBorders>
              <w:top w:val="nil"/>
              <w:left w:val="nil"/>
              <w:bottom w:val="nil"/>
              <w:right w:val="nil"/>
            </w:tcBorders>
            <w:shd w:val="clear" w:color="000000" w:fill="FFFFFF"/>
            <w:noWrap/>
            <w:hideMark/>
          </w:tcPr>
          <w:p w14:paraId="2171E6A2" w14:textId="1B23C5DC" w:rsidR="00C55807" w:rsidRPr="00C55807" w:rsidRDefault="00C55807" w:rsidP="00C55807">
            <w:pPr>
              <w:jc w:val="right"/>
              <w:rPr>
                <w:color w:val="000000"/>
                <w:sz w:val="14"/>
                <w:szCs w:val="14"/>
                <w:lang w:val="en-US" w:eastAsia="en-US"/>
              </w:rPr>
            </w:pPr>
            <w:r w:rsidRPr="00C55807">
              <w:rPr>
                <w:color w:val="000000"/>
                <w:sz w:val="14"/>
                <w:szCs w:val="14"/>
              </w:rPr>
              <w:t>288</w:t>
            </w:r>
          </w:p>
        </w:tc>
        <w:tc>
          <w:tcPr>
            <w:tcW w:w="702" w:type="dxa"/>
            <w:tcBorders>
              <w:top w:val="nil"/>
              <w:left w:val="nil"/>
              <w:bottom w:val="nil"/>
              <w:right w:val="nil"/>
            </w:tcBorders>
            <w:shd w:val="clear" w:color="000000" w:fill="FFFFFF"/>
            <w:noWrap/>
            <w:hideMark/>
          </w:tcPr>
          <w:p w14:paraId="29A98721" w14:textId="784ABC4E" w:rsidR="00C55807" w:rsidRPr="00C55807" w:rsidRDefault="00C55807" w:rsidP="00C55807">
            <w:pPr>
              <w:jc w:val="right"/>
              <w:rPr>
                <w:color w:val="000000"/>
                <w:sz w:val="14"/>
                <w:szCs w:val="14"/>
                <w:lang w:val="en-US" w:eastAsia="en-US"/>
              </w:rPr>
            </w:pPr>
            <w:r w:rsidRPr="00C55807">
              <w:rPr>
                <w:color w:val="000000"/>
                <w:sz w:val="14"/>
                <w:szCs w:val="14"/>
              </w:rPr>
              <w:t>23.16</w:t>
            </w:r>
          </w:p>
        </w:tc>
        <w:tc>
          <w:tcPr>
            <w:tcW w:w="702" w:type="dxa"/>
            <w:tcBorders>
              <w:top w:val="nil"/>
              <w:left w:val="nil"/>
              <w:bottom w:val="nil"/>
              <w:right w:val="nil"/>
            </w:tcBorders>
            <w:shd w:val="clear" w:color="000000" w:fill="FFFFFF"/>
            <w:noWrap/>
            <w:hideMark/>
          </w:tcPr>
          <w:p w14:paraId="67B1D241" w14:textId="7F48DC2C" w:rsidR="00C55807" w:rsidRPr="00C55807" w:rsidRDefault="00C55807" w:rsidP="00C55807">
            <w:pPr>
              <w:jc w:val="right"/>
              <w:rPr>
                <w:color w:val="000000"/>
                <w:sz w:val="14"/>
                <w:szCs w:val="14"/>
                <w:lang w:val="en-US" w:eastAsia="en-US"/>
              </w:rPr>
            </w:pPr>
            <w:r w:rsidRPr="00C55807">
              <w:rPr>
                <w:color w:val="000000"/>
                <w:sz w:val="14"/>
                <w:szCs w:val="14"/>
              </w:rPr>
              <w:t>27.8</w:t>
            </w:r>
          </w:p>
        </w:tc>
        <w:tc>
          <w:tcPr>
            <w:tcW w:w="702" w:type="dxa"/>
            <w:tcBorders>
              <w:top w:val="nil"/>
              <w:left w:val="single" w:sz="4" w:space="0" w:color="000000"/>
              <w:bottom w:val="nil"/>
              <w:right w:val="nil"/>
            </w:tcBorders>
            <w:shd w:val="clear" w:color="000000" w:fill="FFFFFF"/>
            <w:noWrap/>
            <w:hideMark/>
          </w:tcPr>
          <w:p w14:paraId="2BDBFC94" w14:textId="36B0EAA3" w:rsidR="00C55807" w:rsidRPr="00C55807" w:rsidRDefault="00C55807" w:rsidP="00C55807">
            <w:pPr>
              <w:jc w:val="right"/>
              <w:rPr>
                <w:color w:val="000000"/>
                <w:sz w:val="14"/>
                <w:szCs w:val="14"/>
                <w:lang w:val="en-US" w:eastAsia="en-US"/>
              </w:rPr>
            </w:pPr>
            <w:r w:rsidRPr="00C55807">
              <w:rPr>
                <w:color w:val="000000"/>
                <w:sz w:val="14"/>
                <w:szCs w:val="14"/>
              </w:rPr>
              <w:t>8%</w:t>
            </w:r>
          </w:p>
        </w:tc>
        <w:tc>
          <w:tcPr>
            <w:tcW w:w="702" w:type="dxa"/>
            <w:tcBorders>
              <w:top w:val="nil"/>
              <w:left w:val="nil"/>
              <w:bottom w:val="nil"/>
              <w:right w:val="nil"/>
            </w:tcBorders>
            <w:shd w:val="clear" w:color="000000" w:fill="FFFFFF"/>
            <w:noWrap/>
            <w:hideMark/>
          </w:tcPr>
          <w:p w14:paraId="317581FF" w14:textId="250101EC" w:rsidR="00C55807" w:rsidRPr="00C55807" w:rsidRDefault="00C55807" w:rsidP="00C55807">
            <w:pPr>
              <w:jc w:val="right"/>
              <w:rPr>
                <w:color w:val="000000"/>
                <w:sz w:val="14"/>
                <w:szCs w:val="14"/>
                <w:lang w:val="en-US" w:eastAsia="en-US"/>
              </w:rPr>
            </w:pPr>
            <w:r w:rsidRPr="00C55807">
              <w:rPr>
                <w:color w:val="000000"/>
                <w:sz w:val="14"/>
                <w:szCs w:val="14"/>
              </w:rPr>
              <w:t>56%</w:t>
            </w:r>
          </w:p>
        </w:tc>
        <w:tc>
          <w:tcPr>
            <w:tcW w:w="706" w:type="dxa"/>
            <w:tcBorders>
              <w:top w:val="nil"/>
              <w:left w:val="nil"/>
              <w:bottom w:val="nil"/>
              <w:right w:val="nil"/>
            </w:tcBorders>
            <w:shd w:val="clear" w:color="000000" w:fill="FFFFFF"/>
            <w:noWrap/>
            <w:hideMark/>
          </w:tcPr>
          <w:p w14:paraId="0408F160" w14:textId="2B6F1E92" w:rsidR="00C55807" w:rsidRPr="00C55807" w:rsidRDefault="00C55807" w:rsidP="00C55807">
            <w:pPr>
              <w:jc w:val="right"/>
              <w:rPr>
                <w:color w:val="000000"/>
                <w:sz w:val="14"/>
                <w:szCs w:val="14"/>
                <w:lang w:val="en-US" w:eastAsia="en-US"/>
              </w:rPr>
            </w:pPr>
            <w:r w:rsidRPr="00C55807">
              <w:rPr>
                <w:color w:val="000000"/>
                <w:sz w:val="14"/>
                <w:szCs w:val="14"/>
              </w:rPr>
              <w:t>6%</w:t>
            </w:r>
          </w:p>
        </w:tc>
        <w:tc>
          <w:tcPr>
            <w:tcW w:w="730" w:type="dxa"/>
            <w:tcBorders>
              <w:top w:val="nil"/>
              <w:left w:val="nil"/>
              <w:bottom w:val="nil"/>
              <w:right w:val="nil"/>
            </w:tcBorders>
            <w:shd w:val="clear" w:color="000000" w:fill="FFFFFF"/>
            <w:noWrap/>
            <w:hideMark/>
          </w:tcPr>
          <w:p w14:paraId="6620AC44" w14:textId="22B5D5F5" w:rsidR="00C55807" w:rsidRPr="00C55807" w:rsidRDefault="00C55807" w:rsidP="00C55807">
            <w:pPr>
              <w:jc w:val="right"/>
              <w:rPr>
                <w:color w:val="000000"/>
                <w:sz w:val="14"/>
                <w:szCs w:val="14"/>
                <w:lang w:val="en-US" w:eastAsia="en-US"/>
              </w:rPr>
            </w:pPr>
            <w:r w:rsidRPr="00C55807">
              <w:rPr>
                <w:color w:val="000000"/>
                <w:sz w:val="14"/>
                <w:szCs w:val="14"/>
              </w:rPr>
              <w:t>30%</w:t>
            </w:r>
          </w:p>
        </w:tc>
        <w:tc>
          <w:tcPr>
            <w:tcW w:w="901" w:type="dxa"/>
            <w:tcBorders>
              <w:top w:val="nil"/>
              <w:left w:val="single" w:sz="4" w:space="0" w:color="auto"/>
              <w:bottom w:val="nil"/>
              <w:right w:val="nil"/>
            </w:tcBorders>
            <w:shd w:val="clear" w:color="000000" w:fill="FFFFFF"/>
            <w:noWrap/>
            <w:hideMark/>
          </w:tcPr>
          <w:p w14:paraId="0E7D95FB" w14:textId="3E2CC454" w:rsidR="00C55807" w:rsidRPr="00C55807" w:rsidRDefault="00C55807" w:rsidP="00C55807">
            <w:pPr>
              <w:jc w:val="right"/>
              <w:rPr>
                <w:color w:val="000000"/>
                <w:sz w:val="14"/>
                <w:szCs w:val="14"/>
                <w:lang w:val="en-US" w:eastAsia="en-US"/>
              </w:rPr>
            </w:pPr>
            <w:r w:rsidRPr="00C55807">
              <w:rPr>
                <w:color w:val="000000"/>
                <w:sz w:val="14"/>
                <w:szCs w:val="14"/>
              </w:rPr>
              <w:t>5.94</w:t>
            </w:r>
          </w:p>
        </w:tc>
        <w:tc>
          <w:tcPr>
            <w:tcW w:w="702" w:type="dxa"/>
            <w:tcBorders>
              <w:top w:val="nil"/>
              <w:left w:val="nil"/>
              <w:bottom w:val="nil"/>
              <w:right w:val="nil"/>
            </w:tcBorders>
            <w:shd w:val="clear" w:color="000000" w:fill="FFFFFF"/>
            <w:noWrap/>
            <w:hideMark/>
          </w:tcPr>
          <w:p w14:paraId="02EF7988" w14:textId="5128C761" w:rsidR="00C55807" w:rsidRPr="00C55807" w:rsidRDefault="00C55807" w:rsidP="00C55807">
            <w:pPr>
              <w:jc w:val="right"/>
              <w:rPr>
                <w:color w:val="000000"/>
                <w:sz w:val="14"/>
                <w:szCs w:val="14"/>
                <w:lang w:val="en-US" w:eastAsia="en-US"/>
              </w:rPr>
            </w:pPr>
            <w:r w:rsidRPr="00C55807">
              <w:rPr>
                <w:color w:val="000000"/>
                <w:sz w:val="14"/>
                <w:szCs w:val="14"/>
              </w:rPr>
              <w:t xml:space="preserve">13 </w:t>
            </w:r>
          </w:p>
        </w:tc>
      </w:tr>
      <w:tr w:rsidR="00C55807" w:rsidRPr="00E4527E" w14:paraId="18427AE3" w14:textId="77777777" w:rsidTr="00F32225">
        <w:trPr>
          <w:trHeight w:hRule="exact" w:val="300"/>
        </w:trPr>
        <w:tc>
          <w:tcPr>
            <w:tcW w:w="660" w:type="dxa"/>
            <w:tcBorders>
              <w:top w:val="nil"/>
              <w:left w:val="nil"/>
              <w:bottom w:val="nil"/>
              <w:right w:val="nil"/>
            </w:tcBorders>
            <w:shd w:val="clear" w:color="000000" w:fill="FFFFFF"/>
            <w:noWrap/>
            <w:hideMark/>
          </w:tcPr>
          <w:p w14:paraId="3FB6FE16" w14:textId="54364952"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6A3E7831" w14:textId="5A39006C" w:rsidR="00C55807" w:rsidRPr="00C55807" w:rsidRDefault="00C55807" w:rsidP="00C55807">
            <w:pPr>
              <w:jc w:val="center"/>
              <w:rPr>
                <w:color w:val="000000"/>
                <w:sz w:val="14"/>
                <w:szCs w:val="14"/>
                <w:lang w:val="en-US" w:eastAsia="en-US"/>
              </w:rPr>
            </w:pPr>
            <w:r w:rsidRPr="00C55807">
              <w:rPr>
                <w:color w:val="000000"/>
                <w:sz w:val="14"/>
                <w:szCs w:val="14"/>
              </w:rPr>
              <w:t>11</w:t>
            </w:r>
          </w:p>
        </w:tc>
        <w:tc>
          <w:tcPr>
            <w:tcW w:w="605" w:type="dxa"/>
            <w:tcBorders>
              <w:top w:val="nil"/>
              <w:left w:val="nil"/>
              <w:bottom w:val="nil"/>
              <w:right w:val="nil"/>
            </w:tcBorders>
            <w:shd w:val="clear" w:color="000000" w:fill="FFFFFF"/>
            <w:noWrap/>
            <w:hideMark/>
          </w:tcPr>
          <w:p w14:paraId="7995E6B5" w14:textId="3336A719" w:rsidR="00C55807" w:rsidRPr="00C55807" w:rsidRDefault="00C55807" w:rsidP="00C55807">
            <w:pPr>
              <w:rPr>
                <w:color w:val="000000"/>
                <w:sz w:val="14"/>
                <w:szCs w:val="14"/>
                <w:lang w:val="en-US" w:eastAsia="en-US"/>
              </w:rPr>
            </w:pPr>
            <w:r w:rsidRPr="00C55807">
              <w:rPr>
                <w:color w:val="000000"/>
                <w:sz w:val="14"/>
                <w:szCs w:val="14"/>
              </w:rPr>
              <w:t>A15A</w:t>
            </w:r>
          </w:p>
        </w:tc>
        <w:tc>
          <w:tcPr>
            <w:tcW w:w="5490" w:type="dxa"/>
            <w:gridSpan w:val="2"/>
            <w:tcBorders>
              <w:top w:val="nil"/>
              <w:left w:val="nil"/>
              <w:bottom w:val="nil"/>
              <w:right w:val="nil"/>
            </w:tcBorders>
            <w:shd w:val="clear" w:color="000000" w:fill="FFFFFF"/>
            <w:noWrap/>
            <w:hideMark/>
          </w:tcPr>
          <w:p w14:paraId="06C0B813" w14:textId="0B555071" w:rsidR="00C55807" w:rsidRPr="00C55807" w:rsidRDefault="00C55807" w:rsidP="00C55807">
            <w:pPr>
              <w:rPr>
                <w:color w:val="000000"/>
                <w:sz w:val="14"/>
                <w:szCs w:val="14"/>
                <w:lang w:val="en-US" w:eastAsia="en-US"/>
              </w:rPr>
            </w:pPr>
            <w:r w:rsidRPr="00C55807">
              <w:rPr>
                <w:color w:val="000000"/>
                <w:sz w:val="14"/>
                <w:szCs w:val="14"/>
              </w:rPr>
              <w:t>Tracheostomy, Major Complexity</w:t>
            </w:r>
          </w:p>
        </w:tc>
        <w:tc>
          <w:tcPr>
            <w:tcW w:w="567" w:type="dxa"/>
            <w:tcBorders>
              <w:top w:val="nil"/>
              <w:left w:val="nil"/>
              <w:bottom w:val="nil"/>
              <w:right w:val="nil"/>
            </w:tcBorders>
            <w:shd w:val="clear" w:color="000000" w:fill="FFFFFF"/>
            <w:noWrap/>
            <w:hideMark/>
          </w:tcPr>
          <w:p w14:paraId="2A62705E" w14:textId="6C6A1D4F" w:rsidR="00C55807" w:rsidRPr="00C55807" w:rsidRDefault="00C55807" w:rsidP="00C55807">
            <w:pPr>
              <w:jc w:val="right"/>
              <w:rPr>
                <w:b/>
                <w:bCs/>
                <w:color w:val="000000"/>
                <w:sz w:val="14"/>
                <w:szCs w:val="14"/>
                <w:lang w:val="en-US" w:eastAsia="en-US"/>
              </w:rPr>
            </w:pPr>
            <w:r w:rsidRPr="00C55807">
              <w:rPr>
                <w:b/>
                <w:bCs/>
                <w:color w:val="000000"/>
                <w:sz w:val="14"/>
                <w:szCs w:val="14"/>
              </w:rPr>
              <w:t>6.83</w:t>
            </w:r>
          </w:p>
        </w:tc>
        <w:tc>
          <w:tcPr>
            <w:tcW w:w="839" w:type="dxa"/>
            <w:tcBorders>
              <w:top w:val="nil"/>
              <w:left w:val="nil"/>
              <w:bottom w:val="nil"/>
              <w:right w:val="nil"/>
            </w:tcBorders>
            <w:shd w:val="clear" w:color="000000" w:fill="FFFFFF"/>
            <w:noWrap/>
            <w:hideMark/>
          </w:tcPr>
          <w:p w14:paraId="1D7D9A38" w14:textId="39A2360C" w:rsidR="00C55807" w:rsidRPr="00C55807" w:rsidRDefault="00C55807" w:rsidP="00C55807">
            <w:pPr>
              <w:jc w:val="right"/>
              <w:rPr>
                <w:color w:val="000000"/>
                <w:sz w:val="14"/>
                <w:szCs w:val="14"/>
                <w:lang w:val="en-US" w:eastAsia="en-US"/>
              </w:rPr>
            </w:pPr>
            <w:r w:rsidRPr="00C55807">
              <w:rPr>
                <w:color w:val="000000"/>
                <w:sz w:val="14"/>
                <w:szCs w:val="14"/>
              </w:rPr>
              <w:t>11</w:t>
            </w:r>
          </w:p>
        </w:tc>
        <w:tc>
          <w:tcPr>
            <w:tcW w:w="702" w:type="dxa"/>
            <w:tcBorders>
              <w:top w:val="nil"/>
              <w:left w:val="nil"/>
              <w:bottom w:val="nil"/>
              <w:right w:val="nil"/>
            </w:tcBorders>
            <w:shd w:val="clear" w:color="000000" w:fill="FFFFFF"/>
            <w:noWrap/>
            <w:hideMark/>
          </w:tcPr>
          <w:p w14:paraId="76922889" w14:textId="666ADF89" w:rsidR="00C55807" w:rsidRPr="00C55807" w:rsidRDefault="00C55807" w:rsidP="00C55807">
            <w:pPr>
              <w:jc w:val="right"/>
              <w:rPr>
                <w:color w:val="000000"/>
                <w:sz w:val="14"/>
                <w:szCs w:val="14"/>
                <w:lang w:val="en-US" w:eastAsia="en-US"/>
              </w:rPr>
            </w:pPr>
            <w:r w:rsidRPr="00C55807">
              <w:rPr>
                <w:color w:val="000000"/>
                <w:sz w:val="14"/>
                <w:szCs w:val="14"/>
              </w:rPr>
              <w:t>21.86</w:t>
            </w:r>
          </w:p>
        </w:tc>
        <w:tc>
          <w:tcPr>
            <w:tcW w:w="702" w:type="dxa"/>
            <w:tcBorders>
              <w:top w:val="nil"/>
              <w:left w:val="nil"/>
              <w:bottom w:val="nil"/>
              <w:right w:val="nil"/>
            </w:tcBorders>
            <w:shd w:val="clear" w:color="000000" w:fill="FFFFFF"/>
            <w:noWrap/>
            <w:hideMark/>
          </w:tcPr>
          <w:p w14:paraId="602A19F0" w14:textId="204FB724" w:rsidR="00C55807" w:rsidRPr="00C55807" w:rsidRDefault="00C55807" w:rsidP="00C55807">
            <w:pPr>
              <w:jc w:val="right"/>
              <w:rPr>
                <w:color w:val="000000"/>
                <w:sz w:val="14"/>
                <w:szCs w:val="14"/>
                <w:lang w:val="en-US" w:eastAsia="en-US"/>
              </w:rPr>
            </w:pPr>
            <w:r w:rsidRPr="00C55807">
              <w:rPr>
                <w:color w:val="000000"/>
                <w:sz w:val="14"/>
                <w:szCs w:val="14"/>
              </w:rPr>
              <w:t>24.2</w:t>
            </w:r>
          </w:p>
        </w:tc>
        <w:tc>
          <w:tcPr>
            <w:tcW w:w="702" w:type="dxa"/>
            <w:tcBorders>
              <w:top w:val="nil"/>
              <w:left w:val="single" w:sz="4" w:space="0" w:color="000000"/>
              <w:bottom w:val="nil"/>
              <w:right w:val="nil"/>
            </w:tcBorders>
            <w:shd w:val="clear" w:color="000000" w:fill="FFFFFF"/>
            <w:noWrap/>
            <w:hideMark/>
          </w:tcPr>
          <w:p w14:paraId="4A31E3EE" w14:textId="66716CA8" w:rsidR="00C55807" w:rsidRPr="00C55807" w:rsidRDefault="00C55807" w:rsidP="00C55807">
            <w:pPr>
              <w:jc w:val="right"/>
              <w:rPr>
                <w:color w:val="000000"/>
                <w:sz w:val="14"/>
                <w:szCs w:val="14"/>
                <w:lang w:val="en-US" w:eastAsia="en-US"/>
              </w:rPr>
            </w:pPr>
            <w:r w:rsidRPr="00C55807">
              <w:rPr>
                <w:color w:val="000000"/>
                <w:sz w:val="14"/>
                <w:szCs w:val="14"/>
              </w:rPr>
              <w:t>19%</w:t>
            </w:r>
          </w:p>
        </w:tc>
        <w:tc>
          <w:tcPr>
            <w:tcW w:w="702" w:type="dxa"/>
            <w:tcBorders>
              <w:top w:val="nil"/>
              <w:left w:val="nil"/>
              <w:bottom w:val="nil"/>
              <w:right w:val="nil"/>
            </w:tcBorders>
            <w:shd w:val="clear" w:color="000000" w:fill="FFFFFF"/>
            <w:noWrap/>
            <w:hideMark/>
          </w:tcPr>
          <w:p w14:paraId="7701EFD5" w14:textId="5D670E47" w:rsidR="00C55807" w:rsidRPr="00C55807" w:rsidRDefault="00C55807" w:rsidP="00C55807">
            <w:pPr>
              <w:jc w:val="right"/>
              <w:rPr>
                <w:color w:val="000000"/>
                <w:sz w:val="14"/>
                <w:szCs w:val="14"/>
                <w:lang w:val="en-US" w:eastAsia="en-US"/>
              </w:rPr>
            </w:pPr>
            <w:r w:rsidRPr="00C55807">
              <w:rPr>
                <w:color w:val="000000"/>
                <w:sz w:val="14"/>
                <w:szCs w:val="14"/>
              </w:rPr>
              <w:t>41%</w:t>
            </w:r>
          </w:p>
        </w:tc>
        <w:tc>
          <w:tcPr>
            <w:tcW w:w="706" w:type="dxa"/>
            <w:tcBorders>
              <w:top w:val="nil"/>
              <w:left w:val="nil"/>
              <w:bottom w:val="nil"/>
              <w:right w:val="nil"/>
            </w:tcBorders>
            <w:shd w:val="clear" w:color="000000" w:fill="FFFFFF"/>
            <w:noWrap/>
            <w:hideMark/>
          </w:tcPr>
          <w:p w14:paraId="205ABE6F" w14:textId="4C841F23" w:rsidR="00C55807" w:rsidRPr="00C55807" w:rsidRDefault="00C55807" w:rsidP="00C55807">
            <w:pPr>
              <w:jc w:val="right"/>
              <w:rPr>
                <w:color w:val="000000"/>
                <w:sz w:val="14"/>
                <w:szCs w:val="14"/>
                <w:lang w:val="en-US" w:eastAsia="en-US"/>
              </w:rPr>
            </w:pPr>
            <w:r w:rsidRPr="00C55807">
              <w:rPr>
                <w:color w:val="000000"/>
                <w:sz w:val="14"/>
                <w:szCs w:val="14"/>
              </w:rPr>
              <w:t>9%</w:t>
            </w:r>
          </w:p>
        </w:tc>
        <w:tc>
          <w:tcPr>
            <w:tcW w:w="730" w:type="dxa"/>
            <w:tcBorders>
              <w:top w:val="nil"/>
              <w:left w:val="nil"/>
              <w:bottom w:val="nil"/>
              <w:right w:val="nil"/>
            </w:tcBorders>
            <w:shd w:val="clear" w:color="000000" w:fill="FFFFFF"/>
            <w:noWrap/>
            <w:hideMark/>
          </w:tcPr>
          <w:p w14:paraId="54486C22" w14:textId="5DF89E5F" w:rsidR="00C55807" w:rsidRPr="00C55807" w:rsidRDefault="00C55807" w:rsidP="00C55807">
            <w:pPr>
              <w:jc w:val="right"/>
              <w:rPr>
                <w:color w:val="000000"/>
                <w:sz w:val="14"/>
                <w:szCs w:val="14"/>
                <w:lang w:val="en-US" w:eastAsia="en-US"/>
              </w:rPr>
            </w:pPr>
            <w:r w:rsidRPr="00C55807">
              <w:rPr>
                <w:color w:val="000000"/>
                <w:sz w:val="14"/>
                <w:szCs w:val="14"/>
              </w:rPr>
              <w:t>31%</w:t>
            </w:r>
          </w:p>
        </w:tc>
        <w:tc>
          <w:tcPr>
            <w:tcW w:w="901" w:type="dxa"/>
            <w:tcBorders>
              <w:top w:val="nil"/>
              <w:left w:val="single" w:sz="4" w:space="0" w:color="auto"/>
              <w:bottom w:val="nil"/>
              <w:right w:val="nil"/>
            </w:tcBorders>
            <w:shd w:val="clear" w:color="000000" w:fill="FFFFFF"/>
            <w:noWrap/>
            <w:hideMark/>
          </w:tcPr>
          <w:p w14:paraId="79693CF3" w14:textId="321D62B4" w:rsidR="00C55807" w:rsidRPr="00C55807" w:rsidRDefault="00C55807" w:rsidP="00C55807">
            <w:pPr>
              <w:jc w:val="right"/>
              <w:rPr>
                <w:color w:val="000000"/>
                <w:sz w:val="14"/>
                <w:szCs w:val="14"/>
                <w:lang w:val="en-US" w:eastAsia="en-US"/>
              </w:rPr>
            </w:pPr>
            <w:r w:rsidRPr="00C55807">
              <w:rPr>
                <w:color w:val="000000"/>
                <w:sz w:val="14"/>
                <w:szCs w:val="14"/>
              </w:rPr>
              <w:t>6.69</w:t>
            </w:r>
          </w:p>
        </w:tc>
        <w:tc>
          <w:tcPr>
            <w:tcW w:w="702" w:type="dxa"/>
            <w:tcBorders>
              <w:top w:val="nil"/>
              <w:left w:val="nil"/>
              <w:bottom w:val="nil"/>
              <w:right w:val="nil"/>
            </w:tcBorders>
            <w:shd w:val="clear" w:color="000000" w:fill="FFFFFF"/>
            <w:noWrap/>
            <w:hideMark/>
          </w:tcPr>
          <w:p w14:paraId="555425FF" w14:textId="06714E78" w:rsidR="00C55807" w:rsidRPr="00C55807" w:rsidRDefault="00C55807" w:rsidP="00C55807">
            <w:pPr>
              <w:jc w:val="right"/>
              <w:rPr>
                <w:color w:val="000000"/>
                <w:sz w:val="14"/>
                <w:szCs w:val="14"/>
                <w:lang w:val="en-US" w:eastAsia="en-US"/>
              </w:rPr>
            </w:pPr>
            <w:r w:rsidRPr="00C55807">
              <w:rPr>
                <w:color w:val="000000"/>
                <w:sz w:val="14"/>
                <w:szCs w:val="14"/>
              </w:rPr>
              <w:t xml:space="preserve">10 </w:t>
            </w:r>
          </w:p>
        </w:tc>
      </w:tr>
      <w:tr w:rsidR="00C55807" w:rsidRPr="00E4527E" w14:paraId="658D0440" w14:textId="77777777" w:rsidTr="00F32225">
        <w:trPr>
          <w:trHeight w:hRule="exact" w:val="300"/>
        </w:trPr>
        <w:tc>
          <w:tcPr>
            <w:tcW w:w="660" w:type="dxa"/>
            <w:tcBorders>
              <w:top w:val="nil"/>
              <w:left w:val="nil"/>
              <w:bottom w:val="nil"/>
              <w:right w:val="nil"/>
            </w:tcBorders>
            <w:shd w:val="clear" w:color="000000" w:fill="FFFFFF"/>
            <w:noWrap/>
            <w:hideMark/>
          </w:tcPr>
          <w:p w14:paraId="4971025F" w14:textId="69C70034" w:rsidR="00C55807" w:rsidRPr="00C55807" w:rsidRDefault="00C55807" w:rsidP="00C55807">
            <w:pPr>
              <w:jc w:val="center"/>
              <w:rPr>
                <w:color w:val="000000"/>
                <w:sz w:val="14"/>
                <w:szCs w:val="14"/>
                <w:lang w:val="en-US" w:eastAsia="en-US"/>
              </w:rPr>
            </w:pPr>
            <w:r w:rsidRPr="00C55807">
              <w:rPr>
                <w:color w:val="000000"/>
                <w:sz w:val="14"/>
                <w:szCs w:val="14"/>
              </w:rPr>
              <w:t>No</w:t>
            </w:r>
          </w:p>
        </w:tc>
        <w:tc>
          <w:tcPr>
            <w:tcW w:w="758" w:type="dxa"/>
            <w:tcBorders>
              <w:top w:val="nil"/>
              <w:left w:val="nil"/>
              <w:bottom w:val="nil"/>
              <w:right w:val="nil"/>
            </w:tcBorders>
            <w:shd w:val="clear" w:color="000000" w:fill="FFFFFF"/>
            <w:noWrap/>
            <w:hideMark/>
          </w:tcPr>
          <w:p w14:paraId="0F74E14A" w14:textId="7AEEC3B7" w:rsidR="00C55807" w:rsidRPr="00C55807" w:rsidRDefault="00C55807" w:rsidP="00C55807">
            <w:pPr>
              <w:jc w:val="center"/>
              <w:rPr>
                <w:color w:val="000000"/>
                <w:sz w:val="14"/>
                <w:szCs w:val="14"/>
                <w:lang w:val="en-US" w:eastAsia="en-US"/>
              </w:rPr>
            </w:pPr>
            <w:r w:rsidRPr="00C55807">
              <w:rPr>
                <w:color w:val="000000"/>
                <w:sz w:val="14"/>
                <w:szCs w:val="14"/>
              </w:rPr>
              <w:t>12</w:t>
            </w:r>
          </w:p>
        </w:tc>
        <w:tc>
          <w:tcPr>
            <w:tcW w:w="605" w:type="dxa"/>
            <w:tcBorders>
              <w:top w:val="nil"/>
              <w:left w:val="nil"/>
              <w:bottom w:val="nil"/>
              <w:right w:val="nil"/>
            </w:tcBorders>
            <w:shd w:val="clear" w:color="000000" w:fill="FFFFFF"/>
            <w:noWrap/>
            <w:hideMark/>
          </w:tcPr>
          <w:p w14:paraId="11F38125" w14:textId="3E0DA7C6" w:rsidR="00C55807" w:rsidRPr="00C55807" w:rsidRDefault="00C55807" w:rsidP="00C55807">
            <w:pPr>
              <w:rPr>
                <w:color w:val="000000"/>
                <w:sz w:val="14"/>
                <w:szCs w:val="14"/>
                <w:lang w:val="en-US" w:eastAsia="en-US"/>
              </w:rPr>
            </w:pPr>
            <w:r w:rsidRPr="00C55807">
              <w:rPr>
                <w:color w:val="000000"/>
                <w:sz w:val="14"/>
                <w:szCs w:val="14"/>
              </w:rPr>
              <w:t>X07A</w:t>
            </w:r>
          </w:p>
        </w:tc>
        <w:tc>
          <w:tcPr>
            <w:tcW w:w="5490" w:type="dxa"/>
            <w:gridSpan w:val="2"/>
            <w:tcBorders>
              <w:top w:val="nil"/>
              <w:left w:val="nil"/>
              <w:bottom w:val="nil"/>
              <w:right w:val="nil"/>
            </w:tcBorders>
            <w:shd w:val="clear" w:color="000000" w:fill="FFFFFF"/>
            <w:noWrap/>
            <w:hideMark/>
          </w:tcPr>
          <w:p w14:paraId="45AE10D4" w14:textId="2BE58F34" w:rsidR="00C55807" w:rsidRPr="00C55807" w:rsidRDefault="00C55807" w:rsidP="00C55807">
            <w:pPr>
              <w:rPr>
                <w:color w:val="000000"/>
                <w:sz w:val="14"/>
                <w:szCs w:val="14"/>
                <w:lang w:val="en-US" w:eastAsia="en-US"/>
              </w:rPr>
            </w:pPr>
            <w:r w:rsidRPr="00C55807">
              <w:rPr>
                <w:color w:val="000000"/>
                <w:sz w:val="14"/>
                <w:szCs w:val="14"/>
              </w:rPr>
              <w:t>Skin Grafts for Injuries Excluding Hand, Major Complexity</w:t>
            </w:r>
          </w:p>
        </w:tc>
        <w:tc>
          <w:tcPr>
            <w:tcW w:w="567" w:type="dxa"/>
            <w:tcBorders>
              <w:top w:val="nil"/>
              <w:left w:val="nil"/>
              <w:bottom w:val="nil"/>
              <w:right w:val="nil"/>
            </w:tcBorders>
            <w:shd w:val="clear" w:color="000000" w:fill="FFFFFF"/>
            <w:noWrap/>
            <w:hideMark/>
          </w:tcPr>
          <w:p w14:paraId="41C86B2F" w14:textId="201C48CC" w:rsidR="00C55807" w:rsidRPr="00C55807" w:rsidRDefault="00C55807" w:rsidP="00C55807">
            <w:pPr>
              <w:jc w:val="right"/>
              <w:rPr>
                <w:b/>
                <w:bCs/>
                <w:color w:val="000000"/>
                <w:sz w:val="14"/>
                <w:szCs w:val="14"/>
                <w:lang w:val="en-US" w:eastAsia="en-US"/>
              </w:rPr>
            </w:pPr>
            <w:r w:rsidRPr="00C55807">
              <w:rPr>
                <w:b/>
                <w:bCs/>
                <w:color w:val="000000"/>
                <w:sz w:val="14"/>
                <w:szCs w:val="14"/>
              </w:rPr>
              <w:t>6.80</w:t>
            </w:r>
          </w:p>
        </w:tc>
        <w:tc>
          <w:tcPr>
            <w:tcW w:w="839" w:type="dxa"/>
            <w:tcBorders>
              <w:top w:val="nil"/>
              <w:left w:val="nil"/>
              <w:bottom w:val="nil"/>
              <w:right w:val="nil"/>
            </w:tcBorders>
            <w:shd w:val="clear" w:color="000000" w:fill="FFFFFF"/>
            <w:noWrap/>
            <w:hideMark/>
          </w:tcPr>
          <w:p w14:paraId="40C4BF91" w14:textId="3573054B" w:rsidR="00C55807" w:rsidRPr="00C55807" w:rsidRDefault="00C55807" w:rsidP="00C55807">
            <w:pPr>
              <w:jc w:val="right"/>
              <w:rPr>
                <w:color w:val="000000"/>
                <w:sz w:val="14"/>
                <w:szCs w:val="14"/>
                <w:lang w:val="en-US" w:eastAsia="en-US"/>
              </w:rPr>
            </w:pPr>
            <w:r w:rsidRPr="00C55807">
              <w:rPr>
                <w:color w:val="000000"/>
                <w:sz w:val="14"/>
                <w:szCs w:val="14"/>
              </w:rPr>
              <w:t>123</w:t>
            </w:r>
          </w:p>
        </w:tc>
        <w:tc>
          <w:tcPr>
            <w:tcW w:w="702" w:type="dxa"/>
            <w:tcBorders>
              <w:top w:val="nil"/>
              <w:left w:val="nil"/>
              <w:bottom w:val="nil"/>
              <w:right w:val="nil"/>
            </w:tcBorders>
            <w:shd w:val="clear" w:color="000000" w:fill="FFFFFF"/>
            <w:noWrap/>
            <w:hideMark/>
          </w:tcPr>
          <w:p w14:paraId="56F6012E" w14:textId="23CA1F33" w:rsidR="00C55807" w:rsidRPr="00C55807" w:rsidRDefault="00C55807" w:rsidP="00C55807">
            <w:pPr>
              <w:jc w:val="right"/>
              <w:rPr>
                <w:color w:val="000000"/>
                <w:sz w:val="14"/>
                <w:szCs w:val="14"/>
                <w:lang w:val="en-US" w:eastAsia="en-US"/>
              </w:rPr>
            </w:pPr>
            <w:r w:rsidRPr="00C55807">
              <w:rPr>
                <w:color w:val="000000"/>
                <w:sz w:val="14"/>
                <w:szCs w:val="14"/>
              </w:rPr>
              <w:t>8.38</w:t>
            </w:r>
          </w:p>
        </w:tc>
        <w:tc>
          <w:tcPr>
            <w:tcW w:w="702" w:type="dxa"/>
            <w:tcBorders>
              <w:top w:val="nil"/>
              <w:left w:val="nil"/>
              <w:bottom w:val="nil"/>
              <w:right w:val="nil"/>
            </w:tcBorders>
            <w:shd w:val="clear" w:color="000000" w:fill="FFFFFF"/>
            <w:noWrap/>
            <w:hideMark/>
          </w:tcPr>
          <w:p w14:paraId="369823F1" w14:textId="6DA29E2A" w:rsidR="00C55807" w:rsidRPr="00C55807" w:rsidRDefault="00C55807" w:rsidP="00C55807">
            <w:pPr>
              <w:jc w:val="right"/>
              <w:rPr>
                <w:color w:val="000000"/>
                <w:sz w:val="14"/>
                <w:szCs w:val="14"/>
                <w:lang w:val="en-US" w:eastAsia="en-US"/>
              </w:rPr>
            </w:pPr>
            <w:r w:rsidRPr="00C55807">
              <w:rPr>
                <w:color w:val="000000"/>
                <w:sz w:val="14"/>
                <w:szCs w:val="14"/>
              </w:rPr>
              <w:t>28.1</w:t>
            </w:r>
          </w:p>
        </w:tc>
        <w:tc>
          <w:tcPr>
            <w:tcW w:w="702" w:type="dxa"/>
            <w:tcBorders>
              <w:top w:val="nil"/>
              <w:left w:val="single" w:sz="4" w:space="0" w:color="000000"/>
              <w:bottom w:val="nil"/>
              <w:right w:val="nil"/>
            </w:tcBorders>
            <w:shd w:val="clear" w:color="000000" w:fill="FFFFFF"/>
            <w:noWrap/>
            <w:hideMark/>
          </w:tcPr>
          <w:p w14:paraId="05A7B36A" w14:textId="53D60AC5" w:rsidR="00C55807" w:rsidRPr="00C55807" w:rsidRDefault="00C55807" w:rsidP="00C55807">
            <w:pPr>
              <w:jc w:val="right"/>
              <w:rPr>
                <w:color w:val="000000"/>
                <w:sz w:val="14"/>
                <w:szCs w:val="14"/>
                <w:lang w:val="en-US" w:eastAsia="en-US"/>
              </w:rPr>
            </w:pPr>
            <w:r w:rsidRPr="00C55807">
              <w:rPr>
                <w:color w:val="000000"/>
                <w:sz w:val="14"/>
                <w:szCs w:val="14"/>
              </w:rPr>
              <w:t>13%</w:t>
            </w:r>
          </w:p>
        </w:tc>
        <w:tc>
          <w:tcPr>
            <w:tcW w:w="702" w:type="dxa"/>
            <w:tcBorders>
              <w:top w:val="nil"/>
              <w:left w:val="nil"/>
              <w:bottom w:val="nil"/>
              <w:right w:val="nil"/>
            </w:tcBorders>
            <w:shd w:val="clear" w:color="000000" w:fill="FFFFFF"/>
            <w:noWrap/>
            <w:hideMark/>
          </w:tcPr>
          <w:p w14:paraId="0D9A9B57" w14:textId="10EE3142" w:rsidR="00C55807" w:rsidRPr="00C55807" w:rsidRDefault="00C55807" w:rsidP="00C55807">
            <w:pPr>
              <w:jc w:val="right"/>
              <w:rPr>
                <w:color w:val="000000"/>
                <w:sz w:val="14"/>
                <w:szCs w:val="14"/>
                <w:lang w:val="en-US" w:eastAsia="en-US"/>
              </w:rPr>
            </w:pPr>
            <w:r w:rsidRPr="00C55807">
              <w:rPr>
                <w:color w:val="000000"/>
                <w:sz w:val="14"/>
                <w:szCs w:val="14"/>
              </w:rPr>
              <w:t>4%</w:t>
            </w:r>
          </w:p>
        </w:tc>
        <w:tc>
          <w:tcPr>
            <w:tcW w:w="706" w:type="dxa"/>
            <w:tcBorders>
              <w:top w:val="nil"/>
              <w:left w:val="nil"/>
              <w:bottom w:val="nil"/>
              <w:right w:val="nil"/>
            </w:tcBorders>
            <w:shd w:val="clear" w:color="000000" w:fill="FFFFFF"/>
            <w:noWrap/>
            <w:hideMark/>
          </w:tcPr>
          <w:p w14:paraId="7F46040F" w14:textId="04837E90" w:rsidR="00C55807" w:rsidRPr="00C55807" w:rsidRDefault="00C55807" w:rsidP="00C55807">
            <w:pPr>
              <w:jc w:val="right"/>
              <w:rPr>
                <w:color w:val="000000"/>
                <w:sz w:val="14"/>
                <w:szCs w:val="14"/>
                <w:lang w:val="en-US" w:eastAsia="en-US"/>
              </w:rPr>
            </w:pPr>
            <w:r w:rsidRPr="00C55807">
              <w:rPr>
                <w:color w:val="000000"/>
                <w:sz w:val="14"/>
                <w:szCs w:val="14"/>
              </w:rPr>
              <w:t>1%</w:t>
            </w:r>
          </w:p>
        </w:tc>
        <w:tc>
          <w:tcPr>
            <w:tcW w:w="730" w:type="dxa"/>
            <w:tcBorders>
              <w:top w:val="nil"/>
              <w:left w:val="nil"/>
              <w:bottom w:val="nil"/>
              <w:right w:val="nil"/>
            </w:tcBorders>
            <w:shd w:val="clear" w:color="000000" w:fill="FFFFFF"/>
            <w:noWrap/>
            <w:hideMark/>
          </w:tcPr>
          <w:p w14:paraId="3C16C124" w14:textId="2CD1C28D" w:rsidR="00C55807" w:rsidRPr="00C55807" w:rsidRDefault="00C55807" w:rsidP="00C55807">
            <w:pPr>
              <w:jc w:val="right"/>
              <w:rPr>
                <w:color w:val="000000"/>
                <w:sz w:val="14"/>
                <w:szCs w:val="14"/>
                <w:lang w:val="en-US" w:eastAsia="en-US"/>
              </w:rPr>
            </w:pPr>
            <w:r w:rsidRPr="00C55807">
              <w:rPr>
                <w:color w:val="000000"/>
                <w:sz w:val="14"/>
                <w:szCs w:val="14"/>
              </w:rPr>
              <w:t>81%</w:t>
            </w:r>
          </w:p>
        </w:tc>
        <w:tc>
          <w:tcPr>
            <w:tcW w:w="901" w:type="dxa"/>
            <w:tcBorders>
              <w:top w:val="nil"/>
              <w:left w:val="single" w:sz="4" w:space="0" w:color="auto"/>
              <w:bottom w:val="nil"/>
              <w:right w:val="nil"/>
            </w:tcBorders>
            <w:shd w:val="clear" w:color="000000" w:fill="FFFFFF"/>
            <w:noWrap/>
            <w:hideMark/>
          </w:tcPr>
          <w:p w14:paraId="4FFC4823" w14:textId="48D7838D" w:rsidR="00C55807" w:rsidRPr="00C55807" w:rsidRDefault="00C55807" w:rsidP="00C55807">
            <w:pPr>
              <w:jc w:val="right"/>
              <w:rPr>
                <w:color w:val="000000"/>
                <w:sz w:val="14"/>
                <w:szCs w:val="14"/>
                <w:lang w:val="en-US" w:eastAsia="en-US"/>
              </w:rPr>
            </w:pPr>
            <w:r w:rsidRPr="00C55807">
              <w:rPr>
                <w:color w:val="000000"/>
                <w:sz w:val="14"/>
                <w:szCs w:val="14"/>
              </w:rPr>
              <w:t>4.38</w:t>
            </w:r>
          </w:p>
        </w:tc>
        <w:tc>
          <w:tcPr>
            <w:tcW w:w="702" w:type="dxa"/>
            <w:tcBorders>
              <w:top w:val="nil"/>
              <w:left w:val="nil"/>
              <w:bottom w:val="nil"/>
              <w:right w:val="nil"/>
            </w:tcBorders>
            <w:shd w:val="clear" w:color="000000" w:fill="FFFFFF"/>
            <w:noWrap/>
            <w:hideMark/>
          </w:tcPr>
          <w:p w14:paraId="1C683A30" w14:textId="0A34B165" w:rsidR="00C55807" w:rsidRPr="00C55807" w:rsidRDefault="00C55807" w:rsidP="00C55807">
            <w:pPr>
              <w:jc w:val="right"/>
              <w:rPr>
                <w:color w:val="000000"/>
                <w:sz w:val="14"/>
                <w:szCs w:val="14"/>
                <w:lang w:val="en-US" w:eastAsia="en-US"/>
              </w:rPr>
            </w:pPr>
            <w:r w:rsidRPr="00C55807">
              <w:rPr>
                <w:color w:val="000000"/>
                <w:sz w:val="14"/>
                <w:szCs w:val="14"/>
              </w:rPr>
              <w:t xml:space="preserve">43 </w:t>
            </w:r>
          </w:p>
        </w:tc>
      </w:tr>
      <w:tr w:rsidR="00C55807" w:rsidRPr="00E4527E" w14:paraId="2A18EF4C" w14:textId="77777777" w:rsidTr="00F32225">
        <w:trPr>
          <w:trHeight w:hRule="exact" w:val="300"/>
        </w:trPr>
        <w:tc>
          <w:tcPr>
            <w:tcW w:w="660" w:type="dxa"/>
            <w:tcBorders>
              <w:top w:val="nil"/>
              <w:left w:val="nil"/>
              <w:bottom w:val="nil"/>
              <w:right w:val="nil"/>
            </w:tcBorders>
            <w:shd w:val="clear" w:color="000000" w:fill="FFFFFF"/>
            <w:noWrap/>
            <w:hideMark/>
          </w:tcPr>
          <w:p w14:paraId="6DE8E9A8" w14:textId="10280CFA"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1B58CD24" w14:textId="226AC854" w:rsidR="00C55807" w:rsidRPr="00C55807" w:rsidRDefault="00C55807" w:rsidP="00C55807">
            <w:pPr>
              <w:jc w:val="center"/>
              <w:rPr>
                <w:color w:val="000000"/>
                <w:sz w:val="14"/>
                <w:szCs w:val="14"/>
                <w:lang w:val="en-US" w:eastAsia="en-US"/>
              </w:rPr>
            </w:pPr>
            <w:r w:rsidRPr="00C55807">
              <w:rPr>
                <w:color w:val="000000"/>
                <w:sz w:val="14"/>
                <w:szCs w:val="14"/>
              </w:rPr>
              <w:t>13</w:t>
            </w:r>
          </w:p>
        </w:tc>
        <w:tc>
          <w:tcPr>
            <w:tcW w:w="605" w:type="dxa"/>
            <w:tcBorders>
              <w:top w:val="nil"/>
              <w:left w:val="nil"/>
              <w:bottom w:val="nil"/>
              <w:right w:val="nil"/>
            </w:tcBorders>
            <w:shd w:val="clear" w:color="000000" w:fill="FFFFFF"/>
            <w:noWrap/>
            <w:hideMark/>
          </w:tcPr>
          <w:p w14:paraId="38C2A257" w14:textId="48BFE30C" w:rsidR="00C55807" w:rsidRPr="00C55807" w:rsidRDefault="00C55807" w:rsidP="00C55807">
            <w:pPr>
              <w:rPr>
                <w:color w:val="000000"/>
                <w:sz w:val="14"/>
                <w:szCs w:val="14"/>
                <w:lang w:val="en-US" w:eastAsia="en-US"/>
              </w:rPr>
            </w:pPr>
            <w:r w:rsidRPr="00C55807">
              <w:rPr>
                <w:color w:val="000000"/>
                <w:sz w:val="14"/>
                <w:szCs w:val="14"/>
              </w:rPr>
              <w:t>K01A</w:t>
            </w:r>
          </w:p>
        </w:tc>
        <w:tc>
          <w:tcPr>
            <w:tcW w:w="5490" w:type="dxa"/>
            <w:gridSpan w:val="2"/>
            <w:tcBorders>
              <w:top w:val="nil"/>
              <w:left w:val="nil"/>
              <w:bottom w:val="nil"/>
              <w:right w:val="nil"/>
            </w:tcBorders>
            <w:shd w:val="clear" w:color="000000" w:fill="FFFFFF"/>
            <w:noWrap/>
            <w:hideMark/>
          </w:tcPr>
          <w:p w14:paraId="1DDAA94B" w14:textId="42EBF7F5" w:rsidR="00C55807" w:rsidRPr="00C55807" w:rsidRDefault="00C55807" w:rsidP="00C55807">
            <w:pPr>
              <w:rPr>
                <w:color w:val="000000"/>
                <w:sz w:val="14"/>
                <w:szCs w:val="14"/>
                <w:lang w:val="en-US" w:eastAsia="en-US"/>
              </w:rPr>
            </w:pPr>
            <w:r w:rsidRPr="00C55807">
              <w:rPr>
                <w:color w:val="000000"/>
                <w:sz w:val="14"/>
                <w:szCs w:val="14"/>
              </w:rPr>
              <w:t>GIs for Diabetic Complications, Major Complexity</w:t>
            </w:r>
          </w:p>
        </w:tc>
        <w:tc>
          <w:tcPr>
            <w:tcW w:w="567" w:type="dxa"/>
            <w:tcBorders>
              <w:top w:val="nil"/>
              <w:left w:val="nil"/>
              <w:bottom w:val="nil"/>
              <w:right w:val="nil"/>
            </w:tcBorders>
            <w:shd w:val="clear" w:color="000000" w:fill="FFFFFF"/>
            <w:noWrap/>
            <w:hideMark/>
          </w:tcPr>
          <w:p w14:paraId="689D52DF" w14:textId="610630F3" w:rsidR="00C55807" w:rsidRPr="00C55807" w:rsidRDefault="00C55807" w:rsidP="00C55807">
            <w:pPr>
              <w:jc w:val="right"/>
              <w:rPr>
                <w:b/>
                <w:bCs/>
                <w:color w:val="000000"/>
                <w:sz w:val="14"/>
                <w:szCs w:val="14"/>
                <w:lang w:val="en-US" w:eastAsia="en-US"/>
              </w:rPr>
            </w:pPr>
            <w:r w:rsidRPr="00C55807">
              <w:rPr>
                <w:b/>
                <w:bCs/>
                <w:color w:val="000000"/>
                <w:sz w:val="14"/>
                <w:szCs w:val="14"/>
              </w:rPr>
              <w:t>6.53</w:t>
            </w:r>
          </w:p>
        </w:tc>
        <w:tc>
          <w:tcPr>
            <w:tcW w:w="839" w:type="dxa"/>
            <w:tcBorders>
              <w:top w:val="nil"/>
              <w:left w:val="nil"/>
              <w:bottom w:val="nil"/>
              <w:right w:val="nil"/>
            </w:tcBorders>
            <w:shd w:val="clear" w:color="000000" w:fill="FFFFFF"/>
            <w:noWrap/>
            <w:hideMark/>
          </w:tcPr>
          <w:p w14:paraId="768130CA" w14:textId="5E2F13FB" w:rsidR="00C55807" w:rsidRPr="00C55807" w:rsidRDefault="00C55807" w:rsidP="00C55807">
            <w:pPr>
              <w:jc w:val="right"/>
              <w:rPr>
                <w:color w:val="000000"/>
                <w:sz w:val="14"/>
                <w:szCs w:val="14"/>
                <w:lang w:val="en-US" w:eastAsia="en-US"/>
              </w:rPr>
            </w:pPr>
            <w:r w:rsidRPr="00C55807">
              <w:rPr>
                <w:color w:val="000000"/>
                <w:sz w:val="14"/>
                <w:szCs w:val="14"/>
              </w:rPr>
              <w:t>71</w:t>
            </w:r>
          </w:p>
        </w:tc>
        <w:tc>
          <w:tcPr>
            <w:tcW w:w="702" w:type="dxa"/>
            <w:tcBorders>
              <w:top w:val="nil"/>
              <w:left w:val="nil"/>
              <w:bottom w:val="nil"/>
              <w:right w:val="nil"/>
            </w:tcBorders>
            <w:shd w:val="clear" w:color="000000" w:fill="FFFFFF"/>
            <w:noWrap/>
            <w:hideMark/>
          </w:tcPr>
          <w:p w14:paraId="5539B848" w14:textId="5A912348" w:rsidR="00C55807" w:rsidRPr="00C55807" w:rsidRDefault="00C55807" w:rsidP="00C55807">
            <w:pPr>
              <w:jc w:val="right"/>
              <w:rPr>
                <w:color w:val="000000"/>
                <w:sz w:val="14"/>
                <w:szCs w:val="14"/>
                <w:lang w:val="en-US" w:eastAsia="en-US"/>
              </w:rPr>
            </w:pPr>
            <w:r w:rsidRPr="00C55807">
              <w:rPr>
                <w:color w:val="000000"/>
                <w:sz w:val="14"/>
                <w:szCs w:val="14"/>
              </w:rPr>
              <w:t>10.09</w:t>
            </w:r>
          </w:p>
        </w:tc>
        <w:tc>
          <w:tcPr>
            <w:tcW w:w="702" w:type="dxa"/>
            <w:tcBorders>
              <w:top w:val="nil"/>
              <w:left w:val="nil"/>
              <w:bottom w:val="nil"/>
              <w:right w:val="nil"/>
            </w:tcBorders>
            <w:shd w:val="clear" w:color="000000" w:fill="FFFFFF"/>
            <w:noWrap/>
            <w:hideMark/>
          </w:tcPr>
          <w:p w14:paraId="225F8896" w14:textId="57A69933" w:rsidR="00C55807" w:rsidRPr="00C55807" w:rsidRDefault="00C55807" w:rsidP="00C55807">
            <w:pPr>
              <w:jc w:val="right"/>
              <w:rPr>
                <w:color w:val="000000"/>
                <w:sz w:val="14"/>
                <w:szCs w:val="14"/>
                <w:lang w:val="en-US" w:eastAsia="en-US"/>
              </w:rPr>
            </w:pPr>
            <w:r w:rsidRPr="00C55807">
              <w:rPr>
                <w:color w:val="000000"/>
                <w:sz w:val="14"/>
                <w:szCs w:val="14"/>
              </w:rPr>
              <w:t>28.6</w:t>
            </w:r>
          </w:p>
        </w:tc>
        <w:tc>
          <w:tcPr>
            <w:tcW w:w="702" w:type="dxa"/>
            <w:tcBorders>
              <w:top w:val="nil"/>
              <w:left w:val="single" w:sz="4" w:space="0" w:color="000000"/>
              <w:bottom w:val="nil"/>
              <w:right w:val="nil"/>
            </w:tcBorders>
            <w:shd w:val="clear" w:color="000000" w:fill="FFFFFF"/>
            <w:noWrap/>
            <w:hideMark/>
          </w:tcPr>
          <w:p w14:paraId="4607A195" w14:textId="76D26E7C" w:rsidR="00C55807" w:rsidRPr="00C55807" w:rsidRDefault="00C55807" w:rsidP="00C55807">
            <w:pPr>
              <w:jc w:val="right"/>
              <w:rPr>
                <w:color w:val="000000"/>
                <w:sz w:val="14"/>
                <w:szCs w:val="14"/>
                <w:lang w:val="en-US" w:eastAsia="en-US"/>
              </w:rPr>
            </w:pPr>
            <w:r w:rsidRPr="00C55807">
              <w:rPr>
                <w:color w:val="000000"/>
                <w:sz w:val="14"/>
                <w:szCs w:val="14"/>
              </w:rPr>
              <w:t>16%</w:t>
            </w:r>
          </w:p>
        </w:tc>
        <w:tc>
          <w:tcPr>
            <w:tcW w:w="702" w:type="dxa"/>
            <w:tcBorders>
              <w:top w:val="nil"/>
              <w:left w:val="nil"/>
              <w:bottom w:val="nil"/>
              <w:right w:val="nil"/>
            </w:tcBorders>
            <w:shd w:val="clear" w:color="000000" w:fill="FFFFFF"/>
            <w:noWrap/>
            <w:hideMark/>
          </w:tcPr>
          <w:p w14:paraId="2DCEA8B9" w14:textId="5EDF5F33" w:rsidR="00C55807" w:rsidRPr="00C55807" w:rsidRDefault="00C55807" w:rsidP="00C55807">
            <w:pPr>
              <w:jc w:val="right"/>
              <w:rPr>
                <w:color w:val="000000"/>
                <w:sz w:val="14"/>
                <w:szCs w:val="14"/>
                <w:lang w:val="en-US" w:eastAsia="en-US"/>
              </w:rPr>
            </w:pPr>
            <w:r w:rsidRPr="00C55807">
              <w:rPr>
                <w:color w:val="000000"/>
                <w:sz w:val="14"/>
                <w:szCs w:val="14"/>
              </w:rPr>
              <w:t>11%</w:t>
            </w:r>
          </w:p>
        </w:tc>
        <w:tc>
          <w:tcPr>
            <w:tcW w:w="706" w:type="dxa"/>
            <w:tcBorders>
              <w:top w:val="nil"/>
              <w:left w:val="nil"/>
              <w:bottom w:val="nil"/>
              <w:right w:val="nil"/>
            </w:tcBorders>
            <w:shd w:val="clear" w:color="000000" w:fill="FFFFFF"/>
            <w:noWrap/>
            <w:hideMark/>
          </w:tcPr>
          <w:p w14:paraId="6C2B81A5" w14:textId="48BEC288" w:rsidR="00C55807" w:rsidRPr="00C55807" w:rsidRDefault="00C55807" w:rsidP="00C55807">
            <w:pPr>
              <w:jc w:val="right"/>
              <w:rPr>
                <w:color w:val="000000"/>
                <w:sz w:val="14"/>
                <w:szCs w:val="14"/>
                <w:lang w:val="en-US" w:eastAsia="en-US"/>
              </w:rPr>
            </w:pPr>
            <w:r w:rsidRPr="00C55807">
              <w:rPr>
                <w:color w:val="000000"/>
                <w:sz w:val="14"/>
                <w:szCs w:val="14"/>
              </w:rPr>
              <w:t>8%</w:t>
            </w:r>
          </w:p>
        </w:tc>
        <w:tc>
          <w:tcPr>
            <w:tcW w:w="730" w:type="dxa"/>
            <w:tcBorders>
              <w:top w:val="nil"/>
              <w:left w:val="nil"/>
              <w:bottom w:val="nil"/>
              <w:right w:val="nil"/>
            </w:tcBorders>
            <w:shd w:val="clear" w:color="000000" w:fill="FFFFFF"/>
            <w:noWrap/>
            <w:hideMark/>
          </w:tcPr>
          <w:p w14:paraId="5C1978DF" w14:textId="16DC78B3" w:rsidR="00C55807" w:rsidRPr="00C55807" w:rsidRDefault="00C55807" w:rsidP="00C55807">
            <w:pPr>
              <w:jc w:val="right"/>
              <w:rPr>
                <w:color w:val="000000"/>
                <w:sz w:val="14"/>
                <w:szCs w:val="14"/>
                <w:lang w:val="en-US" w:eastAsia="en-US"/>
              </w:rPr>
            </w:pPr>
            <w:r w:rsidRPr="00C55807">
              <w:rPr>
                <w:color w:val="000000"/>
                <w:sz w:val="14"/>
                <w:szCs w:val="14"/>
              </w:rPr>
              <w:t>65%</w:t>
            </w:r>
          </w:p>
        </w:tc>
        <w:tc>
          <w:tcPr>
            <w:tcW w:w="901" w:type="dxa"/>
            <w:tcBorders>
              <w:top w:val="nil"/>
              <w:left w:val="single" w:sz="4" w:space="0" w:color="auto"/>
              <w:bottom w:val="nil"/>
              <w:right w:val="nil"/>
            </w:tcBorders>
            <w:shd w:val="clear" w:color="000000" w:fill="FFFFFF"/>
            <w:noWrap/>
            <w:hideMark/>
          </w:tcPr>
          <w:p w14:paraId="583EEC6F" w14:textId="15DE4EDE" w:rsidR="00C55807" w:rsidRPr="00C55807" w:rsidRDefault="00C55807" w:rsidP="00C55807">
            <w:pPr>
              <w:jc w:val="right"/>
              <w:rPr>
                <w:color w:val="000000"/>
                <w:sz w:val="14"/>
                <w:szCs w:val="14"/>
                <w:lang w:val="en-US" w:eastAsia="en-US"/>
              </w:rPr>
            </w:pPr>
            <w:r w:rsidRPr="00C55807">
              <w:rPr>
                <w:color w:val="000000"/>
                <w:sz w:val="14"/>
                <w:szCs w:val="14"/>
              </w:rPr>
              <w:t>8.14</w:t>
            </w:r>
          </w:p>
        </w:tc>
        <w:tc>
          <w:tcPr>
            <w:tcW w:w="702" w:type="dxa"/>
            <w:tcBorders>
              <w:top w:val="nil"/>
              <w:left w:val="nil"/>
              <w:bottom w:val="nil"/>
              <w:right w:val="nil"/>
            </w:tcBorders>
            <w:shd w:val="clear" w:color="000000" w:fill="FFFFFF"/>
            <w:noWrap/>
            <w:hideMark/>
          </w:tcPr>
          <w:p w14:paraId="01014DF9" w14:textId="4A42F878" w:rsidR="00C55807" w:rsidRPr="00C55807" w:rsidRDefault="00C55807" w:rsidP="00C55807">
            <w:pPr>
              <w:jc w:val="right"/>
              <w:rPr>
                <w:color w:val="000000"/>
                <w:sz w:val="14"/>
                <w:szCs w:val="14"/>
                <w:lang w:val="en-US" w:eastAsia="en-US"/>
              </w:rPr>
            </w:pPr>
            <w:r w:rsidRPr="00C55807">
              <w:rPr>
                <w:color w:val="000000"/>
                <w:sz w:val="14"/>
                <w:szCs w:val="14"/>
              </w:rPr>
              <w:t xml:space="preserve">5 </w:t>
            </w:r>
          </w:p>
        </w:tc>
      </w:tr>
      <w:tr w:rsidR="00C55807" w:rsidRPr="00E4527E" w14:paraId="7DC01EE2" w14:textId="77777777" w:rsidTr="00F32225">
        <w:trPr>
          <w:trHeight w:hRule="exact" w:val="300"/>
        </w:trPr>
        <w:tc>
          <w:tcPr>
            <w:tcW w:w="660" w:type="dxa"/>
            <w:tcBorders>
              <w:top w:val="nil"/>
              <w:left w:val="nil"/>
              <w:bottom w:val="nil"/>
              <w:right w:val="nil"/>
            </w:tcBorders>
            <w:shd w:val="clear" w:color="000000" w:fill="FFFFFF"/>
            <w:noWrap/>
            <w:hideMark/>
          </w:tcPr>
          <w:p w14:paraId="19A1060A" w14:textId="523F3A1D"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51715AED" w14:textId="06FD5460" w:rsidR="00C55807" w:rsidRPr="00C55807" w:rsidRDefault="00C55807" w:rsidP="00C55807">
            <w:pPr>
              <w:jc w:val="center"/>
              <w:rPr>
                <w:color w:val="000000"/>
                <w:sz w:val="14"/>
                <w:szCs w:val="14"/>
                <w:lang w:val="en-US" w:eastAsia="en-US"/>
              </w:rPr>
            </w:pPr>
            <w:r w:rsidRPr="00C55807">
              <w:rPr>
                <w:color w:val="000000"/>
                <w:sz w:val="14"/>
                <w:szCs w:val="14"/>
              </w:rPr>
              <w:t>14</w:t>
            </w:r>
          </w:p>
        </w:tc>
        <w:tc>
          <w:tcPr>
            <w:tcW w:w="605" w:type="dxa"/>
            <w:tcBorders>
              <w:top w:val="nil"/>
              <w:left w:val="nil"/>
              <w:bottom w:val="nil"/>
              <w:right w:val="nil"/>
            </w:tcBorders>
            <w:shd w:val="clear" w:color="000000" w:fill="FFFFFF"/>
            <w:noWrap/>
            <w:hideMark/>
          </w:tcPr>
          <w:p w14:paraId="04BA1B84" w14:textId="2A73711C" w:rsidR="00C55807" w:rsidRPr="00C55807" w:rsidRDefault="00C55807" w:rsidP="00C55807">
            <w:pPr>
              <w:rPr>
                <w:color w:val="000000"/>
                <w:sz w:val="14"/>
                <w:szCs w:val="14"/>
                <w:lang w:val="en-US" w:eastAsia="en-US"/>
              </w:rPr>
            </w:pPr>
            <w:r w:rsidRPr="00C55807">
              <w:rPr>
                <w:color w:val="000000"/>
                <w:sz w:val="14"/>
                <w:szCs w:val="14"/>
              </w:rPr>
              <w:t>F21A</w:t>
            </w:r>
          </w:p>
        </w:tc>
        <w:tc>
          <w:tcPr>
            <w:tcW w:w="5490" w:type="dxa"/>
            <w:gridSpan w:val="2"/>
            <w:tcBorders>
              <w:top w:val="nil"/>
              <w:left w:val="nil"/>
              <w:bottom w:val="nil"/>
              <w:right w:val="nil"/>
            </w:tcBorders>
            <w:shd w:val="clear" w:color="000000" w:fill="FFFFFF"/>
            <w:noWrap/>
            <w:hideMark/>
          </w:tcPr>
          <w:p w14:paraId="72BE57D7" w14:textId="52238749" w:rsidR="00C55807" w:rsidRPr="00C55807" w:rsidRDefault="00C55807" w:rsidP="00C55807">
            <w:pPr>
              <w:rPr>
                <w:color w:val="000000"/>
                <w:sz w:val="14"/>
                <w:szCs w:val="14"/>
                <w:lang w:val="en-US" w:eastAsia="en-US"/>
              </w:rPr>
            </w:pPr>
            <w:r w:rsidRPr="00C55807">
              <w:rPr>
                <w:color w:val="000000"/>
                <w:sz w:val="14"/>
                <w:szCs w:val="14"/>
              </w:rPr>
              <w:t>Other Circulatory System GIs, Major Complexity</w:t>
            </w:r>
          </w:p>
        </w:tc>
        <w:tc>
          <w:tcPr>
            <w:tcW w:w="567" w:type="dxa"/>
            <w:tcBorders>
              <w:top w:val="nil"/>
              <w:left w:val="nil"/>
              <w:bottom w:val="nil"/>
              <w:right w:val="nil"/>
            </w:tcBorders>
            <w:shd w:val="clear" w:color="000000" w:fill="FFFFFF"/>
            <w:noWrap/>
            <w:hideMark/>
          </w:tcPr>
          <w:p w14:paraId="0B3CB87D" w14:textId="6B25C948" w:rsidR="00C55807" w:rsidRPr="00C55807" w:rsidRDefault="00C55807" w:rsidP="00C55807">
            <w:pPr>
              <w:jc w:val="right"/>
              <w:rPr>
                <w:b/>
                <w:bCs/>
                <w:color w:val="000000"/>
                <w:sz w:val="14"/>
                <w:szCs w:val="14"/>
                <w:lang w:val="en-US" w:eastAsia="en-US"/>
              </w:rPr>
            </w:pPr>
            <w:r w:rsidRPr="00C55807">
              <w:rPr>
                <w:b/>
                <w:bCs/>
                <w:color w:val="000000"/>
                <w:sz w:val="14"/>
                <w:szCs w:val="14"/>
              </w:rPr>
              <w:t>6.33</w:t>
            </w:r>
          </w:p>
        </w:tc>
        <w:tc>
          <w:tcPr>
            <w:tcW w:w="839" w:type="dxa"/>
            <w:tcBorders>
              <w:top w:val="nil"/>
              <w:left w:val="nil"/>
              <w:bottom w:val="nil"/>
              <w:right w:val="nil"/>
            </w:tcBorders>
            <w:shd w:val="clear" w:color="000000" w:fill="FFFFFF"/>
            <w:noWrap/>
            <w:hideMark/>
          </w:tcPr>
          <w:p w14:paraId="337E3DBF" w14:textId="777A51C9" w:rsidR="00C55807" w:rsidRPr="00C55807" w:rsidRDefault="00C55807" w:rsidP="00C55807">
            <w:pPr>
              <w:jc w:val="right"/>
              <w:rPr>
                <w:color w:val="000000"/>
                <w:sz w:val="14"/>
                <w:szCs w:val="14"/>
                <w:lang w:val="en-US" w:eastAsia="en-US"/>
              </w:rPr>
            </w:pPr>
            <w:r w:rsidRPr="00C55807">
              <w:rPr>
                <w:color w:val="000000"/>
                <w:sz w:val="14"/>
                <w:szCs w:val="14"/>
              </w:rPr>
              <w:t>83</w:t>
            </w:r>
          </w:p>
        </w:tc>
        <w:tc>
          <w:tcPr>
            <w:tcW w:w="702" w:type="dxa"/>
            <w:tcBorders>
              <w:top w:val="nil"/>
              <w:left w:val="nil"/>
              <w:bottom w:val="nil"/>
              <w:right w:val="nil"/>
            </w:tcBorders>
            <w:shd w:val="clear" w:color="000000" w:fill="FFFFFF"/>
            <w:noWrap/>
            <w:hideMark/>
          </w:tcPr>
          <w:p w14:paraId="0D1393EB" w14:textId="6D35CCC2" w:rsidR="00C55807" w:rsidRPr="00C55807" w:rsidRDefault="00C55807" w:rsidP="00C55807">
            <w:pPr>
              <w:jc w:val="right"/>
              <w:rPr>
                <w:color w:val="000000"/>
                <w:sz w:val="14"/>
                <w:szCs w:val="14"/>
                <w:lang w:val="en-US" w:eastAsia="en-US"/>
              </w:rPr>
            </w:pPr>
            <w:r w:rsidRPr="00C55807">
              <w:rPr>
                <w:color w:val="000000"/>
                <w:sz w:val="14"/>
                <w:szCs w:val="14"/>
              </w:rPr>
              <w:t>8.57</w:t>
            </w:r>
          </w:p>
        </w:tc>
        <w:tc>
          <w:tcPr>
            <w:tcW w:w="702" w:type="dxa"/>
            <w:tcBorders>
              <w:top w:val="nil"/>
              <w:left w:val="nil"/>
              <w:bottom w:val="nil"/>
              <w:right w:val="nil"/>
            </w:tcBorders>
            <w:shd w:val="clear" w:color="000000" w:fill="FFFFFF"/>
            <w:noWrap/>
            <w:hideMark/>
          </w:tcPr>
          <w:p w14:paraId="431E5572" w14:textId="6084D718" w:rsidR="00C55807" w:rsidRPr="00C55807" w:rsidRDefault="00C55807" w:rsidP="00C55807">
            <w:pPr>
              <w:jc w:val="right"/>
              <w:rPr>
                <w:color w:val="000000"/>
                <w:sz w:val="14"/>
                <w:szCs w:val="14"/>
                <w:lang w:val="en-US" w:eastAsia="en-US"/>
              </w:rPr>
            </w:pPr>
            <w:r w:rsidRPr="00C55807">
              <w:rPr>
                <w:color w:val="000000"/>
                <w:sz w:val="14"/>
                <w:szCs w:val="14"/>
              </w:rPr>
              <w:t>29.7</w:t>
            </w:r>
          </w:p>
        </w:tc>
        <w:tc>
          <w:tcPr>
            <w:tcW w:w="702" w:type="dxa"/>
            <w:tcBorders>
              <w:top w:val="nil"/>
              <w:left w:val="single" w:sz="4" w:space="0" w:color="000000"/>
              <w:bottom w:val="nil"/>
              <w:right w:val="nil"/>
            </w:tcBorders>
            <w:shd w:val="clear" w:color="000000" w:fill="FFFFFF"/>
            <w:noWrap/>
            <w:hideMark/>
          </w:tcPr>
          <w:p w14:paraId="7DC0BD4B" w14:textId="28DDECC8" w:rsidR="00C55807" w:rsidRPr="00C55807" w:rsidRDefault="00C55807" w:rsidP="00C55807">
            <w:pPr>
              <w:jc w:val="right"/>
              <w:rPr>
                <w:color w:val="000000"/>
                <w:sz w:val="14"/>
                <w:szCs w:val="14"/>
                <w:lang w:val="en-US" w:eastAsia="en-US"/>
              </w:rPr>
            </w:pPr>
            <w:r w:rsidRPr="00C55807">
              <w:rPr>
                <w:color w:val="000000"/>
                <w:sz w:val="14"/>
                <w:szCs w:val="14"/>
              </w:rPr>
              <w:t>8%</w:t>
            </w:r>
          </w:p>
        </w:tc>
        <w:tc>
          <w:tcPr>
            <w:tcW w:w="702" w:type="dxa"/>
            <w:tcBorders>
              <w:top w:val="nil"/>
              <w:left w:val="nil"/>
              <w:bottom w:val="nil"/>
              <w:right w:val="nil"/>
            </w:tcBorders>
            <w:shd w:val="clear" w:color="000000" w:fill="FFFFFF"/>
            <w:noWrap/>
            <w:hideMark/>
          </w:tcPr>
          <w:p w14:paraId="662AE001" w14:textId="53DEEC21" w:rsidR="00C55807" w:rsidRPr="00C55807" w:rsidRDefault="00C55807" w:rsidP="00C55807">
            <w:pPr>
              <w:jc w:val="right"/>
              <w:rPr>
                <w:color w:val="000000"/>
                <w:sz w:val="14"/>
                <w:szCs w:val="14"/>
                <w:lang w:val="en-US" w:eastAsia="en-US"/>
              </w:rPr>
            </w:pPr>
            <w:r w:rsidRPr="00C55807">
              <w:rPr>
                <w:color w:val="000000"/>
                <w:sz w:val="14"/>
                <w:szCs w:val="14"/>
              </w:rPr>
              <w:t>16%</w:t>
            </w:r>
          </w:p>
        </w:tc>
        <w:tc>
          <w:tcPr>
            <w:tcW w:w="706" w:type="dxa"/>
            <w:tcBorders>
              <w:top w:val="nil"/>
              <w:left w:val="nil"/>
              <w:bottom w:val="nil"/>
              <w:right w:val="nil"/>
            </w:tcBorders>
            <w:shd w:val="clear" w:color="000000" w:fill="FFFFFF"/>
            <w:noWrap/>
            <w:hideMark/>
          </w:tcPr>
          <w:p w14:paraId="15E066A6" w14:textId="19FC9FAD" w:rsidR="00C55807" w:rsidRPr="00C55807" w:rsidRDefault="00C55807" w:rsidP="00C55807">
            <w:pPr>
              <w:jc w:val="right"/>
              <w:rPr>
                <w:color w:val="000000"/>
                <w:sz w:val="14"/>
                <w:szCs w:val="14"/>
                <w:lang w:val="en-US" w:eastAsia="en-US"/>
              </w:rPr>
            </w:pPr>
            <w:r w:rsidRPr="00C55807">
              <w:rPr>
                <w:color w:val="000000"/>
                <w:sz w:val="14"/>
                <w:szCs w:val="14"/>
              </w:rPr>
              <w:t>2%</w:t>
            </w:r>
          </w:p>
        </w:tc>
        <w:tc>
          <w:tcPr>
            <w:tcW w:w="730" w:type="dxa"/>
            <w:tcBorders>
              <w:top w:val="nil"/>
              <w:left w:val="nil"/>
              <w:bottom w:val="nil"/>
              <w:right w:val="nil"/>
            </w:tcBorders>
            <w:shd w:val="clear" w:color="000000" w:fill="FFFFFF"/>
            <w:noWrap/>
            <w:hideMark/>
          </w:tcPr>
          <w:p w14:paraId="5CCEB170" w14:textId="41D8E812" w:rsidR="00C55807" w:rsidRPr="00C55807" w:rsidRDefault="00C55807" w:rsidP="00C55807">
            <w:pPr>
              <w:jc w:val="right"/>
              <w:rPr>
                <w:color w:val="000000"/>
                <w:sz w:val="14"/>
                <w:szCs w:val="14"/>
                <w:lang w:val="en-US" w:eastAsia="en-US"/>
              </w:rPr>
            </w:pPr>
            <w:r w:rsidRPr="00C55807">
              <w:rPr>
                <w:color w:val="000000"/>
                <w:sz w:val="14"/>
                <w:szCs w:val="14"/>
              </w:rPr>
              <w:t>74%</w:t>
            </w:r>
          </w:p>
        </w:tc>
        <w:tc>
          <w:tcPr>
            <w:tcW w:w="901" w:type="dxa"/>
            <w:tcBorders>
              <w:top w:val="nil"/>
              <w:left w:val="single" w:sz="4" w:space="0" w:color="auto"/>
              <w:bottom w:val="nil"/>
              <w:right w:val="nil"/>
            </w:tcBorders>
            <w:shd w:val="clear" w:color="000000" w:fill="FFFFFF"/>
            <w:noWrap/>
            <w:hideMark/>
          </w:tcPr>
          <w:p w14:paraId="007A0C4E" w14:textId="2A3120AA" w:rsidR="00C55807" w:rsidRPr="00C55807" w:rsidRDefault="00C55807" w:rsidP="00C55807">
            <w:pPr>
              <w:jc w:val="right"/>
              <w:rPr>
                <w:color w:val="000000"/>
                <w:sz w:val="14"/>
                <w:szCs w:val="14"/>
                <w:lang w:val="en-US" w:eastAsia="en-US"/>
              </w:rPr>
            </w:pPr>
            <w:r w:rsidRPr="00C55807">
              <w:rPr>
                <w:color w:val="000000"/>
                <w:sz w:val="14"/>
                <w:szCs w:val="14"/>
              </w:rPr>
              <w:t>6.22</w:t>
            </w:r>
          </w:p>
        </w:tc>
        <w:tc>
          <w:tcPr>
            <w:tcW w:w="702" w:type="dxa"/>
            <w:tcBorders>
              <w:top w:val="nil"/>
              <w:left w:val="nil"/>
              <w:bottom w:val="nil"/>
              <w:right w:val="nil"/>
            </w:tcBorders>
            <w:shd w:val="clear" w:color="000000" w:fill="FFFFFF"/>
            <w:noWrap/>
            <w:hideMark/>
          </w:tcPr>
          <w:p w14:paraId="6536AE0D" w14:textId="6DB96492" w:rsidR="00C55807" w:rsidRPr="00C55807" w:rsidRDefault="00C55807" w:rsidP="00C55807">
            <w:pPr>
              <w:jc w:val="right"/>
              <w:rPr>
                <w:color w:val="000000"/>
                <w:sz w:val="14"/>
                <w:szCs w:val="14"/>
                <w:lang w:val="en-US" w:eastAsia="en-US"/>
              </w:rPr>
            </w:pPr>
            <w:r w:rsidRPr="00C55807">
              <w:rPr>
                <w:color w:val="000000"/>
                <w:sz w:val="14"/>
                <w:szCs w:val="14"/>
              </w:rPr>
              <w:t xml:space="preserve">11 </w:t>
            </w:r>
          </w:p>
        </w:tc>
      </w:tr>
      <w:tr w:rsidR="00C55807" w:rsidRPr="00E4527E" w14:paraId="69EFEB91" w14:textId="77777777" w:rsidTr="00F32225">
        <w:trPr>
          <w:trHeight w:hRule="exact" w:val="300"/>
        </w:trPr>
        <w:tc>
          <w:tcPr>
            <w:tcW w:w="660" w:type="dxa"/>
            <w:tcBorders>
              <w:top w:val="nil"/>
              <w:left w:val="nil"/>
              <w:bottom w:val="nil"/>
              <w:right w:val="nil"/>
            </w:tcBorders>
            <w:shd w:val="clear" w:color="000000" w:fill="FFFFFF"/>
            <w:noWrap/>
            <w:hideMark/>
          </w:tcPr>
          <w:p w14:paraId="4E6DBA90" w14:textId="43329860"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629B06E5" w14:textId="02C6EF17" w:rsidR="00C55807" w:rsidRPr="00C55807" w:rsidRDefault="00C55807" w:rsidP="00C55807">
            <w:pPr>
              <w:jc w:val="center"/>
              <w:rPr>
                <w:color w:val="000000"/>
                <w:sz w:val="14"/>
                <w:szCs w:val="14"/>
                <w:lang w:val="en-US" w:eastAsia="en-US"/>
              </w:rPr>
            </w:pPr>
            <w:r w:rsidRPr="00C55807">
              <w:rPr>
                <w:color w:val="000000"/>
                <w:sz w:val="14"/>
                <w:szCs w:val="14"/>
              </w:rPr>
              <w:t>15</w:t>
            </w:r>
          </w:p>
        </w:tc>
        <w:tc>
          <w:tcPr>
            <w:tcW w:w="605" w:type="dxa"/>
            <w:tcBorders>
              <w:top w:val="nil"/>
              <w:left w:val="nil"/>
              <w:bottom w:val="nil"/>
              <w:right w:val="nil"/>
            </w:tcBorders>
            <w:shd w:val="clear" w:color="000000" w:fill="FFFFFF"/>
            <w:noWrap/>
            <w:hideMark/>
          </w:tcPr>
          <w:p w14:paraId="70645E33" w14:textId="31A026E7" w:rsidR="00C55807" w:rsidRPr="00C55807" w:rsidRDefault="00C55807" w:rsidP="00C55807">
            <w:pPr>
              <w:rPr>
                <w:color w:val="000000"/>
                <w:sz w:val="14"/>
                <w:szCs w:val="14"/>
                <w:lang w:val="en-US" w:eastAsia="en-US"/>
              </w:rPr>
            </w:pPr>
            <w:r w:rsidRPr="00C55807">
              <w:rPr>
                <w:color w:val="000000"/>
                <w:sz w:val="14"/>
                <w:szCs w:val="14"/>
              </w:rPr>
              <w:t>T01A</w:t>
            </w:r>
          </w:p>
        </w:tc>
        <w:tc>
          <w:tcPr>
            <w:tcW w:w="5490" w:type="dxa"/>
            <w:gridSpan w:val="2"/>
            <w:tcBorders>
              <w:top w:val="nil"/>
              <w:left w:val="nil"/>
              <w:bottom w:val="nil"/>
              <w:right w:val="nil"/>
            </w:tcBorders>
            <w:shd w:val="clear" w:color="000000" w:fill="FFFFFF"/>
            <w:noWrap/>
            <w:hideMark/>
          </w:tcPr>
          <w:p w14:paraId="557EB0A7" w14:textId="107CBC14" w:rsidR="00C55807" w:rsidRPr="00C55807" w:rsidRDefault="00C55807" w:rsidP="00C55807">
            <w:pPr>
              <w:rPr>
                <w:color w:val="000000"/>
                <w:sz w:val="14"/>
                <w:szCs w:val="14"/>
                <w:lang w:val="en-US" w:eastAsia="en-US"/>
              </w:rPr>
            </w:pPr>
            <w:r w:rsidRPr="00C55807">
              <w:rPr>
                <w:color w:val="000000"/>
                <w:sz w:val="14"/>
                <w:szCs w:val="14"/>
              </w:rPr>
              <w:t>Infectious and Parasitic Diseases W GIs, Major Complexity</w:t>
            </w:r>
          </w:p>
        </w:tc>
        <w:tc>
          <w:tcPr>
            <w:tcW w:w="567" w:type="dxa"/>
            <w:tcBorders>
              <w:top w:val="nil"/>
              <w:left w:val="nil"/>
              <w:bottom w:val="nil"/>
              <w:right w:val="nil"/>
            </w:tcBorders>
            <w:shd w:val="clear" w:color="000000" w:fill="FFFFFF"/>
            <w:noWrap/>
            <w:hideMark/>
          </w:tcPr>
          <w:p w14:paraId="784BE6AF" w14:textId="12DEDB5C" w:rsidR="00C55807" w:rsidRPr="00C55807" w:rsidRDefault="00C55807" w:rsidP="00C55807">
            <w:pPr>
              <w:jc w:val="right"/>
              <w:rPr>
                <w:b/>
                <w:bCs/>
                <w:color w:val="000000"/>
                <w:sz w:val="14"/>
                <w:szCs w:val="14"/>
                <w:lang w:val="en-US" w:eastAsia="en-US"/>
              </w:rPr>
            </w:pPr>
            <w:r w:rsidRPr="00C55807">
              <w:rPr>
                <w:b/>
                <w:bCs/>
                <w:color w:val="000000"/>
                <w:sz w:val="14"/>
                <w:szCs w:val="14"/>
              </w:rPr>
              <w:t>6.33</w:t>
            </w:r>
          </w:p>
        </w:tc>
        <w:tc>
          <w:tcPr>
            <w:tcW w:w="839" w:type="dxa"/>
            <w:tcBorders>
              <w:top w:val="nil"/>
              <w:left w:val="nil"/>
              <w:bottom w:val="nil"/>
              <w:right w:val="nil"/>
            </w:tcBorders>
            <w:shd w:val="clear" w:color="000000" w:fill="FFFFFF"/>
            <w:noWrap/>
            <w:hideMark/>
          </w:tcPr>
          <w:p w14:paraId="12DDB69F" w14:textId="216356C5" w:rsidR="00C55807" w:rsidRPr="00C55807" w:rsidRDefault="00C55807" w:rsidP="00C55807">
            <w:pPr>
              <w:jc w:val="right"/>
              <w:rPr>
                <w:color w:val="000000"/>
                <w:sz w:val="14"/>
                <w:szCs w:val="14"/>
                <w:lang w:val="en-US" w:eastAsia="en-US"/>
              </w:rPr>
            </w:pPr>
            <w:r w:rsidRPr="00C55807">
              <w:rPr>
                <w:color w:val="000000"/>
                <w:sz w:val="14"/>
                <w:szCs w:val="14"/>
              </w:rPr>
              <w:t>523</w:t>
            </w:r>
          </w:p>
        </w:tc>
        <w:tc>
          <w:tcPr>
            <w:tcW w:w="702" w:type="dxa"/>
            <w:tcBorders>
              <w:top w:val="nil"/>
              <w:left w:val="nil"/>
              <w:bottom w:val="nil"/>
              <w:right w:val="nil"/>
            </w:tcBorders>
            <w:shd w:val="clear" w:color="000000" w:fill="FFFFFF"/>
            <w:noWrap/>
            <w:hideMark/>
          </w:tcPr>
          <w:p w14:paraId="5EB3ACBB" w14:textId="78237276" w:rsidR="00C55807" w:rsidRPr="00C55807" w:rsidRDefault="00C55807" w:rsidP="00C55807">
            <w:pPr>
              <w:jc w:val="right"/>
              <w:rPr>
                <w:color w:val="000000"/>
                <w:sz w:val="14"/>
                <w:szCs w:val="14"/>
                <w:lang w:val="en-US" w:eastAsia="en-US"/>
              </w:rPr>
            </w:pPr>
            <w:r w:rsidRPr="00C55807">
              <w:rPr>
                <w:color w:val="000000"/>
                <w:sz w:val="14"/>
                <w:szCs w:val="14"/>
              </w:rPr>
              <w:t>8.72</w:t>
            </w:r>
          </w:p>
        </w:tc>
        <w:tc>
          <w:tcPr>
            <w:tcW w:w="702" w:type="dxa"/>
            <w:tcBorders>
              <w:top w:val="nil"/>
              <w:left w:val="nil"/>
              <w:bottom w:val="nil"/>
              <w:right w:val="nil"/>
            </w:tcBorders>
            <w:shd w:val="clear" w:color="000000" w:fill="FFFFFF"/>
            <w:noWrap/>
            <w:hideMark/>
          </w:tcPr>
          <w:p w14:paraId="2DF659E7" w14:textId="11920941" w:rsidR="00C55807" w:rsidRPr="00C55807" w:rsidRDefault="00C55807" w:rsidP="00C55807">
            <w:pPr>
              <w:jc w:val="right"/>
              <w:rPr>
                <w:color w:val="000000"/>
                <w:sz w:val="14"/>
                <w:szCs w:val="14"/>
                <w:lang w:val="en-US" w:eastAsia="en-US"/>
              </w:rPr>
            </w:pPr>
            <w:r w:rsidRPr="00C55807">
              <w:rPr>
                <w:color w:val="000000"/>
                <w:sz w:val="14"/>
                <w:szCs w:val="14"/>
              </w:rPr>
              <w:t>25.8</w:t>
            </w:r>
          </w:p>
        </w:tc>
        <w:tc>
          <w:tcPr>
            <w:tcW w:w="702" w:type="dxa"/>
            <w:tcBorders>
              <w:top w:val="nil"/>
              <w:left w:val="single" w:sz="4" w:space="0" w:color="000000"/>
              <w:bottom w:val="nil"/>
              <w:right w:val="nil"/>
            </w:tcBorders>
            <w:shd w:val="clear" w:color="000000" w:fill="FFFFFF"/>
            <w:noWrap/>
            <w:hideMark/>
          </w:tcPr>
          <w:p w14:paraId="5EE3AFD5" w14:textId="196E22FE" w:rsidR="00C55807" w:rsidRPr="00C55807" w:rsidRDefault="00C55807" w:rsidP="00C55807">
            <w:pPr>
              <w:jc w:val="right"/>
              <w:rPr>
                <w:color w:val="000000"/>
                <w:sz w:val="14"/>
                <w:szCs w:val="14"/>
                <w:lang w:val="en-US" w:eastAsia="en-US"/>
              </w:rPr>
            </w:pPr>
            <w:r w:rsidRPr="00C55807">
              <w:rPr>
                <w:color w:val="000000"/>
                <w:sz w:val="14"/>
                <w:szCs w:val="14"/>
              </w:rPr>
              <w:t>11%</w:t>
            </w:r>
          </w:p>
        </w:tc>
        <w:tc>
          <w:tcPr>
            <w:tcW w:w="702" w:type="dxa"/>
            <w:tcBorders>
              <w:top w:val="nil"/>
              <w:left w:val="nil"/>
              <w:bottom w:val="nil"/>
              <w:right w:val="nil"/>
            </w:tcBorders>
            <w:shd w:val="clear" w:color="000000" w:fill="FFFFFF"/>
            <w:noWrap/>
            <w:hideMark/>
          </w:tcPr>
          <w:p w14:paraId="5FDD7211" w14:textId="2A419EDF" w:rsidR="00C55807" w:rsidRPr="00C55807" w:rsidRDefault="00C55807" w:rsidP="00C55807">
            <w:pPr>
              <w:jc w:val="right"/>
              <w:rPr>
                <w:color w:val="000000"/>
                <w:sz w:val="14"/>
                <w:szCs w:val="14"/>
                <w:lang w:val="en-US" w:eastAsia="en-US"/>
              </w:rPr>
            </w:pPr>
            <w:r w:rsidRPr="00C55807">
              <w:rPr>
                <w:color w:val="000000"/>
                <w:sz w:val="14"/>
                <w:szCs w:val="14"/>
              </w:rPr>
              <w:t>12%</w:t>
            </w:r>
          </w:p>
        </w:tc>
        <w:tc>
          <w:tcPr>
            <w:tcW w:w="706" w:type="dxa"/>
            <w:tcBorders>
              <w:top w:val="nil"/>
              <w:left w:val="nil"/>
              <w:bottom w:val="nil"/>
              <w:right w:val="nil"/>
            </w:tcBorders>
            <w:shd w:val="clear" w:color="000000" w:fill="FFFFFF"/>
            <w:noWrap/>
            <w:hideMark/>
          </w:tcPr>
          <w:p w14:paraId="4D6DE166" w14:textId="588492C8" w:rsidR="00C55807" w:rsidRPr="00C55807" w:rsidRDefault="00C55807" w:rsidP="00C55807">
            <w:pPr>
              <w:jc w:val="right"/>
              <w:rPr>
                <w:color w:val="000000"/>
                <w:sz w:val="14"/>
                <w:szCs w:val="14"/>
                <w:lang w:val="en-US" w:eastAsia="en-US"/>
              </w:rPr>
            </w:pPr>
            <w:r w:rsidRPr="00C55807">
              <w:rPr>
                <w:color w:val="000000"/>
                <w:sz w:val="14"/>
                <w:szCs w:val="14"/>
              </w:rPr>
              <w:t>4%</w:t>
            </w:r>
          </w:p>
        </w:tc>
        <w:tc>
          <w:tcPr>
            <w:tcW w:w="730" w:type="dxa"/>
            <w:tcBorders>
              <w:top w:val="nil"/>
              <w:left w:val="nil"/>
              <w:bottom w:val="nil"/>
              <w:right w:val="nil"/>
            </w:tcBorders>
            <w:shd w:val="clear" w:color="000000" w:fill="FFFFFF"/>
            <w:noWrap/>
            <w:hideMark/>
          </w:tcPr>
          <w:p w14:paraId="0B6CDD20" w14:textId="25C8A2A2" w:rsidR="00C55807" w:rsidRPr="00C55807" w:rsidRDefault="00C55807" w:rsidP="00C55807">
            <w:pPr>
              <w:jc w:val="right"/>
              <w:rPr>
                <w:color w:val="000000"/>
                <w:sz w:val="14"/>
                <w:szCs w:val="14"/>
                <w:lang w:val="en-US" w:eastAsia="en-US"/>
              </w:rPr>
            </w:pPr>
            <w:r w:rsidRPr="00C55807">
              <w:rPr>
                <w:color w:val="000000"/>
                <w:sz w:val="14"/>
                <w:szCs w:val="14"/>
              </w:rPr>
              <w:t>73%</w:t>
            </w:r>
          </w:p>
        </w:tc>
        <w:tc>
          <w:tcPr>
            <w:tcW w:w="901" w:type="dxa"/>
            <w:tcBorders>
              <w:top w:val="nil"/>
              <w:left w:val="single" w:sz="4" w:space="0" w:color="auto"/>
              <w:bottom w:val="nil"/>
              <w:right w:val="nil"/>
            </w:tcBorders>
            <w:shd w:val="clear" w:color="000000" w:fill="FFFFFF"/>
            <w:noWrap/>
            <w:hideMark/>
          </w:tcPr>
          <w:p w14:paraId="6A6BCAA5" w14:textId="2137B8FA" w:rsidR="00C55807" w:rsidRPr="00C55807" w:rsidRDefault="00C55807" w:rsidP="00C55807">
            <w:pPr>
              <w:jc w:val="right"/>
              <w:rPr>
                <w:color w:val="000000"/>
                <w:sz w:val="14"/>
                <w:szCs w:val="14"/>
                <w:lang w:val="en-US" w:eastAsia="en-US"/>
              </w:rPr>
            </w:pPr>
            <w:r w:rsidRPr="00C55807">
              <w:rPr>
                <w:color w:val="000000"/>
                <w:sz w:val="14"/>
                <w:szCs w:val="14"/>
              </w:rPr>
              <w:t>5.67</w:t>
            </w:r>
          </w:p>
        </w:tc>
        <w:tc>
          <w:tcPr>
            <w:tcW w:w="702" w:type="dxa"/>
            <w:tcBorders>
              <w:top w:val="nil"/>
              <w:left w:val="nil"/>
              <w:bottom w:val="nil"/>
              <w:right w:val="nil"/>
            </w:tcBorders>
            <w:shd w:val="clear" w:color="000000" w:fill="FFFFFF"/>
            <w:noWrap/>
            <w:hideMark/>
          </w:tcPr>
          <w:p w14:paraId="444A1AB8" w14:textId="70BA1189" w:rsidR="00C55807" w:rsidRPr="00C55807" w:rsidRDefault="00C55807" w:rsidP="00C55807">
            <w:pPr>
              <w:jc w:val="right"/>
              <w:rPr>
                <w:color w:val="000000"/>
                <w:sz w:val="14"/>
                <w:szCs w:val="14"/>
                <w:lang w:val="en-US" w:eastAsia="en-US"/>
              </w:rPr>
            </w:pPr>
            <w:r w:rsidRPr="00C55807">
              <w:rPr>
                <w:color w:val="000000"/>
                <w:sz w:val="14"/>
                <w:szCs w:val="14"/>
              </w:rPr>
              <w:t xml:space="preserve">16 </w:t>
            </w:r>
          </w:p>
        </w:tc>
      </w:tr>
      <w:tr w:rsidR="00C55807" w:rsidRPr="00E4527E" w14:paraId="6E37ED4F" w14:textId="77777777" w:rsidTr="00F32225">
        <w:trPr>
          <w:trHeight w:hRule="exact" w:val="300"/>
        </w:trPr>
        <w:tc>
          <w:tcPr>
            <w:tcW w:w="660" w:type="dxa"/>
            <w:tcBorders>
              <w:top w:val="nil"/>
              <w:left w:val="nil"/>
              <w:bottom w:val="nil"/>
              <w:right w:val="nil"/>
            </w:tcBorders>
            <w:shd w:val="clear" w:color="000000" w:fill="FFFFFF"/>
            <w:noWrap/>
            <w:hideMark/>
          </w:tcPr>
          <w:p w14:paraId="342D1B01" w14:textId="7BECB5CB"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4171BC78" w14:textId="039C6BE4" w:rsidR="00C55807" w:rsidRPr="00C55807" w:rsidRDefault="00C55807" w:rsidP="00C55807">
            <w:pPr>
              <w:jc w:val="center"/>
              <w:rPr>
                <w:color w:val="000000"/>
                <w:sz w:val="14"/>
                <w:szCs w:val="14"/>
                <w:lang w:val="en-US" w:eastAsia="en-US"/>
              </w:rPr>
            </w:pPr>
            <w:r w:rsidRPr="00C55807">
              <w:rPr>
                <w:color w:val="000000"/>
                <w:sz w:val="14"/>
                <w:szCs w:val="14"/>
              </w:rPr>
              <w:t>16</w:t>
            </w:r>
          </w:p>
        </w:tc>
        <w:tc>
          <w:tcPr>
            <w:tcW w:w="605" w:type="dxa"/>
            <w:tcBorders>
              <w:top w:val="nil"/>
              <w:left w:val="nil"/>
              <w:bottom w:val="nil"/>
              <w:right w:val="nil"/>
            </w:tcBorders>
            <w:shd w:val="clear" w:color="000000" w:fill="FFFFFF"/>
            <w:noWrap/>
            <w:hideMark/>
          </w:tcPr>
          <w:p w14:paraId="43582FE5" w14:textId="14A8D91B" w:rsidR="00C55807" w:rsidRPr="00C55807" w:rsidRDefault="00C55807" w:rsidP="00C55807">
            <w:pPr>
              <w:rPr>
                <w:color w:val="000000"/>
                <w:sz w:val="14"/>
                <w:szCs w:val="14"/>
                <w:lang w:val="en-US" w:eastAsia="en-US"/>
              </w:rPr>
            </w:pPr>
            <w:r w:rsidRPr="00C55807">
              <w:rPr>
                <w:color w:val="000000"/>
                <w:sz w:val="14"/>
                <w:szCs w:val="14"/>
              </w:rPr>
              <w:t>A13B</w:t>
            </w:r>
          </w:p>
        </w:tc>
        <w:tc>
          <w:tcPr>
            <w:tcW w:w="5490" w:type="dxa"/>
            <w:gridSpan w:val="2"/>
            <w:tcBorders>
              <w:top w:val="nil"/>
              <w:left w:val="nil"/>
              <w:bottom w:val="nil"/>
              <w:right w:val="nil"/>
            </w:tcBorders>
            <w:shd w:val="clear" w:color="000000" w:fill="FFFFFF"/>
            <w:noWrap/>
            <w:hideMark/>
          </w:tcPr>
          <w:p w14:paraId="2932380A" w14:textId="3850B806" w:rsidR="00C55807" w:rsidRPr="00C55807" w:rsidRDefault="00C55807" w:rsidP="00C55807">
            <w:pPr>
              <w:rPr>
                <w:color w:val="000000"/>
                <w:sz w:val="14"/>
                <w:szCs w:val="14"/>
                <w:lang w:val="en-US" w:eastAsia="en-US"/>
              </w:rPr>
            </w:pPr>
            <w:r w:rsidRPr="00C55807">
              <w:rPr>
                <w:color w:val="000000"/>
                <w:sz w:val="14"/>
                <w:szCs w:val="14"/>
              </w:rPr>
              <w:t>Ventilation &gt;=336hours, Minor Complexity</w:t>
            </w:r>
          </w:p>
        </w:tc>
        <w:tc>
          <w:tcPr>
            <w:tcW w:w="567" w:type="dxa"/>
            <w:tcBorders>
              <w:top w:val="nil"/>
              <w:left w:val="nil"/>
              <w:bottom w:val="nil"/>
              <w:right w:val="nil"/>
            </w:tcBorders>
            <w:shd w:val="clear" w:color="000000" w:fill="FFFFFF"/>
            <w:noWrap/>
            <w:hideMark/>
          </w:tcPr>
          <w:p w14:paraId="069C94EE" w14:textId="0EB1016B" w:rsidR="00C55807" w:rsidRPr="00C55807" w:rsidRDefault="00C55807" w:rsidP="00C55807">
            <w:pPr>
              <w:jc w:val="right"/>
              <w:rPr>
                <w:b/>
                <w:bCs/>
                <w:color w:val="000000"/>
                <w:sz w:val="14"/>
                <w:szCs w:val="14"/>
                <w:lang w:val="en-US" w:eastAsia="en-US"/>
              </w:rPr>
            </w:pPr>
            <w:r w:rsidRPr="00C55807">
              <w:rPr>
                <w:b/>
                <w:bCs/>
                <w:color w:val="000000"/>
                <w:sz w:val="14"/>
                <w:szCs w:val="14"/>
              </w:rPr>
              <w:t>6.32</w:t>
            </w:r>
          </w:p>
        </w:tc>
        <w:tc>
          <w:tcPr>
            <w:tcW w:w="839" w:type="dxa"/>
            <w:tcBorders>
              <w:top w:val="nil"/>
              <w:left w:val="nil"/>
              <w:bottom w:val="nil"/>
              <w:right w:val="nil"/>
            </w:tcBorders>
            <w:shd w:val="clear" w:color="000000" w:fill="FFFFFF"/>
            <w:noWrap/>
            <w:hideMark/>
          </w:tcPr>
          <w:p w14:paraId="400A11E7" w14:textId="2D5D2630" w:rsidR="00C55807" w:rsidRPr="00C55807" w:rsidRDefault="00C55807" w:rsidP="00C55807">
            <w:pPr>
              <w:jc w:val="right"/>
              <w:rPr>
                <w:color w:val="000000"/>
                <w:sz w:val="14"/>
                <w:szCs w:val="14"/>
                <w:lang w:val="en-US" w:eastAsia="en-US"/>
              </w:rPr>
            </w:pPr>
            <w:r w:rsidRPr="00C55807">
              <w:rPr>
                <w:color w:val="000000"/>
                <w:sz w:val="14"/>
                <w:szCs w:val="14"/>
              </w:rPr>
              <w:t>8</w:t>
            </w:r>
          </w:p>
        </w:tc>
        <w:tc>
          <w:tcPr>
            <w:tcW w:w="702" w:type="dxa"/>
            <w:tcBorders>
              <w:top w:val="nil"/>
              <w:left w:val="nil"/>
              <w:bottom w:val="nil"/>
              <w:right w:val="nil"/>
            </w:tcBorders>
            <w:shd w:val="clear" w:color="000000" w:fill="FFFFFF"/>
            <w:noWrap/>
            <w:hideMark/>
          </w:tcPr>
          <w:p w14:paraId="5D5DA189" w14:textId="25FC03F2" w:rsidR="00C55807" w:rsidRPr="00C55807" w:rsidRDefault="00C55807" w:rsidP="00C55807">
            <w:pPr>
              <w:jc w:val="right"/>
              <w:rPr>
                <w:color w:val="000000"/>
                <w:sz w:val="14"/>
                <w:szCs w:val="14"/>
                <w:lang w:val="en-US" w:eastAsia="en-US"/>
              </w:rPr>
            </w:pPr>
            <w:r w:rsidRPr="00C55807">
              <w:rPr>
                <w:color w:val="000000"/>
                <w:sz w:val="14"/>
                <w:szCs w:val="14"/>
              </w:rPr>
              <w:t>21.63</w:t>
            </w:r>
          </w:p>
        </w:tc>
        <w:tc>
          <w:tcPr>
            <w:tcW w:w="702" w:type="dxa"/>
            <w:tcBorders>
              <w:top w:val="nil"/>
              <w:left w:val="nil"/>
              <w:bottom w:val="nil"/>
              <w:right w:val="nil"/>
            </w:tcBorders>
            <w:shd w:val="clear" w:color="000000" w:fill="FFFFFF"/>
            <w:noWrap/>
            <w:hideMark/>
          </w:tcPr>
          <w:p w14:paraId="6C0ADDB5" w14:textId="5F823A0A" w:rsidR="00C55807" w:rsidRPr="00C55807" w:rsidRDefault="00C55807" w:rsidP="00C55807">
            <w:pPr>
              <w:jc w:val="right"/>
              <w:rPr>
                <w:color w:val="000000"/>
                <w:sz w:val="14"/>
                <w:szCs w:val="14"/>
                <w:lang w:val="en-US" w:eastAsia="en-US"/>
              </w:rPr>
            </w:pPr>
            <w:r w:rsidRPr="00C55807">
              <w:rPr>
                <w:color w:val="000000"/>
                <w:sz w:val="14"/>
                <w:szCs w:val="14"/>
              </w:rPr>
              <w:t>30.6</w:t>
            </w:r>
          </w:p>
        </w:tc>
        <w:tc>
          <w:tcPr>
            <w:tcW w:w="702" w:type="dxa"/>
            <w:tcBorders>
              <w:top w:val="nil"/>
              <w:left w:val="single" w:sz="4" w:space="0" w:color="000000"/>
              <w:bottom w:val="nil"/>
              <w:right w:val="nil"/>
            </w:tcBorders>
            <w:shd w:val="clear" w:color="000000" w:fill="FFFFFF"/>
            <w:noWrap/>
            <w:hideMark/>
          </w:tcPr>
          <w:p w14:paraId="77E859E4" w14:textId="7CBBC32A" w:rsidR="00C55807" w:rsidRPr="00C55807" w:rsidRDefault="00C55807" w:rsidP="00C55807">
            <w:pPr>
              <w:jc w:val="right"/>
              <w:rPr>
                <w:color w:val="000000"/>
                <w:sz w:val="14"/>
                <w:szCs w:val="14"/>
                <w:lang w:val="en-US" w:eastAsia="en-US"/>
              </w:rPr>
            </w:pPr>
            <w:r w:rsidRPr="00C55807">
              <w:rPr>
                <w:color w:val="000000"/>
                <w:sz w:val="14"/>
                <w:szCs w:val="14"/>
              </w:rPr>
              <w:t>3%</w:t>
            </w:r>
          </w:p>
        </w:tc>
        <w:tc>
          <w:tcPr>
            <w:tcW w:w="702" w:type="dxa"/>
            <w:tcBorders>
              <w:top w:val="nil"/>
              <w:left w:val="nil"/>
              <w:bottom w:val="nil"/>
              <w:right w:val="nil"/>
            </w:tcBorders>
            <w:shd w:val="clear" w:color="000000" w:fill="FFFFFF"/>
            <w:noWrap/>
            <w:hideMark/>
          </w:tcPr>
          <w:p w14:paraId="27CD8AD2" w14:textId="5724D761" w:rsidR="00C55807" w:rsidRPr="00C55807" w:rsidRDefault="00C55807" w:rsidP="00C55807">
            <w:pPr>
              <w:jc w:val="right"/>
              <w:rPr>
                <w:color w:val="000000"/>
                <w:sz w:val="14"/>
                <w:szCs w:val="14"/>
                <w:lang w:val="en-US" w:eastAsia="en-US"/>
              </w:rPr>
            </w:pPr>
            <w:r w:rsidRPr="00C55807">
              <w:rPr>
                <w:color w:val="000000"/>
                <w:sz w:val="14"/>
                <w:szCs w:val="14"/>
              </w:rPr>
              <w:t>66%</w:t>
            </w:r>
          </w:p>
        </w:tc>
        <w:tc>
          <w:tcPr>
            <w:tcW w:w="706" w:type="dxa"/>
            <w:tcBorders>
              <w:top w:val="nil"/>
              <w:left w:val="nil"/>
              <w:bottom w:val="nil"/>
              <w:right w:val="nil"/>
            </w:tcBorders>
            <w:shd w:val="clear" w:color="000000" w:fill="FFFFFF"/>
            <w:noWrap/>
            <w:hideMark/>
          </w:tcPr>
          <w:p w14:paraId="13537208" w14:textId="0C093AB1" w:rsidR="00C55807" w:rsidRPr="00C55807" w:rsidRDefault="00C55807" w:rsidP="00C55807">
            <w:pPr>
              <w:jc w:val="right"/>
              <w:rPr>
                <w:color w:val="000000"/>
                <w:sz w:val="14"/>
                <w:szCs w:val="14"/>
                <w:lang w:val="en-US" w:eastAsia="en-US"/>
              </w:rPr>
            </w:pPr>
            <w:r w:rsidRPr="00C55807">
              <w:rPr>
                <w:color w:val="000000"/>
                <w:sz w:val="14"/>
                <w:szCs w:val="14"/>
              </w:rPr>
              <w:t>1%</w:t>
            </w:r>
          </w:p>
        </w:tc>
        <w:tc>
          <w:tcPr>
            <w:tcW w:w="730" w:type="dxa"/>
            <w:tcBorders>
              <w:top w:val="nil"/>
              <w:left w:val="nil"/>
              <w:bottom w:val="nil"/>
              <w:right w:val="nil"/>
            </w:tcBorders>
            <w:shd w:val="clear" w:color="000000" w:fill="FFFFFF"/>
            <w:noWrap/>
            <w:hideMark/>
          </w:tcPr>
          <w:p w14:paraId="034A6B49" w14:textId="54893C1C" w:rsidR="00C55807" w:rsidRPr="00C55807" w:rsidRDefault="00C55807" w:rsidP="00C55807">
            <w:pPr>
              <w:jc w:val="right"/>
              <w:rPr>
                <w:color w:val="000000"/>
                <w:sz w:val="14"/>
                <w:szCs w:val="14"/>
                <w:lang w:val="en-US" w:eastAsia="en-US"/>
              </w:rPr>
            </w:pPr>
            <w:r w:rsidRPr="00C55807">
              <w:rPr>
                <w:color w:val="000000"/>
                <w:sz w:val="14"/>
                <w:szCs w:val="14"/>
              </w:rPr>
              <w:t>29%</w:t>
            </w:r>
          </w:p>
        </w:tc>
        <w:tc>
          <w:tcPr>
            <w:tcW w:w="901" w:type="dxa"/>
            <w:tcBorders>
              <w:top w:val="nil"/>
              <w:left w:val="single" w:sz="4" w:space="0" w:color="auto"/>
              <w:bottom w:val="nil"/>
              <w:right w:val="nil"/>
            </w:tcBorders>
            <w:shd w:val="clear" w:color="000000" w:fill="FFFFFF"/>
            <w:noWrap/>
            <w:hideMark/>
          </w:tcPr>
          <w:p w14:paraId="590282D8" w14:textId="6EC4C93B" w:rsidR="00C55807" w:rsidRPr="00C55807" w:rsidRDefault="00C55807" w:rsidP="00C55807">
            <w:pPr>
              <w:jc w:val="right"/>
              <w:rPr>
                <w:color w:val="000000"/>
                <w:sz w:val="14"/>
                <w:szCs w:val="14"/>
                <w:lang w:val="en-US" w:eastAsia="en-US"/>
              </w:rPr>
            </w:pPr>
            <w:r w:rsidRPr="00C55807">
              <w:rPr>
                <w:color w:val="000000"/>
                <w:sz w:val="14"/>
                <w:szCs w:val="14"/>
              </w:rPr>
              <w:t>8.42</w:t>
            </w:r>
          </w:p>
        </w:tc>
        <w:tc>
          <w:tcPr>
            <w:tcW w:w="702" w:type="dxa"/>
            <w:tcBorders>
              <w:top w:val="nil"/>
              <w:left w:val="nil"/>
              <w:bottom w:val="nil"/>
              <w:right w:val="nil"/>
            </w:tcBorders>
            <w:shd w:val="clear" w:color="000000" w:fill="FFFFFF"/>
            <w:noWrap/>
            <w:hideMark/>
          </w:tcPr>
          <w:p w14:paraId="50628292" w14:textId="668F1A46" w:rsidR="00C55807" w:rsidRPr="00C55807" w:rsidRDefault="00C55807" w:rsidP="00C55807">
            <w:pPr>
              <w:jc w:val="right"/>
              <w:rPr>
                <w:color w:val="000000"/>
                <w:sz w:val="14"/>
                <w:szCs w:val="14"/>
                <w:lang w:val="en-US" w:eastAsia="en-US"/>
              </w:rPr>
            </w:pPr>
            <w:r w:rsidRPr="00C55807">
              <w:rPr>
                <w:color w:val="000000"/>
                <w:sz w:val="14"/>
                <w:szCs w:val="14"/>
              </w:rPr>
              <w:t xml:space="preserve">4 </w:t>
            </w:r>
          </w:p>
        </w:tc>
      </w:tr>
      <w:tr w:rsidR="00C55807" w:rsidRPr="00E4527E" w14:paraId="568472E4" w14:textId="77777777" w:rsidTr="00F32225">
        <w:trPr>
          <w:trHeight w:hRule="exact" w:val="300"/>
        </w:trPr>
        <w:tc>
          <w:tcPr>
            <w:tcW w:w="660" w:type="dxa"/>
            <w:tcBorders>
              <w:top w:val="nil"/>
              <w:left w:val="nil"/>
              <w:bottom w:val="nil"/>
              <w:right w:val="nil"/>
            </w:tcBorders>
            <w:shd w:val="clear" w:color="000000" w:fill="FFFFFF"/>
            <w:noWrap/>
            <w:hideMark/>
          </w:tcPr>
          <w:p w14:paraId="7297DA78" w14:textId="00789AA9" w:rsidR="00C55807" w:rsidRPr="00C55807" w:rsidRDefault="00C55807" w:rsidP="00C55807">
            <w:pPr>
              <w:jc w:val="center"/>
              <w:rPr>
                <w:color w:val="000000"/>
                <w:sz w:val="14"/>
                <w:szCs w:val="14"/>
                <w:lang w:val="en-US" w:eastAsia="en-US"/>
              </w:rPr>
            </w:pPr>
            <w:r w:rsidRPr="00C55807">
              <w:rPr>
                <w:color w:val="000000"/>
                <w:sz w:val="14"/>
                <w:szCs w:val="14"/>
              </w:rPr>
              <w:t>Yes</w:t>
            </w:r>
          </w:p>
        </w:tc>
        <w:tc>
          <w:tcPr>
            <w:tcW w:w="758" w:type="dxa"/>
            <w:tcBorders>
              <w:top w:val="nil"/>
              <w:left w:val="nil"/>
              <w:bottom w:val="nil"/>
              <w:right w:val="nil"/>
            </w:tcBorders>
            <w:shd w:val="clear" w:color="000000" w:fill="FFFFFF"/>
            <w:noWrap/>
            <w:hideMark/>
          </w:tcPr>
          <w:p w14:paraId="46A527A7" w14:textId="68B8D20A" w:rsidR="00C55807" w:rsidRPr="00C55807" w:rsidRDefault="00C55807" w:rsidP="00C55807">
            <w:pPr>
              <w:jc w:val="center"/>
              <w:rPr>
                <w:color w:val="000000"/>
                <w:sz w:val="14"/>
                <w:szCs w:val="14"/>
                <w:lang w:val="en-US" w:eastAsia="en-US"/>
              </w:rPr>
            </w:pPr>
            <w:r w:rsidRPr="00C55807">
              <w:rPr>
                <w:color w:val="000000"/>
                <w:sz w:val="14"/>
                <w:szCs w:val="14"/>
              </w:rPr>
              <w:t>17</w:t>
            </w:r>
          </w:p>
        </w:tc>
        <w:tc>
          <w:tcPr>
            <w:tcW w:w="605" w:type="dxa"/>
            <w:tcBorders>
              <w:top w:val="nil"/>
              <w:left w:val="nil"/>
              <w:bottom w:val="nil"/>
              <w:right w:val="nil"/>
            </w:tcBorders>
            <w:shd w:val="clear" w:color="000000" w:fill="FFFFFF"/>
            <w:noWrap/>
            <w:hideMark/>
          </w:tcPr>
          <w:p w14:paraId="48EF0776" w14:textId="6E906E09" w:rsidR="00C55807" w:rsidRPr="00C55807" w:rsidRDefault="00C55807" w:rsidP="00C55807">
            <w:pPr>
              <w:rPr>
                <w:color w:val="000000"/>
                <w:sz w:val="14"/>
                <w:szCs w:val="14"/>
                <w:lang w:val="en-US" w:eastAsia="en-US"/>
              </w:rPr>
            </w:pPr>
            <w:r w:rsidRPr="00C55807">
              <w:rPr>
                <w:color w:val="000000"/>
                <w:sz w:val="14"/>
                <w:szCs w:val="14"/>
              </w:rPr>
              <w:t>G02A</w:t>
            </w:r>
          </w:p>
        </w:tc>
        <w:tc>
          <w:tcPr>
            <w:tcW w:w="5490" w:type="dxa"/>
            <w:gridSpan w:val="2"/>
            <w:tcBorders>
              <w:top w:val="nil"/>
              <w:left w:val="nil"/>
              <w:bottom w:val="nil"/>
              <w:right w:val="nil"/>
            </w:tcBorders>
            <w:shd w:val="clear" w:color="000000" w:fill="FFFFFF"/>
            <w:noWrap/>
            <w:hideMark/>
          </w:tcPr>
          <w:p w14:paraId="14FE12E3" w14:textId="1286ADF3" w:rsidR="00C55807" w:rsidRPr="00C55807" w:rsidRDefault="00C55807" w:rsidP="00C55807">
            <w:pPr>
              <w:rPr>
                <w:color w:val="000000"/>
                <w:sz w:val="14"/>
                <w:szCs w:val="14"/>
                <w:lang w:val="en-US" w:eastAsia="en-US"/>
              </w:rPr>
            </w:pPr>
            <w:r w:rsidRPr="00C55807">
              <w:rPr>
                <w:color w:val="000000"/>
                <w:sz w:val="14"/>
                <w:szCs w:val="14"/>
              </w:rPr>
              <w:t>Major Small and Large Bowel Procedures, Major Complexity</w:t>
            </w:r>
          </w:p>
        </w:tc>
        <w:tc>
          <w:tcPr>
            <w:tcW w:w="567" w:type="dxa"/>
            <w:tcBorders>
              <w:top w:val="nil"/>
              <w:left w:val="nil"/>
              <w:bottom w:val="nil"/>
              <w:right w:val="nil"/>
            </w:tcBorders>
            <w:shd w:val="clear" w:color="000000" w:fill="FFFFFF"/>
            <w:noWrap/>
            <w:hideMark/>
          </w:tcPr>
          <w:p w14:paraId="722739D8" w14:textId="53D72F80" w:rsidR="00C55807" w:rsidRPr="00C55807" w:rsidRDefault="00C55807" w:rsidP="00C55807">
            <w:pPr>
              <w:jc w:val="right"/>
              <w:rPr>
                <w:b/>
                <w:bCs/>
                <w:color w:val="000000"/>
                <w:sz w:val="14"/>
                <w:szCs w:val="14"/>
                <w:lang w:val="en-US" w:eastAsia="en-US"/>
              </w:rPr>
            </w:pPr>
            <w:r w:rsidRPr="00C55807">
              <w:rPr>
                <w:b/>
                <w:bCs/>
                <w:color w:val="000000"/>
                <w:sz w:val="14"/>
                <w:szCs w:val="14"/>
              </w:rPr>
              <w:t>6.19</w:t>
            </w:r>
          </w:p>
        </w:tc>
        <w:tc>
          <w:tcPr>
            <w:tcW w:w="839" w:type="dxa"/>
            <w:tcBorders>
              <w:top w:val="nil"/>
              <w:left w:val="nil"/>
              <w:bottom w:val="nil"/>
              <w:right w:val="nil"/>
            </w:tcBorders>
            <w:shd w:val="clear" w:color="000000" w:fill="FFFFFF"/>
            <w:noWrap/>
            <w:hideMark/>
          </w:tcPr>
          <w:p w14:paraId="65E31A30" w14:textId="785498A1" w:rsidR="00C55807" w:rsidRPr="00C55807" w:rsidRDefault="00C55807" w:rsidP="00C55807">
            <w:pPr>
              <w:jc w:val="right"/>
              <w:rPr>
                <w:color w:val="000000"/>
                <w:sz w:val="14"/>
                <w:szCs w:val="14"/>
                <w:lang w:val="en-US" w:eastAsia="en-US"/>
              </w:rPr>
            </w:pPr>
            <w:r w:rsidRPr="00C55807">
              <w:rPr>
                <w:color w:val="000000"/>
                <w:sz w:val="14"/>
                <w:szCs w:val="14"/>
              </w:rPr>
              <w:t>704</w:t>
            </w:r>
          </w:p>
        </w:tc>
        <w:tc>
          <w:tcPr>
            <w:tcW w:w="702" w:type="dxa"/>
            <w:tcBorders>
              <w:top w:val="nil"/>
              <w:left w:val="nil"/>
              <w:bottom w:val="nil"/>
              <w:right w:val="nil"/>
            </w:tcBorders>
            <w:shd w:val="clear" w:color="000000" w:fill="FFFFFF"/>
            <w:noWrap/>
            <w:hideMark/>
          </w:tcPr>
          <w:p w14:paraId="5470940E" w14:textId="50860155" w:rsidR="00C55807" w:rsidRPr="00C55807" w:rsidRDefault="00C55807" w:rsidP="00C55807">
            <w:pPr>
              <w:jc w:val="right"/>
              <w:rPr>
                <w:color w:val="000000"/>
                <w:sz w:val="14"/>
                <w:szCs w:val="14"/>
                <w:lang w:val="en-US" w:eastAsia="en-US"/>
              </w:rPr>
            </w:pPr>
            <w:r w:rsidRPr="00C55807">
              <w:rPr>
                <w:color w:val="000000"/>
                <w:sz w:val="14"/>
                <w:szCs w:val="14"/>
              </w:rPr>
              <w:t>11.82</w:t>
            </w:r>
          </w:p>
        </w:tc>
        <w:tc>
          <w:tcPr>
            <w:tcW w:w="702" w:type="dxa"/>
            <w:tcBorders>
              <w:top w:val="nil"/>
              <w:left w:val="nil"/>
              <w:bottom w:val="nil"/>
              <w:right w:val="nil"/>
            </w:tcBorders>
            <w:shd w:val="clear" w:color="000000" w:fill="FFFFFF"/>
            <w:noWrap/>
            <w:hideMark/>
          </w:tcPr>
          <w:p w14:paraId="7DECB725" w14:textId="257DD919" w:rsidR="00C55807" w:rsidRPr="00C55807" w:rsidRDefault="00C55807" w:rsidP="00C55807">
            <w:pPr>
              <w:jc w:val="right"/>
              <w:rPr>
                <w:color w:val="000000"/>
                <w:sz w:val="14"/>
                <w:szCs w:val="14"/>
                <w:lang w:val="en-US" w:eastAsia="en-US"/>
              </w:rPr>
            </w:pPr>
            <w:r w:rsidRPr="00C55807">
              <w:rPr>
                <w:color w:val="000000"/>
                <w:sz w:val="14"/>
                <w:szCs w:val="14"/>
              </w:rPr>
              <w:t>26.0</w:t>
            </w:r>
          </w:p>
        </w:tc>
        <w:tc>
          <w:tcPr>
            <w:tcW w:w="702" w:type="dxa"/>
            <w:tcBorders>
              <w:top w:val="nil"/>
              <w:left w:val="single" w:sz="4" w:space="0" w:color="000000"/>
              <w:bottom w:val="nil"/>
              <w:right w:val="nil"/>
            </w:tcBorders>
            <w:shd w:val="clear" w:color="000000" w:fill="FFFFFF"/>
            <w:noWrap/>
            <w:hideMark/>
          </w:tcPr>
          <w:p w14:paraId="7D3B1361" w14:textId="2295D8E8" w:rsidR="00C55807" w:rsidRPr="00C55807" w:rsidRDefault="00C55807" w:rsidP="00C55807">
            <w:pPr>
              <w:jc w:val="right"/>
              <w:rPr>
                <w:color w:val="000000"/>
                <w:sz w:val="14"/>
                <w:szCs w:val="14"/>
                <w:lang w:val="en-US" w:eastAsia="en-US"/>
              </w:rPr>
            </w:pPr>
            <w:r w:rsidRPr="00C55807">
              <w:rPr>
                <w:color w:val="000000"/>
                <w:sz w:val="14"/>
                <w:szCs w:val="14"/>
              </w:rPr>
              <w:t>14%</w:t>
            </w:r>
          </w:p>
        </w:tc>
        <w:tc>
          <w:tcPr>
            <w:tcW w:w="702" w:type="dxa"/>
            <w:tcBorders>
              <w:top w:val="nil"/>
              <w:left w:val="nil"/>
              <w:bottom w:val="nil"/>
              <w:right w:val="nil"/>
            </w:tcBorders>
            <w:shd w:val="clear" w:color="000000" w:fill="FFFFFF"/>
            <w:noWrap/>
            <w:hideMark/>
          </w:tcPr>
          <w:p w14:paraId="5E6363B4" w14:textId="78C0452B" w:rsidR="00C55807" w:rsidRPr="00C55807" w:rsidRDefault="00C55807" w:rsidP="00C55807">
            <w:pPr>
              <w:jc w:val="right"/>
              <w:rPr>
                <w:color w:val="000000"/>
                <w:sz w:val="14"/>
                <w:szCs w:val="14"/>
                <w:lang w:val="en-US" w:eastAsia="en-US"/>
              </w:rPr>
            </w:pPr>
            <w:r w:rsidRPr="00C55807">
              <w:rPr>
                <w:color w:val="000000"/>
                <w:sz w:val="14"/>
                <w:szCs w:val="14"/>
              </w:rPr>
              <w:t>31%</w:t>
            </w:r>
          </w:p>
        </w:tc>
        <w:tc>
          <w:tcPr>
            <w:tcW w:w="706" w:type="dxa"/>
            <w:tcBorders>
              <w:top w:val="nil"/>
              <w:left w:val="nil"/>
              <w:bottom w:val="nil"/>
              <w:right w:val="nil"/>
            </w:tcBorders>
            <w:shd w:val="clear" w:color="000000" w:fill="FFFFFF"/>
            <w:noWrap/>
            <w:hideMark/>
          </w:tcPr>
          <w:p w14:paraId="25F4C6C9" w14:textId="113D0694" w:rsidR="00C55807" w:rsidRPr="00C55807" w:rsidRDefault="00C55807" w:rsidP="00C55807">
            <w:pPr>
              <w:jc w:val="right"/>
              <w:rPr>
                <w:color w:val="000000"/>
                <w:sz w:val="14"/>
                <w:szCs w:val="14"/>
                <w:lang w:val="en-US" w:eastAsia="en-US"/>
              </w:rPr>
            </w:pPr>
            <w:r w:rsidRPr="00C55807">
              <w:rPr>
                <w:color w:val="000000"/>
                <w:sz w:val="14"/>
                <w:szCs w:val="14"/>
              </w:rPr>
              <w:t>3%</w:t>
            </w:r>
          </w:p>
        </w:tc>
        <w:tc>
          <w:tcPr>
            <w:tcW w:w="730" w:type="dxa"/>
            <w:tcBorders>
              <w:top w:val="nil"/>
              <w:left w:val="nil"/>
              <w:bottom w:val="nil"/>
              <w:right w:val="nil"/>
            </w:tcBorders>
            <w:shd w:val="clear" w:color="000000" w:fill="FFFFFF"/>
            <w:noWrap/>
            <w:hideMark/>
          </w:tcPr>
          <w:p w14:paraId="3A7AD10E" w14:textId="33C4CE9B" w:rsidR="00C55807" w:rsidRPr="00C55807" w:rsidRDefault="00C55807" w:rsidP="00C55807">
            <w:pPr>
              <w:jc w:val="right"/>
              <w:rPr>
                <w:color w:val="000000"/>
                <w:sz w:val="14"/>
                <w:szCs w:val="14"/>
                <w:lang w:val="en-US" w:eastAsia="en-US"/>
              </w:rPr>
            </w:pPr>
            <w:r w:rsidRPr="00C55807">
              <w:rPr>
                <w:color w:val="000000"/>
                <w:sz w:val="14"/>
                <w:szCs w:val="14"/>
              </w:rPr>
              <w:t>52%</w:t>
            </w:r>
          </w:p>
        </w:tc>
        <w:tc>
          <w:tcPr>
            <w:tcW w:w="901" w:type="dxa"/>
            <w:tcBorders>
              <w:top w:val="nil"/>
              <w:left w:val="single" w:sz="4" w:space="0" w:color="auto"/>
              <w:bottom w:val="nil"/>
              <w:right w:val="nil"/>
            </w:tcBorders>
            <w:shd w:val="clear" w:color="000000" w:fill="FFFFFF"/>
            <w:noWrap/>
            <w:hideMark/>
          </w:tcPr>
          <w:p w14:paraId="14B2DD3B" w14:textId="743A9710" w:rsidR="00C55807" w:rsidRPr="00C55807" w:rsidRDefault="00C55807" w:rsidP="00C55807">
            <w:pPr>
              <w:jc w:val="right"/>
              <w:rPr>
                <w:color w:val="000000"/>
                <w:sz w:val="14"/>
                <w:szCs w:val="14"/>
                <w:lang w:val="en-US" w:eastAsia="en-US"/>
              </w:rPr>
            </w:pPr>
            <w:r w:rsidRPr="00C55807">
              <w:rPr>
                <w:color w:val="000000"/>
                <w:sz w:val="14"/>
                <w:szCs w:val="14"/>
              </w:rPr>
              <w:t>5.82</w:t>
            </w:r>
          </w:p>
        </w:tc>
        <w:tc>
          <w:tcPr>
            <w:tcW w:w="702" w:type="dxa"/>
            <w:tcBorders>
              <w:top w:val="nil"/>
              <w:left w:val="nil"/>
              <w:bottom w:val="nil"/>
              <w:right w:val="nil"/>
            </w:tcBorders>
            <w:shd w:val="clear" w:color="000000" w:fill="FFFFFF"/>
            <w:noWrap/>
            <w:hideMark/>
          </w:tcPr>
          <w:p w14:paraId="2CDDDD6D" w14:textId="62F4E2D7" w:rsidR="00C55807" w:rsidRPr="00C55807" w:rsidRDefault="00C55807" w:rsidP="00C55807">
            <w:pPr>
              <w:jc w:val="right"/>
              <w:rPr>
                <w:color w:val="000000"/>
                <w:sz w:val="14"/>
                <w:szCs w:val="14"/>
                <w:lang w:val="en-US" w:eastAsia="en-US"/>
              </w:rPr>
            </w:pPr>
            <w:r w:rsidRPr="00C55807">
              <w:rPr>
                <w:color w:val="000000"/>
                <w:sz w:val="14"/>
                <w:szCs w:val="14"/>
              </w:rPr>
              <w:t xml:space="preserve">15 </w:t>
            </w:r>
          </w:p>
        </w:tc>
      </w:tr>
      <w:tr w:rsidR="00C55807" w:rsidRPr="00E4527E" w14:paraId="0C8A0EED" w14:textId="77777777" w:rsidTr="00F32225">
        <w:trPr>
          <w:trHeight w:hRule="exact" w:val="300"/>
        </w:trPr>
        <w:tc>
          <w:tcPr>
            <w:tcW w:w="660" w:type="dxa"/>
            <w:tcBorders>
              <w:top w:val="nil"/>
              <w:left w:val="nil"/>
              <w:bottom w:val="nil"/>
              <w:right w:val="nil"/>
            </w:tcBorders>
            <w:shd w:val="clear" w:color="000000" w:fill="FFFFFF"/>
            <w:noWrap/>
            <w:hideMark/>
          </w:tcPr>
          <w:p w14:paraId="32387BEE" w14:textId="47ED80CD" w:rsidR="00C55807" w:rsidRPr="00C55807" w:rsidRDefault="00C55807" w:rsidP="00C55807">
            <w:pPr>
              <w:jc w:val="center"/>
              <w:rPr>
                <w:color w:val="000000"/>
                <w:sz w:val="14"/>
                <w:szCs w:val="14"/>
                <w:lang w:val="en-US" w:eastAsia="en-US"/>
              </w:rPr>
            </w:pPr>
            <w:r w:rsidRPr="00C55807">
              <w:rPr>
                <w:color w:val="000000"/>
                <w:sz w:val="14"/>
                <w:szCs w:val="14"/>
              </w:rPr>
              <w:t>No</w:t>
            </w:r>
          </w:p>
        </w:tc>
        <w:tc>
          <w:tcPr>
            <w:tcW w:w="758" w:type="dxa"/>
            <w:tcBorders>
              <w:top w:val="nil"/>
              <w:left w:val="nil"/>
              <w:bottom w:val="nil"/>
              <w:right w:val="nil"/>
            </w:tcBorders>
            <w:shd w:val="clear" w:color="000000" w:fill="FFFFFF"/>
            <w:noWrap/>
            <w:hideMark/>
          </w:tcPr>
          <w:p w14:paraId="3BF730E7" w14:textId="4000165A" w:rsidR="00C55807" w:rsidRPr="00C55807" w:rsidRDefault="00C55807" w:rsidP="00C55807">
            <w:pPr>
              <w:jc w:val="center"/>
              <w:rPr>
                <w:color w:val="000000"/>
                <w:sz w:val="14"/>
                <w:szCs w:val="14"/>
                <w:lang w:val="en-US" w:eastAsia="en-US"/>
              </w:rPr>
            </w:pPr>
            <w:r w:rsidRPr="00C55807">
              <w:rPr>
                <w:color w:val="000000"/>
                <w:sz w:val="14"/>
                <w:szCs w:val="14"/>
              </w:rPr>
              <w:t>18</w:t>
            </w:r>
          </w:p>
        </w:tc>
        <w:tc>
          <w:tcPr>
            <w:tcW w:w="605" w:type="dxa"/>
            <w:tcBorders>
              <w:top w:val="nil"/>
              <w:left w:val="nil"/>
              <w:bottom w:val="nil"/>
              <w:right w:val="nil"/>
            </w:tcBorders>
            <w:shd w:val="clear" w:color="000000" w:fill="FFFFFF"/>
            <w:noWrap/>
            <w:hideMark/>
          </w:tcPr>
          <w:p w14:paraId="151BE6C9" w14:textId="146A389A" w:rsidR="00C55807" w:rsidRPr="00C55807" w:rsidRDefault="00C55807" w:rsidP="00C55807">
            <w:pPr>
              <w:rPr>
                <w:color w:val="000000"/>
                <w:sz w:val="14"/>
                <w:szCs w:val="14"/>
                <w:lang w:val="en-US" w:eastAsia="en-US"/>
              </w:rPr>
            </w:pPr>
            <w:r w:rsidRPr="00C55807">
              <w:rPr>
                <w:color w:val="000000"/>
                <w:sz w:val="14"/>
                <w:szCs w:val="14"/>
              </w:rPr>
              <w:t>L09A</w:t>
            </w:r>
          </w:p>
        </w:tc>
        <w:tc>
          <w:tcPr>
            <w:tcW w:w="5490" w:type="dxa"/>
            <w:gridSpan w:val="2"/>
            <w:tcBorders>
              <w:top w:val="nil"/>
              <w:left w:val="nil"/>
              <w:bottom w:val="nil"/>
              <w:right w:val="nil"/>
            </w:tcBorders>
            <w:shd w:val="clear" w:color="000000" w:fill="FFFFFF"/>
            <w:noWrap/>
            <w:hideMark/>
          </w:tcPr>
          <w:p w14:paraId="6A7170D4" w14:textId="04891FB3" w:rsidR="00C55807" w:rsidRPr="00C55807" w:rsidRDefault="00C55807" w:rsidP="00C55807">
            <w:pPr>
              <w:rPr>
                <w:color w:val="000000"/>
                <w:sz w:val="14"/>
                <w:szCs w:val="14"/>
                <w:lang w:val="en-US" w:eastAsia="en-US"/>
              </w:rPr>
            </w:pPr>
            <w:r w:rsidRPr="00C55807">
              <w:rPr>
                <w:color w:val="000000"/>
                <w:sz w:val="14"/>
                <w:szCs w:val="14"/>
              </w:rPr>
              <w:t>Other Procedures for Kidney and Urinary Tract Disorders, Major Complexity</w:t>
            </w:r>
          </w:p>
        </w:tc>
        <w:tc>
          <w:tcPr>
            <w:tcW w:w="567" w:type="dxa"/>
            <w:tcBorders>
              <w:top w:val="nil"/>
              <w:left w:val="nil"/>
              <w:bottom w:val="nil"/>
              <w:right w:val="nil"/>
            </w:tcBorders>
            <w:shd w:val="clear" w:color="000000" w:fill="FFFFFF"/>
            <w:noWrap/>
            <w:hideMark/>
          </w:tcPr>
          <w:p w14:paraId="1D025D9E" w14:textId="4267F17C" w:rsidR="00C55807" w:rsidRPr="00C55807" w:rsidRDefault="00C55807" w:rsidP="00C55807">
            <w:pPr>
              <w:jc w:val="right"/>
              <w:rPr>
                <w:b/>
                <w:bCs/>
                <w:color w:val="000000"/>
                <w:sz w:val="14"/>
                <w:szCs w:val="14"/>
                <w:lang w:val="en-US" w:eastAsia="en-US"/>
              </w:rPr>
            </w:pPr>
            <w:r w:rsidRPr="00C55807">
              <w:rPr>
                <w:b/>
                <w:bCs/>
                <w:color w:val="000000"/>
                <w:sz w:val="14"/>
                <w:szCs w:val="14"/>
              </w:rPr>
              <w:t>6.16</w:t>
            </w:r>
          </w:p>
        </w:tc>
        <w:tc>
          <w:tcPr>
            <w:tcW w:w="839" w:type="dxa"/>
            <w:tcBorders>
              <w:top w:val="nil"/>
              <w:left w:val="nil"/>
              <w:bottom w:val="nil"/>
              <w:right w:val="nil"/>
            </w:tcBorders>
            <w:shd w:val="clear" w:color="000000" w:fill="FFFFFF"/>
            <w:noWrap/>
            <w:hideMark/>
          </w:tcPr>
          <w:p w14:paraId="7ECE3FC0" w14:textId="4F0F89CB" w:rsidR="00C55807" w:rsidRPr="00C55807" w:rsidRDefault="00C55807" w:rsidP="00C55807">
            <w:pPr>
              <w:jc w:val="right"/>
              <w:rPr>
                <w:color w:val="000000"/>
                <w:sz w:val="14"/>
                <w:szCs w:val="14"/>
                <w:lang w:val="en-US" w:eastAsia="en-US"/>
              </w:rPr>
            </w:pPr>
            <w:r w:rsidRPr="00C55807">
              <w:rPr>
                <w:color w:val="000000"/>
                <w:sz w:val="14"/>
                <w:szCs w:val="14"/>
              </w:rPr>
              <w:t>103</w:t>
            </w:r>
          </w:p>
        </w:tc>
        <w:tc>
          <w:tcPr>
            <w:tcW w:w="702" w:type="dxa"/>
            <w:tcBorders>
              <w:top w:val="nil"/>
              <w:left w:val="nil"/>
              <w:bottom w:val="nil"/>
              <w:right w:val="nil"/>
            </w:tcBorders>
            <w:shd w:val="clear" w:color="000000" w:fill="FFFFFF"/>
            <w:noWrap/>
            <w:hideMark/>
          </w:tcPr>
          <w:p w14:paraId="4970A249" w14:textId="279C37BC" w:rsidR="00C55807" w:rsidRPr="00C55807" w:rsidRDefault="00C55807" w:rsidP="00C55807">
            <w:pPr>
              <w:jc w:val="right"/>
              <w:rPr>
                <w:color w:val="000000"/>
                <w:sz w:val="14"/>
                <w:szCs w:val="14"/>
                <w:lang w:val="en-US" w:eastAsia="en-US"/>
              </w:rPr>
            </w:pPr>
            <w:r w:rsidRPr="00C55807">
              <w:rPr>
                <w:color w:val="000000"/>
                <w:sz w:val="14"/>
                <w:szCs w:val="14"/>
              </w:rPr>
              <w:t>8.82</w:t>
            </w:r>
          </w:p>
        </w:tc>
        <w:tc>
          <w:tcPr>
            <w:tcW w:w="702" w:type="dxa"/>
            <w:tcBorders>
              <w:top w:val="nil"/>
              <w:left w:val="nil"/>
              <w:bottom w:val="nil"/>
              <w:right w:val="nil"/>
            </w:tcBorders>
            <w:shd w:val="clear" w:color="000000" w:fill="FFFFFF"/>
            <w:noWrap/>
            <w:hideMark/>
          </w:tcPr>
          <w:p w14:paraId="010E95FA" w14:textId="06C37187" w:rsidR="00C55807" w:rsidRPr="00C55807" w:rsidRDefault="00C55807" w:rsidP="00C55807">
            <w:pPr>
              <w:jc w:val="right"/>
              <w:rPr>
                <w:color w:val="000000"/>
                <w:sz w:val="14"/>
                <w:szCs w:val="14"/>
                <w:lang w:val="en-US" w:eastAsia="en-US"/>
              </w:rPr>
            </w:pPr>
            <w:r w:rsidRPr="00C55807">
              <w:rPr>
                <w:color w:val="000000"/>
                <w:sz w:val="14"/>
                <w:szCs w:val="14"/>
              </w:rPr>
              <w:t>25.9</w:t>
            </w:r>
          </w:p>
        </w:tc>
        <w:tc>
          <w:tcPr>
            <w:tcW w:w="702" w:type="dxa"/>
            <w:tcBorders>
              <w:top w:val="nil"/>
              <w:left w:val="single" w:sz="4" w:space="0" w:color="000000"/>
              <w:bottom w:val="nil"/>
              <w:right w:val="nil"/>
            </w:tcBorders>
            <w:shd w:val="clear" w:color="000000" w:fill="FFFFFF"/>
            <w:noWrap/>
            <w:hideMark/>
          </w:tcPr>
          <w:p w14:paraId="279C47ED" w14:textId="44BE92CC" w:rsidR="00C55807" w:rsidRPr="00C55807" w:rsidRDefault="00C55807" w:rsidP="00C55807">
            <w:pPr>
              <w:jc w:val="right"/>
              <w:rPr>
                <w:color w:val="000000"/>
                <w:sz w:val="14"/>
                <w:szCs w:val="14"/>
                <w:lang w:val="en-US" w:eastAsia="en-US"/>
              </w:rPr>
            </w:pPr>
            <w:r w:rsidRPr="00C55807">
              <w:rPr>
                <w:color w:val="000000"/>
                <w:sz w:val="14"/>
                <w:szCs w:val="14"/>
              </w:rPr>
              <w:t>9%</w:t>
            </w:r>
          </w:p>
        </w:tc>
        <w:tc>
          <w:tcPr>
            <w:tcW w:w="702" w:type="dxa"/>
            <w:tcBorders>
              <w:top w:val="nil"/>
              <w:left w:val="nil"/>
              <w:bottom w:val="nil"/>
              <w:right w:val="nil"/>
            </w:tcBorders>
            <w:shd w:val="clear" w:color="000000" w:fill="FFFFFF"/>
            <w:noWrap/>
            <w:hideMark/>
          </w:tcPr>
          <w:p w14:paraId="31801A1A" w14:textId="02CB5968" w:rsidR="00C55807" w:rsidRPr="00C55807" w:rsidRDefault="00C55807" w:rsidP="00C55807">
            <w:pPr>
              <w:jc w:val="right"/>
              <w:rPr>
                <w:color w:val="000000"/>
                <w:sz w:val="14"/>
                <w:szCs w:val="14"/>
                <w:lang w:val="en-US" w:eastAsia="en-US"/>
              </w:rPr>
            </w:pPr>
            <w:r w:rsidRPr="00C55807">
              <w:rPr>
                <w:color w:val="000000"/>
                <w:sz w:val="14"/>
                <w:szCs w:val="14"/>
              </w:rPr>
              <w:t>18%</w:t>
            </w:r>
          </w:p>
        </w:tc>
        <w:tc>
          <w:tcPr>
            <w:tcW w:w="706" w:type="dxa"/>
            <w:tcBorders>
              <w:top w:val="nil"/>
              <w:left w:val="nil"/>
              <w:bottom w:val="nil"/>
              <w:right w:val="nil"/>
            </w:tcBorders>
            <w:shd w:val="clear" w:color="000000" w:fill="FFFFFF"/>
            <w:noWrap/>
            <w:hideMark/>
          </w:tcPr>
          <w:p w14:paraId="1A7635F8" w14:textId="5E6374BD" w:rsidR="00C55807" w:rsidRPr="00C55807" w:rsidRDefault="00C55807" w:rsidP="00C55807">
            <w:pPr>
              <w:jc w:val="right"/>
              <w:rPr>
                <w:color w:val="000000"/>
                <w:sz w:val="14"/>
                <w:szCs w:val="14"/>
                <w:lang w:val="en-US" w:eastAsia="en-US"/>
              </w:rPr>
            </w:pPr>
            <w:r w:rsidRPr="00C55807">
              <w:rPr>
                <w:color w:val="000000"/>
                <w:sz w:val="14"/>
                <w:szCs w:val="14"/>
              </w:rPr>
              <w:t>2%</w:t>
            </w:r>
          </w:p>
        </w:tc>
        <w:tc>
          <w:tcPr>
            <w:tcW w:w="730" w:type="dxa"/>
            <w:tcBorders>
              <w:top w:val="nil"/>
              <w:left w:val="nil"/>
              <w:bottom w:val="nil"/>
              <w:right w:val="nil"/>
            </w:tcBorders>
            <w:shd w:val="clear" w:color="000000" w:fill="FFFFFF"/>
            <w:noWrap/>
            <w:hideMark/>
          </w:tcPr>
          <w:p w14:paraId="4401371C" w14:textId="2CCC93DA" w:rsidR="00C55807" w:rsidRPr="00C55807" w:rsidRDefault="00C55807" w:rsidP="00C55807">
            <w:pPr>
              <w:jc w:val="right"/>
              <w:rPr>
                <w:color w:val="000000"/>
                <w:sz w:val="14"/>
                <w:szCs w:val="14"/>
                <w:lang w:val="en-US" w:eastAsia="en-US"/>
              </w:rPr>
            </w:pPr>
            <w:r w:rsidRPr="00C55807">
              <w:rPr>
                <w:color w:val="000000"/>
                <w:sz w:val="14"/>
                <w:szCs w:val="14"/>
              </w:rPr>
              <w:t>70%</w:t>
            </w:r>
          </w:p>
        </w:tc>
        <w:tc>
          <w:tcPr>
            <w:tcW w:w="901" w:type="dxa"/>
            <w:tcBorders>
              <w:top w:val="nil"/>
              <w:left w:val="single" w:sz="4" w:space="0" w:color="auto"/>
              <w:bottom w:val="nil"/>
              <w:right w:val="nil"/>
            </w:tcBorders>
            <w:shd w:val="clear" w:color="000000" w:fill="FFFFFF"/>
            <w:noWrap/>
            <w:hideMark/>
          </w:tcPr>
          <w:p w14:paraId="7DABFE5A" w14:textId="1B656A82" w:rsidR="00C55807" w:rsidRPr="00C55807" w:rsidRDefault="00C55807" w:rsidP="00C55807">
            <w:pPr>
              <w:jc w:val="right"/>
              <w:rPr>
                <w:color w:val="000000"/>
                <w:sz w:val="14"/>
                <w:szCs w:val="14"/>
                <w:lang w:val="en-US" w:eastAsia="en-US"/>
              </w:rPr>
            </w:pPr>
            <w:r w:rsidRPr="00C55807">
              <w:rPr>
                <w:color w:val="000000"/>
                <w:sz w:val="14"/>
                <w:szCs w:val="14"/>
              </w:rPr>
              <w:t>4.92</w:t>
            </w:r>
          </w:p>
        </w:tc>
        <w:tc>
          <w:tcPr>
            <w:tcW w:w="702" w:type="dxa"/>
            <w:tcBorders>
              <w:top w:val="nil"/>
              <w:left w:val="nil"/>
              <w:bottom w:val="nil"/>
              <w:right w:val="nil"/>
            </w:tcBorders>
            <w:shd w:val="clear" w:color="000000" w:fill="FFFFFF"/>
            <w:noWrap/>
            <w:hideMark/>
          </w:tcPr>
          <w:p w14:paraId="4A49CEA9" w14:textId="3799B804" w:rsidR="00C55807" w:rsidRPr="00C55807" w:rsidRDefault="00C55807" w:rsidP="00C55807">
            <w:pPr>
              <w:jc w:val="right"/>
              <w:rPr>
                <w:color w:val="000000"/>
                <w:sz w:val="14"/>
                <w:szCs w:val="14"/>
                <w:lang w:val="en-US" w:eastAsia="en-US"/>
              </w:rPr>
            </w:pPr>
            <w:r w:rsidRPr="00C55807">
              <w:rPr>
                <w:color w:val="000000"/>
                <w:sz w:val="14"/>
                <w:szCs w:val="14"/>
              </w:rPr>
              <w:t xml:space="preserve">29 </w:t>
            </w:r>
          </w:p>
        </w:tc>
      </w:tr>
      <w:tr w:rsidR="00C55807" w:rsidRPr="00E4527E" w14:paraId="3734DCC2" w14:textId="77777777" w:rsidTr="00F32225">
        <w:trPr>
          <w:trHeight w:hRule="exact" w:val="300"/>
        </w:trPr>
        <w:tc>
          <w:tcPr>
            <w:tcW w:w="660" w:type="dxa"/>
            <w:tcBorders>
              <w:top w:val="nil"/>
              <w:left w:val="nil"/>
              <w:bottom w:val="nil"/>
              <w:right w:val="nil"/>
            </w:tcBorders>
            <w:shd w:val="clear" w:color="000000" w:fill="FFFFFF"/>
            <w:noWrap/>
            <w:hideMark/>
          </w:tcPr>
          <w:p w14:paraId="276B524C" w14:textId="59E13610" w:rsidR="00C55807" w:rsidRPr="00C55807" w:rsidRDefault="00C55807" w:rsidP="00C55807">
            <w:pPr>
              <w:jc w:val="center"/>
              <w:rPr>
                <w:color w:val="000000"/>
                <w:sz w:val="14"/>
                <w:szCs w:val="14"/>
                <w:lang w:val="en-US" w:eastAsia="en-US"/>
              </w:rPr>
            </w:pPr>
            <w:r w:rsidRPr="00C55807">
              <w:rPr>
                <w:color w:val="000000"/>
                <w:sz w:val="14"/>
                <w:szCs w:val="14"/>
              </w:rPr>
              <w:t>No</w:t>
            </w:r>
          </w:p>
        </w:tc>
        <w:tc>
          <w:tcPr>
            <w:tcW w:w="758" w:type="dxa"/>
            <w:tcBorders>
              <w:top w:val="nil"/>
              <w:left w:val="nil"/>
              <w:bottom w:val="nil"/>
              <w:right w:val="nil"/>
            </w:tcBorders>
            <w:shd w:val="clear" w:color="000000" w:fill="FFFFFF"/>
            <w:noWrap/>
            <w:hideMark/>
          </w:tcPr>
          <w:p w14:paraId="5B40E9ED" w14:textId="58138F4A" w:rsidR="00C55807" w:rsidRPr="00C55807" w:rsidRDefault="00C55807" w:rsidP="00C55807">
            <w:pPr>
              <w:jc w:val="center"/>
              <w:rPr>
                <w:color w:val="000000"/>
                <w:sz w:val="14"/>
                <w:szCs w:val="14"/>
                <w:lang w:val="en-US" w:eastAsia="en-US"/>
              </w:rPr>
            </w:pPr>
            <w:r w:rsidRPr="00C55807">
              <w:rPr>
                <w:color w:val="000000"/>
                <w:sz w:val="14"/>
                <w:szCs w:val="14"/>
              </w:rPr>
              <w:t>19</w:t>
            </w:r>
          </w:p>
        </w:tc>
        <w:tc>
          <w:tcPr>
            <w:tcW w:w="605" w:type="dxa"/>
            <w:tcBorders>
              <w:top w:val="nil"/>
              <w:left w:val="nil"/>
              <w:bottom w:val="nil"/>
              <w:right w:val="nil"/>
            </w:tcBorders>
            <w:shd w:val="clear" w:color="000000" w:fill="FFFFFF"/>
            <w:noWrap/>
            <w:hideMark/>
          </w:tcPr>
          <w:p w14:paraId="645B0B67" w14:textId="4BCD4655" w:rsidR="00C55807" w:rsidRPr="00C55807" w:rsidRDefault="00C55807" w:rsidP="00C55807">
            <w:pPr>
              <w:rPr>
                <w:color w:val="000000"/>
                <w:sz w:val="14"/>
                <w:szCs w:val="14"/>
                <w:lang w:val="en-US" w:eastAsia="en-US"/>
              </w:rPr>
            </w:pPr>
            <w:r w:rsidRPr="00C55807">
              <w:rPr>
                <w:color w:val="000000"/>
                <w:sz w:val="14"/>
                <w:szCs w:val="14"/>
              </w:rPr>
              <w:t>F04A</w:t>
            </w:r>
          </w:p>
        </w:tc>
        <w:tc>
          <w:tcPr>
            <w:tcW w:w="5490" w:type="dxa"/>
            <w:gridSpan w:val="2"/>
            <w:tcBorders>
              <w:top w:val="nil"/>
              <w:left w:val="nil"/>
              <w:bottom w:val="nil"/>
              <w:right w:val="nil"/>
            </w:tcBorders>
            <w:shd w:val="clear" w:color="000000" w:fill="FFFFFF"/>
            <w:noWrap/>
            <w:hideMark/>
          </w:tcPr>
          <w:p w14:paraId="13D15440" w14:textId="0B2FFCDF" w:rsidR="00C55807" w:rsidRPr="00C55807" w:rsidRDefault="00C55807" w:rsidP="00C55807">
            <w:pPr>
              <w:rPr>
                <w:color w:val="000000"/>
                <w:sz w:val="14"/>
                <w:szCs w:val="14"/>
                <w:lang w:val="en-US" w:eastAsia="en-US"/>
              </w:rPr>
            </w:pPr>
            <w:r w:rsidRPr="00C55807">
              <w:rPr>
                <w:color w:val="000000"/>
                <w:sz w:val="14"/>
                <w:szCs w:val="14"/>
              </w:rPr>
              <w:t>Cardiac Valve Procedures W CPB Pump W/O Invasive Cardiac Invest, Major Comp</w:t>
            </w:r>
          </w:p>
        </w:tc>
        <w:tc>
          <w:tcPr>
            <w:tcW w:w="567" w:type="dxa"/>
            <w:tcBorders>
              <w:top w:val="nil"/>
              <w:left w:val="nil"/>
              <w:bottom w:val="nil"/>
              <w:right w:val="nil"/>
            </w:tcBorders>
            <w:shd w:val="clear" w:color="000000" w:fill="FFFFFF"/>
            <w:noWrap/>
            <w:hideMark/>
          </w:tcPr>
          <w:p w14:paraId="6099C8F4" w14:textId="0C4F979F" w:rsidR="00C55807" w:rsidRPr="00C55807" w:rsidRDefault="00C55807" w:rsidP="00C55807">
            <w:pPr>
              <w:jc w:val="right"/>
              <w:rPr>
                <w:b/>
                <w:bCs/>
                <w:color w:val="000000"/>
                <w:sz w:val="14"/>
                <w:szCs w:val="14"/>
                <w:lang w:val="en-US" w:eastAsia="en-US"/>
              </w:rPr>
            </w:pPr>
            <w:r w:rsidRPr="00C55807">
              <w:rPr>
                <w:b/>
                <w:bCs/>
                <w:color w:val="000000"/>
                <w:sz w:val="14"/>
                <w:szCs w:val="14"/>
              </w:rPr>
              <w:t>5.95</w:t>
            </w:r>
          </w:p>
        </w:tc>
        <w:tc>
          <w:tcPr>
            <w:tcW w:w="839" w:type="dxa"/>
            <w:tcBorders>
              <w:top w:val="nil"/>
              <w:left w:val="nil"/>
              <w:bottom w:val="nil"/>
              <w:right w:val="nil"/>
            </w:tcBorders>
            <w:shd w:val="clear" w:color="000000" w:fill="FFFFFF"/>
            <w:noWrap/>
            <w:hideMark/>
          </w:tcPr>
          <w:p w14:paraId="06BF3134" w14:textId="79D08AA8" w:rsidR="00C55807" w:rsidRPr="00C55807" w:rsidRDefault="00C55807" w:rsidP="00C55807">
            <w:pPr>
              <w:jc w:val="right"/>
              <w:rPr>
                <w:color w:val="000000"/>
                <w:sz w:val="14"/>
                <w:szCs w:val="14"/>
                <w:lang w:val="en-US" w:eastAsia="en-US"/>
              </w:rPr>
            </w:pPr>
            <w:r w:rsidRPr="00C55807">
              <w:rPr>
                <w:color w:val="000000"/>
                <w:sz w:val="14"/>
                <w:szCs w:val="14"/>
              </w:rPr>
              <w:t>177</w:t>
            </w:r>
          </w:p>
        </w:tc>
        <w:tc>
          <w:tcPr>
            <w:tcW w:w="702" w:type="dxa"/>
            <w:tcBorders>
              <w:top w:val="nil"/>
              <w:left w:val="nil"/>
              <w:bottom w:val="nil"/>
              <w:right w:val="nil"/>
            </w:tcBorders>
            <w:shd w:val="clear" w:color="000000" w:fill="FFFFFF"/>
            <w:noWrap/>
            <w:hideMark/>
          </w:tcPr>
          <w:p w14:paraId="6FCF5554" w14:textId="317A56FA" w:rsidR="00C55807" w:rsidRPr="00C55807" w:rsidRDefault="00C55807" w:rsidP="00C55807">
            <w:pPr>
              <w:jc w:val="right"/>
              <w:rPr>
                <w:color w:val="000000"/>
                <w:sz w:val="14"/>
                <w:szCs w:val="14"/>
                <w:lang w:val="en-US" w:eastAsia="en-US"/>
              </w:rPr>
            </w:pPr>
            <w:r w:rsidRPr="00C55807">
              <w:rPr>
                <w:color w:val="000000"/>
                <w:sz w:val="14"/>
                <w:szCs w:val="14"/>
              </w:rPr>
              <w:t>16.69</w:t>
            </w:r>
          </w:p>
        </w:tc>
        <w:tc>
          <w:tcPr>
            <w:tcW w:w="702" w:type="dxa"/>
            <w:tcBorders>
              <w:top w:val="nil"/>
              <w:left w:val="nil"/>
              <w:bottom w:val="nil"/>
              <w:right w:val="nil"/>
            </w:tcBorders>
            <w:shd w:val="clear" w:color="000000" w:fill="FFFFFF"/>
            <w:noWrap/>
            <w:hideMark/>
          </w:tcPr>
          <w:p w14:paraId="000975A0" w14:textId="49AA91A0" w:rsidR="00C55807" w:rsidRPr="00C55807" w:rsidRDefault="00C55807" w:rsidP="00C55807">
            <w:pPr>
              <w:jc w:val="right"/>
              <w:rPr>
                <w:color w:val="000000"/>
                <w:sz w:val="14"/>
                <w:szCs w:val="14"/>
                <w:lang w:val="en-US" w:eastAsia="en-US"/>
              </w:rPr>
            </w:pPr>
            <w:r w:rsidRPr="00C55807">
              <w:rPr>
                <w:color w:val="000000"/>
                <w:sz w:val="14"/>
                <w:szCs w:val="14"/>
              </w:rPr>
              <w:t>22.0</w:t>
            </w:r>
          </w:p>
        </w:tc>
        <w:tc>
          <w:tcPr>
            <w:tcW w:w="702" w:type="dxa"/>
            <w:tcBorders>
              <w:top w:val="nil"/>
              <w:left w:val="single" w:sz="4" w:space="0" w:color="000000"/>
              <w:bottom w:val="nil"/>
              <w:right w:val="nil"/>
            </w:tcBorders>
            <w:shd w:val="clear" w:color="000000" w:fill="FFFFFF"/>
            <w:noWrap/>
            <w:hideMark/>
          </w:tcPr>
          <w:p w14:paraId="05F22337" w14:textId="62B4EBB3" w:rsidR="00C55807" w:rsidRPr="00C55807" w:rsidRDefault="00C55807" w:rsidP="00C55807">
            <w:pPr>
              <w:jc w:val="right"/>
              <w:rPr>
                <w:color w:val="000000"/>
                <w:sz w:val="14"/>
                <w:szCs w:val="14"/>
                <w:lang w:val="en-US" w:eastAsia="en-US"/>
              </w:rPr>
            </w:pPr>
            <w:r w:rsidRPr="00C55807">
              <w:rPr>
                <w:color w:val="000000"/>
                <w:sz w:val="14"/>
                <w:szCs w:val="14"/>
              </w:rPr>
              <w:t>13%</w:t>
            </w:r>
          </w:p>
        </w:tc>
        <w:tc>
          <w:tcPr>
            <w:tcW w:w="702" w:type="dxa"/>
            <w:tcBorders>
              <w:top w:val="nil"/>
              <w:left w:val="nil"/>
              <w:bottom w:val="nil"/>
              <w:right w:val="nil"/>
            </w:tcBorders>
            <w:shd w:val="clear" w:color="000000" w:fill="FFFFFF"/>
            <w:noWrap/>
            <w:hideMark/>
          </w:tcPr>
          <w:p w14:paraId="353DAF47" w14:textId="480637A2" w:rsidR="00C55807" w:rsidRPr="00C55807" w:rsidRDefault="00C55807" w:rsidP="00C55807">
            <w:pPr>
              <w:jc w:val="right"/>
              <w:rPr>
                <w:color w:val="000000"/>
                <w:sz w:val="14"/>
                <w:szCs w:val="14"/>
                <w:lang w:val="en-US" w:eastAsia="en-US"/>
              </w:rPr>
            </w:pPr>
            <w:r w:rsidRPr="00C55807">
              <w:rPr>
                <w:color w:val="000000"/>
                <w:sz w:val="14"/>
                <w:szCs w:val="14"/>
              </w:rPr>
              <w:t>37%</w:t>
            </w:r>
          </w:p>
        </w:tc>
        <w:tc>
          <w:tcPr>
            <w:tcW w:w="706" w:type="dxa"/>
            <w:tcBorders>
              <w:top w:val="nil"/>
              <w:left w:val="nil"/>
              <w:bottom w:val="nil"/>
              <w:right w:val="nil"/>
            </w:tcBorders>
            <w:shd w:val="clear" w:color="000000" w:fill="FFFFFF"/>
            <w:noWrap/>
            <w:hideMark/>
          </w:tcPr>
          <w:p w14:paraId="1A7A0411" w14:textId="256D57A8" w:rsidR="00C55807" w:rsidRPr="00C55807" w:rsidRDefault="00C55807" w:rsidP="00C55807">
            <w:pPr>
              <w:jc w:val="right"/>
              <w:rPr>
                <w:color w:val="000000"/>
                <w:sz w:val="14"/>
                <w:szCs w:val="14"/>
                <w:lang w:val="en-US" w:eastAsia="en-US"/>
              </w:rPr>
            </w:pPr>
            <w:r w:rsidRPr="00C55807">
              <w:rPr>
                <w:color w:val="000000"/>
                <w:sz w:val="14"/>
                <w:szCs w:val="14"/>
              </w:rPr>
              <w:t>14%</w:t>
            </w:r>
          </w:p>
        </w:tc>
        <w:tc>
          <w:tcPr>
            <w:tcW w:w="730" w:type="dxa"/>
            <w:tcBorders>
              <w:top w:val="nil"/>
              <w:left w:val="nil"/>
              <w:bottom w:val="nil"/>
              <w:right w:val="nil"/>
            </w:tcBorders>
            <w:shd w:val="clear" w:color="000000" w:fill="FFFFFF"/>
            <w:noWrap/>
            <w:hideMark/>
          </w:tcPr>
          <w:p w14:paraId="55FAB633" w14:textId="2113A3E7" w:rsidR="00C55807" w:rsidRPr="00C55807" w:rsidRDefault="00C55807" w:rsidP="00C55807">
            <w:pPr>
              <w:jc w:val="right"/>
              <w:rPr>
                <w:color w:val="000000"/>
                <w:sz w:val="14"/>
                <w:szCs w:val="14"/>
                <w:lang w:val="en-US" w:eastAsia="en-US"/>
              </w:rPr>
            </w:pPr>
            <w:r w:rsidRPr="00C55807">
              <w:rPr>
                <w:color w:val="000000"/>
                <w:sz w:val="14"/>
                <w:szCs w:val="14"/>
              </w:rPr>
              <w:t>36%</w:t>
            </w:r>
          </w:p>
        </w:tc>
        <w:tc>
          <w:tcPr>
            <w:tcW w:w="901" w:type="dxa"/>
            <w:tcBorders>
              <w:top w:val="nil"/>
              <w:left w:val="single" w:sz="4" w:space="0" w:color="auto"/>
              <w:bottom w:val="nil"/>
              <w:right w:val="nil"/>
            </w:tcBorders>
            <w:shd w:val="clear" w:color="000000" w:fill="FFFFFF"/>
            <w:noWrap/>
            <w:hideMark/>
          </w:tcPr>
          <w:p w14:paraId="0E2C9AF2" w14:textId="18D1BCCF" w:rsidR="00C55807" w:rsidRPr="00C55807" w:rsidRDefault="00C55807" w:rsidP="00C55807">
            <w:pPr>
              <w:jc w:val="right"/>
              <w:rPr>
                <w:color w:val="000000"/>
                <w:sz w:val="14"/>
                <w:szCs w:val="14"/>
                <w:lang w:val="en-US" w:eastAsia="en-US"/>
              </w:rPr>
            </w:pPr>
            <w:r w:rsidRPr="00C55807">
              <w:rPr>
                <w:color w:val="000000"/>
                <w:sz w:val="14"/>
                <w:szCs w:val="14"/>
              </w:rPr>
              <w:t>5.11</w:t>
            </w:r>
          </w:p>
        </w:tc>
        <w:tc>
          <w:tcPr>
            <w:tcW w:w="702" w:type="dxa"/>
            <w:tcBorders>
              <w:top w:val="nil"/>
              <w:left w:val="nil"/>
              <w:bottom w:val="nil"/>
              <w:right w:val="nil"/>
            </w:tcBorders>
            <w:shd w:val="clear" w:color="000000" w:fill="FFFFFF"/>
            <w:noWrap/>
            <w:hideMark/>
          </w:tcPr>
          <w:p w14:paraId="6040F647" w14:textId="14493F0D" w:rsidR="00C55807" w:rsidRPr="00C55807" w:rsidRDefault="00C55807" w:rsidP="00C55807">
            <w:pPr>
              <w:jc w:val="right"/>
              <w:rPr>
                <w:color w:val="000000"/>
                <w:sz w:val="14"/>
                <w:szCs w:val="14"/>
                <w:lang w:val="en-US" w:eastAsia="en-US"/>
              </w:rPr>
            </w:pPr>
            <w:r w:rsidRPr="00C55807">
              <w:rPr>
                <w:color w:val="000000"/>
                <w:sz w:val="14"/>
                <w:szCs w:val="14"/>
              </w:rPr>
              <w:t xml:space="preserve">26 </w:t>
            </w:r>
          </w:p>
        </w:tc>
      </w:tr>
      <w:tr w:rsidR="00C55807" w:rsidRPr="00E4527E" w14:paraId="32C65A1E" w14:textId="77777777" w:rsidTr="00F32225">
        <w:trPr>
          <w:trHeight w:hRule="exact" w:val="300"/>
        </w:trPr>
        <w:tc>
          <w:tcPr>
            <w:tcW w:w="660" w:type="dxa"/>
            <w:tcBorders>
              <w:top w:val="nil"/>
              <w:left w:val="nil"/>
              <w:bottom w:val="nil"/>
              <w:right w:val="nil"/>
            </w:tcBorders>
            <w:shd w:val="clear" w:color="000000" w:fill="FFFFFF"/>
            <w:noWrap/>
            <w:hideMark/>
          </w:tcPr>
          <w:p w14:paraId="0205C596" w14:textId="1F692BAF" w:rsidR="00C55807" w:rsidRPr="00C55807" w:rsidRDefault="00C55807" w:rsidP="00C55807">
            <w:pPr>
              <w:jc w:val="center"/>
              <w:rPr>
                <w:color w:val="000000"/>
                <w:sz w:val="14"/>
                <w:szCs w:val="14"/>
                <w:lang w:val="en-US" w:eastAsia="en-US"/>
              </w:rPr>
            </w:pPr>
            <w:r w:rsidRPr="00C55807">
              <w:rPr>
                <w:color w:val="000000"/>
                <w:sz w:val="14"/>
                <w:szCs w:val="14"/>
              </w:rPr>
              <w:t>No</w:t>
            </w:r>
          </w:p>
        </w:tc>
        <w:tc>
          <w:tcPr>
            <w:tcW w:w="758" w:type="dxa"/>
            <w:tcBorders>
              <w:top w:val="nil"/>
              <w:left w:val="nil"/>
              <w:bottom w:val="nil"/>
              <w:right w:val="nil"/>
            </w:tcBorders>
            <w:shd w:val="clear" w:color="000000" w:fill="FFFFFF"/>
            <w:noWrap/>
            <w:hideMark/>
          </w:tcPr>
          <w:p w14:paraId="3279CD6E" w14:textId="234259EE" w:rsidR="00C55807" w:rsidRPr="00C55807" w:rsidRDefault="00C55807" w:rsidP="00C55807">
            <w:pPr>
              <w:jc w:val="center"/>
              <w:rPr>
                <w:color w:val="000000"/>
                <w:sz w:val="14"/>
                <w:szCs w:val="14"/>
                <w:lang w:val="en-US" w:eastAsia="en-US"/>
              </w:rPr>
            </w:pPr>
            <w:r w:rsidRPr="00C55807">
              <w:rPr>
                <w:color w:val="000000"/>
                <w:sz w:val="14"/>
                <w:szCs w:val="14"/>
              </w:rPr>
              <w:t>20</w:t>
            </w:r>
          </w:p>
        </w:tc>
        <w:tc>
          <w:tcPr>
            <w:tcW w:w="605" w:type="dxa"/>
            <w:tcBorders>
              <w:top w:val="nil"/>
              <w:left w:val="nil"/>
              <w:bottom w:val="nil"/>
              <w:right w:val="nil"/>
            </w:tcBorders>
            <w:shd w:val="clear" w:color="000000" w:fill="FFFFFF"/>
            <w:noWrap/>
            <w:hideMark/>
          </w:tcPr>
          <w:p w14:paraId="05CAC8D0" w14:textId="3EE9C9FE" w:rsidR="00C55807" w:rsidRPr="00C55807" w:rsidRDefault="00C55807" w:rsidP="00C55807">
            <w:pPr>
              <w:rPr>
                <w:color w:val="000000"/>
                <w:sz w:val="14"/>
                <w:szCs w:val="14"/>
                <w:lang w:val="en-US" w:eastAsia="en-US"/>
              </w:rPr>
            </w:pPr>
            <w:r w:rsidRPr="00C55807">
              <w:rPr>
                <w:color w:val="000000"/>
                <w:sz w:val="14"/>
                <w:szCs w:val="14"/>
              </w:rPr>
              <w:t>H01A</w:t>
            </w:r>
          </w:p>
        </w:tc>
        <w:tc>
          <w:tcPr>
            <w:tcW w:w="5490" w:type="dxa"/>
            <w:gridSpan w:val="2"/>
            <w:tcBorders>
              <w:top w:val="nil"/>
              <w:left w:val="nil"/>
              <w:bottom w:val="nil"/>
              <w:right w:val="nil"/>
            </w:tcBorders>
            <w:shd w:val="clear" w:color="000000" w:fill="FFFFFF"/>
            <w:noWrap/>
            <w:hideMark/>
          </w:tcPr>
          <w:p w14:paraId="4F86817E" w14:textId="017F3A5E" w:rsidR="00C55807" w:rsidRPr="00C55807" w:rsidRDefault="00C55807" w:rsidP="00C55807">
            <w:pPr>
              <w:rPr>
                <w:color w:val="000000"/>
                <w:sz w:val="14"/>
                <w:szCs w:val="14"/>
                <w:lang w:val="en-US" w:eastAsia="en-US"/>
              </w:rPr>
            </w:pPr>
            <w:r w:rsidRPr="00C55807">
              <w:rPr>
                <w:color w:val="000000"/>
                <w:sz w:val="14"/>
                <w:szCs w:val="14"/>
              </w:rPr>
              <w:t>Pancreas, Liver and Shunt Procedures, Major Complexity</w:t>
            </w:r>
          </w:p>
        </w:tc>
        <w:tc>
          <w:tcPr>
            <w:tcW w:w="567" w:type="dxa"/>
            <w:tcBorders>
              <w:top w:val="nil"/>
              <w:left w:val="nil"/>
              <w:bottom w:val="nil"/>
              <w:right w:val="nil"/>
            </w:tcBorders>
            <w:shd w:val="clear" w:color="000000" w:fill="FFFFFF"/>
            <w:noWrap/>
            <w:hideMark/>
          </w:tcPr>
          <w:p w14:paraId="7622A5DF" w14:textId="4C4473A1" w:rsidR="00C55807" w:rsidRPr="00C55807" w:rsidRDefault="00C55807" w:rsidP="00C55807">
            <w:pPr>
              <w:jc w:val="right"/>
              <w:rPr>
                <w:b/>
                <w:bCs/>
                <w:color w:val="000000"/>
                <w:sz w:val="14"/>
                <w:szCs w:val="14"/>
                <w:lang w:val="en-US" w:eastAsia="en-US"/>
              </w:rPr>
            </w:pPr>
            <w:r w:rsidRPr="00C55807">
              <w:rPr>
                <w:b/>
                <w:bCs/>
                <w:color w:val="000000"/>
                <w:sz w:val="14"/>
                <w:szCs w:val="14"/>
              </w:rPr>
              <w:t>5.85</w:t>
            </w:r>
          </w:p>
        </w:tc>
        <w:tc>
          <w:tcPr>
            <w:tcW w:w="839" w:type="dxa"/>
            <w:tcBorders>
              <w:top w:val="nil"/>
              <w:left w:val="nil"/>
              <w:bottom w:val="nil"/>
              <w:right w:val="nil"/>
            </w:tcBorders>
            <w:shd w:val="clear" w:color="000000" w:fill="FFFFFF"/>
            <w:noWrap/>
            <w:hideMark/>
          </w:tcPr>
          <w:p w14:paraId="2A4259D1" w14:textId="2BC99AFB" w:rsidR="00C55807" w:rsidRPr="00C55807" w:rsidRDefault="00C55807" w:rsidP="00C55807">
            <w:pPr>
              <w:jc w:val="right"/>
              <w:rPr>
                <w:color w:val="000000"/>
                <w:sz w:val="14"/>
                <w:szCs w:val="14"/>
                <w:lang w:val="en-US" w:eastAsia="en-US"/>
              </w:rPr>
            </w:pPr>
            <w:r w:rsidRPr="00C55807">
              <w:rPr>
                <w:color w:val="000000"/>
                <w:sz w:val="14"/>
                <w:szCs w:val="14"/>
              </w:rPr>
              <w:t>283</w:t>
            </w:r>
          </w:p>
        </w:tc>
        <w:tc>
          <w:tcPr>
            <w:tcW w:w="702" w:type="dxa"/>
            <w:tcBorders>
              <w:top w:val="nil"/>
              <w:left w:val="nil"/>
              <w:bottom w:val="nil"/>
              <w:right w:val="nil"/>
            </w:tcBorders>
            <w:shd w:val="clear" w:color="000000" w:fill="FFFFFF"/>
            <w:noWrap/>
            <w:hideMark/>
          </w:tcPr>
          <w:p w14:paraId="4E7C7FDD" w14:textId="1739E62A" w:rsidR="00C55807" w:rsidRPr="00C55807" w:rsidRDefault="00C55807" w:rsidP="00C55807">
            <w:pPr>
              <w:jc w:val="right"/>
              <w:rPr>
                <w:color w:val="000000"/>
                <w:sz w:val="14"/>
                <w:szCs w:val="14"/>
                <w:lang w:val="en-US" w:eastAsia="en-US"/>
              </w:rPr>
            </w:pPr>
            <w:r w:rsidRPr="00C55807">
              <w:rPr>
                <w:color w:val="000000"/>
                <w:sz w:val="14"/>
                <w:szCs w:val="14"/>
              </w:rPr>
              <w:t>11.22</w:t>
            </w:r>
          </w:p>
        </w:tc>
        <w:tc>
          <w:tcPr>
            <w:tcW w:w="702" w:type="dxa"/>
            <w:tcBorders>
              <w:top w:val="nil"/>
              <w:left w:val="nil"/>
              <w:bottom w:val="nil"/>
              <w:right w:val="nil"/>
            </w:tcBorders>
            <w:shd w:val="clear" w:color="000000" w:fill="FFFFFF"/>
            <w:noWrap/>
            <w:hideMark/>
          </w:tcPr>
          <w:p w14:paraId="1942326E" w14:textId="5C3429DC" w:rsidR="00C55807" w:rsidRPr="00C55807" w:rsidRDefault="00C55807" w:rsidP="00C55807">
            <w:pPr>
              <w:jc w:val="right"/>
              <w:rPr>
                <w:color w:val="000000"/>
                <w:sz w:val="14"/>
                <w:szCs w:val="14"/>
                <w:lang w:val="en-US" w:eastAsia="en-US"/>
              </w:rPr>
            </w:pPr>
            <w:r w:rsidRPr="00C55807">
              <w:rPr>
                <w:color w:val="000000"/>
                <w:sz w:val="14"/>
                <w:szCs w:val="14"/>
              </w:rPr>
              <w:t>22.4</w:t>
            </w:r>
          </w:p>
        </w:tc>
        <w:tc>
          <w:tcPr>
            <w:tcW w:w="702" w:type="dxa"/>
            <w:tcBorders>
              <w:top w:val="nil"/>
              <w:left w:val="single" w:sz="4" w:space="0" w:color="000000"/>
              <w:bottom w:val="nil"/>
              <w:right w:val="nil"/>
            </w:tcBorders>
            <w:shd w:val="clear" w:color="000000" w:fill="FFFFFF"/>
            <w:noWrap/>
            <w:hideMark/>
          </w:tcPr>
          <w:p w14:paraId="1B956414" w14:textId="463666B3" w:rsidR="00C55807" w:rsidRPr="00C55807" w:rsidRDefault="00C55807" w:rsidP="00C55807">
            <w:pPr>
              <w:jc w:val="right"/>
              <w:rPr>
                <w:color w:val="000000"/>
                <w:sz w:val="14"/>
                <w:szCs w:val="14"/>
                <w:lang w:val="en-US" w:eastAsia="en-US"/>
              </w:rPr>
            </w:pPr>
            <w:r w:rsidRPr="00C55807">
              <w:rPr>
                <w:color w:val="000000"/>
                <w:sz w:val="14"/>
                <w:szCs w:val="14"/>
              </w:rPr>
              <w:t>19%</w:t>
            </w:r>
          </w:p>
        </w:tc>
        <w:tc>
          <w:tcPr>
            <w:tcW w:w="702" w:type="dxa"/>
            <w:tcBorders>
              <w:top w:val="nil"/>
              <w:left w:val="nil"/>
              <w:bottom w:val="nil"/>
              <w:right w:val="nil"/>
            </w:tcBorders>
            <w:shd w:val="clear" w:color="000000" w:fill="FFFFFF"/>
            <w:noWrap/>
            <w:hideMark/>
          </w:tcPr>
          <w:p w14:paraId="4D2D1CFF" w14:textId="42EC883F" w:rsidR="00C55807" w:rsidRPr="00C55807" w:rsidRDefault="00C55807" w:rsidP="00C55807">
            <w:pPr>
              <w:jc w:val="right"/>
              <w:rPr>
                <w:color w:val="000000"/>
                <w:sz w:val="14"/>
                <w:szCs w:val="14"/>
                <w:lang w:val="en-US" w:eastAsia="en-US"/>
              </w:rPr>
            </w:pPr>
            <w:r w:rsidRPr="00C55807">
              <w:rPr>
                <w:color w:val="000000"/>
                <w:sz w:val="14"/>
                <w:szCs w:val="14"/>
              </w:rPr>
              <w:t>22%</w:t>
            </w:r>
          </w:p>
        </w:tc>
        <w:tc>
          <w:tcPr>
            <w:tcW w:w="706" w:type="dxa"/>
            <w:tcBorders>
              <w:top w:val="nil"/>
              <w:left w:val="nil"/>
              <w:bottom w:val="nil"/>
              <w:right w:val="nil"/>
            </w:tcBorders>
            <w:shd w:val="clear" w:color="000000" w:fill="FFFFFF"/>
            <w:noWrap/>
            <w:hideMark/>
          </w:tcPr>
          <w:p w14:paraId="56BE3249" w14:textId="675C0438" w:rsidR="00C55807" w:rsidRPr="00C55807" w:rsidRDefault="00C55807" w:rsidP="00C55807">
            <w:pPr>
              <w:jc w:val="right"/>
              <w:rPr>
                <w:color w:val="000000"/>
                <w:sz w:val="14"/>
                <w:szCs w:val="14"/>
                <w:lang w:val="en-US" w:eastAsia="en-US"/>
              </w:rPr>
            </w:pPr>
            <w:r w:rsidRPr="00C55807">
              <w:rPr>
                <w:color w:val="000000"/>
                <w:sz w:val="14"/>
                <w:szCs w:val="14"/>
              </w:rPr>
              <w:t>7%</w:t>
            </w:r>
          </w:p>
        </w:tc>
        <w:tc>
          <w:tcPr>
            <w:tcW w:w="730" w:type="dxa"/>
            <w:tcBorders>
              <w:top w:val="nil"/>
              <w:left w:val="nil"/>
              <w:bottom w:val="nil"/>
              <w:right w:val="nil"/>
            </w:tcBorders>
            <w:shd w:val="clear" w:color="000000" w:fill="FFFFFF"/>
            <w:noWrap/>
            <w:hideMark/>
          </w:tcPr>
          <w:p w14:paraId="599BF794" w14:textId="302ECD54" w:rsidR="00C55807" w:rsidRPr="00C55807" w:rsidRDefault="00C55807" w:rsidP="00C55807">
            <w:pPr>
              <w:jc w:val="right"/>
              <w:rPr>
                <w:color w:val="000000"/>
                <w:sz w:val="14"/>
                <w:szCs w:val="14"/>
                <w:lang w:val="en-US" w:eastAsia="en-US"/>
              </w:rPr>
            </w:pPr>
            <w:r w:rsidRPr="00C55807">
              <w:rPr>
                <w:color w:val="000000"/>
                <w:sz w:val="14"/>
                <w:szCs w:val="14"/>
              </w:rPr>
              <w:t>52%</w:t>
            </w:r>
          </w:p>
        </w:tc>
        <w:tc>
          <w:tcPr>
            <w:tcW w:w="901" w:type="dxa"/>
            <w:tcBorders>
              <w:top w:val="nil"/>
              <w:left w:val="single" w:sz="4" w:space="0" w:color="auto"/>
              <w:bottom w:val="nil"/>
              <w:right w:val="nil"/>
            </w:tcBorders>
            <w:shd w:val="clear" w:color="000000" w:fill="FFFFFF"/>
            <w:noWrap/>
            <w:hideMark/>
          </w:tcPr>
          <w:p w14:paraId="4F75D988" w14:textId="0AFF888D" w:rsidR="00C55807" w:rsidRPr="00C55807" w:rsidRDefault="00C55807" w:rsidP="00C55807">
            <w:pPr>
              <w:jc w:val="right"/>
              <w:rPr>
                <w:color w:val="000000"/>
                <w:sz w:val="14"/>
                <w:szCs w:val="14"/>
                <w:lang w:val="en-US" w:eastAsia="en-US"/>
              </w:rPr>
            </w:pPr>
            <w:r w:rsidRPr="00C55807">
              <w:rPr>
                <w:color w:val="000000"/>
                <w:sz w:val="14"/>
                <w:szCs w:val="14"/>
              </w:rPr>
              <w:t>4.53</w:t>
            </w:r>
          </w:p>
        </w:tc>
        <w:tc>
          <w:tcPr>
            <w:tcW w:w="702" w:type="dxa"/>
            <w:tcBorders>
              <w:top w:val="nil"/>
              <w:left w:val="nil"/>
              <w:bottom w:val="nil"/>
              <w:right w:val="nil"/>
            </w:tcBorders>
            <w:shd w:val="clear" w:color="000000" w:fill="FFFFFF"/>
            <w:noWrap/>
            <w:hideMark/>
          </w:tcPr>
          <w:p w14:paraId="77271E67" w14:textId="3D3B78FA" w:rsidR="00C55807" w:rsidRPr="00C55807" w:rsidRDefault="00C55807" w:rsidP="00C55807">
            <w:pPr>
              <w:jc w:val="right"/>
              <w:rPr>
                <w:color w:val="000000"/>
                <w:sz w:val="14"/>
                <w:szCs w:val="14"/>
                <w:lang w:val="en-US" w:eastAsia="en-US"/>
              </w:rPr>
            </w:pPr>
            <w:r w:rsidRPr="00C55807">
              <w:rPr>
                <w:color w:val="000000"/>
                <w:sz w:val="14"/>
                <w:szCs w:val="14"/>
              </w:rPr>
              <w:t xml:space="preserve">40 </w:t>
            </w:r>
          </w:p>
        </w:tc>
      </w:tr>
      <w:tr w:rsidR="00F32225" w:rsidRPr="00E4527E" w14:paraId="3C089142" w14:textId="77777777" w:rsidTr="00387025">
        <w:trPr>
          <w:trHeight w:val="243"/>
        </w:trPr>
        <w:tc>
          <w:tcPr>
            <w:tcW w:w="660" w:type="dxa"/>
            <w:tcBorders>
              <w:top w:val="single" w:sz="4" w:space="0" w:color="auto"/>
              <w:left w:val="nil"/>
              <w:bottom w:val="nil"/>
              <w:right w:val="nil"/>
            </w:tcBorders>
            <w:shd w:val="clear" w:color="000000" w:fill="FFFFFF"/>
            <w:noWrap/>
            <w:hideMark/>
          </w:tcPr>
          <w:p w14:paraId="7E7BFEBF" w14:textId="52B07D1A" w:rsidR="00F32225" w:rsidRPr="00C55807" w:rsidRDefault="00F32225" w:rsidP="00F32225">
            <w:pPr>
              <w:spacing w:after="0" w:line="240" w:lineRule="auto"/>
              <w:jc w:val="center"/>
              <w:rPr>
                <w:color w:val="000000"/>
                <w:sz w:val="14"/>
                <w:szCs w:val="14"/>
                <w:lang w:val="en-US" w:eastAsia="en-US"/>
              </w:rPr>
            </w:pPr>
            <w:r>
              <w:rPr>
                <w:color w:val="000000"/>
                <w:sz w:val="14"/>
                <w:szCs w:val="14"/>
                <w:lang w:val="en-US" w:eastAsia="en-US"/>
              </w:rPr>
              <w:t>15</w:t>
            </w:r>
          </w:p>
        </w:tc>
        <w:tc>
          <w:tcPr>
            <w:tcW w:w="6545" w:type="dxa"/>
            <w:gridSpan w:val="3"/>
            <w:tcBorders>
              <w:top w:val="single" w:sz="4" w:space="0" w:color="auto"/>
              <w:left w:val="nil"/>
              <w:bottom w:val="nil"/>
              <w:right w:val="nil"/>
            </w:tcBorders>
            <w:shd w:val="clear" w:color="000000" w:fill="FFFFFF"/>
            <w:noWrap/>
            <w:hideMark/>
          </w:tcPr>
          <w:p w14:paraId="012755EB" w14:textId="11478B1D"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Sub-total, to</w:t>
            </w:r>
            <w:r>
              <w:rPr>
                <w:b/>
                <w:bCs/>
                <w:color w:val="000000"/>
                <w:sz w:val="14"/>
                <w:szCs w:val="14"/>
                <w:lang w:val="en-US" w:eastAsia="en-US"/>
              </w:rPr>
              <w:t xml:space="preserve">p 20 highest miscellaneous cost </w:t>
            </w:r>
            <w:r w:rsidRPr="00C55807">
              <w:rPr>
                <w:b/>
                <w:bCs/>
                <w:color w:val="000000"/>
                <w:sz w:val="14"/>
                <w:szCs w:val="14"/>
                <w:lang w:val="en-US" w:eastAsia="en-US"/>
              </w:rPr>
              <w:t>weight DRGs</w:t>
            </w:r>
          </w:p>
        </w:tc>
        <w:tc>
          <w:tcPr>
            <w:tcW w:w="875" w:type="dxa"/>
            <w:gridSpan w:val="2"/>
            <w:tcBorders>
              <w:top w:val="single" w:sz="4" w:space="0" w:color="auto"/>
              <w:left w:val="nil"/>
              <w:bottom w:val="nil"/>
              <w:right w:val="nil"/>
            </w:tcBorders>
            <w:shd w:val="clear" w:color="000000" w:fill="FFFFFF"/>
            <w:noWrap/>
            <w:hideMark/>
          </w:tcPr>
          <w:p w14:paraId="5D17B8AA" w14:textId="744875FC"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7.37</w:t>
            </w:r>
          </w:p>
        </w:tc>
        <w:tc>
          <w:tcPr>
            <w:tcW w:w="839" w:type="dxa"/>
            <w:tcBorders>
              <w:top w:val="single" w:sz="4" w:space="0" w:color="auto"/>
              <w:left w:val="nil"/>
              <w:bottom w:val="nil"/>
              <w:right w:val="nil"/>
            </w:tcBorders>
            <w:shd w:val="clear" w:color="000000" w:fill="FFFFFF"/>
            <w:noWrap/>
            <w:hideMark/>
          </w:tcPr>
          <w:p w14:paraId="7214369C" w14:textId="1B10B417"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3,647</w:t>
            </w:r>
          </w:p>
        </w:tc>
        <w:tc>
          <w:tcPr>
            <w:tcW w:w="702" w:type="dxa"/>
            <w:tcBorders>
              <w:top w:val="single" w:sz="4" w:space="0" w:color="auto"/>
              <w:left w:val="nil"/>
              <w:bottom w:val="nil"/>
              <w:right w:val="nil"/>
            </w:tcBorders>
            <w:shd w:val="clear" w:color="000000" w:fill="FFFFFF"/>
            <w:noWrap/>
            <w:hideMark/>
          </w:tcPr>
          <w:p w14:paraId="0C7FF6B6" w14:textId="379A95C4"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14.31</w:t>
            </w:r>
          </w:p>
        </w:tc>
        <w:tc>
          <w:tcPr>
            <w:tcW w:w="702" w:type="dxa"/>
            <w:tcBorders>
              <w:top w:val="single" w:sz="4" w:space="0" w:color="auto"/>
              <w:left w:val="nil"/>
              <w:bottom w:val="nil"/>
              <w:right w:val="nil"/>
            </w:tcBorders>
            <w:shd w:val="clear" w:color="000000" w:fill="FFFFFF"/>
            <w:noWrap/>
            <w:hideMark/>
          </w:tcPr>
          <w:p w14:paraId="2428574C" w14:textId="2FFEF7E5"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29.5</w:t>
            </w:r>
          </w:p>
        </w:tc>
        <w:tc>
          <w:tcPr>
            <w:tcW w:w="702" w:type="dxa"/>
            <w:tcBorders>
              <w:top w:val="single" w:sz="4" w:space="0" w:color="auto"/>
              <w:left w:val="single" w:sz="4" w:space="0" w:color="000000"/>
              <w:bottom w:val="nil"/>
              <w:right w:val="nil"/>
            </w:tcBorders>
            <w:shd w:val="clear" w:color="000000" w:fill="FFFFFF"/>
            <w:noWrap/>
            <w:hideMark/>
          </w:tcPr>
          <w:p w14:paraId="3AA9B469" w14:textId="2EFE1F83"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11%</w:t>
            </w:r>
          </w:p>
        </w:tc>
        <w:tc>
          <w:tcPr>
            <w:tcW w:w="702" w:type="dxa"/>
            <w:tcBorders>
              <w:top w:val="single" w:sz="4" w:space="0" w:color="auto"/>
              <w:left w:val="nil"/>
              <w:bottom w:val="nil"/>
              <w:right w:val="nil"/>
            </w:tcBorders>
            <w:shd w:val="clear" w:color="000000" w:fill="FFFFFF"/>
            <w:noWrap/>
            <w:hideMark/>
          </w:tcPr>
          <w:p w14:paraId="1B7AE3A8" w14:textId="6A08A57A"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33%</w:t>
            </w:r>
          </w:p>
        </w:tc>
        <w:tc>
          <w:tcPr>
            <w:tcW w:w="706" w:type="dxa"/>
            <w:tcBorders>
              <w:top w:val="single" w:sz="4" w:space="0" w:color="auto"/>
              <w:left w:val="nil"/>
              <w:bottom w:val="nil"/>
              <w:right w:val="nil"/>
            </w:tcBorders>
            <w:shd w:val="clear" w:color="000000" w:fill="FFFFFF"/>
            <w:noWrap/>
            <w:hideMark/>
          </w:tcPr>
          <w:p w14:paraId="547C70C2" w14:textId="56B4A7C4"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5%</w:t>
            </w:r>
          </w:p>
        </w:tc>
        <w:tc>
          <w:tcPr>
            <w:tcW w:w="730" w:type="dxa"/>
            <w:tcBorders>
              <w:top w:val="single" w:sz="4" w:space="0" w:color="auto"/>
              <w:left w:val="nil"/>
              <w:bottom w:val="nil"/>
              <w:right w:val="nil"/>
            </w:tcBorders>
            <w:shd w:val="clear" w:color="000000" w:fill="FFFFFF"/>
            <w:noWrap/>
            <w:hideMark/>
          </w:tcPr>
          <w:p w14:paraId="44FE9C51" w14:textId="4BB7F7C0"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51%</w:t>
            </w:r>
          </w:p>
        </w:tc>
        <w:tc>
          <w:tcPr>
            <w:tcW w:w="901" w:type="dxa"/>
            <w:tcBorders>
              <w:top w:val="single" w:sz="4" w:space="0" w:color="auto"/>
              <w:left w:val="single" w:sz="4" w:space="0" w:color="auto"/>
              <w:bottom w:val="nil"/>
              <w:right w:val="nil"/>
            </w:tcBorders>
            <w:shd w:val="clear" w:color="000000" w:fill="FFFFFF"/>
            <w:noWrap/>
            <w:hideMark/>
          </w:tcPr>
          <w:p w14:paraId="76BFA118" w14:textId="77777777"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 </w:t>
            </w:r>
          </w:p>
        </w:tc>
        <w:tc>
          <w:tcPr>
            <w:tcW w:w="702" w:type="dxa"/>
            <w:tcBorders>
              <w:top w:val="single" w:sz="4" w:space="0" w:color="auto"/>
              <w:left w:val="nil"/>
              <w:bottom w:val="nil"/>
              <w:right w:val="nil"/>
            </w:tcBorders>
            <w:shd w:val="clear" w:color="000000" w:fill="FFFFFF"/>
            <w:noWrap/>
            <w:hideMark/>
          </w:tcPr>
          <w:p w14:paraId="30941579" w14:textId="77777777"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 </w:t>
            </w:r>
          </w:p>
        </w:tc>
      </w:tr>
      <w:tr w:rsidR="00F32225" w:rsidRPr="00E4527E" w14:paraId="4459083B" w14:textId="77777777" w:rsidTr="00387025">
        <w:trPr>
          <w:trHeight w:val="243"/>
        </w:trPr>
        <w:tc>
          <w:tcPr>
            <w:tcW w:w="660" w:type="dxa"/>
            <w:tcBorders>
              <w:top w:val="nil"/>
              <w:left w:val="nil"/>
              <w:bottom w:val="nil"/>
              <w:right w:val="nil"/>
            </w:tcBorders>
            <w:shd w:val="clear" w:color="000000" w:fill="FFFFFF"/>
            <w:noWrap/>
            <w:hideMark/>
          </w:tcPr>
          <w:p w14:paraId="2FB963B3" w14:textId="46BEC66B" w:rsidR="00F32225" w:rsidRPr="00C55807" w:rsidRDefault="00F32225" w:rsidP="00F32225">
            <w:pPr>
              <w:spacing w:after="0" w:line="240" w:lineRule="auto"/>
              <w:jc w:val="center"/>
              <w:rPr>
                <w:color w:val="000000"/>
                <w:sz w:val="14"/>
                <w:szCs w:val="14"/>
                <w:lang w:val="en-US" w:eastAsia="en-US"/>
              </w:rPr>
            </w:pPr>
            <w:r>
              <w:rPr>
                <w:color w:val="000000"/>
                <w:sz w:val="14"/>
                <w:szCs w:val="14"/>
                <w:lang w:val="en-US" w:eastAsia="en-US"/>
              </w:rPr>
              <w:t>in</w:t>
            </w:r>
          </w:p>
        </w:tc>
        <w:tc>
          <w:tcPr>
            <w:tcW w:w="6545" w:type="dxa"/>
            <w:gridSpan w:val="3"/>
            <w:tcBorders>
              <w:top w:val="nil"/>
              <w:left w:val="nil"/>
              <w:bottom w:val="nil"/>
              <w:right w:val="nil"/>
            </w:tcBorders>
            <w:shd w:val="clear" w:color="000000" w:fill="FFFFFF"/>
            <w:noWrap/>
            <w:hideMark/>
          </w:tcPr>
          <w:p w14:paraId="3D30D692" w14:textId="579EC15E"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All DRGs</w:t>
            </w:r>
          </w:p>
        </w:tc>
        <w:tc>
          <w:tcPr>
            <w:tcW w:w="875" w:type="dxa"/>
            <w:gridSpan w:val="2"/>
            <w:tcBorders>
              <w:top w:val="nil"/>
              <w:left w:val="nil"/>
              <w:bottom w:val="nil"/>
              <w:right w:val="nil"/>
            </w:tcBorders>
            <w:shd w:val="clear" w:color="000000" w:fill="FFFFFF"/>
            <w:noWrap/>
            <w:hideMark/>
          </w:tcPr>
          <w:p w14:paraId="15A46E04" w14:textId="3737870B"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0.49</w:t>
            </w:r>
          </w:p>
        </w:tc>
        <w:tc>
          <w:tcPr>
            <w:tcW w:w="839" w:type="dxa"/>
            <w:tcBorders>
              <w:top w:val="nil"/>
              <w:left w:val="nil"/>
              <w:bottom w:val="nil"/>
              <w:right w:val="nil"/>
            </w:tcBorders>
            <w:shd w:val="clear" w:color="000000" w:fill="FFFFFF"/>
            <w:noWrap/>
            <w:hideMark/>
          </w:tcPr>
          <w:p w14:paraId="601D5429" w14:textId="25AF2686"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3,242,411</w:t>
            </w:r>
          </w:p>
        </w:tc>
        <w:tc>
          <w:tcPr>
            <w:tcW w:w="702" w:type="dxa"/>
            <w:tcBorders>
              <w:top w:val="nil"/>
              <w:left w:val="nil"/>
              <w:bottom w:val="nil"/>
              <w:right w:val="nil"/>
            </w:tcBorders>
            <w:shd w:val="clear" w:color="000000" w:fill="FFFFFF"/>
            <w:noWrap/>
            <w:hideMark/>
          </w:tcPr>
          <w:p w14:paraId="60329863" w14:textId="160CEDE0"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1.00</w:t>
            </w:r>
          </w:p>
        </w:tc>
        <w:tc>
          <w:tcPr>
            <w:tcW w:w="702" w:type="dxa"/>
            <w:tcBorders>
              <w:top w:val="nil"/>
              <w:left w:val="nil"/>
              <w:bottom w:val="nil"/>
              <w:right w:val="nil"/>
            </w:tcBorders>
            <w:shd w:val="clear" w:color="000000" w:fill="FFFFFF"/>
            <w:noWrap/>
            <w:hideMark/>
          </w:tcPr>
          <w:p w14:paraId="100CF299" w14:textId="07F6BD14"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2.3</w:t>
            </w:r>
          </w:p>
        </w:tc>
        <w:tc>
          <w:tcPr>
            <w:tcW w:w="702" w:type="dxa"/>
            <w:tcBorders>
              <w:top w:val="nil"/>
              <w:left w:val="single" w:sz="4" w:space="0" w:color="000000"/>
              <w:bottom w:val="nil"/>
              <w:right w:val="nil"/>
            </w:tcBorders>
            <w:shd w:val="clear" w:color="000000" w:fill="FFFFFF"/>
            <w:noWrap/>
            <w:hideMark/>
          </w:tcPr>
          <w:p w14:paraId="5BC388E2" w14:textId="2FBAAEA6"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28%</w:t>
            </w:r>
          </w:p>
        </w:tc>
        <w:tc>
          <w:tcPr>
            <w:tcW w:w="702" w:type="dxa"/>
            <w:tcBorders>
              <w:top w:val="nil"/>
              <w:left w:val="nil"/>
              <w:bottom w:val="nil"/>
              <w:right w:val="nil"/>
            </w:tcBorders>
            <w:shd w:val="clear" w:color="000000" w:fill="FFFFFF"/>
            <w:noWrap/>
            <w:hideMark/>
          </w:tcPr>
          <w:p w14:paraId="776733DE" w14:textId="2BEAB577"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6%</w:t>
            </w:r>
          </w:p>
        </w:tc>
        <w:tc>
          <w:tcPr>
            <w:tcW w:w="706" w:type="dxa"/>
            <w:tcBorders>
              <w:top w:val="nil"/>
              <w:left w:val="nil"/>
              <w:bottom w:val="nil"/>
              <w:right w:val="nil"/>
            </w:tcBorders>
            <w:shd w:val="clear" w:color="000000" w:fill="FFFFFF"/>
            <w:noWrap/>
            <w:hideMark/>
          </w:tcPr>
          <w:p w14:paraId="4D3DCFD2" w14:textId="4E3E150F"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18%</w:t>
            </w:r>
          </w:p>
        </w:tc>
        <w:tc>
          <w:tcPr>
            <w:tcW w:w="730" w:type="dxa"/>
            <w:tcBorders>
              <w:top w:val="nil"/>
              <w:left w:val="nil"/>
              <w:bottom w:val="nil"/>
              <w:right w:val="nil"/>
            </w:tcBorders>
            <w:shd w:val="clear" w:color="000000" w:fill="FFFFFF"/>
            <w:noWrap/>
            <w:hideMark/>
          </w:tcPr>
          <w:p w14:paraId="575A9503" w14:textId="1E1BE874" w:rsidR="00F32225" w:rsidRPr="00C55807" w:rsidRDefault="00F32225" w:rsidP="00F32225">
            <w:pPr>
              <w:spacing w:after="0" w:line="240" w:lineRule="auto"/>
              <w:jc w:val="right"/>
              <w:rPr>
                <w:color w:val="000000"/>
                <w:sz w:val="14"/>
                <w:szCs w:val="14"/>
                <w:lang w:val="en-US" w:eastAsia="en-US"/>
              </w:rPr>
            </w:pPr>
            <w:r w:rsidRPr="00C55807">
              <w:rPr>
                <w:color w:val="000000"/>
                <w:sz w:val="14"/>
                <w:szCs w:val="14"/>
              </w:rPr>
              <w:t>49%</w:t>
            </w:r>
          </w:p>
        </w:tc>
        <w:tc>
          <w:tcPr>
            <w:tcW w:w="901" w:type="dxa"/>
            <w:tcBorders>
              <w:top w:val="nil"/>
              <w:left w:val="single" w:sz="4" w:space="0" w:color="auto"/>
              <w:bottom w:val="nil"/>
              <w:right w:val="nil"/>
            </w:tcBorders>
            <w:shd w:val="clear" w:color="000000" w:fill="FFFFFF"/>
            <w:noWrap/>
            <w:hideMark/>
          </w:tcPr>
          <w:p w14:paraId="4913793E" w14:textId="77777777"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 </w:t>
            </w:r>
          </w:p>
        </w:tc>
        <w:tc>
          <w:tcPr>
            <w:tcW w:w="702" w:type="dxa"/>
            <w:tcBorders>
              <w:top w:val="nil"/>
              <w:left w:val="nil"/>
              <w:bottom w:val="nil"/>
              <w:right w:val="nil"/>
            </w:tcBorders>
            <w:shd w:val="clear" w:color="000000" w:fill="FFFFFF"/>
            <w:noWrap/>
            <w:hideMark/>
          </w:tcPr>
          <w:p w14:paraId="0B1F219C" w14:textId="77777777"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 </w:t>
            </w:r>
          </w:p>
        </w:tc>
      </w:tr>
      <w:tr w:rsidR="00F32225" w:rsidRPr="00E4527E" w14:paraId="48425C5F" w14:textId="77777777" w:rsidTr="00387025">
        <w:trPr>
          <w:trHeight w:val="243"/>
        </w:trPr>
        <w:tc>
          <w:tcPr>
            <w:tcW w:w="660" w:type="dxa"/>
            <w:tcBorders>
              <w:top w:val="nil"/>
              <w:left w:val="nil"/>
              <w:bottom w:val="single" w:sz="4" w:space="0" w:color="000000"/>
              <w:right w:val="nil"/>
            </w:tcBorders>
            <w:shd w:val="clear" w:color="000000" w:fill="FFFFFF"/>
            <w:noWrap/>
            <w:hideMark/>
          </w:tcPr>
          <w:p w14:paraId="269D9FDE" w14:textId="0C488543" w:rsidR="00F32225" w:rsidRPr="00C55807" w:rsidRDefault="00F32225" w:rsidP="00F32225">
            <w:pPr>
              <w:spacing w:after="0" w:line="240" w:lineRule="auto"/>
              <w:jc w:val="center"/>
              <w:rPr>
                <w:color w:val="000000"/>
                <w:sz w:val="14"/>
                <w:szCs w:val="14"/>
                <w:lang w:val="en-US" w:eastAsia="en-US"/>
              </w:rPr>
            </w:pPr>
            <w:r>
              <w:rPr>
                <w:color w:val="000000"/>
                <w:sz w:val="14"/>
                <w:szCs w:val="14"/>
                <w:lang w:val="en-US" w:eastAsia="en-US"/>
              </w:rPr>
              <w:t>Top 20</w:t>
            </w:r>
          </w:p>
        </w:tc>
        <w:tc>
          <w:tcPr>
            <w:tcW w:w="6545" w:type="dxa"/>
            <w:gridSpan w:val="3"/>
            <w:tcBorders>
              <w:top w:val="nil"/>
              <w:left w:val="nil"/>
              <w:bottom w:val="single" w:sz="4" w:space="0" w:color="000000"/>
              <w:right w:val="nil"/>
            </w:tcBorders>
            <w:shd w:val="clear" w:color="000000" w:fill="FFFFFF"/>
            <w:noWrap/>
            <w:hideMark/>
          </w:tcPr>
          <w:p w14:paraId="2328F937" w14:textId="4455EE1E" w:rsidR="00F32225" w:rsidRPr="00C55807" w:rsidRDefault="00F32225" w:rsidP="00F32225">
            <w:pPr>
              <w:spacing w:after="0" w:line="240" w:lineRule="auto"/>
              <w:rPr>
                <w:b/>
                <w:bCs/>
                <w:color w:val="000000"/>
                <w:sz w:val="14"/>
                <w:szCs w:val="14"/>
                <w:lang w:val="en-US" w:eastAsia="en-US"/>
              </w:rPr>
            </w:pPr>
            <w:r w:rsidRPr="00C55807">
              <w:rPr>
                <w:b/>
                <w:bCs/>
                <w:color w:val="000000"/>
                <w:sz w:val="14"/>
                <w:szCs w:val="14"/>
                <w:lang w:val="en-US" w:eastAsia="en-US"/>
              </w:rPr>
              <w:t>Top 20 Miscellaneous cost</w:t>
            </w:r>
            <w:r>
              <w:rPr>
                <w:b/>
                <w:bCs/>
                <w:color w:val="000000"/>
                <w:sz w:val="14"/>
                <w:szCs w:val="14"/>
                <w:lang w:val="en-US" w:eastAsia="en-US"/>
              </w:rPr>
              <w:t xml:space="preserve"> </w:t>
            </w:r>
            <w:r w:rsidRPr="00C55807">
              <w:rPr>
                <w:b/>
                <w:bCs/>
                <w:color w:val="000000"/>
                <w:sz w:val="14"/>
                <w:szCs w:val="14"/>
                <w:lang w:val="en-US" w:eastAsia="en-US"/>
              </w:rPr>
              <w:t>weight DRGs, % of all DRGs</w:t>
            </w:r>
          </w:p>
        </w:tc>
        <w:tc>
          <w:tcPr>
            <w:tcW w:w="875" w:type="dxa"/>
            <w:gridSpan w:val="2"/>
            <w:tcBorders>
              <w:top w:val="nil"/>
              <w:left w:val="nil"/>
              <w:bottom w:val="single" w:sz="4" w:space="0" w:color="000000"/>
              <w:right w:val="nil"/>
            </w:tcBorders>
            <w:shd w:val="clear" w:color="000000" w:fill="FFFFFF"/>
            <w:noWrap/>
            <w:hideMark/>
          </w:tcPr>
          <w:p w14:paraId="75ED7BCF" w14:textId="402C6EE6" w:rsidR="00F32225" w:rsidRPr="00C55807" w:rsidRDefault="00F32225" w:rsidP="00F32225">
            <w:pPr>
              <w:spacing w:after="0" w:line="240" w:lineRule="auto"/>
              <w:rPr>
                <w:b/>
                <w:bCs/>
                <w:color w:val="000000"/>
                <w:sz w:val="14"/>
                <w:szCs w:val="14"/>
                <w:lang w:val="en-US" w:eastAsia="en-US"/>
              </w:rPr>
            </w:pPr>
          </w:p>
        </w:tc>
        <w:tc>
          <w:tcPr>
            <w:tcW w:w="839" w:type="dxa"/>
            <w:tcBorders>
              <w:top w:val="nil"/>
              <w:left w:val="nil"/>
              <w:bottom w:val="single" w:sz="4" w:space="0" w:color="000000"/>
              <w:right w:val="nil"/>
            </w:tcBorders>
            <w:shd w:val="clear" w:color="000000" w:fill="FFFFFF"/>
            <w:noWrap/>
            <w:hideMark/>
          </w:tcPr>
          <w:p w14:paraId="32B3A352" w14:textId="11415A6B" w:rsidR="00F32225" w:rsidRPr="00C55807" w:rsidRDefault="00F32225" w:rsidP="00F32225">
            <w:pPr>
              <w:spacing w:after="0" w:line="240" w:lineRule="auto"/>
              <w:jc w:val="right"/>
              <w:rPr>
                <w:b/>
                <w:bCs/>
                <w:color w:val="000000"/>
                <w:sz w:val="14"/>
                <w:szCs w:val="14"/>
                <w:lang w:val="en-US" w:eastAsia="en-US"/>
              </w:rPr>
            </w:pPr>
            <w:r w:rsidRPr="00C55807">
              <w:rPr>
                <w:b/>
                <w:bCs/>
                <w:color w:val="000000"/>
                <w:sz w:val="14"/>
                <w:szCs w:val="14"/>
              </w:rPr>
              <w:t>0.1%</w:t>
            </w:r>
          </w:p>
        </w:tc>
        <w:tc>
          <w:tcPr>
            <w:tcW w:w="702" w:type="dxa"/>
            <w:tcBorders>
              <w:top w:val="nil"/>
              <w:left w:val="nil"/>
              <w:bottom w:val="single" w:sz="4" w:space="0" w:color="000000"/>
              <w:right w:val="nil"/>
            </w:tcBorders>
            <w:shd w:val="clear" w:color="000000" w:fill="FFFFFF"/>
            <w:noWrap/>
            <w:hideMark/>
          </w:tcPr>
          <w:p w14:paraId="308D42A7" w14:textId="2A569C74"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702" w:type="dxa"/>
            <w:tcBorders>
              <w:top w:val="nil"/>
              <w:left w:val="nil"/>
              <w:bottom w:val="single" w:sz="4" w:space="0" w:color="000000"/>
              <w:right w:val="nil"/>
            </w:tcBorders>
            <w:shd w:val="clear" w:color="000000" w:fill="FFFFFF"/>
            <w:noWrap/>
            <w:hideMark/>
          </w:tcPr>
          <w:p w14:paraId="3642CD8C" w14:textId="0361ADC7"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702" w:type="dxa"/>
            <w:tcBorders>
              <w:top w:val="nil"/>
              <w:left w:val="single" w:sz="4" w:space="0" w:color="000000"/>
              <w:bottom w:val="single" w:sz="4" w:space="0" w:color="000000"/>
              <w:right w:val="nil"/>
            </w:tcBorders>
            <w:shd w:val="clear" w:color="000000" w:fill="FFFFFF"/>
            <w:noWrap/>
            <w:hideMark/>
          </w:tcPr>
          <w:p w14:paraId="3BD43546" w14:textId="1E129C47"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702" w:type="dxa"/>
            <w:tcBorders>
              <w:top w:val="nil"/>
              <w:left w:val="nil"/>
              <w:bottom w:val="single" w:sz="4" w:space="0" w:color="000000"/>
              <w:right w:val="nil"/>
            </w:tcBorders>
            <w:shd w:val="clear" w:color="000000" w:fill="FFFFFF"/>
            <w:noWrap/>
            <w:hideMark/>
          </w:tcPr>
          <w:p w14:paraId="570C87DC" w14:textId="2BB0CCC9"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706" w:type="dxa"/>
            <w:tcBorders>
              <w:top w:val="nil"/>
              <w:left w:val="nil"/>
              <w:bottom w:val="single" w:sz="4" w:space="0" w:color="000000"/>
              <w:right w:val="nil"/>
            </w:tcBorders>
            <w:shd w:val="clear" w:color="000000" w:fill="FFFFFF"/>
            <w:noWrap/>
            <w:hideMark/>
          </w:tcPr>
          <w:p w14:paraId="16C4DD10" w14:textId="6117A3D6"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730" w:type="dxa"/>
            <w:tcBorders>
              <w:top w:val="nil"/>
              <w:left w:val="nil"/>
              <w:bottom w:val="single" w:sz="4" w:space="0" w:color="000000"/>
              <w:right w:val="nil"/>
            </w:tcBorders>
            <w:shd w:val="clear" w:color="000000" w:fill="FFFFFF"/>
            <w:noWrap/>
            <w:hideMark/>
          </w:tcPr>
          <w:p w14:paraId="196175FF" w14:textId="73E8A105" w:rsidR="00F32225" w:rsidRPr="00C55807" w:rsidRDefault="00F32225" w:rsidP="00F32225">
            <w:pPr>
              <w:spacing w:after="0" w:line="240" w:lineRule="auto"/>
              <w:rPr>
                <w:color w:val="000000"/>
                <w:sz w:val="14"/>
                <w:szCs w:val="14"/>
                <w:lang w:val="en-US" w:eastAsia="en-US"/>
              </w:rPr>
            </w:pPr>
            <w:r w:rsidRPr="00C55807">
              <w:rPr>
                <w:color w:val="000000"/>
                <w:sz w:val="14"/>
                <w:szCs w:val="14"/>
              </w:rPr>
              <w:t> </w:t>
            </w:r>
          </w:p>
        </w:tc>
        <w:tc>
          <w:tcPr>
            <w:tcW w:w="901" w:type="dxa"/>
            <w:tcBorders>
              <w:top w:val="nil"/>
              <w:left w:val="single" w:sz="4" w:space="0" w:color="auto"/>
              <w:bottom w:val="single" w:sz="4" w:space="0" w:color="auto"/>
              <w:right w:val="nil"/>
            </w:tcBorders>
            <w:shd w:val="clear" w:color="000000" w:fill="FFFFFF"/>
            <w:noWrap/>
            <w:hideMark/>
          </w:tcPr>
          <w:p w14:paraId="4AF8808B" w14:textId="77777777" w:rsidR="00F32225" w:rsidRPr="00C55807" w:rsidRDefault="00F32225" w:rsidP="00F32225">
            <w:pPr>
              <w:spacing w:after="0" w:line="240" w:lineRule="auto"/>
              <w:rPr>
                <w:color w:val="000000"/>
                <w:sz w:val="14"/>
                <w:szCs w:val="14"/>
                <w:lang w:val="en-US" w:eastAsia="en-US"/>
              </w:rPr>
            </w:pPr>
            <w:r w:rsidRPr="00C55807">
              <w:rPr>
                <w:color w:val="000000"/>
                <w:sz w:val="14"/>
                <w:szCs w:val="14"/>
                <w:lang w:val="en-US" w:eastAsia="en-US"/>
              </w:rPr>
              <w:t> </w:t>
            </w:r>
          </w:p>
        </w:tc>
        <w:tc>
          <w:tcPr>
            <w:tcW w:w="702" w:type="dxa"/>
            <w:tcBorders>
              <w:top w:val="nil"/>
              <w:left w:val="nil"/>
              <w:bottom w:val="single" w:sz="4" w:space="0" w:color="auto"/>
              <w:right w:val="nil"/>
            </w:tcBorders>
            <w:shd w:val="clear" w:color="000000" w:fill="FFFFFF"/>
            <w:noWrap/>
            <w:hideMark/>
          </w:tcPr>
          <w:p w14:paraId="3A682438" w14:textId="77777777" w:rsidR="00F32225" w:rsidRPr="00C55807" w:rsidRDefault="00F32225" w:rsidP="00F32225">
            <w:pPr>
              <w:spacing w:after="0" w:line="240" w:lineRule="auto"/>
              <w:rPr>
                <w:color w:val="000000"/>
                <w:sz w:val="14"/>
                <w:szCs w:val="14"/>
                <w:lang w:val="en-US" w:eastAsia="en-US"/>
              </w:rPr>
            </w:pPr>
            <w:r w:rsidRPr="00C55807">
              <w:rPr>
                <w:color w:val="000000"/>
                <w:sz w:val="14"/>
                <w:szCs w:val="14"/>
                <w:lang w:val="en-US" w:eastAsia="en-US"/>
              </w:rPr>
              <w:t> </w:t>
            </w:r>
          </w:p>
        </w:tc>
      </w:tr>
    </w:tbl>
    <w:p w14:paraId="3A3B8216" w14:textId="0474020C" w:rsidR="00A24567" w:rsidRPr="00F039A3" w:rsidRDefault="00A24567" w:rsidP="00D407E3">
      <w:pPr>
        <w:spacing w:after="0" w:line="240" w:lineRule="auto"/>
        <w:rPr>
          <w:rFonts w:asciiTheme="minorHAnsi" w:hAnsiTheme="minorHAnsi" w:cstheme="minorHAnsi"/>
          <w:color w:val="008A00" w:themeColor="accent2"/>
          <w:sz w:val="14"/>
        </w:rPr>
      </w:pPr>
      <w:r w:rsidRPr="00F039A3">
        <w:rPr>
          <w:rFonts w:asciiTheme="minorHAnsi" w:hAnsiTheme="minorHAnsi" w:cstheme="minorHAnsi"/>
          <w:color w:val="008A00" w:themeColor="accent2"/>
          <w:sz w:val="14"/>
        </w:rPr>
        <w:t>Notes</w:t>
      </w:r>
      <w:r w:rsidRPr="00F039A3">
        <w:rPr>
          <w:rFonts w:asciiTheme="minorHAnsi" w:hAnsiTheme="minorHAnsi" w:cstheme="minorHAnsi"/>
          <w:color w:val="008A00" w:themeColor="accent2"/>
          <w:sz w:val="14"/>
        </w:rPr>
        <w:tab/>
      </w:r>
      <w:r w:rsidRPr="00F039A3">
        <w:rPr>
          <w:rFonts w:asciiTheme="minorHAnsi" w:hAnsiTheme="minorHAnsi" w:cstheme="minorHAnsi"/>
          <w:color w:val="008A00" w:themeColor="accent2"/>
          <w:sz w:val="14"/>
        </w:rPr>
        <w:tab/>
      </w:r>
    </w:p>
    <w:p w14:paraId="17FA618F" w14:textId="274C3585" w:rsidR="00A24567" w:rsidRPr="00DF0CF9" w:rsidRDefault="00A24567" w:rsidP="00D407E3">
      <w:pPr>
        <w:spacing w:after="0" w:line="240" w:lineRule="auto"/>
        <w:rPr>
          <w:rFonts w:asciiTheme="minorHAnsi" w:hAnsiTheme="minorHAnsi" w:cstheme="minorHAnsi"/>
          <w:sz w:val="14"/>
        </w:rPr>
      </w:pPr>
      <w:r w:rsidRPr="00DF0CF9">
        <w:rPr>
          <w:rFonts w:asciiTheme="minorHAnsi" w:hAnsiTheme="minorHAnsi" w:cstheme="minorHAnsi"/>
          <w:sz w:val="14"/>
        </w:rPr>
        <w:t>(a) For cost weight (cost bucket specific) calculations please refer</w:t>
      </w:r>
      <w:r w:rsidR="00C55807" w:rsidRPr="00DF0CF9">
        <w:rPr>
          <w:rFonts w:asciiTheme="minorHAnsi" w:hAnsiTheme="minorHAnsi" w:cstheme="minorHAnsi"/>
          <w:sz w:val="14"/>
        </w:rPr>
        <w:t xml:space="preserve"> to</w:t>
      </w:r>
      <w:r w:rsidRPr="00DF0CF9">
        <w:rPr>
          <w:rFonts w:asciiTheme="minorHAnsi" w:hAnsiTheme="minorHAnsi" w:cstheme="minorHAnsi"/>
          <w:sz w:val="14"/>
        </w:rPr>
        <w:t xml:space="preserve"> </w:t>
      </w:r>
      <w:r w:rsidR="00544B40" w:rsidRPr="00DF0CF9">
        <w:rPr>
          <w:rFonts w:asciiTheme="minorHAnsi" w:hAnsiTheme="minorHAnsi" w:cstheme="minorHAnsi"/>
          <w:sz w:val="14"/>
        </w:rPr>
        <w:t xml:space="preserve">Appendix D: Cost weight tables by AR-DRG Version </w:t>
      </w:r>
      <w:r w:rsidR="00DF0CF9" w:rsidRPr="00DF0CF9">
        <w:rPr>
          <w:rFonts w:asciiTheme="minorHAnsi" w:hAnsiTheme="minorHAnsi" w:cstheme="minorHAnsi"/>
          <w:sz w:val="14"/>
        </w:rPr>
        <w:t>9</w:t>
      </w:r>
      <w:r w:rsidR="00544B40" w:rsidRPr="00DF0CF9">
        <w:rPr>
          <w:rFonts w:asciiTheme="minorHAnsi" w:hAnsiTheme="minorHAnsi" w:cstheme="minorHAnsi"/>
          <w:sz w:val="14"/>
        </w:rPr>
        <w:t>.0</w:t>
      </w:r>
      <w:r w:rsidR="00544B40" w:rsidRPr="00DF0CF9">
        <w:rPr>
          <w:rFonts w:asciiTheme="minorHAnsi" w:hAnsiTheme="minorHAnsi" w:cstheme="minorHAnsi"/>
          <w:sz w:val="14"/>
        </w:rPr>
        <w:tab/>
      </w:r>
    </w:p>
    <w:p w14:paraId="7B7D5D13" w14:textId="4FADB354" w:rsidR="00A24567" w:rsidRPr="00235DEA" w:rsidRDefault="00A24567" w:rsidP="00235DEA">
      <w:pPr>
        <w:spacing w:after="0" w:line="240" w:lineRule="auto"/>
        <w:rPr>
          <w:rFonts w:asciiTheme="minorHAnsi" w:hAnsiTheme="minorHAnsi" w:cstheme="minorHAnsi"/>
          <w:sz w:val="14"/>
        </w:rPr>
      </w:pPr>
      <w:bookmarkStart w:id="206" w:name="_Toc497332786"/>
      <w:bookmarkStart w:id="207" w:name="_Toc497332925"/>
      <w:bookmarkStart w:id="208" w:name="_Toc497486130"/>
      <w:bookmarkStart w:id="209" w:name="_Toc497488050"/>
      <w:r w:rsidRPr="00235DEA">
        <w:rPr>
          <w:rFonts w:asciiTheme="minorHAnsi" w:hAnsiTheme="minorHAnsi" w:cstheme="minorHAnsi"/>
          <w:sz w:val="14"/>
        </w:rPr>
        <w:t>(b) Separations shown are strata weighted</w:t>
      </w:r>
      <w:bookmarkEnd w:id="206"/>
      <w:bookmarkEnd w:id="207"/>
      <w:bookmarkEnd w:id="208"/>
      <w:bookmarkEnd w:id="209"/>
      <w:r w:rsidRPr="00235DEA">
        <w:rPr>
          <w:rFonts w:asciiTheme="minorHAnsi" w:hAnsiTheme="minorHAnsi" w:cstheme="minorHAnsi"/>
          <w:sz w:val="14"/>
        </w:rPr>
        <w:tab/>
      </w:r>
    </w:p>
    <w:p w14:paraId="40098BB6" w14:textId="6BDBEDF3" w:rsidR="00971F62" w:rsidRPr="00F039A3" w:rsidRDefault="00A24567" w:rsidP="00235DEA">
      <w:pPr>
        <w:spacing w:after="0" w:line="240" w:lineRule="auto"/>
        <w:rPr>
          <w:rFonts w:asciiTheme="minorHAnsi" w:hAnsiTheme="minorHAnsi" w:cstheme="minorHAnsi"/>
          <w:sz w:val="14"/>
        </w:rPr>
        <w:sectPr w:rsidR="00971F62" w:rsidRPr="00F039A3" w:rsidSect="00384647">
          <w:pgSz w:w="16840" w:h="11907" w:orient="landscape" w:code="9"/>
          <w:pgMar w:top="1843" w:right="1440" w:bottom="1021" w:left="1021" w:header="680" w:footer="510" w:gutter="0"/>
          <w:cols w:space="708"/>
          <w:docGrid w:linePitch="360"/>
        </w:sectPr>
      </w:pPr>
      <w:r w:rsidRPr="00F039A3">
        <w:rPr>
          <w:rFonts w:asciiTheme="minorHAnsi" w:hAnsiTheme="minorHAnsi" w:cstheme="minorHAnsi"/>
          <w:sz w:val="14"/>
        </w:rPr>
        <w:t>(d) AL</w:t>
      </w:r>
      <w:r w:rsidR="00971F62" w:rsidRPr="00F039A3">
        <w:rPr>
          <w:rFonts w:asciiTheme="minorHAnsi" w:hAnsiTheme="minorHAnsi" w:cstheme="minorHAnsi"/>
          <w:sz w:val="14"/>
        </w:rPr>
        <w:t xml:space="preserve">oS means </w:t>
      </w:r>
      <w:r w:rsidR="008C3232">
        <w:rPr>
          <w:rFonts w:asciiTheme="minorHAnsi" w:hAnsiTheme="minorHAnsi" w:cstheme="minorHAnsi"/>
          <w:sz w:val="14"/>
        </w:rPr>
        <w:t>A</w:t>
      </w:r>
      <w:r w:rsidR="00971F62" w:rsidRPr="00F039A3">
        <w:rPr>
          <w:rFonts w:asciiTheme="minorHAnsi" w:hAnsiTheme="minorHAnsi" w:cstheme="minorHAnsi"/>
          <w:sz w:val="14"/>
        </w:rPr>
        <w:t xml:space="preserve">verage </w:t>
      </w:r>
      <w:r w:rsidR="008C3232">
        <w:rPr>
          <w:rFonts w:asciiTheme="minorHAnsi" w:hAnsiTheme="minorHAnsi" w:cstheme="minorHAnsi"/>
          <w:sz w:val="14"/>
        </w:rPr>
        <w:t>L</w:t>
      </w:r>
      <w:r w:rsidR="00971F62" w:rsidRPr="00F039A3">
        <w:rPr>
          <w:rFonts w:asciiTheme="minorHAnsi" w:hAnsiTheme="minorHAnsi" w:cstheme="minorHAnsi"/>
          <w:sz w:val="14"/>
        </w:rPr>
        <w:t xml:space="preserve">ength of </w:t>
      </w:r>
      <w:r w:rsidR="008C3232">
        <w:rPr>
          <w:rFonts w:asciiTheme="minorHAnsi" w:hAnsiTheme="minorHAnsi" w:cstheme="minorHAnsi"/>
          <w:sz w:val="14"/>
        </w:rPr>
        <w:t>S</w:t>
      </w:r>
      <w:r w:rsidR="00971F62" w:rsidRPr="00F039A3">
        <w:rPr>
          <w:rFonts w:asciiTheme="minorHAnsi" w:hAnsiTheme="minorHAnsi" w:cstheme="minorHAnsi"/>
          <w:sz w:val="14"/>
        </w:rPr>
        <w:t>tay</w:t>
      </w:r>
    </w:p>
    <w:p w14:paraId="188B52A3" w14:textId="3D30FFFE" w:rsidR="00EE275B" w:rsidRPr="0010587A" w:rsidRDefault="00EE275B" w:rsidP="006200A2">
      <w:pPr>
        <w:pStyle w:val="Heading1"/>
        <w:numPr>
          <w:ilvl w:val="0"/>
          <w:numId w:val="0"/>
        </w:numPr>
        <w:rPr>
          <w:rFonts w:ascii="Georgia" w:hAnsi="Georgia"/>
          <w:sz w:val="56"/>
          <w:szCs w:val="20"/>
        </w:rPr>
      </w:pPr>
      <w:bookmarkStart w:id="210" w:name="_Toc435611231"/>
      <w:bookmarkStart w:id="211" w:name="_Ref430348512"/>
      <w:bookmarkStart w:id="212" w:name="_Ref430347712"/>
      <w:bookmarkStart w:id="213" w:name="_Ref430159724"/>
      <w:bookmarkStart w:id="214" w:name="_Toc430010944"/>
      <w:bookmarkStart w:id="215" w:name="_Ref401135795"/>
      <w:bookmarkStart w:id="216" w:name="_Ref401135794"/>
      <w:bookmarkStart w:id="217" w:name="_Toc496857588"/>
      <w:bookmarkStart w:id="218" w:name="_Ref497410571"/>
      <w:bookmarkStart w:id="219" w:name="_Ref536785917"/>
      <w:bookmarkStart w:id="220" w:name="_Toc161977"/>
      <w:bookmarkEnd w:id="88"/>
      <w:r w:rsidRPr="0010587A">
        <w:lastRenderedPageBreak/>
        <w:t>Appendix A: Analysis performed to determine the minimum sample size</w:t>
      </w:r>
      <w:bookmarkEnd w:id="210"/>
      <w:bookmarkEnd w:id="211"/>
      <w:bookmarkEnd w:id="212"/>
      <w:bookmarkEnd w:id="213"/>
      <w:bookmarkEnd w:id="214"/>
      <w:bookmarkEnd w:id="215"/>
      <w:bookmarkEnd w:id="216"/>
      <w:bookmarkEnd w:id="217"/>
      <w:bookmarkEnd w:id="218"/>
      <w:bookmarkEnd w:id="219"/>
      <w:bookmarkEnd w:id="220"/>
    </w:p>
    <w:p w14:paraId="33EE08E3" w14:textId="77777777" w:rsidR="00EE275B" w:rsidRPr="0010587A" w:rsidRDefault="00EE275B" w:rsidP="00951E08">
      <w:pPr>
        <w:pStyle w:val="Intro"/>
      </w:pPr>
      <w:r w:rsidRPr="0010587A">
        <w:t>Background</w:t>
      </w:r>
    </w:p>
    <w:p w14:paraId="4DD7C5DB" w14:textId="29AD85C1" w:rsidR="00EE275B" w:rsidRPr="0010587A" w:rsidRDefault="00EE275B" w:rsidP="00951E08">
      <w:r w:rsidRPr="0010587A">
        <w:t>In September 2012 IHPA engaged PwC to review the methodology for calculating the minimum sample size to have a valid and reliable pr</w:t>
      </w:r>
      <w:r w:rsidR="0010587A" w:rsidRPr="0010587A">
        <w:t xml:space="preserve">ivate sector NHCDC collection. </w:t>
      </w:r>
      <w:r w:rsidRPr="0010587A">
        <w:t xml:space="preserve">This review was requested by the </w:t>
      </w:r>
      <w:r w:rsidR="0010587A" w:rsidRPr="0010587A">
        <w:t>p</w:t>
      </w:r>
      <w:r w:rsidRPr="0010587A">
        <w:t>rivate sector to ensure the validity and reliability of the collection.</w:t>
      </w:r>
    </w:p>
    <w:p w14:paraId="50AD0FA8" w14:textId="6DA484C1" w:rsidR="00E7439E" w:rsidRPr="0010587A" w:rsidRDefault="00EE275B" w:rsidP="00951E08">
      <w:r w:rsidRPr="0010587A">
        <w:t xml:space="preserve">The calculations were based on data received from IHPA, the </w:t>
      </w:r>
      <w:r w:rsidR="0010587A" w:rsidRPr="0010587A">
        <w:t>Department of Health</w:t>
      </w:r>
      <w:r w:rsidRPr="0010587A">
        <w:t xml:space="preserve"> and </w:t>
      </w:r>
      <w:r w:rsidR="0010587A" w:rsidRPr="0010587A">
        <w:t xml:space="preserve">the </w:t>
      </w:r>
      <w:r w:rsidRPr="0010587A">
        <w:t xml:space="preserve">PHDB to determine the number of separations, number of hospitals and number of hospital groups required to participate. </w:t>
      </w:r>
    </w:p>
    <w:p w14:paraId="26325AC6" w14:textId="77777777" w:rsidR="00EE275B" w:rsidRPr="0010587A" w:rsidRDefault="00EE275B" w:rsidP="00951E08">
      <w:pPr>
        <w:pStyle w:val="Intro"/>
      </w:pPr>
      <w:r w:rsidRPr="0010587A">
        <w:t>The outcome</w:t>
      </w:r>
    </w:p>
    <w:p w14:paraId="74D129E7" w14:textId="55B85EAC" w:rsidR="00EE275B" w:rsidRPr="0010587A" w:rsidRDefault="00EE275B" w:rsidP="002C440C">
      <w:r w:rsidRPr="0010587A">
        <w:t xml:space="preserve">The conclusion of this </w:t>
      </w:r>
      <w:r w:rsidR="0010587A">
        <w:t>review</w:t>
      </w:r>
      <w:r w:rsidRPr="0010587A">
        <w:t xml:space="preserve"> based on 2012 data was:</w:t>
      </w:r>
    </w:p>
    <w:p w14:paraId="17418A2B" w14:textId="792DE8E2" w:rsidR="00EE275B" w:rsidRPr="0010587A" w:rsidRDefault="004647EB" w:rsidP="006200A2">
      <w:pPr>
        <w:pStyle w:val="ListBullet"/>
      </w:pPr>
      <w:r w:rsidRPr="0010587A">
        <w:t xml:space="preserve">Approximately 60 </w:t>
      </w:r>
      <w:r w:rsidR="00F74337" w:rsidRPr="0010587A">
        <w:t>percent</w:t>
      </w:r>
      <w:r w:rsidR="00EE275B" w:rsidRPr="0010587A">
        <w:t xml:space="preserve"> of all separations are required in order to achieve a 95</w:t>
      </w:r>
      <w:r w:rsidRPr="0010587A">
        <w:t xml:space="preserve"> </w:t>
      </w:r>
      <w:r w:rsidR="00F74337" w:rsidRPr="0010587A">
        <w:t>percent</w:t>
      </w:r>
      <w:r w:rsidR="00EE275B" w:rsidRPr="0010587A">
        <w:t xml:space="preserve"> confidence level and 4</w:t>
      </w:r>
      <w:r w:rsidR="00E359A8" w:rsidRPr="0010587A">
        <w:t>.0</w:t>
      </w:r>
      <w:r w:rsidRPr="0010587A">
        <w:t xml:space="preserve"> </w:t>
      </w:r>
      <w:r w:rsidR="00F74337" w:rsidRPr="0010587A">
        <w:t>percent</w:t>
      </w:r>
      <w:r w:rsidR="00EE275B" w:rsidRPr="0010587A">
        <w:t xml:space="preserve"> acceptable margin of error. </w:t>
      </w:r>
    </w:p>
    <w:p w14:paraId="485E41DA" w14:textId="1299E253" w:rsidR="00EE275B" w:rsidRPr="0010587A" w:rsidRDefault="00EE275B" w:rsidP="006200A2">
      <w:pPr>
        <w:pStyle w:val="ListBullet"/>
      </w:pPr>
      <w:r w:rsidRPr="0010587A">
        <w:t>The 95</w:t>
      </w:r>
      <w:r w:rsidR="004647EB" w:rsidRPr="0010587A">
        <w:t xml:space="preserve"> </w:t>
      </w:r>
      <w:r w:rsidR="00F74337" w:rsidRPr="0010587A">
        <w:t>percent</w:t>
      </w:r>
      <w:r w:rsidRPr="0010587A">
        <w:t xml:space="preserve"> confidence level and 4</w:t>
      </w:r>
      <w:r w:rsidR="00E359A8" w:rsidRPr="0010587A">
        <w:t>.0</w:t>
      </w:r>
      <w:r w:rsidR="004647EB" w:rsidRPr="0010587A">
        <w:t xml:space="preserve"> </w:t>
      </w:r>
      <w:r w:rsidR="00F74337" w:rsidRPr="0010587A">
        <w:t>percent</w:t>
      </w:r>
      <w:r w:rsidRPr="0010587A">
        <w:t xml:space="preserve"> margin of error parameters have been informed by considering participation levels in historic publications. </w:t>
      </w:r>
    </w:p>
    <w:p w14:paraId="1A3E77B3" w14:textId="6384B3A9" w:rsidR="00E7439E" w:rsidRPr="0010587A" w:rsidRDefault="00EE275B" w:rsidP="006200A2">
      <w:pPr>
        <w:pStyle w:val="ListBullet"/>
      </w:pPr>
      <w:r w:rsidRPr="0010587A">
        <w:t>The collection should include approximately 90 hospitals and 10 hospitals ‘groups’ (of 2 or more hospitals) to be representative.</w:t>
      </w:r>
    </w:p>
    <w:p w14:paraId="533A71D6" w14:textId="37D30D1B" w:rsidR="00423BB2" w:rsidRPr="0010587A" w:rsidRDefault="00EE275B" w:rsidP="00423BB2">
      <w:r w:rsidRPr="0010587A">
        <w:t>These minimum targets were used as</w:t>
      </w:r>
      <w:r w:rsidR="004647EB" w:rsidRPr="0010587A">
        <w:t xml:space="preserve"> criteria for the Round 2</w:t>
      </w:r>
      <w:r w:rsidR="0010587A" w:rsidRPr="0010587A">
        <w:t>1</w:t>
      </w:r>
      <w:r w:rsidR="004647EB" w:rsidRPr="0010587A">
        <w:t xml:space="preserve"> collection</w:t>
      </w:r>
      <w:r w:rsidR="00423BB2" w:rsidRPr="0010587A">
        <w:t xml:space="preserve">. It should be noted that these criteria are based on </w:t>
      </w:r>
      <w:r w:rsidR="0010587A" w:rsidRPr="0010587A">
        <w:t>analysis conducted in 2012</w:t>
      </w:r>
      <w:r w:rsidR="00423BB2" w:rsidRPr="0010587A">
        <w:t xml:space="preserve"> and no adjustments have been made to account for any significant sector or market changes for this Round 2</w:t>
      </w:r>
      <w:r w:rsidR="0010587A" w:rsidRPr="0010587A">
        <w:t>1</w:t>
      </w:r>
      <w:r w:rsidR="00423BB2" w:rsidRPr="0010587A">
        <w:t xml:space="preserve"> collection and associated reports. </w:t>
      </w:r>
      <w:r w:rsidR="007D60B9">
        <w:t>The analysis to determine minimum sample size will be reviewed before the next round to allow for any changes that have occurred since the previous analysis.</w:t>
      </w:r>
    </w:p>
    <w:p w14:paraId="0862E480" w14:textId="5BB85A2E" w:rsidR="00423BB2" w:rsidRPr="0010587A" w:rsidRDefault="00423BB2" w:rsidP="00BF794D">
      <w:r w:rsidRPr="0010587A">
        <w:t xml:space="preserve">These minimum targets were used as the condition on which the previous rounds would go ahead. </w:t>
      </w:r>
      <w:r w:rsidR="007D60B9">
        <w:t>Since</w:t>
      </w:r>
      <w:r w:rsidRPr="0010587A">
        <w:t xml:space="preserve"> Round 2</w:t>
      </w:r>
      <w:r w:rsidR="007D60B9">
        <w:t>0</w:t>
      </w:r>
      <w:r w:rsidRPr="0010587A">
        <w:t xml:space="preserve">, IHPA </w:t>
      </w:r>
      <w:r w:rsidR="007D60B9">
        <w:t xml:space="preserve">has </w:t>
      </w:r>
      <w:r w:rsidRPr="0010587A">
        <w:t>targeted a select group of participants to provide self-costed data, changing the expectation that the minimum participation ra</w:t>
      </w:r>
      <w:r w:rsidR="00BF794D" w:rsidRPr="0010587A">
        <w:t xml:space="preserve">te of 60 </w:t>
      </w:r>
      <w:r w:rsidR="00F74337" w:rsidRPr="0010587A">
        <w:t>percent</w:t>
      </w:r>
      <w:r w:rsidR="00BF794D" w:rsidRPr="0010587A">
        <w:t xml:space="preserve"> will be met. </w:t>
      </w:r>
    </w:p>
    <w:p w14:paraId="1B8C8548" w14:textId="7CC16A3B" w:rsidR="00EE275B" w:rsidRPr="0010587A" w:rsidRDefault="00EE275B" w:rsidP="00951E08">
      <w:pPr>
        <w:pStyle w:val="Intro"/>
      </w:pPr>
      <w:r w:rsidRPr="0010587A">
        <w:t>Minimum participation levels</w:t>
      </w:r>
      <w:r w:rsidR="004647EB" w:rsidRPr="0010587A">
        <w:t xml:space="preserve"> based on 2012 </w:t>
      </w:r>
      <w:r w:rsidR="0010587A">
        <w:t>analysis</w:t>
      </w:r>
    </w:p>
    <w:p w14:paraId="78E1D7B2" w14:textId="364525EA" w:rsidR="00EE275B" w:rsidRPr="0010587A" w:rsidRDefault="004647EB" w:rsidP="002C440C">
      <w:pPr>
        <w:rPr>
          <w:i/>
          <w:lang w:eastAsia="en-US"/>
        </w:rPr>
      </w:pPr>
      <w:r w:rsidRPr="0010587A">
        <w:rPr>
          <w:i/>
        </w:rPr>
        <w:t>Historical d</w:t>
      </w:r>
      <w:r w:rsidR="00EE275B" w:rsidRPr="0010587A">
        <w:rPr>
          <w:i/>
        </w:rPr>
        <w:t>ata analysis used in determining the minimum participation levels</w:t>
      </w:r>
    </w:p>
    <w:p w14:paraId="2FC3BF14" w14:textId="74C20E09" w:rsidR="00E7439E" w:rsidRPr="0010587A" w:rsidRDefault="00EE275B" w:rsidP="002C440C">
      <w:r w:rsidRPr="0010587A">
        <w:t>The following datasets were received and reviewed:</w:t>
      </w:r>
    </w:p>
    <w:p w14:paraId="68D370EA" w14:textId="31A71791" w:rsidR="00EE275B" w:rsidRPr="0010587A" w:rsidRDefault="00EE275B" w:rsidP="007B51EC">
      <w:pPr>
        <w:pStyle w:val="ListParagraph"/>
        <w:numPr>
          <w:ilvl w:val="0"/>
          <w:numId w:val="7"/>
        </w:numPr>
        <w:spacing w:before="60" w:after="60"/>
        <w:ind w:left="714" w:hanging="357"/>
      </w:pPr>
      <w:r w:rsidRPr="0010587A">
        <w:t xml:space="preserve">The published </w:t>
      </w:r>
      <w:r w:rsidR="0010587A">
        <w:t>cost weight tables for Round 13 (2008-09)</w:t>
      </w:r>
    </w:p>
    <w:p w14:paraId="129F9D2C" w14:textId="2B795037" w:rsidR="00EE275B" w:rsidRPr="0010587A" w:rsidRDefault="00EE275B" w:rsidP="007B51EC">
      <w:pPr>
        <w:pStyle w:val="ListParagraph"/>
        <w:numPr>
          <w:ilvl w:val="0"/>
          <w:numId w:val="7"/>
        </w:numPr>
        <w:spacing w:before="60" w:after="60"/>
        <w:ind w:left="714" w:hanging="357"/>
      </w:pPr>
      <w:r w:rsidRPr="0010587A">
        <w:t>A summary of the NHCDC sample for Round 13 a</w:t>
      </w:r>
      <w:r w:rsidR="004647EB" w:rsidRPr="0010587A">
        <w:t xml:space="preserve">nd Round 14, by hospital and </w:t>
      </w:r>
      <w:r w:rsidR="0010587A">
        <w:t>DRG, for the overnight sector</w:t>
      </w:r>
    </w:p>
    <w:p w14:paraId="0386210F" w14:textId="5BBCC789" w:rsidR="00E7439E" w:rsidRPr="0010587A" w:rsidRDefault="00EE275B" w:rsidP="007B51EC">
      <w:pPr>
        <w:pStyle w:val="ListParagraph"/>
        <w:numPr>
          <w:ilvl w:val="0"/>
          <w:numId w:val="7"/>
        </w:numPr>
        <w:ind w:left="714" w:hanging="357"/>
      </w:pPr>
      <w:r w:rsidRPr="0010587A">
        <w:t xml:space="preserve">From the </w:t>
      </w:r>
      <w:r w:rsidR="00135776" w:rsidRPr="0010587A">
        <w:t>PHDB</w:t>
      </w:r>
      <w:r w:rsidRPr="0010587A">
        <w:t xml:space="preserve"> dataset: a summary of the population levels of activity, showing the total number of separations by hospital in-scope for the collection (at least 200 separations), for Round 13 and Rou</w:t>
      </w:r>
      <w:r w:rsidR="0010587A">
        <w:t>nd 14, for the overnight sector</w:t>
      </w:r>
    </w:p>
    <w:p w14:paraId="69E528DC" w14:textId="0613D69E" w:rsidR="00EE275B" w:rsidRPr="0010587A" w:rsidRDefault="00EE275B" w:rsidP="007B51EC">
      <w:pPr>
        <w:pStyle w:val="ListParagraph"/>
        <w:numPr>
          <w:ilvl w:val="0"/>
          <w:numId w:val="7"/>
        </w:numPr>
        <w:ind w:left="714" w:hanging="357"/>
      </w:pPr>
      <w:r w:rsidRPr="0010587A">
        <w:t xml:space="preserve">From the PHDB dataset: a summary of the population levels of activity, </w:t>
      </w:r>
      <w:r w:rsidR="008C3232">
        <w:t>A</w:t>
      </w:r>
      <w:r w:rsidR="0010587A">
        <w:t xml:space="preserve">verage </w:t>
      </w:r>
      <w:r w:rsidR="008C3232">
        <w:t>L</w:t>
      </w:r>
      <w:r w:rsidR="0010587A">
        <w:t xml:space="preserve">ength of </w:t>
      </w:r>
      <w:r w:rsidR="008C3232">
        <w:t>S</w:t>
      </w:r>
      <w:r w:rsidR="0010587A" w:rsidRPr="0010587A">
        <w:t>tay</w:t>
      </w:r>
      <w:r w:rsidRPr="0010587A">
        <w:t xml:space="preserve">, and standard deviation of the </w:t>
      </w:r>
      <w:r w:rsidR="0010587A" w:rsidRPr="0010587A">
        <w:t>length of stay</w:t>
      </w:r>
      <w:r w:rsidR="004647EB" w:rsidRPr="0010587A">
        <w:t xml:space="preserve">, by hospital and </w:t>
      </w:r>
      <w:r w:rsidRPr="0010587A">
        <w:t>DRG, for all private hospitals, that is, for private overnight hospitals and private day hospitals.</w:t>
      </w:r>
    </w:p>
    <w:p w14:paraId="12735A8C" w14:textId="076A0AB6" w:rsidR="00E7439E" w:rsidRPr="0010587A" w:rsidRDefault="00EE275B" w:rsidP="002C440C">
      <w:r w:rsidRPr="0010587A">
        <w:t xml:space="preserve">Item 1 above was obtained from the </w:t>
      </w:r>
      <w:r w:rsidR="0010587A" w:rsidRPr="0010587A">
        <w:t>Department of Health</w:t>
      </w:r>
      <w:r w:rsidRPr="0010587A">
        <w:t xml:space="preserve"> website</w:t>
      </w:r>
      <w:r w:rsidRPr="0010587A">
        <w:rPr>
          <w:rStyle w:val="FootnoteReference"/>
          <w:rFonts w:ascii="Georgia" w:hAnsi="Georgia"/>
        </w:rPr>
        <w:footnoteReference w:id="12"/>
      </w:r>
      <w:r w:rsidRPr="0010587A">
        <w:t xml:space="preserve">. Items 2 and 3 above were provided by IHPA. Item 4 above was provided by </w:t>
      </w:r>
      <w:r w:rsidR="0010587A" w:rsidRPr="0010587A">
        <w:t>Department of Health</w:t>
      </w:r>
      <w:r w:rsidRPr="0010587A">
        <w:t xml:space="preserve">. </w:t>
      </w:r>
    </w:p>
    <w:p w14:paraId="6E6566ED" w14:textId="1139B30E" w:rsidR="00E7439E" w:rsidRPr="0010587A" w:rsidRDefault="00EE275B" w:rsidP="002C440C">
      <w:r w:rsidRPr="0010587A">
        <w:t>In order for the NHCDC sample to be representative of the patient population and the population of private hospitals, minimum participation levels have been specified in terms of:</w:t>
      </w:r>
    </w:p>
    <w:p w14:paraId="432A8989" w14:textId="5138CAB6" w:rsidR="00E7439E" w:rsidRPr="0010587A" w:rsidRDefault="00EE275B" w:rsidP="007B51EC">
      <w:pPr>
        <w:pStyle w:val="ListParagraph"/>
        <w:numPr>
          <w:ilvl w:val="0"/>
          <w:numId w:val="8"/>
        </w:numPr>
        <w:spacing w:before="60" w:after="60"/>
        <w:ind w:left="714" w:hanging="357"/>
      </w:pPr>
      <w:r w:rsidRPr="0010587A">
        <w:t>Separation sample size expressed as a percentage of the population levels of activity, where “population” is defined as the total number of separations for hospitals in-scope for the collection. The minimum separation sample size considered to provide sufficient reliability consistent with common statistical practice and historical publication practices was based on the following parameters:</w:t>
      </w:r>
    </w:p>
    <w:p w14:paraId="7179BC4C" w14:textId="51ADACC3" w:rsidR="00EE275B" w:rsidRPr="0010587A" w:rsidRDefault="00EE275B" w:rsidP="007B51EC">
      <w:pPr>
        <w:pStyle w:val="ListParagraph"/>
        <w:numPr>
          <w:ilvl w:val="0"/>
          <w:numId w:val="9"/>
        </w:numPr>
        <w:spacing w:before="60" w:after="60"/>
      </w:pPr>
      <w:r w:rsidRPr="0010587A">
        <w:t>Sta</w:t>
      </w:r>
      <w:r w:rsidR="00476F62" w:rsidRPr="0010587A">
        <w:t xml:space="preserve">ndard deviation of costs per </w:t>
      </w:r>
      <w:r w:rsidRPr="0010587A">
        <w:t>DRG;</w:t>
      </w:r>
    </w:p>
    <w:p w14:paraId="6639A8C4" w14:textId="28BFF1F2" w:rsidR="00EE275B" w:rsidRPr="0010587A" w:rsidRDefault="00EE275B" w:rsidP="007B51EC">
      <w:pPr>
        <w:pStyle w:val="ListParagraph"/>
        <w:numPr>
          <w:ilvl w:val="0"/>
          <w:numId w:val="9"/>
        </w:numPr>
        <w:spacing w:before="60" w:after="60"/>
      </w:pPr>
      <w:r w:rsidRPr="0010587A">
        <w:t>Margin of error in th</w:t>
      </w:r>
      <w:r w:rsidR="00476F62" w:rsidRPr="0010587A">
        <w:t xml:space="preserve">e estimated average cost per </w:t>
      </w:r>
      <w:r w:rsidRPr="0010587A">
        <w:t>DRG; and</w:t>
      </w:r>
    </w:p>
    <w:p w14:paraId="51EB14ED" w14:textId="5919C304" w:rsidR="00E7439E" w:rsidRPr="0010587A" w:rsidRDefault="00EE275B" w:rsidP="007B51EC">
      <w:pPr>
        <w:pStyle w:val="ListParagraph"/>
        <w:numPr>
          <w:ilvl w:val="0"/>
          <w:numId w:val="9"/>
        </w:numPr>
      </w:pPr>
      <w:r w:rsidRPr="0010587A">
        <w:t>Statistical confidence that the estimates fall within the specified margin of error.</w:t>
      </w:r>
    </w:p>
    <w:p w14:paraId="428E9EDD" w14:textId="666323BA" w:rsidR="00E7439E" w:rsidRPr="0010587A" w:rsidRDefault="00EE275B" w:rsidP="002C440C">
      <w:r w:rsidRPr="0010587A">
        <w:t>Parameters (b) and (c) above were informed by reviewing the minimum sample size considered robust enough for publication in the Round 7 to 13 collections and parameter (a) was derived from the Round 13 cost weights.</w:t>
      </w:r>
    </w:p>
    <w:p w14:paraId="4759217E" w14:textId="77777777" w:rsidR="00EE275B" w:rsidRPr="0010587A" w:rsidRDefault="00EE275B" w:rsidP="007B51EC">
      <w:pPr>
        <w:pStyle w:val="ListParagraph"/>
        <w:numPr>
          <w:ilvl w:val="0"/>
          <w:numId w:val="8"/>
        </w:numPr>
        <w:spacing w:before="60" w:after="60"/>
        <w:ind w:left="714" w:hanging="357"/>
      </w:pPr>
      <w:r w:rsidRPr="0010587A">
        <w:t xml:space="preserve">The minimum number of hospitals that are required to participate, in aggregate and by hospital characteristic, to ensure that the collection is representative of the population of private hospitals; and </w:t>
      </w:r>
    </w:p>
    <w:p w14:paraId="74716B29" w14:textId="36393BC0" w:rsidR="00E7439E" w:rsidRPr="0010587A" w:rsidRDefault="00EE275B" w:rsidP="007B51EC">
      <w:pPr>
        <w:pStyle w:val="ListParagraph"/>
        <w:numPr>
          <w:ilvl w:val="0"/>
          <w:numId w:val="8"/>
        </w:numPr>
        <w:spacing w:before="60" w:after="60"/>
        <w:ind w:left="714" w:hanging="357"/>
      </w:pPr>
      <w:r w:rsidRPr="0010587A">
        <w:t>The minimum number of hospital groups that are required to participate, to ensure that the results represent the population of private hospitals.</w:t>
      </w:r>
    </w:p>
    <w:p w14:paraId="1E579E9B" w14:textId="77777777" w:rsidR="00EE275B" w:rsidRPr="00E4527E" w:rsidRDefault="00EE275B" w:rsidP="00553386">
      <w:pPr>
        <w:pStyle w:val="Intro"/>
        <w:rPr>
          <w:b/>
          <w:highlight w:val="yellow"/>
        </w:rPr>
      </w:pPr>
      <w:r w:rsidRPr="0010587A">
        <w:t>Percentage of population separations</w:t>
      </w:r>
    </w:p>
    <w:p w14:paraId="226C51D7" w14:textId="015C0B4F" w:rsidR="00EE275B" w:rsidRPr="0010587A" w:rsidRDefault="00EE275B" w:rsidP="002C440C">
      <w:r w:rsidRPr="0010587A">
        <w:t>A key objective of the collection is to p</w:t>
      </w:r>
      <w:r w:rsidR="007E6F3B">
        <w:t xml:space="preserve">roduce estimated costs and cost </w:t>
      </w:r>
      <w:r w:rsidRPr="0010587A">
        <w:t>weights by classified activity. The percentage of population separations that is required in a sample depends upon the tolerable “margin of error”, statistical confidence</w:t>
      </w:r>
      <w:r w:rsidRPr="0010587A">
        <w:rPr>
          <w:rStyle w:val="FootnoteReference"/>
          <w:rFonts w:ascii="Georgia" w:hAnsi="Georgia"/>
        </w:rPr>
        <w:footnoteReference w:id="13"/>
      </w:r>
      <w:r w:rsidRPr="0010587A">
        <w:t xml:space="preserve"> required, and the standard deviation of costs.  To obtain an estimate of the ave</w:t>
      </w:r>
      <w:r w:rsidR="00476F62" w:rsidRPr="0010587A">
        <w:t xml:space="preserve">rage episode cost of a given </w:t>
      </w:r>
      <w:r w:rsidRPr="0010587A">
        <w:t xml:space="preserve">DRG, say “k”, within a margin of error </w:t>
      </w:r>
      <w:r w:rsidRPr="0010587A">
        <w:rPr>
          <w:i/>
        </w:rPr>
        <w:t>m</w:t>
      </w:r>
      <w:r w:rsidRPr="0010587A">
        <w:t xml:space="preserve"> and with </w:t>
      </w:r>
      <w:r w:rsidR="00476F62" w:rsidRPr="0010587A">
        <w:rPr>
          <w:i/>
        </w:rPr>
        <w:t xml:space="preserve">x </w:t>
      </w:r>
      <w:r w:rsidR="00F74337" w:rsidRPr="0010587A">
        <w:rPr>
          <w:i/>
        </w:rPr>
        <w:t>percent</w:t>
      </w:r>
      <w:r w:rsidRPr="0010587A">
        <w:t xml:space="preserve"> confidence, </w:t>
      </w:r>
      <w:r w:rsidR="00476F62" w:rsidRPr="0010587A">
        <w:t xml:space="preserve">the required sample size for </w:t>
      </w:r>
      <w:r w:rsidRPr="0010587A">
        <w:t>DRG(k) is:</w:t>
      </w:r>
    </w:p>
    <w:p w14:paraId="308C5B0E" w14:textId="77777777" w:rsidR="00EE275B" w:rsidRPr="0010587A" w:rsidRDefault="00EE275B" w:rsidP="00EE275B">
      <w:pPr>
        <w:pStyle w:val="BodyText"/>
        <w:jc w:val="center"/>
      </w:pPr>
      <m:oMathPara>
        <m:oMathParaPr>
          <m:jc m:val="left"/>
        </m:oMathParaPr>
        <m:oMath>
          <m:r>
            <w:rPr>
              <w:rFonts w:ascii="Cambria Math" w:hAnsi="Cambria Math"/>
            </w:rPr>
            <m:t>sample size of AR-DRG</m:t>
          </m:r>
          <m:d>
            <m:dPr>
              <m:ctrlPr>
                <w:rPr>
                  <w:rFonts w:ascii="Cambria Math" w:hAnsi="Cambria Math"/>
                  <w:i/>
                </w:rPr>
              </m:ctrlPr>
            </m:dPr>
            <m:e>
              <m:r>
                <w:rPr>
                  <w:rFonts w:ascii="Cambria Math" w:hAnsi="Cambria Math"/>
                </w:rPr>
                <m:t>k</m:t>
              </m:r>
            </m:e>
          </m:d>
        </m:oMath>
      </m:oMathPara>
    </w:p>
    <w:p w14:paraId="138DF989" w14:textId="23C98A72" w:rsidR="00EE275B" w:rsidRPr="0010587A" w:rsidRDefault="00EE275B" w:rsidP="00EE275B">
      <w:pPr>
        <w:pStyle w:val="BodyText"/>
        <w:jc w:val="center"/>
        <w:rPr>
          <w:rFonts w:eastAsiaTheme="minorEastAsia"/>
        </w:rPr>
      </w:pPr>
      <m:oMathPara>
        <m:oMath>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Z-score of x</m:t>
                          </m:r>
                        </m:e>
                      </m:d>
                      <m:r>
                        <w:rPr>
                          <w:rFonts w:ascii="Cambria Math" w:hAnsi="Cambria Math"/>
                        </w:rPr>
                        <m:t>×(standard deviation of episode cost for DRG(k))</m:t>
                      </m:r>
                    </m:num>
                    <m:den>
                      <m:r>
                        <w:rPr>
                          <w:rFonts w:ascii="Cambria Math" w:hAnsi="Cambria Math"/>
                        </w:rPr>
                        <m:t>(margin of error m)</m:t>
                      </m:r>
                    </m:den>
                  </m:f>
                </m:e>
              </m:d>
            </m:e>
            <m:sup>
              <m:r>
                <w:rPr>
                  <w:rFonts w:ascii="Cambria Math" w:hAnsi="Cambria Math"/>
                </w:rPr>
                <m:t>2</m:t>
              </m:r>
            </m:sup>
          </m:sSup>
        </m:oMath>
      </m:oMathPara>
    </w:p>
    <w:p w14:paraId="3E28ECCB" w14:textId="73F9E8C2" w:rsidR="00E7439E" w:rsidRPr="0010587A" w:rsidRDefault="00EE275B" w:rsidP="002C440C">
      <w:r w:rsidRPr="0010587A">
        <w:t xml:space="preserve">A dataset with a lower margin of error, higher statistical confidence, and higher standard deviation, will require a larger sample size. </w:t>
      </w:r>
      <w:r w:rsidR="00476F62" w:rsidRPr="0010587A">
        <w:t xml:space="preserve">The standard deviation of each </w:t>
      </w:r>
      <w:r w:rsidRPr="0010587A">
        <w:t>DRG varies, and so the</w:t>
      </w:r>
      <w:r w:rsidR="00476F62" w:rsidRPr="0010587A">
        <w:t xml:space="preserve"> sample size required for each </w:t>
      </w:r>
      <w:r w:rsidRPr="0010587A">
        <w:t>DRG (given the same parameters for error and confidence) will vary. However, given that the NHCDC collection is a voluntary one, it will be impossible to achieve target samples for each DRG. Hence, the sample sizes across all DRGs were aggregated. In performing this aggregation, two weighting methods were investigated:</w:t>
      </w:r>
    </w:p>
    <w:p w14:paraId="59C4B533" w14:textId="16A2859B" w:rsidR="00EE275B" w:rsidRPr="0010587A" w:rsidRDefault="00EE275B" w:rsidP="007B51EC">
      <w:pPr>
        <w:pStyle w:val="ListParagraph"/>
        <w:numPr>
          <w:ilvl w:val="0"/>
          <w:numId w:val="17"/>
        </w:numPr>
        <w:spacing w:before="60" w:after="60"/>
      </w:pPr>
      <w:r w:rsidRPr="0010587A">
        <w:t>Number of separations by DRG;</w:t>
      </w:r>
    </w:p>
    <w:p w14:paraId="43110CF9" w14:textId="1EE23231" w:rsidR="00E7439E" w:rsidRPr="0010587A" w:rsidRDefault="00476F62" w:rsidP="007B51EC">
      <w:pPr>
        <w:pStyle w:val="ListParagraph"/>
        <w:numPr>
          <w:ilvl w:val="0"/>
          <w:numId w:val="17"/>
        </w:numPr>
        <w:spacing w:before="60" w:after="60"/>
      </w:pPr>
      <w:r w:rsidRPr="0010587A">
        <w:t xml:space="preserve">Total cost by </w:t>
      </w:r>
      <w:r w:rsidR="00EE275B" w:rsidRPr="0010587A">
        <w:t>DRG (number of separations per</w:t>
      </w:r>
      <w:r w:rsidRPr="0010587A">
        <w:t xml:space="preserve"> </w:t>
      </w:r>
      <w:r w:rsidR="00EE275B" w:rsidRPr="0010587A">
        <w:t>DRG multiplied by the average cost per</w:t>
      </w:r>
      <w:r w:rsidRPr="0010587A">
        <w:t xml:space="preserve"> </w:t>
      </w:r>
      <w:r w:rsidR="00EE275B" w:rsidRPr="0010587A">
        <w:t>DRG).</w:t>
      </w:r>
    </w:p>
    <w:p w14:paraId="153F66F8" w14:textId="77777777" w:rsidR="007B51EC" w:rsidRDefault="007B51EC">
      <w:pPr>
        <w:spacing w:after="0" w:line="240" w:lineRule="auto"/>
        <w:rPr>
          <w:color w:val="008A00"/>
          <w:szCs w:val="30"/>
        </w:rPr>
      </w:pPr>
      <w:r>
        <w:br w:type="page"/>
      </w:r>
    </w:p>
    <w:p w14:paraId="669D2A95" w14:textId="61690706" w:rsidR="00423BB2" w:rsidRPr="0010587A" w:rsidRDefault="00423BB2" w:rsidP="00423BB2">
      <w:pPr>
        <w:pStyle w:val="Intro"/>
      </w:pPr>
      <w:r w:rsidRPr="0010587A">
        <w:t>Outcome of analysis</w:t>
      </w:r>
    </w:p>
    <w:p w14:paraId="77195E98" w14:textId="5DF22ECD" w:rsidR="002C0A9D" w:rsidRPr="003E5409" w:rsidRDefault="00423BB2" w:rsidP="002C0A9D">
      <w:r w:rsidRPr="003E5409">
        <w:t xml:space="preserve">Based on the above analysis, historically IHPA agreed that for the private overnight NHCDC the minimum target participation rate would be 60 </w:t>
      </w:r>
      <w:r w:rsidR="00F74337" w:rsidRPr="003E5409">
        <w:t>percent</w:t>
      </w:r>
      <w:r w:rsidRPr="003E5409">
        <w:t xml:space="preserve"> in order to achieve a robust sample</w:t>
      </w:r>
      <w:r w:rsidRPr="003E5409">
        <w:rPr>
          <w:rStyle w:val="FootnoteReference"/>
          <w:rFonts w:ascii="Georgia" w:hAnsi="Georgia"/>
        </w:rPr>
        <w:footnoteReference w:id="14"/>
      </w:r>
      <w:r w:rsidR="003E5409" w:rsidRPr="003E5409">
        <w:t>. For Round 21</w:t>
      </w:r>
      <w:r w:rsidRPr="003E5409">
        <w:t>, the participation rate achieved was 5</w:t>
      </w:r>
      <w:r w:rsidR="003E5409" w:rsidRPr="003E5409">
        <w:t>9</w:t>
      </w:r>
      <w:r w:rsidRPr="003E5409">
        <w:t xml:space="preserve"> </w:t>
      </w:r>
      <w:r w:rsidR="00F74337" w:rsidRPr="003E5409">
        <w:t>percent</w:t>
      </w:r>
      <w:r w:rsidR="003E5409" w:rsidRPr="003E5409">
        <w:t>, 105</w:t>
      </w:r>
      <w:r w:rsidRPr="003E5409">
        <w:t xml:space="preserve"> h</w:t>
      </w:r>
      <w:r w:rsidR="003E5409" w:rsidRPr="003E5409">
        <w:t>ospitals and 10</w:t>
      </w:r>
      <w:r w:rsidRPr="003E5409">
        <w:t xml:space="preserve"> groups. </w:t>
      </w:r>
      <w:r w:rsidR="003E5409" w:rsidRPr="003E5409">
        <w:t>This participation rate is similar to Round 20 (58 percent), leading to a confidence level of 85 percent and</w:t>
      </w:r>
      <w:r w:rsidR="003E5409">
        <w:t xml:space="preserve"> a </w:t>
      </w:r>
      <w:r w:rsidR="003E5409" w:rsidRPr="003E5409">
        <w:t xml:space="preserve">margin of error of 3 percent as per Table 14 below. </w:t>
      </w:r>
      <w:r w:rsidR="002C0A9D" w:rsidRPr="003E5409">
        <w:t>This participation rate is not expected to significantly impact the validity of the results.</w:t>
      </w:r>
    </w:p>
    <w:p w14:paraId="725F8B7A" w14:textId="7E3604E2" w:rsidR="00C416F7" w:rsidRPr="003E5409" w:rsidRDefault="006654BA" w:rsidP="00E763E2">
      <w:pPr>
        <w:pStyle w:val="TableHeadings3"/>
      </w:pPr>
      <w:bookmarkStart w:id="221" w:name="_Toc497486132"/>
      <w:bookmarkStart w:id="222" w:name="_Toc497488052"/>
      <w:bookmarkStart w:id="223" w:name="_Toc162004"/>
      <w:r w:rsidRPr="003E5409">
        <w:t>Table 14</w:t>
      </w:r>
      <w:r w:rsidR="00913C50">
        <w:t>.</w:t>
      </w:r>
      <w:r w:rsidR="00C416F7" w:rsidRPr="003E5409">
        <w:t xml:space="preserve"> Round 2</w:t>
      </w:r>
      <w:r w:rsidR="003E5409" w:rsidRPr="003E5409">
        <w:t>1</w:t>
      </w:r>
      <w:r w:rsidR="00C416F7" w:rsidRPr="003E5409">
        <w:t xml:space="preserve"> participation rate confidence level and margin of error</w:t>
      </w:r>
      <w:bookmarkEnd w:id="221"/>
      <w:bookmarkEnd w:id="222"/>
      <w:bookmarkEnd w:id="223"/>
    </w:p>
    <w:tbl>
      <w:tblPr>
        <w:tblStyle w:val="PlainTable31"/>
        <w:tblW w:w="0" w:type="auto"/>
        <w:tblInd w:w="108" w:type="dxa"/>
        <w:tblLook w:val="04A0" w:firstRow="1" w:lastRow="0" w:firstColumn="1" w:lastColumn="0" w:noHBand="0" w:noVBand="1"/>
      </w:tblPr>
      <w:tblGrid>
        <w:gridCol w:w="1524"/>
        <w:gridCol w:w="842"/>
        <w:gridCol w:w="1045"/>
        <w:gridCol w:w="909"/>
        <w:gridCol w:w="908"/>
        <w:gridCol w:w="911"/>
      </w:tblGrid>
      <w:tr w:rsidR="0065448B" w:rsidRPr="00AD580E" w14:paraId="0285D70D" w14:textId="77777777" w:rsidTr="00913C50">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1524" w:type="dxa"/>
            <w:tcBorders>
              <w:top w:val="single" w:sz="4" w:space="0" w:color="auto"/>
              <w:bottom w:val="single" w:sz="4" w:space="0" w:color="auto"/>
            </w:tcBorders>
            <w:shd w:val="clear" w:color="auto" w:fill="auto"/>
            <w:noWrap/>
            <w:hideMark/>
          </w:tcPr>
          <w:p w14:paraId="42B80970"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top w:val="single" w:sz="4" w:space="0" w:color="auto"/>
              <w:bottom w:val="single" w:sz="4" w:space="0" w:color="auto"/>
              <w:right w:val="single" w:sz="4" w:space="0" w:color="auto"/>
            </w:tcBorders>
            <w:shd w:val="clear" w:color="auto" w:fill="auto"/>
            <w:noWrap/>
            <w:hideMark/>
          </w:tcPr>
          <w:p w14:paraId="294ED2D9" w14:textId="77777777" w:rsidR="0065448B" w:rsidRPr="00AD580E" w:rsidRDefault="0065448B" w:rsidP="00B92C6C">
            <w:pPr>
              <w:pStyle w:val="Table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 </w:t>
            </w:r>
          </w:p>
        </w:tc>
        <w:tc>
          <w:tcPr>
            <w:tcW w:w="3773" w:type="dxa"/>
            <w:gridSpan w:val="4"/>
            <w:tcBorders>
              <w:top w:val="single" w:sz="4" w:space="0" w:color="auto"/>
              <w:left w:val="single" w:sz="4" w:space="0" w:color="auto"/>
              <w:bottom w:val="single" w:sz="4" w:space="0" w:color="auto"/>
            </w:tcBorders>
            <w:shd w:val="clear" w:color="auto" w:fill="D9D9D9" w:themeFill="background1" w:themeFillShade="D9"/>
            <w:noWrap/>
            <w:hideMark/>
          </w:tcPr>
          <w:p w14:paraId="4FFB9B68" w14:textId="77777777" w:rsidR="0065448B" w:rsidRPr="00AD580E" w:rsidRDefault="0065448B" w:rsidP="00B92C6C">
            <w:pPr>
              <w:pStyle w:val="TableText"/>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sz w:val="16"/>
                <w:szCs w:val="16"/>
              </w:rPr>
            </w:pPr>
            <w:r w:rsidRPr="00AD580E">
              <w:rPr>
                <w:rFonts w:asciiTheme="minorHAnsi" w:hAnsiTheme="minorHAnsi" w:cstheme="minorHAnsi"/>
                <w:caps w:val="0"/>
                <w:sz w:val="16"/>
                <w:szCs w:val="16"/>
              </w:rPr>
              <w:t>Confidence level</w:t>
            </w:r>
          </w:p>
        </w:tc>
      </w:tr>
      <w:tr w:rsidR="0065448B" w:rsidRPr="00AD580E" w14:paraId="24173C89" w14:textId="77777777" w:rsidTr="00913C5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tcBorders>
              <w:top w:val="single" w:sz="4" w:space="0" w:color="auto"/>
              <w:bottom w:val="single" w:sz="4" w:space="0" w:color="auto"/>
              <w:right w:val="single" w:sz="4" w:space="0" w:color="auto"/>
            </w:tcBorders>
            <w:shd w:val="clear" w:color="auto" w:fill="auto"/>
            <w:noWrap/>
            <w:hideMark/>
          </w:tcPr>
          <w:p w14:paraId="6397C145" w14:textId="77777777" w:rsidR="0065448B" w:rsidRPr="00AD580E" w:rsidRDefault="0065448B" w:rsidP="00B92C6C">
            <w:pPr>
              <w:pStyle w:val="TableText"/>
              <w:spacing w:before="20" w:after="20"/>
              <w:rPr>
                <w:rFonts w:asciiTheme="minorHAnsi" w:hAnsiTheme="minorHAnsi" w:cstheme="minorHAnsi"/>
                <w:sz w:val="16"/>
                <w:szCs w:val="16"/>
              </w:rPr>
            </w:pPr>
            <w:r w:rsidRPr="00AD580E">
              <w:rPr>
                <w:rFonts w:asciiTheme="minorHAnsi" w:hAnsiTheme="minorHAnsi" w:cstheme="minorHAnsi"/>
                <w:sz w:val="16"/>
                <w:szCs w:val="16"/>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4FDE7312"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045" w:type="dxa"/>
            <w:tcBorders>
              <w:top w:val="single" w:sz="4" w:space="0" w:color="auto"/>
              <w:left w:val="single" w:sz="4" w:space="0" w:color="auto"/>
              <w:bottom w:val="single" w:sz="4" w:space="0" w:color="auto"/>
            </w:tcBorders>
            <w:shd w:val="clear" w:color="auto" w:fill="D9D9D9" w:themeFill="background1" w:themeFillShade="D9"/>
            <w:noWrap/>
            <w:hideMark/>
          </w:tcPr>
          <w:p w14:paraId="23F165D0"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85%</w:t>
            </w:r>
          </w:p>
        </w:tc>
        <w:tc>
          <w:tcPr>
            <w:tcW w:w="909" w:type="dxa"/>
            <w:tcBorders>
              <w:top w:val="single" w:sz="4" w:space="0" w:color="auto"/>
              <w:bottom w:val="single" w:sz="4" w:space="0" w:color="auto"/>
            </w:tcBorders>
            <w:shd w:val="clear" w:color="auto" w:fill="D9D9D9" w:themeFill="background1" w:themeFillShade="D9"/>
            <w:noWrap/>
            <w:hideMark/>
          </w:tcPr>
          <w:p w14:paraId="7EDBA218"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90%</w:t>
            </w:r>
          </w:p>
        </w:tc>
        <w:tc>
          <w:tcPr>
            <w:tcW w:w="908" w:type="dxa"/>
            <w:tcBorders>
              <w:top w:val="single" w:sz="4" w:space="0" w:color="auto"/>
              <w:bottom w:val="single" w:sz="4" w:space="0" w:color="auto"/>
            </w:tcBorders>
            <w:shd w:val="clear" w:color="auto" w:fill="D9D9D9" w:themeFill="background1" w:themeFillShade="D9"/>
            <w:noWrap/>
            <w:hideMark/>
          </w:tcPr>
          <w:p w14:paraId="4AE66223"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95%</w:t>
            </w:r>
          </w:p>
        </w:tc>
        <w:tc>
          <w:tcPr>
            <w:tcW w:w="911" w:type="dxa"/>
            <w:tcBorders>
              <w:top w:val="single" w:sz="4" w:space="0" w:color="auto"/>
              <w:bottom w:val="single" w:sz="4" w:space="0" w:color="auto"/>
            </w:tcBorders>
            <w:shd w:val="clear" w:color="auto" w:fill="D9D9D9" w:themeFill="background1" w:themeFillShade="D9"/>
            <w:noWrap/>
            <w:hideMark/>
          </w:tcPr>
          <w:p w14:paraId="034FB674"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99%</w:t>
            </w:r>
          </w:p>
        </w:tc>
      </w:tr>
      <w:tr w:rsidR="0065448B" w:rsidRPr="00AD580E" w14:paraId="4CB0C97E" w14:textId="77777777" w:rsidTr="00913C50">
        <w:trPr>
          <w:trHeight w:val="261"/>
        </w:trPr>
        <w:tc>
          <w:tcPr>
            <w:cnfStyle w:val="001000000000" w:firstRow="0" w:lastRow="0" w:firstColumn="1" w:lastColumn="0" w:oddVBand="0" w:evenVBand="0" w:oddHBand="0" w:evenHBand="0" w:firstRowFirstColumn="0" w:firstRowLastColumn="0" w:lastRowFirstColumn="0" w:lastRowLastColumn="0"/>
            <w:tcW w:w="1524" w:type="dxa"/>
            <w:tcBorders>
              <w:top w:val="single" w:sz="4" w:space="0" w:color="auto"/>
              <w:right w:val="single" w:sz="4" w:space="0" w:color="auto"/>
            </w:tcBorders>
            <w:shd w:val="clear" w:color="auto" w:fill="D9D9D9" w:themeFill="background1" w:themeFillShade="D9"/>
            <w:noWrap/>
            <w:hideMark/>
          </w:tcPr>
          <w:p w14:paraId="2A7A16AF" w14:textId="77777777" w:rsidR="0065448B" w:rsidRPr="00AD580E" w:rsidRDefault="0065448B" w:rsidP="00B92C6C">
            <w:pPr>
              <w:pStyle w:val="TableText"/>
              <w:spacing w:before="20" w:after="20"/>
              <w:rPr>
                <w:rFonts w:asciiTheme="minorHAnsi" w:hAnsiTheme="minorHAnsi" w:cstheme="minorHAnsi"/>
                <w:sz w:val="16"/>
                <w:szCs w:val="16"/>
              </w:rPr>
            </w:pPr>
            <w:r w:rsidRPr="00AD580E">
              <w:rPr>
                <w:rFonts w:asciiTheme="minorHAnsi" w:hAnsiTheme="minorHAnsi" w:cstheme="minorHAnsi"/>
                <w:sz w:val="16"/>
                <w:szCs w:val="16"/>
              </w:rPr>
              <w:t> </w:t>
            </w:r>
          </w:p>
        </w:tc>
        <w:tc>
          <w:tcPr>
            <w:tcW w:w="842" w:type="dxa"/>
            <w:tcBorders>
              <w:top w:val="single" w:sz="4" w:space="0" w:color="auto"/>
              <w:left w:val="single" w:sz="4" w:space="0" w:color="auto"/>
              <w:right w:val="single" w:sz="4" w:space="0" w:color="auto"/>
            </w:tcBorders>
            <w:shd w:val="clear" w:color="auto" w:fill="D9D9D9" w:themeFill="background1" w:themeFillShade="D9"/>
            <w:noWrap/>
            <w:hideMark/>
          </w:tcPr>
          <w:p w14:paraId="28C509EC"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1%</w:t>
            </w:r>
          </w:p>
        </w:tc>
        <w:tc>
          <w:tcPr>
            <w:tcW w:w="1045" w:type="dxa"/>
            <w:tcBorders>
              <w:top w:val="single" w:sz="4" w:space="0" w:color="auto"/>
              <w:left w:val="single" w:sz="4" w:space="0" w:color="auto"/>
            </w:tcBorders>
            <w:noWrap/>
            <w:hideMark/>
          </w:tcPr>
          <w:p w14:paraId="2A1A6E1D"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87%</w:t>
            </w:r>
          </w:p>
        </w:tc>
        <w:tc>
          <w:tcPr>
            <w:tcW w:w="909" w:type="dxa"/>
            <w:tcBorders>
              <w:top w:val="single" w:sz="4" w:space="0" w:color="auto"/>
            </w:tcBorders>
            <w:noWrap/>
            <w:hideMark/>
          </w:tcPr>
          <w:p w14:paraId="52FF1E09"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88%</w:t>
            </w:r>
          </w:p>
        </w:tc>
        <w:tc>
          <w:tcPr>
            <w:tcW w:w="908" w:type="dxa"/>
            <w:tcBorders>
              <w:top w:val="single" w:sz="4" w:space="0" w:color="auto"/>
            </w:tcBorders>
            <w:noWrap/>
            <w:hideMark/>
          </w:tcPr>
          <w:p w14:paraId="20300E65"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90%</w:t>
            </w:r>
          </w:p>
        </w:tc>
        <w:tc>
          <w:tcPr>
            <w:tcW w:w="911" w:type="dxa"/>
            <w:tcBorders>
              <w:top w:val="single" w:sz="4" w:space="0" w:color="auto"/>
            </w:tcBorders>
            <w:noWrap/>
            <w:hideMark/>
          </w:tcPr>
          <w:p w14:paraId="6EA50B56"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92%</w:t>
            </w:r>
          </w:p>
        </w:tc>
      </w:tr>
      <w:tr w:rsidR="0065448B" w:rsidRPr="00AD580E" w14:paraId="11F2DF50" w14:textId="77777777" w:rsidTr="00913C5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val="restart"/>
            <w:tcBorders>
              <w:right w:val="single" w:sz="4" w:space="0" w:color="auto"/>
            </w:tcBorders>
            <w:shd w:val="clear" w:color="auto" w:fill="D9D9D9" w:themeFill="background1" w:themeFillShade="D9"/>
            <w:vAlign w:val="center"/>
            <w:hideMark/>
          </w:tcPr>
          <w:p w14:paraId="352ECC27" w14:textId="77777777" w:rsidR="0065448B" w:rsidRPr="00AD580E" w:rsidRDefault="0065448B" w:rsidP="00B92C6C">
            <w:pPr>
              <w:pStyle w:val="TableText"/>
              <w:spacing w:before="20" w:after="20"/>
              <w:rPr>
                <w:rFonts w:asciiTheme="minorHAnsi" w:hAnsiTheme="minorHAnsi" w:cstheme="minorHAnsi"/>
                <w:sz w:val="16"/>
                <w:szCs w:val="16"/>
              </w:rPr>
            </w:pPr>
            <w:r w:rsidRPr="00AD580E">
              <w:rPr>
                <w:rFonts w:asciiTheme="minorHAnsi" w:hAnsiTheme="minorHAnsi" w:cstheme="minorHAnsi"/>
                <w:caps w:val="0"/>
                <w:sz w:val="16"/>
                <w:szCs w:val="16"/>
              </w:rPr>
              <w:t>Margin of error per DRG class (%)</w:t>
            </w:r>
          </w:p>
        </w:tc>
        <w:tc>
          <w:tcPr>
            <w:tcW w:w="842" w:type="dxa"/>
            <w:tcBorders>
              <w:left w:val="single" w:sz="4" w:space="0" w:color="auto"/>
              <w:right w:val="single" w:sz="4" w:space="0" w:color="auto"/>
            </w:tcBorders>
            <w:shd w:val="clear" w:color="auto" w:fill="D9D9D9" w:themeFill="background1" w:themeFillShade="D9"/>
            <w:noWrap/>
            <w:hideMark/>
          </w:tcPr>
          <w:p w14:paraId="5F5AC4CA"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w:t>
            </w:r>
          </w:p>
        </w:tc>
        <w:tc>
          <w:tcPr>
            <w:tcW w:w="1045" w:type="dxa"/>
            <w:tcBorders>
              <w:left w:val="single" w:sz="4" w:space="0" w:color="auto"/>
            </w:tcBorders>
            <w:noWrap/>
            <w:hideMark/>
          </w:tcPr>
          <w:p w14:paraId="383C644E"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72%</w:t>
            </w:r>
          </w:p>
        </w:tc>
        <w:tc>
          <w:tcPr>
            <w:tcW w:w="909" w:type="dxa"/>
            <w:noWrap/>
            <w:hideMark/>
          </w:tcPr>
          <w:p w14:paraId="7FE0E5E4"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75%</w:t>
            </w:r>
          </w:p>
        </w:tc>
        <w:tc>
          <w:tcPr>
            <w:tcW w:w="908" w:type="dxa"/>
            <w:noWrap/>
            <w:hideMark/>
          </w:tcPr>
          <w:p w14:paraId="71E048B2"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80%</w:t>
            </w:r>
          </w:p>
        </w:tc>
        <w:tc>
          <w:tcPr>
            <w:tcW w:w="911" w:type="dxa"/>
            <w:noWrap/>
            <w:hideMark/>
          </w:tcPr>
          <w:p w14:paraId="4451D205"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85%</w:t>
            </w:r>
          </w:p>
        </w:tc>
      </w:tr>
      <w:tr w:rsidR="0065448B" w:rsidRPr="00AD580E" w14:paraId="019084A7" w14:textId="77777777" w:rsidTr="00913C50">
        <w:trPr>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2D6DBD35"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6600561F"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w:t>
            </w:r>
          </w:p>
        </w:tc>
        <w:tc>
          <w:tcPr>
            <w:tcW w:w="1045" w:type="dxa"/>
            <w:tcBorders>
              <w:left w:val="single" w:sz="4" w:space="0" w:color="auto"/>
            </w:tcBorders>
            <w:shd w:val="clear" w:color="auto" w:fill="006700" w:themeFill="accent2" w:themeFillShade="BF"/>
            <w:noWrap/>
            <w:hideMark/>
          </w:tcPr>
          <w:p w14:paraId="35F4C21F"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59%</w:t>
            </w:r>
          </w:p>
        </w:tc>
        <w:tc>
          <w:tcPr>
            <w:tcW w:w="909" w:type="dxa"/>
            <w:noWrap/>
            <w:hideMark/>
          </w:tcPr>
          <w:p w14:paraId="09C7F775"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63%</w:t>
            </w:r>
          </w:p>
        </w:tc>
        <w:tc>
          <w:tcPr>
            <w:tcW w:w="908" w:type="dxa"/>
            <w:noWrap/>
            <w:hideMark/>
          </w:tcPr>
          <w:p w14:paraId="576CEEF6"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69%</w:t>
            </w:r>
          </w:p>
        </w:tc>
        <w:tc>
          <w:tcPr>
            <w:tcW w:w="911" w:type="dxa"/>
            <w:noWrap/>
            <w:hideMark/>
          </w:tcPr>
          <w:p w14:paraId="09183AB2"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77%</w:t>
            </w:r>
          </w:p>
        </w:tc>
      </w:tr>
      <w:tr w:rsidR="0065448B" w:rsidRPr="00AD580E" w14:paraId="07ED7969" w14:textId="77777777" w:rsidTr="00913C5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203DA0CF"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774EEA22"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w:t>
            </w:r>
          </w:p>
        </w:tc>
        <w:tc>
          <w:tcPr>
            <w:tcW w:w="1045" w:type="dxa"/>
            <w:tcBorders>
              <w:left w:val="single" w:sz="4" w:space="0" w:color="auto"/>
            </w:tcBorders>
            <w:noWrap/>
            <w:hideMark/>
          </w:tcPr>
          <w:p w14:paraId="297903E4"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49%</w:t>
            </w:r>
          </w:p>
        </w:tc>
        <w:tc>
          <w:tcPr>
            <w:tcW w:w="909" w:type="dxa"/>
            <w:noWrap/>
            <w:hideMark/>
          </w:tcPr>
          <w:p w14:paraId="22970258"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53%</w:t>
            </w:r>
          </w:p>
        </w:tc>
        <w:tc>
          <w:tcPr>
            <w:tcW w:w="908" w:type="dxa"/>
            <w:noWrap/>
            <w:hideMark/>
          </w:tcPr>
          <w:p w14:paraId="1641AC82"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60%</w:t>
            </w:r>
          </w:p>
        </w:tc>
        <w:tc>
          <w:tcPr>
            <w:tcW w:w="911" w:type="dxa"/>
            <w:noWrap/>
            <w:hideMark/>
          </w:tcPr>
          <w:p w14:paraId="7083B617"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69%</w:t>
            </w:r>
          </w:p>
        </w:tc>
      </w:tr>
      <w:tr w:rsidR="0065448B" w:rsidRPr="00AD580E" w14:paraId="56330ADC" w14:textId="77777777" w:rsidTr="00913C50">
        <w:trPr>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3C575795"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7DC7CFEF"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5%</w:t>
            </w:r>
          </w:p>
        </w:tc>
        <w:tc>
          <w:tcPr>
            <w:tcW w:w="1045" w:type="dxa"/>
            <w:tcBorders>
              <w:left w:val="single" w:sz="4" w:space="0" w:color="auto"/>
            </w:tcBorders>
            <w:noWrap/>
            <w:hideMark/>
          </w:tcPr>
          <w:p w14:paraId="7580F7BC"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40%</w:t>
            </w:r>
          </w:p>
        </w:tc>
        <w:tc>
          <w:tcPr>
            <w:tcW w:w="909" w:type="dxa"/>
            <w:noWrap/>
            <w:hideMark/>
          </w:tcPr>
          <w:p w14:paraId="6FACE77F"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45%</w:t>
            </w:r>
          </w:p>
        </w:tc>
        <w:tc>
          <w:tcPr>
            <w:tcW w:w="908" w:type="dxa"/>
            <w:noWrap/>
            <w:hideMark/>
          </w:tcPr>
          <w:p w14:paraId="5739EB3F"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52%</w:t>
            </w:r>
          </w:p>
        </w:tc>
        <w:tc>
          <w:tcPr>
            <w:tcW w:w="911" w:type="dxa"/>
            <w:noWrap/>
            <w:hideMark/>
          </w:tcPr>
          <w:p w14:paraId="6402B051"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61%</w:t>
            </w:r>
          </w:p>
        </w:tc>
      </w:tr>
      <w:tr w:rsidR="0065448B" w:rsidRPr="00AD580E" w14:paraId="7A85709B" w14:textId="77777777" w:rsidTr="00913C5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7F34884A"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1D5D6E14"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6%</w:t>
            </w:r>
          </w:p>
        </w:tc>
        <w:tc>
          <w:tcPr>
            <w:tcW w:w="1045" w:type="dxa"/>
            <w:tcBorders>
              <w:left w:val="single" w:sz="4" w:space="0" w:color="auto"/>
            </w:tcBorders>
            <w:shd w:val="clear" w:color="auto" w:fill="808080" w:themeFill="background1" w:themeFillShade="80"/>
            <w:noWrap/>
            <w:hideMark/>
          </w:tcPr>
          <w:p w14:paraId="2454BE06"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34%</w:t>
            </w:r>
          </w:p>
        </w:tc>
        <w:tc>
          <w:tcPr>
            <w:tcW w:w="909" w:type="dxa"/>
            <w:noWrap/>
            <w:hideMark/>
          </w:tcPr>
          <w:p w14:paraId="620AADF7"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39%</w:t>
            </w:r>
          </w:p>
        </w:tc>
        <w:tc>
          <w:tcPr>
            <w:tcW w:w="908" w:type="dxa"/>
            <w:noWrap/>
            <w:hideMark/>
          </w:tcPr>
          <w:p w14:paraId="4EC0C900"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45%</w:t>
            </w:r>
          </w:p>
        </w:tc>
        <w:tc>
          <w:tcPr>
            <w:tcW w:w="911" w:type="dxa"/>
            <w:noWrap/>
            <w:hideMark/>
          </w:tcPr>
          <w:p w14:paraId="54EBF0E5"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55%</w:t>
            </w:r>
          </w:p>
        </w:tc>
      </w:tr>
      <w:tr w:rsidR="0065448B" w:rsidRPr="00AD580E" w14:paraId="523B7E49" w14:textId="77777777" w:rsidTr="00913C50">
        <w:trPr>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6C3DEE54"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1EED0EAB"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7%</w:t>
            </w:r>
          </w:p>
        </w:tc>
        <w:tc>
          <w:tcPr>
            <w:tcW w:w="1045" w:type="dxa"/>
            <w:tcBorders>
              <w:left w:val="single" w:sz="4" w:space="0" w:color="auto"/>
            </w:tcBorders>
            <w:shd w:val="clear" w:color="auto" w:fill="808080" w:themeFill="background1" w:themeFillShade="80"/>
            <w:noWrap/>
            <w:hideMark/>
          </w:tcPr>
          <w:p w14:paraId="07587D3B"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29%</w:t>
            </w:r>
          </w:p>
        </w:tc>
        <w:tc>
          <w:tcPr>
            <w:tcW w:w="909" w:type="dxa"/>
            <w:shd w:val="clear" w:color="auto" w:fill="808080" w:themeFill="background1" w:themeFillShade="80"/>
            <w:noWrap/>
            <w:hideMark/>
          </w:tcPr>
          <w:p w14:paraId="68C9025E"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33%</w:t>
            </w:r>
          </w:p>
        </w:tc>
        <w:tc>
          <w:tcPr>
            <w:tcW w:w="908" w:type="dxa"/>
            <w:noWrap/>
            <w:hideMark/>
          </w:tcPr>
          <w:p w14:paraId="026CCA5C"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39%</w:t>
            </w:r>
          </w:p>
        </w:tc>
        <w:tc>
          <w:tcPr>
            <w:tcW w:w="911" w:type="dxa"/>
            <w:noWrap/>
            <w:hideMark/>
          </w:tcPr>
          <w:p w14:paraId="229BE8B7"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49%</w:t>
            </w:r>
          </w:p>
        </w:tc>
      </w:tr>
      <w:tr w:rsidR="0065448B" w:rsidRPr="00AD580E" w14:paraId="22D25A36" w14:textId="77777777" w:rsidTr="00913C5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4F68A424"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7C6DC8F3"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8%</w:t>
            </w:r>
          </w:p>
        </w:tc>
        <w:tc>
          <w:tcPr>
            <w:tcW w:w="1045" w:type="dxa"/>
            <w:tcBorders>
              <w:left w:val="single" w:sz="4" w:space="0" w:color="auto"/>
            </w:tcBorders>
            <w:shd w:val="clear" w:color="auto" w:fill="808080" w:themeFill="background1" w:themeFillShade="80"/>
            <w:noWrap/>
            <w:hideMark/>
          </w:tcPr>
          <w:p w14:paraId="1AC3043F"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25%</w:t>
            </w:r>
          </w:p>
        </w:tc>
        <w:tc>
          <w:tcPr>
            <w:tcW w:w="909" w:type="dxa"/>
            <w:shd w:val="clear" w:color="auto" w:fill="808080" w:themeFill="background1" w:themeFillShade="80"/>
            <w:noWrap/>
            <w:hideMark/>
          </w:tcPr>
          <w:p w14:paraId="4686A301"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29%</w:t>
            </w:r>
          </w:p>
        </w:tc>
        <w:tc>
          <w:tcPr>
            <w:tcW w:w="908" w:type="dxa"/>
            <w:shd w:val="clear" w:color="auto" w:fill="808080" w:themeFill="background1" w:themeFillShade="80"/>
            <w:noWrap/>
            <w:hideMark/>
          </w:tcPr>
          <w:p w14:paraId="36282718"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35%</w:t>
            </w:r>
          </w:p>
        </w:tc>
        <w:tc>
          <w:tcPr>
            <w:tcW w:w="911" w:type="dxa"/>
            <w:noWrap/>
            <w:hideMark/>
          </w:tcPr>
          <w:p w14:paraId="3D70935E"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44%</w:t>
            </w:r>
          </w:p>
        </w:tc>
      </w:tr>
      <w:tr w:rsidR="0065448B" w:rsidRPr="00AD580E" w14:paraId="3D2B6EDB" w14:textId="77777777" w:rsidTr="00913C50">
        <w:trPr>
          <w:trHeight w:val="261"/>
        </w:trPr>
        <w:tc>
          <w:tcPr>
            <w:cnfStyle w:val="001000000000" w:firstRow="0" w:lastRow="0" w:firstColumn="1" w:lastColumn="0" w:oddVBand="0" w:evenVBand="0" w:oddHBand="0" w:evenHBand="0" w:firstRowFirstColumn="0" w:firstRowLastColumn="0" w:lastRowFirstColumn="0" w:lastRowLastColumn="0"/>
            <w:tcW w:w="1524" w:type="dxa"/>
            <w:vMerge/>
            <w:tcBorders>
              <w:right w:val="single" w:sz="4" w:space="0" w:color="auto"/>
            </w:tcBorders>
            <w:shd w:val="clear" w:color="auto" w:fill="D9D9D9" w:themeFill="background1" w:themeFillShade="D9"/>
            <w:hideMark/>
          </w:tcPr>
          <w:p w14:paraId="7ADB9405" w14:textId="77777777" w:rsidR="0065448B" w:rsidRPr="00AD580E" w:rsidRDefault="0065448B" w:rsidP="00B92C6C">
            <w:pPr>
              <w:pStyle w:val="TableText"/>
              <w:spacing w:before="20" w:after="20"/>
              <w:rPr>
                <w:rFonts w:asciiTheme="minorHAnsi" w:hAnsiTheme="minorHAnsi" w:cstheme="minorHAnsi"/>
                <w:sz w:val="16"/>
                <w:szCs w:val="16"/>
              </w:rPr>
            </w:pPr>
          </w:p>
        </w:tc>
        <w:tc>
          <w:tcPr>
            <w:tcW w:w="842" w:type="dxa"/>
            <w:tcBorders>
              <w:left w:val="single" w:sz="4" w:space="0" w:color="auto"/>
              <w:right w:val="single" w:sz="4" w:space="0" w:color="auto"/>
            </w:tcBorders>
            <w:shd w:val="clear" w:color="auto" w:fill="D9D9D9" w:themeFill="background1" w:themeFillShade="D9"/>
            <w:noWrap/>
            <w:hideMark/>
          </w:tcPr>
          <w:p w14:paraId="54CA6BD1"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9%</w:t>
            </w:r>
          </w:p>
        </w:tc>
        <w:tc>
          <w:tcPr>
            <w:tcW w:w="1045" w:type="dxa"/>
            <w:tcBorders>
              <w:left w:val="single" w:sz="4" w:space="0" w:color="auto"/>
            </w:tcBorders>
            <w:shd w:val="clear" w:color="auto" w:fill="808080" w:themeFill="background1" w:themeFillShade="80"/>
            <w:noWrap/>
            <w:hideMark/>
          </w:tcPr>
          <w:p w14:paraId="74970F42"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21%</w:t>
            </w:r>
          </w:p>
        </w:tc>
        <w:tc>
          <w:tcPr>
            <w:tcW w:w="909" w:type="dxa"/>
            <w:shd w:val="clear" w:color="auto" w:fill="808080" w:themeFill="background1" w:themeFillShade="80"/>
            <w:noWrap/>
            <w:hideMark/>
          </w:tcPr>
          <w:p w14:paraId="62314B1D"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25%</w:t>
            </w:r>
          </w:p>
        </w:tc>
        <w:tc>
          <w:tcPr>
            <w:tcW w:w="908" w:type="dxa"/>
            <w:shd w:val="clear" w:color="auto" w:fill="808080" w:themeFill="background1" w:themeFillShade="80"/>
            <w:noWrap/>
            <w:hideMark/>
          </w:tcPr>
          <w:p w14:paraId="181B8635"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31%</w:t>
            </w:r>
          </w:p>
        </w:tc>
        <w:tc>
          <w:tcPr>
            <w:tcW w:w="911" w:type="dxa"/>
            <w:noWrap/>
            <w:hideMark/>
          </w:tcPr>
          <w:p w14:paraId="72F85D97" w14:textId="77777777" w:rsidR="0065448B" w:rsidRPr="00AD580E"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40%</w:t>
            </w:r>
          </w:p>
        </w:tc>
      </w:tr>
      <w:tr w:rsidR="0065448B" w:rsidRPr="00AD580E" w14:paraId="71BA7CDE" w14:textId="77777777" w:rsidTr="00913C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24" w:type="dxa"/>
            <w:tcBorders>
              <w:bottom w:val="single" w:sz="4" w:space="0" w:color="auto"/>
              <w:right w:val="single" w:sz="4" w:space="0" w:color="auto"/>
            </w:tcBorders>
            <w:shd w:val="clear" w:color="auto" w:fill="D9D9D9" w:themeFill="background1" w:themeFillShade="D9"/>
            <w:noWrap/>
            <w:hideMark/>
          </w:tcPr>
          <w:p w14:paraId="46488AEB" w14:textId="77777777" w:rsidR="0065448B" w:rsidRPr="00AD580E" w:rsidRDefault="0065448B" w:rsidP="00B92C6C">
            <w:pPr>
              <w:pStyle w:val="TableText"/>
              <w:spacing w:before="20" w:after="20"/>
              <w:rPr>
                <w:rFonts w:asciiTheme="minorHAnsi" w:hAnsiTheme="minorHAnsi" w:cstheme="minorHAnsi"/>
                <w:sz w:val="16"/>
                <w:szCs w:val="16"/>
              </w:rPr>
            </w:pPr>
            <w:r w:rsidRPr="00AD580E">
              <w:rPr>
                <w:rFonts w:asciiTheme="minorHAnsi" w:hAnsiTheme="minorHAnsi" w:cstheme="minorHAnsi"/>
                <w:sz w:val="16"/>
                <w:szCs w:val="16"/>
              </w:rPr>
              <w:t> </w:t>
            </w:r>
          </w:p>
        </w:tc>
        <w:tc>
          <w:tcPr>
            <w:tcW w:w="842" w:type="dxa"/>
            <w:tcBorders>
              <w:left w:val="single" w:sz="4" w:space="0" w:color="auto"/>
              <w:bottom w:val="single" w:sz="4" w:space="0" w:color="auto"/>
              <w:right w:val="single" w:sz="4" w:space="0" w:color="auto"/>
            </w:tcBorders>
            <w:shd w:val="clear" w:color="auto" w:fill="D9D9D9" w:themeFill="background1" w:themeFillShade="D9"/>
            <w:noWrap/>
            <w:hideMark/>
          </w:tcPr>
          <w:p w14:paraId="68063E86"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10%</w:t>
            </w:r>
          </w:p>
        </w:tc>
        <w:tc>
          <w:tcPr>
            <w:tcW w:w="1045" w:type="dxa"/>
            <w:tcBorders>
              <w:left w:val="single" w:sz="4" w:space="0" w:color="auto"/>
              <w:bottom w:val="single" w:sz="4" w:space="0" w:color="auto"/>
            </w:tcBorders>
            <w:shd w:val="clear" w:color="auto" w:fill="808080" w:themeFill="background1" w:themeFillShade="80"/>
            <w:noWrap/>
            <w:hideMark/>
          </w:tcPr>
          <w:p w14:paraId="52997CC3"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19%</w:t>
            </w:r>
          </w:p>
        </w:tc>
        <w:tc>
          <w:tcPr>
            <w:tcW w:w="909" w:type="dxa"/>
            <w:tcBorders>
              <w:bottom w:val="single" w:sz="4" w:space="0" w:color="auto"/>
            </w:tcBorders>
            <w:shd w:val="clear" w:color="auto" w:fill="808080" w:themeFill="background1" w:themeFillShade="80"/>
            <w:noWrap/>
            <w:hideMark/>
          </w:tcPr>
          <w:p w14:paraId="655415C3"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22%</w:t>
            </w:r>
          </w:p>
        </w:tc>
        <w:tc>
          <w:tcPr>
            <w:tcW w:w="908" w:type="dxa"/>
            <w:tcBorders>
              <w:bottom w:val="single" w:sz="4" w:space="0" w:color="auto"/>
            </w:tcBorders>
            <w:shd w:val="clear" w:color="auto" w:fill="808080" w:themeFill="background1" w:themeFillShade="80"/>
            <w:noWrap/>
            <w:hideMark/>
          </w:tcPr>
          <w:p w14:paraId="65D3BA45"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27%</w:t>
            </w:r>
          </w:p>
        </w:tc>
        <w:tc>
          <w:tcPr>
            <w:tcW w:w="911" w:type="dxa"/>
            <w:tcBorders>
              <w:bottom w:val="single" w:sz="4" w:space="0" w:color="auto"/>
            </w:tcBorders>
            <w:shd w:val="clear" w:color="auto" w:fill="808080" w:themeFill="background1" w:themeFillShade="80"/>
            <w:noWrap/>
            <w:hideMark/>
          </w:tcPr>
          <w:p w14:paraId="069DE082" w14:textId="77777777" w:rsidR="0065448B" w:rsidRPr="00AD580E"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D580E">
              <w:rPr>
                <w:rFonts w:asciiTheme="minorHAnsi" w:hAnsiTheme="minorHAnsi" w:cstheme="minorHAnsi"/>
                <w:sz w:val="16"/>
                <w:szCs w:val="16"/>
              </w:rPr>
              <w:t>36%</w:t>
            </w:r>
          </w:p>
        </w:tc>
      </w:tr>
    </w:tbl>
    <w:p w14:paraId="275F8828" w14:textId="2EF3B4BA" w:rsidR="00EE275B" w:rsidRPr="003E5409" w:rsidRDefault="00EE275B" w:rsidP="003E5409">
      <w:pPr>
        <w:pStyle w:val="Intro"/>
        <w:spacing w:before="240"/>
      </w:pPr>
      <w:r w:rsidRPr="003E5409">
        <w:t>Minimum number of hospitals required</w:t>
      </w:r>
    </w:p>
    <w:p w14:paraId="20E14E13" w14:textId="6FA87763" w:rsidR="00EE275B" w:rsidRPr="003E5409" w:rsidRDefault="00EE275B" w:rsidP="00872D1C">
      <w:pPr>
        <w:rPr>
          <w:rFonts w:cs="Georgia"/>
          <w:color w:val="000000"/>
        </w:rPr>
      </w:pPr>
      <w:r w:rsidRPr="003E5409">
        <w:rPr>
          <w:rFonts w:cs="Georgia"/>
          <w:color w:val="000000"/>
        </w:rPr>
        <w:t>The formula that is used to produce cost</w:t>
      </w:r>
      <w:r w:rsidR="003E5409">
        <w:rPr>
          <w:rFonts w:cs="Georgia"/>
          <w:color w:val="000000"/>
        </w:rPr>
        <w:t xml:space="preserve"> </w:t>
      </w:r>
      <w:r w:rsidRPr="003E5409">
        <w:rPr>
          <w:rFonts w:cs="Georgia"/>
          <w:color w:val="000000"/>
        </w:rPr>
        <w:t>weights is provided below:</w:t>
      </w:r>
    </w:p>
    <w:p w14:paraId="7E7CE479" w14:textId="53D599EA" w:rsidR="00EE275B" w:rsidRPr="003E5409" w:rsidRDefault="00EE275B" w:rsidP="00EE275B">
      <w:pPr>
        <w:rPr>
          <w:rFonts w:cs="Georgia"/>
          <w:color w:val="000000"/>
        </w:rPr>
      </w:pPr>
      <w:r w:rsidRPr="003E5409">
        <w:rPr>
          <w:noProof/>
        </w:rPr>
        <w:drawing>
          <wp:inline distT="0" distB="0" distL="0" distR="0" wp14:anchorId="179DB73D" wp14:editId="5C7E777E">
            <wp:extent cx="3912042" cy="555775"/>
            <wp:effectExtent l="0" t="0" r="0" b="0"/>
            <wp:docPr id="312" name="Picture 312" descr="The formula that is used to produce cost weights " title="Methodology to calculate minimum number of hospital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6860" b="21137"/>
                    <a:stretch/>
                  </pic:blipFill>
                  <pic:spPr bwMode="auto">
                    <a:xfrm>
                      <a:off x="0" y="0"/>
                      <a:ext cx="3939473" cy="559672"/>
                    </a:xfrm>
                    <a:prstGeom prst="rect">
                      <a:avLst/>
                    </a:prstGeom>
                    <a:noFill/>
                    <a:ln>
                      <a:noFill/>
                    </a:ln>
                    <a:extLst>
                      <a:ext uri="{53640926-AAD7-44D8-BBD7-CCE9431645EC}">
                        <a14:shadowObscured xmlns:a14="http://schemas.microsoft.com/office/drawing/2010/main"/>
                      </a:ext>
                    </a:extLst>
                  </pic:spPr>
                </pic:pic>
              </a:graphicData>
            </a:graphic>
          </wp:inline>
        </w:drawing>
      </w:r>
    </w:p>
    <w:p w14:paraId="1855F14B" w14:textId="061A4A96" w:rsidR="00EE275B" w:rsidRPr="003E5409" w:rsidRDefault="00EE275B" w:rsidP="003E5409">
      <w:pPr>
        <w:rPr>
          <w:rFonts w:cs="Georgia"/>
          <w:color w:val="000000"/>
        </w:rPr>
      </w:pPr>
      <w:r w:rsidRPr="003E5409">
        <w:rPr>
          <w:rFonts w:cs="Georgia"/>
          <w:color w:val="000000"/>
        </w:rPr>
        <w:t>Where the average costs are weighted by population l</w:t>
      </w:r>
      <w:r w:rsidR="004647EB" w:rsidRPr="003E5409">
        <w:rPr>
          <w:rFonts w:cs="Georgia"/>
          <w:color w:val="000000"/>
        </w:rPr>
        <w:t xml:space="preserve">evels of activity across all </w:t>
      </w:r>
      <w:r w:rsidRPr="003E5409">
        <w:rPr>
          <w:rFonts w:cs="Georgia"/>
          <w:color w:val="000000"/>
        </w:rPr>
        <w:t>DRG</w:t>
      </w:r>
      <w:r w:rsidR="003E5409" w:rsidRPr="003E5409">
        <w:rPr>
          <w:rFonts w:cs="Georgia"/>
          <w:color w:val="000000"/>
        </w:rPr>
        <w:t>s</w:t>
      </w:r>
      <w:r w:rsidRPr="003E5409">
        <w:rPr>
          <w:rFonts w:cs="Georgia"/>
          <w:color w:val="000000"/>
        </w:rPr>
        <w:t xml:space="preserve"> and by other hospital characteristics (e.g. hospital size and for-profit / not-for-profit status).</w:t>
      </w:r>
    </w:p>
    <w:p w14:paraId="34167D20" w14:textId="47290E20" w:rsidR="00EE275B" w:rsidRPr="003E5409" w:rsidRDefault="00EE275B" w:rsidP="003E5409">
      <w:pPr>
        <w:rPr>
          <w:lang w:eastAsia="en-US"/>
        </w:rPr>
      </w:pPr>
      <w:r w:rsidRPr="003E5409">
        <w:rPr>
          <w:rFonts w:cs="Georgia"/>
          <w:color w:val="000000"/>
        </w:rPr>
        <w:t>The above formula shows that the cost</w:t>
      </w:r>
      <w:r w:rsidR="007E6F3B">
        <w:rPr>
          <w:rFonts w:cs="Georgia"/>
          <w:color w:val="000000"/>
        </w:rPr>
        <w:t xml:space="preserve"> </w:t>
      </w:r>
      <w:r w:rsidRPr="003E5409">
        <w:rPr>
          <w:rFonts w:cs="Georgia"/>
          <w:color w:val="000000"/>
        </w:rPr>
        <w:t>weight is influenced by both the average cost of an individual DRG, as well as the overall average cost across all DRGs. The average costs within a given DRG, and across all DRGs, are in turn influenced by the underlying distribution of separations by hospital attribute by which average costs can vary. Therefore, t</w:t>
      </w:r>
      <w:r w:rsidR="007E6F3B">
        <w:rPr>
          <w:rFonts w:cs="Georgia"/>
          <w:color w:val="000000"/>
        </w:rPr>
        <w:t xml:space="preserve">o ensure that the national cost </w:t>
      </w:r>
      <w:r w:rsidRPr="003E5409">
        <w:rPr>
          <w:rFonts w:cs="Georgia"/>
          <w:color w:val="000000"/>
        </w:rPr>
        <w:t xml:space="preserve">weights are representative of the Australian population of hospitals, it is important to have a sample that reflects the distribution of separations, and the average </w:t>
      </w:r>
      <w:r w:rsidRPr="003E5409">
        <w:rPr>
          <w:rFonts w:cs="Georgia"/>
        </w:rPr>
        <w:t>costs, across the hospital attributes by which costs can vary.</w:t>
      </w:r>
    </w:p>
    <w:p w14:paraId="440E1E06" w14:textId="5ED0C96B" w:rsidR="00EE275B" w:rsidRPr="003E5409" w:rsidRDefault="00EE275B" w:rsidP="00AD580E">
      <w:r w:rsidRPr="003E5409">
        <w:rPr>
          <w:rFonts w:cs="Georgia"/>
          <w:color w:val="000000"/>
        </w:rPr>
        <w:t>The study found that there are statistically significant variations in cost between th</w:t>
      </w:r>
      <w:r w:rsidR="00AD580E">
        <w:rPr>
          <w:rFonts w:cs="Georgia"/>
          <w:color w:val="000000"/>
        </w:rPr>
        <w:t>e following hospital attributes; s</w:t>
      </w:r>
      <w:r w:rsidRPr="003E5409">
        <w:t>t</w:t>
      </w:r>
      <w:r w:rsidR="00AD580E">
        <w:t>ate variations in average costs, status (for profit/non-profit), h</w:t>
      </w:r>
      <w:r w:rsidRPr="003E5409">
        <w:t>ospital size (+8,000 separations or under 8,000 separations); and</w:t>
      </w:r>
      <w:r w:rsidR="00AD580E">
        <w:t xml:space="preserve"> r</w:t>
      </w:r>
      <w:r w:rsidRPr="003E5409">
        <w:t>egion (metropolitan verses non-metropolitan).</w:t>
      </w:r>
    </w:p>
    <w:p w14:paraId="35972D33" w14:textId="7D56F727" w:rsidR="00EE275B" w:rsidRPr="003E5409" w:rsidRDefault="00EE275B" w:rsidP="00872D1C">
      <w:pPr>
        <w:rPr>
          <w:rFonts w:cs="Georgia"/>
          <w:color w:val="000000"/>
        </w:rPr>
      </w:pPr>
      <w:r w:rsidRPr="003E5409">
        <w:rPr>
          <w:rFonts w:cs="Georgia"/>
          <w:color w:val="000000"/>
        </w:rPr>
        <w:t>To ensu</w:t>
      </w:r>
      <w:r w:rsidR="004647EB" w:rsidRPr="003E5409">
        <w:rPr>
          <w:rFonts w:cs="Georgia"/>
          <w:color w:val="000000"/>
        </w:rPr>
        <w:t xml:space="preserve">re that the average cost per </w:t>
      </w:r>
      <w:r w:rsidRPr="003E5409">
        <w:rPr>
          <w:rFonts w:cs="Georgia"/>
          <w:color w:val="000000"/>
        </w:rPr>
        <w:t>DRG represents a national average, the attributes of the participating hospitals must be such that they represent the hospital attri</w:t>
      </w:r>
      <w:r w:rsidR="00AD580E">
        <w:rPr>
          <w:rFonts w:cs="Georgia"/>
          <w:color w:val="000000"/>
        </w:rPr>
        <w:t xml:space="preserve">butes by which costs can vary. </w:t>
      </w:r>
      <w:r w:rsidRPr="003E5409">
        <w:rPr>
          <w:rFonts w:cs="Georgia"/>
          <w:color w:val="000000"/>
        </w:rPr>
        <w:t>Weighting factors can then be applied to re-balance the</w:t>
      </w:r>
      <w:r w:rsidR="004647EB" w:rsidRPr="003E5409">
        <w:rPr>
          <w:rFonts w:cs="Georgia"/>
          <w:color w:val="000000"/>
        </w:rPr>
        <w:t xml:space="preserve"> sample to the population by </w:t>
      </w:r>
      <w:r w:rsidRPr="003E5409">
        <w:rPr>
          <w:rFonts w:cs="Georgia"/>
          <w:color w:val="000000"/>
        </w:rPr>
        <w:t>DRG and hospital attribute. Therefore, the attributes listed above can be used to formulate a sampling frame against which hospitals can be recruited to participate.</w:t>
      </w:r>
    </w:p>
    <w:p w14:paraId="03ADBF65" w14:textId="77777777" w:rsidR="00EE275B" w:rsidRPr="00872D1C" w:rsidRDefault="00EE275B" w:rsidP="00872D1C">
      <w:pPr>
        <w:pStyle w:val="Intro"/>
      </w:pPr>
      <w:r w:rsidRPr="00872D1C">
        <w:t>Outcome of analysis</w:t>
      </w:r>
    </w:p>
    <w:p w14:paraId="4133B199" w14:textId="36D832F8" w:rsidR="00F30C33" w:rsidRPr="00872D1C" w:rsidRDefault="00EE275B" w:rsidP="00AB343B">
      <w:r w:rsidRPr="00872D1C">
        <w:t>Based on the above analysis and to achieve a separation sample size of 60</w:t>
      </w:r>
      <w:r w:rsidR="004647EB" w:rsidRPr="00872D1C">
        <w:t xml:space="preserve"> </w:t>
      </w:r>
      <w:r w:rsidR="00F74337" w:rsidRPr="00872D1C">
        <w:t>percent</w:t>
      </w:r>
      <w:r w:rsidRPr="00872D1C">
        <w:t xml:space="preserve"> IHPA agreed that for the</w:t>
      </w:r>
      <w:r w:rsidR="00AB343B" w:rsidRPr="00872D1C">
        <w:t xml:space="preserve"> previous rounds of the</w:t>
      </w:r>
      <w:r w:rsidRPr="00872D1C">
        <w:t xml:space="preserve"> private overnight NHCDC the </w:t>
      </w:r>
      <w:r w:rsidRPr="00872D1C">
        <w:rPr>
          <w:rFonts w:cs="Georgia"/>
          <w:color w:val="000000"/>
        </w:rPr>
        <w:t xml:space="preserve">target minimum number of </w:t>
      </w:r>
      <w:r w:rsidR="00746D0C" w:rsidRPr="00872D1C">
        <w:rPr>
          <w:rFonts w:cs="Georgia"/>
          <w:color w:val="000000"/>
        </w:rPr>
        <w:t>10</w:t>
      </w:r>
      <w:r w:rsidRPr="00872D1C">
        <w:rPr>
          <w:rFonts w:cs="Georgia"/>
          <w:color w:val="000000"/>
        </w:rPr>
        <w:t xml:space="preserve"> hospitals will be required.</w:t>
      </w:r>
      <w:r w:rsidR="00872D1C" w:rsidRPr="00872D1C">
        <w:rPr>
          <w:rFonts w:cs="Georgia"/>
          <w:color w:val="000000"/>
        </w:rPr>
        <w:t xml:space="preserve"> </w:t>
      </w:r>
      <w:r w:rsidR="00EE42F8" w:rsidRPr="00872D1C">
        <w:rPr>
          <w:rFonts w:cs="Georgia"/>
          <w:color w:val="000000"/>
        </w:rPr>
        <w:t xml:space="preserve">With the caveat that the </w:t>
      </w:r>
      <w:r w:rsidR="00D57A2B" w:rsidRPr="00872D1C">
        <w:rPr>
          <w:rFonts w:cs="Georgia"/>
          <w:color w:val="000000"/>
        </w:rPr>
        <w:t>participants</w:t>
      </w:r>
      <w:r w:rsidR="00EE42F8" w:rsidRPr="00872D1C">
        <w:rPr>
          <w:rFonts w:cs="Georgia"/>
          <w:color w:val="000000"/>
        </w:rPr>
        <w:t xml:space="preserve"> would </w:t>
      </w:r>
      <w:r w:rsidR="00D57A2B" w:rsidRPr="00872D1C">
        <w:rPr>
          <w:rFonts w:cs="Georgia"/>
          <w:color w:val="000000"/>
        </w:rPr>
        <w:t>submit</w:t>
      </w:r>
      <w:r w:rsidR="00EE42F8" w:rsidRPr="00872D1C">
        <w:rPr>
          <w:rFonts w:cs="Georgia"/>
          <w:color w:val="000000"/>
        </w:rPr>
        <w:t xml:space="preserve"> </w:t>
      </w:r>
      <w:r w:rsidR="004647EB" w:rsidRPr="00872D1C">
        <w:t xml:space="preserve">at least 90 </w:t>
      </w:r>
      <w:r w:rsidR="00F74337" w:rsidRPr="00872D1C">
        <w:t>percent</w:t>
      </w:r>
      <w:r w:rsidR="00D57A2B" w:rsidRPr="00872D1C">
        <w:t xml:space="preserve"> of the submitting hospital establishment’s total in-scope activity, which is evaluated as a ratio of total in-scope activity data submitted for the </w:t>
      </w:r>
      <w:r w:rsidR="00135776" w:rsidRPr="00872D1C">
        <w:t>PHDB</w:t>
      </w:r>
      <w:r w:rsidR="00D57A2B" w:rsidRPr="00872D1C">
        <w:t xml:space="preserve"> collection in that reference period.</w:t>
      </w:r>
      <w:r w:rsidR="00AB343B" w:rsidRPr="00872D1C">
        <w:t xml:space="preserve"> </w:t>
      </w:r>
    </w:p>
    <w:p w14:paraId="72F8643E" w14:textId="0F0E9264" w:rsidR="00423BB2" w:rsidRPr="00872D1C" w:rsidRDefault="00AB343B" w:rsidP="00AB343B">
      <w:r w:rsidRPr="00872D1C">
        <w:t>For Round 2</w:t>
      </w:r>
      <w:r w:rsidR="00872D1C" w:rsidRPr="00872D1C">
        <w:t>1</w:t>
      </w:r>
      <w:r w:rsidRPr="00872D1C">
        <w:t xml:space="preserve"> the participation rate was 5</w:t>
      </w:r>
      <w:r w:rsidR="00872D1C" w:rsidRPr="00872D1C">
        <w:t>9</w:t>
      </w:r>
      <w:r w:rsidRPr="00872D1C">
        <w:t xml:space="preserve"> </w:t>
      </w:r>
      <w:r w:rsidR="00F74337" w:rsidRPr="00872D1C">
        <w:t>percent</w:t>
      </w:r>
      <w:r w:rsidR="00872D1C" w:rsidRPr="00872D1C">
        <w:t xml:space="preserve">, </w:t>
      </w:r>
      <w:r w:rsidR="007D60B9">
        <w:t xml:space="preserve">with </w:t>
      </w:r>
      <w:r w:rsidR="00872D1C" w:rsidRPr="00872D1C">
        <w:t>105 hospitals and 10</w:t>
      </w:r>
      <w:r w:rsidRPr="00872D1C">
        <w:t xml:space="preserve"> </w:t>
      </w:r>
      <w:r w:rsidR="007D60B9">
        <w:t xml:space="preserve">hospital </w:t>
      </w:r>
      <w:r w:rsidRPr="00872D1C">
        <w:t>groups.</w:t>
      </w:r>
    </w:p>
    <w:p w14:paraId="5007B96D" w14:textId="4407FBC5" w:rsidR="002315CF" w:rsidRPr="00E4527E" w:rsidRDefault="002315CF" w:rsidP="002315CF">
      <w:pPr>
        <w:rPr>
          <w:rFonts w:asciiTheme="majorHAnsi" w:hAnsiTheme="majorHAnsi"/>
          <w:b/>
          <w:i/>
          <w:snapToGrid w:val="0"/>
          <w:sz w:val="56"/>
          <w:highlight w:val="yellow"/>
        </w:rPr>
        <w:sectPr w:rsidR="002315CF" w:rsidRPr="00E4527E" w:rsidSect="00384647">
          <w:footerReference w:type="default" r:id="rId23"/>
          <w:pgSz w:w="11907" w:h="16840" w:code="9"/>
          <w:pgMar w:top="1843" w:right="1440" w:bottom="1021" w:left="1021" w:header="680" w:footer="510" w:gutter="0"/>
          <w:cols w:space="708"/>
          <w:docGrid w:linePitch="360"/>
        </w:sectPr>
      </w:pPr>
      <w:bookmarkStart w:id="224" w:name="_Toc435611232"/>
      <w:bookmarkStart w:id="225" w:name="_Ref430242964"/>
    </w:p>
    <w:p w14:paraId="53617286" w14:textId="60236364" w:rsidR="002315CF" w:rsidRPr="00C020D5" w:rsidRDefault="002315CF" w:rsidP="006200A2">
      <w:pPr>
        <w:pStyle w:val="Heading1"/>
        <w:numPr>
          <w:ilvl w:val="0"/>
          <w:numId w:val="0"/>
        </w:numPr>
        <w:rPr>
          <w:sz w:val="56"/>
          <w:szCs w:val="20"/>
        </w:rPr>
      </w:pPr>
      <w:bookmarkStart w:id="226" w:name="_Ref430270291"/>
      <w:bookmarkStart w:id="227" w:name="_Toc435611233"/>
      <w:bookmarkStart w:id="228" w:name="_Ref433966171"/>
      <w:bookmarkStart w:id="229" w:name="_Toc496857590"/>
      <w:bookmarkStart w:id="230" w:name="_Ref536785899"/>
      <w:bookmarkStart w:id="231" w:name="_Ref536785953"/>
      <w:bookmarkStart w:id="232" w:name="_Toc161978"/>
      <w:r w:rsidRPr="00872D1C">
        <w:t xml:space="preserve">Appendix </w:t>
      </w:r>
      <w:r w:rsidR="00E00286" w:rsidRPr="00872D1C">
        <w:t>B</w:t>
      </w:r>
      <w:r w:rsidRPr="00872D1C">
        <w:t xml:space="preserve">: </w:t>
      </w:r>
      <w:bookmarkEnd w:id="226"/>
      <w:bookmarkEnd w:id="227"/>
      <w:bookmarkEnd w:id="228"/>
      <w:bookmarkEnd w:id="229"/>
      <w:r w:rsidR="00BA7AE4" w:rsidRPr="00872D1C">
        <w:t>Private sector c</w:t>
      </w:r>
      <w:r w:rsidR="00BA7AE4" w:rsidRPr="00C020D5">
        <w:t>osting approaches</w:t>
      </w:r>
      <w:bookmarkEnd w:id="230"/>
      <w:bookmarkEnd w:id="231"/>
      <w:bookmarkEnd w:id="232"/>
    </w:p>
    <w:p w14:paraId="17C3140E" w14:textId="77777777" w:rsidR="00202CAA" w:rsidRPr="00C020D5" w:rsidRDefault="00202CAA" w:rsidP="00872D1C">
      <w:pPr>
        <w:pStyle w:val="Intro"/>
      </w:pPr>
      <w:r w:rsidRPr="00C020D5">
        <w:t xml:space="preserve">Costing methodologies </w:t>
      </w:r>
    </w:p>
    <w:p w14:paraId="152E30E0" w14:textId="77777777" w:rsidR="00872D1C" w:rsidRPr="00C020D5" w:rsidRDefault="00202CAA" w:rsidP="00202CAA">
      <w:r w:rsidRPr="00C020D5">
        <w:t xml:space="preserve">Hospital costing is the process of identifying the resources and inputs used during an episode and applying the costs of those inputs to the different types of clinical procedures and treatments provided to each patient in a hospital. </w:t>
      </w:r>
    </w:p>
    <w:p w14:paraId="24836072" w14:textId="1C7A658B" w:rsidR="00872D1C" w:rsidRPr="00C020D5" w:rsidRDefault="00202CAA" w:rsidP="00202CAA">
      <w:r w:rsidRPr="00C020D5">
        <w:t>F</w:t>
      </w:r>
      <w:r w:rsidR="00872D1C" w:rsidRPr="00C020D5">
        <w:t>rom Round 20, the participating hospitals have been required to undertake their own costing and during Round 20 they were asked</w:t>
      </w:r>
      <w:r w:rsidRPr="00C020D5">
        <w:t xml:space="preserve"> to provide </w:t>
      </w:r>
      <w:r w:rsidR="00872D1C" w:rsidRPr="00C020D5">
        <w:t xml:space="preserve">a summary of their costing methodology process as well as they process they used to submit the costing data. During Round 21, participating hospitals have been asked to indicate which of the costing methodologies (outlined below) they have used. </w:t>
      </w:r>
    </w:p>
    <w:p w14:paraId="3DBBBED6" w14:textId="17B5B818" w:rsidR="00202CAA" w:rsidRPr="00C020D5" w:rsidRDefault="00202CAA" w:rsidP="00202CAA">
      <w:r w:rsidRPr="00C020D5">
        <w:t xml:space="preserve">There </w:t>
      </w:r>
      <w:r w:rsidR="00872D1C" w:rsidRPr="00C020D5">
        <w:t>are</w:t>
      </w:r>
      <w:r w:rsidRPr="00C020D5">
        <w:t xml:space="preserve"> two main methodologies that </w:t>
      </w:r>
      <w:r w:rsidR="00872D1C" w:rsidRPr="00C020D5">
        <w:t>are</w:t>
      </w:r>
      <w:r w:rsidRPr="00C020D5">
        <w:t xml:space="preserve"> adopted by participants for hospita</w:t>
      </w:r>
      <w:r w:rsidR="00872D1C" w:rsidRPr="00C020D5">
        <w:t>l cost allocations: cost modelling or patient costing.</w:t>
      </w:r>
    </w:p>
    <w:p w14:paraId="79A322B4" w14:textId="52156AA1" w:rsidR="00202CAA" w:rsidRPr="00C020D5" w:rsidRDefault="00C020D5" w:rsidP="00C020D5">
      <w:r w:rsidRPr="00C020D5">
        <w:rPr>
          <w:b/>
        </w:rPr>
        <w:t xml:space="preserve">Cost modelling: </w:t>
      </w:r>
      <w:r w:rsidR="00202CAA" w:rsidRPr="00C020D5">
        <w:t>Cost modelling (also known as top down costing) takes the total admitted acute costs for patient areas (such as Wards) and allocates costs to encounters based on an assumed level of cons</w:t>
      </w:r>
      <w:r w:rsidR="00872D1C" w:rsidRPr="00C020D5">
        <w:t xml:space="preserve">umption using service weights. </w:t>
      </w:r>
      <w:r w:rsidR="00202CAA" w:rsidRPr="00C020D5">
        <w:t>Service weights are the relative costs of a service for each type of patient care product. Service weights are applied to apportion costs to patient groups defined by their DRG (in the case of acute admitted care).</w:t>
      </w:r>
    </w:p>
    <w:p w14:paraId="7CBE2061" w14:textId="3487F4E5" w:rsidR="00202CAA" w:rsidRPr="00C020D5" w:rsidRDefault="00C020D5" w:rsidP="00C020D5">
      <w:pPr>
        <w:spacing w:after="0"/>
        <w:rPr>
          <w:rFonts w:cs="Georgia"/>
        </w:rPr>
      </w:pPr>
      <w:r w:rsidRPr="00C020D5">
        <w:rPr>
          <w:b/>
        </w:rPr>
        <w:t xml:space="preserve">Patient costing: </w:t>
      </w:r>
      <w:r w:rsidR="00202CAA" w:rsidRPr="00C020D5">
        <w:t>Patient costing (also known as bottom-up costing) uses activity feeder system</w:t>
      </w:r>
      <w:r w:rsidR="00872D1C" w:rsidRPr="00C020D5">
        <w:t>s</w:t>
      </w:r>
      <w:r w:rsidR="00202CAA" w:rsidRPr="00C020D5">
        <w:t xml:space="preserve"> to provide actual resource consumption. For example, a prostheses system within a hospital will record what type of prosthes</w:t>
      </w:r>
      <w:r w:rsidR="00872D1C" w:rsidRPr="00C020D5">
        <w:t>e</w:t>
      </w:r>
      <w:r w:rsidR="00202CAA" w:rsidRPr="00C020D5">
        <w:t>s has been implanted into a patient and the cost</w:t>
      </w:r>
      <w:r w:rsidR="00872D1C" w:rsidRPr="00C020D5">
        <w:t xml:space="preserve"> of the implant</w:t>
      </w:r>
      <w:r w:rsidR="00202CAA" w:rsidRPr="00C020D5">
        <w:t>. This data is used to allocate costs to patients from the Prostheses patient care area.</w:t>
      </w:r>
      <w:r w:rsidR="00202CAA" w:rsidRPr="00C020D5">
        <w:rPr>
          <w:rFonts w:cs="Georgia"/>
        </w:rPr>
        <w:t xml:space="preserve"> </w:t>
      </w:r>
    </w:p>
    <w:p w14:paraId="306B7A91" w14:textId="24ED2865" w:rsidR="00202CAA" w:rsidRPr="00C020D5" w:rsidRDefault="00202CAA" w:rsidP="00202CAA">
      <w:pPr>
        <w:rPr>
          <w:rFonts w:cs="Georgia"/>
        </w:rPr>
      </w:pPr>
      <w:r w:rsidRPr="00C020D5">
        <w:rPr>
          <w:rFonts w:cs="Georgia"/>
        </w:rPr>
        <w:t>Patient level costing yields results that are closer to the true cost of an encounter within a hospital, however due to the dependency on feeder systems, perfect patient level costing can be difficult to achieve.</w:t>
      </w:r>
    </w:p>
    <w:p w14:paraId="4373AFDD" w14:textId="649E8C67" w:rsidR="002315CF" w:rsidRPr="00C020D5" w:rsidRDefault="002315CF" w:rsidP="00872D1C">
      <w:pPr>
        <w:pStyle w:val="Intro"/>
      </w:pPr>
      <w:bookmarkStart w:id="233" w:name="_Toc496857593"/>
      <w:r w:rsidRPr="00C020D5">
        <w:t>Data sources</w:t>
      </w:r>
      <w:bookmarkEnd w:id="233"/>
    </w:p>
    <w:p w14:paraId="6CAFD220" w14:textId="7AAAC1F7" w:rsidR="00FA7EC6" w:rsidRPr="00C020D5" w:rsidRDefault="00872D1C" w:rsidP="00FA7EC6">
      <w:r w:rsidRPr="00C020D5">
        <w:t>T</w:t>
      </w:r>
      <w:r w:rsidR="00FA7EC6" w:rsidRPr="00C020D5">
        <w:t xml:space="preserve">he following categories of patient level data components </w:t>
      </w:r>
      <w:r w:rsidRPr="00C020D5">
        <w:t>are</w:t>
      </w:r>
      <w:r w:rsidR="00FA7EC6" w:rsidRPr="00C020D5">
        <w:t xml:space="preserve"> utilised during the costing process:</w:t>
      </w:r>
    </w:p>
    <w:p w14:paraId="301D1681" w14:textId="50FF1E52" w:rsidR="00FA7EC6" w:rsidRPr="00C020D5" w:rsidRDefault="00FA7EC6" w:rsidP="00FA7EC6">
      <w:r w:rsidRPr="00C020D5">
        <w:rPr>
          <w:b/>
        </w:rPr>
        <w:t>Financial data:</w:t>
      </w:r>
      <w:r w:rsidRPr="00C020D5">
        <w:t xml:space="preserve"> </w:t>
      </w:r>
      <w:r w:rsidRPr="00C020D5">
        <w:rPr>
          <w:rFonts w:eastAsiaTheme="minorHAnsi"/>
        </w:rPr>
        <w:t>This includes the general ledger cost centres and account codes, along with mapping of those cost centres to patient care areas and standardised line items. This data set exclude</w:t>
      </w:r>
      <w:r w:rsidR="00872D1C" w:rsidRPr="00C020D5">
        <w:rPr>
          <w:rFonts w:eastAsiaTheme="minorHAnsi"/>
        </w:rPr>
        <w:t>s</w:t>
      </w:r>
      <w:r w:rsidRPr="00C020D5">
        <w:rPr>
          <w:rFonts w:eastAsiaTheme="minorHAnsi"/>
        </w:rPr>
        <w:t xml:space="preserve"> revenue cost centres and/or account codes.</w:t>
      </w:r>
    </w:p>
    <w:p w14:paraId="66F51685" w14:textId="77777777" w:rsidR="00FA7EC6" w:rsidRPr="00C020D5" w:rsidRDefault="00FA7EC6" w:rsidP="00FA7EC6">
      <w:pPr>
        <w:rPr>
          <w:rFonts w:eastAsiaTheme="minorHAnsi"/>
        </w:rPr>
      </w:pPr>
      <w:r w:rsidRPr="00C020D5">
        <w:rPr>
          <w:b/>
        </w:rPr>
        <w:t>Activity data:</w:t>
      </w:r>
      <w:r w:rsidRPr="00C020D5">
        <w:t xml:space="preserve"> </w:t>
      </w:r>
      <w:r w:rsidRPr="00C020D5">
        <w:rPr>
          <w:rFonts w:eastAsiaTheme="minorHAnsi"/>
        </w:rPr>
        <w:t xml:space="preserve">This includes the encounter level data (such as patient ID, encounter ID, date of birth etc.) and transfer information identifying the patient’s pathway through the hospital via transfers between areas such as operating rooms and wards. </w:t>
      </w:r>
    </w:p>
    <w:p w14:paraId="64624C74" w14:textId="77777777" w:rsidR="00C020D5" w:rsidRPr="00C020D5" w:rsidRDefault="00FA7EC6" w:rsidP="00FA7EC6">
      <w:pPr>
        <w:rPr>
          <w:rFonts w:eastAsiaTheme="minorHAnsi"/>
        </w:rPr>
      </w:pPr>
      <w:r w:rsidRPr="00C020D5">
        <w:rPr>
          <w:b/>
        </w:rPr>
        <w:t>Feeder data:</w:t>
      </w:r>
      <w:r w:rsidRPr="00C020D5">
        <w:t xml:space="preserve"> </w:t>
      </w:r>
      <w:r w:rsidRPr="00C020D5">
        <w:rPr>
          <w:rFonts w:eastAsiaTheme="minorHAnsi"/>
        </w:rPr>
        <w:t>This includes data that identifies patient consumption of hospital products or services within a patient car</w:t>
      </w:r>
      <w:r w:rsidR="00872D1C" w:rsidRPr="00C020D5">
        <w:rPr>
          <w:rFonts w:eastAsiaTheme="minorHAnsi"/>
        </w:rPr>
        <w:t>e area. For example, a prosthese</w:t>
      </w:r>
      <w:r w:rsidRPr="00C020D5">
        <w:rPr>
          <w:rFonts w:eastAsiaTheme="minorHAnsi"/>
        </w:rPr>
        <w:t xml:space="preserve">s feeder might list the prosthetic items received by a patient and the cost of each. This feeder data </w:t>
      </w:r>
      <w:r w:rsidR="00872D1C" w:rsidRPr="00C020D5">
        <w:rPr>
          <w:rFonts w:eastAsiaTheme="minorHAnsi"/>
        </w:rPr>
        <w:t>is</w:t>
      </w:r>
      <w:r w:rsidRPr="00C020D5">
        <w:rPr>
          <w:rFonts w:eastAsiaTheme="minorHAnsi"/>
        </w:rPr>
        <w:t xml:space="preserve"> used to allocate costs in the general ledger as it identifie</w:t>
      </w:r>
      <w:r w:rsidR="00C020D5" w:rsidRPr="00C020D5">
        <w:rPr>
          <w:rFonts w:eastAsiaTheme="minorHAnsi"/>
        </w:rPr>
        <w:t>s</w:t>
      </w:r>
      <w:r w:rsidRPr="00C020D5">
        <w:rPr>
          <w:rFonts w:eastAsiaTheme="minorHAnsi"/>
        </w:rPr>
        <w:t xml:space="preserve"> how much of the prosthes</w:t>
      </w:r>
      <w:r w:rsidR="00C020D5" w:rsidRPr="00C020D5">
        <w:rPr>
          <w:rFonts w:eastAsiaTheme="minorHAnsi"/>
        </w:rPr>
        <w:t>e</w:t>
      </w:r>
      <w:r w:rsidRPr="00C020D5">
        <w:rPr>
          <w:rFonts w:eastAsiaTheme="minorHAnsi"/>
        </w:rPr>
        <w:t>s</w:t>
      </w:r>
      <w:r w:rsidR="00C020D5" w:rsidRPr="00C020D5">
        <w:rPr>
          <w:rFonts w:eastAsiaTheme="minorHAnsi"/>
        </w:rPr>
        <w:t xml:space="preserve"> products each encounter consume</w:t>
      </w:r>
      <w:r w:rsidRPr="00C020D5">
        <w:rPr>
          <w:rFonts w:eastAsiaTheme="minorHAnsi"/>
        </w:rPr>
        <w:t xml:space="preserve">. </w:t>
      </w:r>
    </w:p>
    <w:p w14:paraId="636DED57" w14:textId="40BAF7C2" w:rsidR="00FA7EC6" w:rsidRPr="00C020D5" w:rsidRDefault="00FA7EC6" w:rsidP="00FA7EC6">
      <w:r w:rsidRPr="00C020D5">
        <w:t xml:space="preserve">Where no feeder data </w:t>
      </w:r>
      <w:r w:rsidR="00C020D5" w:rsidRPr="00C020D5">
        <w:t>is</w:t>
      </w:r>
      <w:r w:rsidRPr="00C020D5">
        <w:t xml:space="preserve"> </w:t>
      </w:r>
      <w:r w:rsidR="00C020D5" w:rsidRPr="00C020D5">
        <w:t>available</w:t>
      </w:r>
      <w:r w:rsidRPr="00C020D5">
        <w:t xml:space="preserve">, patient care area costs </w:t>
      </w:r>
      <w:r w:rsidR="00C020D5" w:rsidRPr="00C020D5">
        <w:t>are</w:t>
      </w:r>
      <w:r w:rsidRPr="00C020D5">
        <w:t xml:space="preserve"> allocated using service weights. </w:t>
      </w:r>
    </w:p>
    <w:p w14:paraId="4894EE3F" w14:textId="77777777" w:rsidR="00AD580E" w:rsidRDefault="00AD580E">
      <w:pPr>
        <w:spacing w:after="0" w:line="240" w:lineRule="auto"/>
        <w:rPr>
          <w:color w:val="008A00"/>
          <w:szCs w:val="30"/>
        </w:rPr>
      </w:pPr>
      <w:bookmarkStart w:id="234" w:name="_Toc496857595"/>
      <w:r>
        <w:br w:type="page"/>
      </w:r>
    </w:p>
    <w:p w14:paraId="0B371A92" w14:textId="4AAC21AE" w:rsidR="00FA7EC6" w:rsidRPr="00C020D5" w:rsidRDefault="00FA7EC6" w:rsidP="00C020D5">
      <w:pPr>
        <w:pStyle w:val="Intro"/>
      </w:pPr>
      <w:r w:rsidRPr="00C020D5">
        <w:t>Cost bucket or cost components</w:t>
      </w:r>
      <w:bookmarkEnd w:id="234"/>
      <w:r w:rsidRPr="00C020D5">
        <w:t xml:space="preserve"> </w:t>
      </w:r>
    </w:p>
    <w:p w14:paraId="5C02FF18" w14:textId="5AC7467E" w:rsidR="00FA7EC6" w:rsidRPr="00C020D5" w:rsidRDefault="00C020D5" w:rsidP="00FA7EC6">
      <w:r w:rsidRPr="00C020D5">
        <w:t>T</w:t>
      </w:r>
      <w:r w:rsidR="00FA7EC6" w:rsidRPr="00C020D5">
        <w:t xml:space="preserve">he cost of a </w:t>
      </w:r>
      <w:r w:rsidRPr="00C020D5">
        <w:t>separation</w:t>
      </w:r>
      <w:r w:rsidR="00FA7EC6" w:rsidRPr="00C020D5">
        <w:t xml:space="preserve"> of acute admitted care is reported by allocating patient level costs to a set of pre-defined cost buckets/cost components. The cost buckets are listed as follows:</w:t>
      </w:r>
    </w:p>
    <w:p w14:paraId="24317D4C" w14:textId="77777777" w:rsidR="00202CAA" w:rsidRPr="00C020D5" w:rsidRDefault="00202CAA" w:rsidP="007B51EC">
      <w:pPr>
        <w:pStyle w:val="ListParagraph"/>
        <w:numPr>
          <w:ilvl w:val="0"/>
          <w:numId w:val="10"/>
        </w:numPr>
        <w:sectPr w:rsidR="00202CAA" w:rsidRPr="00C020D5" w:rsidSect="00384647">
          <w:pgSz w:w="11907" w:h="16840" w:code="9"/>
          <w:pgMar w:top="1843" w:right="1440" w:bottom="1021" w:left="1021" w:header="680" w:footer="510" w:gutter="0"/>
          <w:cols w:space="708"/>
          <w:docGrid w:linePitch="360"/>
        </w:sectPr>
      </w:pPr>
    </w:p>
    <w:p w14:paraId="7A01346D" w14:textId="56C023FD" w:rsidR="00FA7EC6" w:rsidRPr="00C020D5" w:rsidRDefault="00FA7EC6" w:rsidP="007B51EC">
      <w:pPr>
        <w:pStyle w:val="ListParagraph"/>
        <w:numPr>
          <w:ilvl w:val="0"/>
          <w:numId w:val="10"/>
        </w:numPr>
        <w:spacing w:after="60" w:line="240" w:lineRule="auto"/>
        <w:ind w:left="425" w:hanging="425"/>
      </w:pPr>
      <w:r w:rsidRPr="00C020D5">
        <w:t>Ward Medical</w:t>
      </w:r>
    </w:p>
    <w:p w14:paraId="1B452B57" w14:textId="77777777" w:rsidR="00FA7EC6" w:rsidRPr="00C020D5" w:rsidRDefault="00FA7EC6" w:rsidP="007B51EC">
      <w:pPr>
        <w:pStyle w:val="ListParagraph"/>
        <w:numPr>
          <w:ilvl w:val="0"/>
          <w:numId w:val="10"/>
        </w:numPr>
        <w:spacing w:after="60" w:line="240" w:lineRule="auto"/>
        <w:ind w:left="426" w:hanging="426"/>
      </w:pPr>
      <w:r w:rsidRPr="00C020D5">
        <w:t>Ward Nursing</w:t>
      </w:r>
    </w:p>
    <w:p w14:paraId="479C7841" w14:textId="77777777" w:rsidR="00FA7EC6" w:rsidRPr="00C020D5" w:rsidRDefault="00FA7EC6" w:rsidP="007B51EC">
      <w:pPr>
        <w:pStyle w:val="ListParagraph"/>
        <w:numPr>
          <w:ilvl w:val="0"/>
          <w:numId w:val="10"/>
        </w:numPr>
        <w:spacing w:after="60" w:line="240" w:lineRule="auto"/>
        <w:ind w:left="426" w:hanging="426"/>
      </w:pPr>
      <w:r w:rsidRPr="00C020D5">
        <w:t>Non-clinical Salaries</w:t>
      </w:r>
    </w:p>
    <w:p w14:paraId="58BE32AC" w14:textId="77777777" w:rsidR="00FA7EC6" w:rsidRPr="00C020D5" w:rsidRDefault="00FA7EC6" w:rsidP="007B51EC">
      <w:pPr>
        <w:pStyle w:val="ListParagraph"/>
        <w:numPr>
          <w:ilvl w:val="0"/>
          <w:numId w:val="10"/>
        </w:numPr>
        <w:spacing w:after="60" w:line="240" w:lineRule="auto"/>
        <w:ind w:left="426" w:hanging="426"/>
      </w:pPr>
      <w:r w:rsidRPr="00C020D5">
        <w:t>Pathology</w:t>
      </w:r>
    </w:p>
    <w:p w14:paraId="13AAE141" w14:textId="084C2CA9" w:rsidR="00FA7EC6" w:rsidRPr="00C020D5" w:rsidRDefault="00FA7EC6" w:rsidP="007B51EC">
      <w:pPr>
        <w:pStyle w:val="ListParagraph"/>
        <w:numPr>
          <w:ilvl w:val="0"/>
          <w:numId w:val="10"/>
        </w:numPr>
        <w:spacing w:after="60" w:line="240" w:lineRule="auto"/>
        <w:ind w:left="426" w:hanging="426"/>
      </w:pPr>
      <w:r w:rsidRPr="00C020D5">
        <w:t>Imaging</w:t>
      </w:r>
    </w:p>
    <w:p w14:paraId="1D903C41" w14:textId="77777777" w:rsidR="00FA7EC6" w:rsidRPr="00C020D5" w:rsidRDefault="00FA7EC6" w:rsidP="007B51EC">
      <w:pPr>
        <w:pStyle w:val="ListParagraph"/>
        <w:numPr>
          <w:ilvl w:val="0"/>
          <w:numId w:val="10"/>
        </w:numPr>
        <w:spacing w:after="60" w:line="240" w:lineRule="auto"/>
        <w:ind w:left="426" w:hanging="426"/>
      </w:pPr>
      <w:r w:rsidRPr="00C020D5">
        <w:t>Allied Health</w:t>
      </w:r>
    </w:p>
    <w:p w14:paraId="41644196" w14:textId="77777777" w:rsidR="00FA7EC6" w:rsidRPr="00C020D5" w:rsidRDefault="00FA7EC6" w:rsidP="007B51EC">
      <w:pPr>
        <w:pStyle w:val="ListParagraph"/>
        <w:numPr>
          <w:ilvl w:val="0"/>
          <w:numId w:val="10"/>
        </w:numPr>
        <w:spacing w:after="60" w:line="240" w:lineRule="auto"/>
        <w:ind w:left="426" w:hanging="426"/>
      </w:pPr>
      <w:r w:rsidRPr="00C020D5">
        <w:t>Pharmacy</w:t>
      </w:r>
    </w:p>
    <w:p w14:paraId="3E34E545" w14:textId="77777777" w:rsidR="00FA7EC6" w:rsidRPr="00C020D5" w:rsidRDefault="00FA7EC6" w:rsidP="007B51EC">
      <w:pPr>
        <w:pStyle w:val="ListParagraph"/>
        <w:numPr>
          <w:ilvl w:val="0"/>
          <w:numId w:val="10"/>
        </w:numPr>
        <w:spacing w:after="60" w:line="240" w:lineRule="auto"/>
        <w:ind w:left="426" w:hanging="426"/>
      </w:pPr>
      <w:r w:rsidRPr="00C020D5">
        <w:t>Critical Care</w:t>
      </w:r>
    </w:p>
    <w:p w14:paraId="0E4C5060" w14:textId="77777777" w:rsidR="00FA7EC6" w:rsidRPr="00C020D5" w:rsidRDefault="00FA7EC6" w:rsidP="007B51EC">
      <w:pPr>
        <w:pStyle w:val="ListParagraph"/>
        <w:numPr>
          <w:ilvl w:val="0"/>
          <w:numId w:val="10"/>
        </w:numPr>
        <w:spacing w:after="60" w:line="240" w:lineRule="auto"/>
        <w:ind w:left="426" w:hanging="426"/>
      </w:pPr>
      <w:r w:rsidRPr="00C020D5">
        <w:t>Operating Rooms</w:t>
      </w:r>
    </w:p>
    <w:p w14:paraId="20B43138" w14:textId="77777777" w:rsidR="00FA7EC6" w:rsidRPr="00C020D5" w:rsidRDefault="00FA7EC6" w:rsidP="007B51EC">
      <w:pPr>
        <w:pStyle w:val="ListParagraph"/>
        <w:numPr>
          <w:ilvl w:val="0"/>
          <w:numId w:val="10"/>
        </w:numPr>
        <w:spacing w:after="60" w:line="240" w:lineRule="auto"/>
        <w:ind w:left="426" w:hanging="426"/>
      </w:pPr>
      <w:r w:rsidRPr="00C020D5">
        <w:t>Supplies</w:t>
      </w:r>
    </w:p>
    <w:p w14:paraId="3BD0E99E" w14:textId="5D2A96F0" w:rsidR="00FA7EC6" w:rsidRPr="00C020D5" w:rsidRDefault="002D3040" w:rsidP="007B51EC">
      <w:pPr>
        <w:pStyle w:val="ListParagraph"/>
        <w:numPr>
          <w:ilvl w:val="0"/>
          <w:numId w:val="10"/>
        </w:numPr>
        <w:spacing w:after="60" w:line="240" w:lineRule="auto"/>
        <w:ind w:left="426" w:hanging="426"/>
      </w:pPr>
      <w:r>
        <w:t>Special</w:t>
      </w:r>
      <w:r w:rsidR="00F83BB8">
        <w:t>ist</w:t>
      </w:r>
      <w:r w:rsidR="00FA7EC6" w:rsidRPr="00C020D5">
        <w:t xml:space="preserve"> Procedure Suites</w:t>
      </w:r>
    </w:p>
    <w:p w14:paraId="589F15AF" w14:textId="77777777" w:rsidR="00FA7EC6" w:rsidRPr="00C020D5" w:rsidRDefault="00FA7EC6" w:rsidP="007B51EC">
      <w:pPr>
        <w:pStyle w:val="ListParagraph"/>
        <w:numPr>
          <w:ilvl w:val="0"/>
          <w:numId w:val="10"/>
        </w:numPr>
        <w:spacing w:after="60" w:line="240" w:lineRule="auto"/>
        <w:ind w:left="426" w:hanging="426"/>
      </w:pPr>
      <w:r w:rsidRPr="00C020D5">
        <w:t>On-costs</w:t>
      </w:r>
    </w:p>
    <w:p w14:paraId="6A0FB8C2" w14:textId="77777777" w:rsidR="00FA7EC6" w:rsidRPr="00C020D5" w:rsidRDefault="00FA7EC6" w:rsidP="007B51EC">
      <w:pPr>
        <w:pStyle w:val="ListParagraph"/>
        <w:numPr>
          <w:ilvl w:val="0"/>
          <w:numId w:val="10"/>
        </w:numPr>
        <w:spacing w:after="60" w:line="240" w:lineRule="auto"/>
        <w:ind w:left="426" w:hanging="426"/>
      </w:pPr>
      <w:r w:rsidRPr="00C020D5">
        <w:t>Prostheses</w:t>
      </w:r>
    </w:p>
    <w:p w14:paraId="782FD0AD" w14:textId="77777777" w:rsidR="00FA7EC6" w:rsidRPr="00C020D5" w:rsidRDefault="00FA7EC6" w:rsidP="007B51EC">
      <w:pPr>
        <w:pStyle w:val="ListParagraph"/>
        <w:numPr>
          <w:ilvl w:val="0"/>
          <w:numId w:val="10"/>
        </w:numPr>
        <w:spacing w:after="60" w:line="240" w:lineRule="auto"/>
        <w:ind w:left="426" w:hanging="426"/>
      </w:pPr>
      <w:r w:rsidRPr="00C020D5">
        <w:t>Hotel</w:t>
      </w:r>
    </w:p>
    <w:p w14:paraId="42E7BDE8" w14:textId="66244498" w:rsidR="00202CAA" w:rsidRPr="00C020D5" w:rsidRDefault="00FA7EC6" w:rsidP="007B51EC">
      <w:pPr>
        <w:pStyle w:val="ListParagraph"/>
        <w:numPr>
          <w:ilvl w:val="0"/>
          <w:numId w:val="10"/>
        </w:numPr>
        <w:spacing w:after="60" w:line="240" w:lineRule="auto"/>
        <w:ind w:left="425" w:hanging="425"/>
        <w:sectPr w:rsidR="00202CAA" w:rsidRPr="00C020D5" w:rsidSect="00384647">
          <w:type w:val="continuous"/>
          <w:pgSz w:w="11907" w:h="16840" w:code="9"/>
          <w:pgMar w:top="1843" w:right="1440" w:bottom="1021" w:left="1021" w:header="680" w:footer="510" w:gutter="0"/>
          <w:cols w:num="3" w:space="142" w:equalWidth="0">
            <w:col w:w="3054" w:space="142"/>
            <w:col w:w="2871" w:space="142"/>
            <w:col w:w="3237"/>
          </w:cols>
          <w:docGrid w:linePitch="360"/>
        </w:sectPr>
      </w:pPr>
      <w:r w:rsidRPr="00C020D5">
        <w:t>Depreciation</w:t>
      </w:r>
    </w:p>
    <w:p w14:paraId="1816BD82" w14:textId="564B793B" w:rsidR="00FA7EC6" w:rsidRPr="00C020D5" w:rsidRDefault="00FA7EC6" w:rsidP="00FA7EC6">
      <w:r w:rsidRPr="00C020D5">
        <w:t xml:space="preserve">Please note that Emergency Department cost bucket </w:t>
      </w:r>
      <w:r w:rsidR="00C020D5" w:rsidRPr="00C020D5">
        <w:t>is</w:t>
      </w:r>
      <w:r w:rsidRPr="00C020D5">
        <w:t xml:space="preserve"> excluded for the private sector NHCDC cost buckets as this collection is for acute admitted only.</w:t>
      </w:r>
    </w:p>
    <w:p w14:paraId="3B70EA83" w14:textId="7E74FC37" w:rsidR="00FA7EC6" w:rsidRPr="00C020D5" w:rsidRDefault="00FA7EC6" w:rsidP="00FA7EC6">
      <w:r w:rsidRPr="00C020D5">
        <w:t xml:space="preserve">Once each of the cost buckets were calculated for an individual patient, the patient’s total cost of care </w:t>
      </w:r>
      <w:r w:rsidR="00C020D5" w:rsidRPr="00C020D5">
        <w:t>is</w:t>
      </w:r>
      <w:r w:rsidRPr="00C020D5">
        <w:t xml:space="preserve"> derived as the sum of the above components. </w:t>
      </w:r>
    </w:p>
    <w:p w14:paraId="7FFD1833" w14:textId="67BE6847" w:rsidR="002315CF" w:rsidRPr="00C020D5" w:rsidRDefault="00FA7EC6" w:rsidP="00C020D5">
      <w:pPr>
        <w:pStyle w:val="Intro"/>
      </w:pPr>
      <w:bookmarkStart w:id="235" w:name="_Toc496857596"/>
      <w:r w:rsidRPr="00C020D5">
        <w:t>AR-</w:t>
      </w:r>
      <w:r w:rsidR="002315CF" w:rsidRPr="00C020D5">
        <w:t>DRG grouping</w:t>
      </w:r>
      <w:bookmarkEnd w:id="235"/>
    </w:p>
    <w:p w14:paraId="2B964D72" w14:textId="5F0AD78E" w:rsidR="002315CF" w:rsidRPr="006D043B" w:rsidRDefault="00C020D5" w:rsidP="002315CF">
      <w:r w:rsidRPr="006D043B">
        <w:t>All 105</w:t>
      </w:r>
      <w:r w:rsidR="002315CF" w:rsidRPr="006D043B">
        <w:t xml:space="preserve"> hospitals submitted data </w:t>
      </w:r>
      <w:r w:rsidRPr="006D043B">
        <w:t xml:space="preserve">costed in </w:t>
      </w:r>
      <w:r w:rsidR="002315CF" w:rsidRPr="006D043B">
        <w:t>AR-DRG v</w:t>
      </w:r>
      <w:r w:rsidR="00D80696" w:rsidRPr="006D043B">
        <w:t xml:space="preserve">ersion </w:t>
      </w:r>
      <w:r w:rsidRPr="006D043B">
        <w:t>9.0.</w:t>
      </w:r>
    </w:p>
    <w:p w14:paraId="2826A3C8" w14:textId="77777777" w:rsidR="002315CF" w:rsidRPr="00C020D5" w:rsidRDefault="002315CF" w:rsidP="00C020D5">
      <w:pPr>
        <w:pStyle w:val="Intro"/>
      </w:pPr>
      <w:bookmarkStart w:id="236" w:name="_Toc496857598"/>
      <w:r w:rsidRPr="00C020D5">
        <w:t>Cost weights</w:t>
      </w:r>
      <w:bookmarkEnd w:id="236"/>
      <w:r w:rsidRPr="00C020D5">
        <w:t xml:space="preserve"> </w:t>
      </w:r>
    </w:p>
    <w:p w14:paraId="36C730AB" w14:textId="20714D4B" w:rsidR="00FA7EC6" w:rsidRPr="00C020D5" w:rsidRDefault="00FA7EC6" w:rsidP="00FA7EC6">
      <w:bookmarkStart w:id="237" w:name="_Toc496857599"/>
      <w:r w:rsidRPr="00C020D5">
        <w:t>A cost weight for a selected AR-DRG is calculated as the average cost for that DRG, expressed as a weight relative to the overall average cost across all AR-DRGs. The national cost weight across all AR-DRGs is equal to 1.00, with higher cost AR-DRGs having a cost weight hi</w:t>
      </w:r>
      <w:r w:rsidR="00C020D5">
        <w:t xml:space="preserve">gher than 1.00. </w:t>
      </w:r>
      <w:r w:rsidRPr="00C020D5">
        <w:t>The weight is an indicator of the complexity of the care of the patient and thus the r</w:t>
      </w:r>
      <w:r w:rsidR="00C020D5" w:rsidRPr="00C020D5">
        <w:t xml:space="preserve">esourcing intensity required. </w:t>
      </w:r>
      <w:r w:rsidRPr="00C020D5">
        <w:t>This is often referred to as the casemix of a patient or hospital.</w:t>
      </w:r>
    </w:p>
    <w:p w14:paraId="7AE6A894" w14:textId="77777777" w:rsidR="002315CF" w:rsidRPr="00C020D5" w:rsidRDefault="002315CF" w:rsidP="00C020D5">
      <w:pPr>
        <w:pStyle w:val="Intro"/>
      </w:pPr>
      <w:r w:rsidRPr="00C020D5">
        <w:t>Costing standards</w:t>
      </w:r>
      <w:bookmarkEnd w:id="237"/>
    </w:p>
    <w:p w14:paraId="1871F3BB" w14:textId="566F824C" w:rsidR="00E7439E" w:rsidRPr="00C020D5" w:rsidRDefault="002315CF" w:rsidP="002315CF">
      <w:r w:rsidRPr="00C020D5">
        <w:t>Costing was performed in compliance with AHPCS version 3.1.</w:t>
      </w:r>
      <w:bookmarkStart w:id="238" w:name="_Toc353908539"/>
      <w:bookmarkStart w:id="239" w:name="_Toc353911024"/>
      <w:bookmarkStart w:id="240" w:name="_Toc353908540"/>
      <w:bookmarkStart w:id="241" w:name="_Toc353911025"/>
      <w:bookmarkStart w:id="242" w:name="_Toc353908592"/>
      <w:bookmarkStart w:id="243" w:name="_Toc353911077"/>
      <w:bookmarkStart w:id="244" w:name="_Toc353908691"/>
      <w:bookmarkStart w:id="245" w:name="_Toc353911176"/>
      <w:bookmarkStart w:id="246" w:name="_Toc353908692"/>
      <w:bookmarkStart w:id="247" w:name="_Toc353911177"/>
      <w:bookmarkStart w:id="248" w:name="_Toc353908693"/>
      <w:bookmarkStart w:id="249" w:name="_Toc353911178"/>
      <w:bookmarkStart w:id="250" w:name="_Toc353908694"/>
      <w:bookmarkStart w:id="251" w:name="_Toc353911179"/>
      <w:bookmarkStart w:id="252" w:name="_Ref353927377"/>
      <w:bookmarkStart w:id="253" w:name="_Ref353990582"/>
      <w:bookmarkStart w:id="254" w:name="_Ref432602284"/>
      <w:bookmarkStart w:id="255" w:name="_Ref43260229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bookmarkEnd w:id="252"/>
    <w:bookmarkEnd w:id="253"/>
    <w:bookmarkEnd w:id="254"/>
    <w:bookmarkEnd w:id="255"/>
    <w:p w14:paraId="16E91E27" w14:textId="0A3D9039" w:rsidR="002315CF" w:rsidRPr="00E4527E" w:rsidRDefault="002315CF" w:rsidP="002315CF">
      <w:pPr>
        <w:rPr>
          <w:highlight w:val="yellow"/>
        </w:rPr>
      </w:pPr>
      <w:r w:rsidRPr="00E4527E">
        <w:rPr>
          <w:highlight w:val="yellow"/>
        </w:rPr>
        <w:br w:type="page"/>
      </w:r>
    </w:p>
    <w:p w14:paraId="02DB295A" w14:textId="147A49CE" w:rsidR="00EB6320" w:rsidRPr="000A609A" w:rsidRDefault="00EB6320" w:rsidP="006200A2">
      <w:pPr>
        <w:pStyle w:val="Heading1"/>
        <w:numPr>
          <w:ilvl w:val="0"/>
          <w:numId w:val="0"/>
        </w:numPr>
        <w:rPr>
          <w:sz w:val="56"/>
          <w:szCs w:val="20"/>
        </w:rPr>
      </w:pPr>
      <w:bookmarkStart w:id="256" w:name="_Toc435611234"/>
      <w:bookmarkStart w:id="257" w:name="_Toc430010946"/>
      <w:bookmarkStart w:id="258" w:name="_Toc401133810"/>
      <w:bookmarkStart w:id="259" w:name="_Toc401133776"/>
      <w:bookmarkStart w:id="260" w:name="_Toc356830901"/>
      <w:bookmarkStart w:id="261" w:name="_Toc496794458"/>
      <w:bookmarkStart w:id="262" w:name="_Toc161979"/>
      <w:r w:rsidRPr="000A609A">
        <w:t xml:space="preserve">Appendix </w:t>
      </w:r>
      <w:r w:rsidR="00E00286" w:rsidRPr="000A609A">
        <w:t>C</w:t>
      </w:r>
      <w:r w:rsidRPr="000A609A">
        <w:t>: Standard error range</w:t>
      </w:r>
      <w:r w:rsidR="00B46890" w:rsidRPr="000A609A">
        <w:t xml:space="preserve"> for</w:t>
      </w:r>
      <w:r w:rsidRPr="000A609A">
        <w:t xml:space="preserve"> </w:t>
      </w:r>
      <w:r w:rsidR="00B46890" w:rsidRPr="000A609A">
        <w:t xml:space="preserve">the </w:t>
      </w:r>
      <w:r w:rsidR="000A609A" w:rsidRPr="000A609A">
        <w:t>Round 21</w:t>
      </w:r>
      <w:r w:rsidRPr="000A609A">
        <w:t xml:space="preserve"> private sector</w:t>
      </w:r>
      <w:bookmarkEnd w:id="256"/>
      <w:bookmarkEnd w:id="257"/>
      <w:bookmarkEnd w:id="258"/>
      <w:bookmarkEnd w:id="259"/>
      <w:bookmarkEnd w:id="260"/>
      <w:bookmarkEnd w:id="261"/>
      <w:r w:rsidR="00B46890" w:rsidRPr="000A609A">
        <w:t xml:space="preserve"> NHCDC</w:t>
      </w:r>
      <w:bookmarkEnd w:id="262"/>
    </w:p>
    <w:p w14:paraId="05CCEA47" w14:textId="49BB5944" w:rsidR="00E7439E" w:rsidRPr="00E4527E" w:rsidRDefault="00EB6320" w:rsidP="00EB6320">
      <w:pPr>
        <w:rPr>
          <w:highlight w:val="yellow"/>
        </w:rPr>
      </w:pPr>
      <w:r w:rsidRPr="00561736">
        <w:t>Stand</w:t>
      </w:r>
      <w:r w:rsidR="00653C98" w:rsidRPr="00561736">
        <w:t xml:space="preserve">ard errors, reported against </w:t>
      </w:r>
      <w:r w:rsidRPr="00561736">
        <w:t>DRG cost weights included in</w:t>
      </w:r>
      <w:r w:rsidRPr="00F9007A">
        <w:t xml:space="preserve"> </w:t>
      </w:r>
      <w:r w:rsidRPr="00F9007A">
        <w:fldChar w:fldCharType="begin"/>
      </w:r>
      <w:r w:rsidRPr="00F9007A">
        <w:instrText xml:space="preserve"> REF _Ref432971289 \w \h  \* MERGEFORMAT </w:instrText>
      </w:r>
      <w:r w:rsidRPr="00F9007A">
        <w:fldChar w:fldCharType="separate"/>
      </w:r>
      <w:r w:rsidR="003D3E16">
        <w:t>0</w:t>
      </w:r>
      <w:r w:rsidRPr="00F9007A">
        <w:fldChar w:fldCharType="end"/>
      </w:r>
      <w:r w:rsidRPr="00F9007A">
        <w:t xml:space="preserve"> </w:t>
      </w:r>
      <w:r w:rsidR="00F9007A" w:rsidRPr="00F9007A">
        <w:fldChar w:fldCharType="begin"/>
      </w:r>
      <w:r w:rsidR="00F9007A" w:rsidRPr="00F9007A">
        <w:instrText xml:space="preserve"> REF _Ref535931415 \h </w:instrText>
      </w:r>
      <w:r w:rsidR="00F9007A">
        <w:instrText xml:space="preserve"> \* MERGEFORMAT </w:instrText>
      </w:r>
      <w:r w:rsidR="00F9007A" w:rsidRPr="00F9007A">
        <w:fldChar w:fldCharType="separate"/>
      </w:r>
      <w:r w:rsidR="003D3E16" w:rsidRPr="00F87B64">
        <w:t>Analysis of Top 20</w:t>
      </w:r>
      <w:r w:rsidR="003D3E16">
        <w:t xml:space="preserve"> DRGs</w:t>
      </w:r>
      <w:r w:rsidR="00F9007A" w:rsidRPr="00F9007A">
        <w:fldChar w:fldCharType="end"/>
      </w:r>
      <w:r w:rsidR="00F9007A">
        <w:t xml:space="preserve"> </w:t>
      </w:r>
      <w:r w:rsidR="009E6DCF" w:rsidRPr="00561736">
        <w:t xml:space="preserve">and </w:t>
      </w:r>
      <w:r w:rsidR="00F9007A">
        <w:fldChar w:fldCharType="begin"/>
      </w:r>
      <w:r w:rsidR="00F9007A">
        <w:instrText xml:space="preserve"> REF _Ref497335615 \h </w:instrText>
      </w:r>
      <w:r w:rsidR="00F9007A">
        <w:fldChar w:fldCharType="separate"/>
      </w:r>
      <w:r w:rsidR="003D3E16" w:rsidRPr="006365D0">
        <w:t>Appendix D: Cost weight tables by AR-DRG Version 9.0</w:t>
      </w:r>
      <w:r w:rsidR="00F9007A">
        <w:fldChar w:fldCharType="end"/>
      </w:r>
      <w:r w:rsidR="009E6DCF" w:rsidRPr="00F9007A">
        <w:t xml:space="preserve">, </w:t>
      </w:r>
      <w:r w:rsidRPr="00F9007A">
        <w:t>g</w:t>
      </w:r>
      <w:r w:rsidRPr="00561736">
        <w:t>ive an indication of the reliability of cost weights. A large standard error indicates a high level of variation in the underlying sam</w:t>
      </w:r>
      <w:r w:rsidR="00653C98" w:rsidRPr="00561736">
        <w:t xml:space="preserve">ple data for that particular </w:t>
      </w:r>
      <w:r w:rsidRPr="00561736">
        <w:t xml:space="preserve">DRG, and therefore the cost weight presented is a less reliable estimate of the true underlying </w:t>
      </w:r>
      <w:r w:rsidR="00653C98" w:rsidRPr="00561736">
        <w:t xml:space="preserve">cost of a separation in that </w:t>
      </w:r>
      <w:r w:rsidRPr="00561736">
        <w:t>DRG.</w:t>
      </w:r>
    </w:p>
    <w:p w14:paraId="21444F15" w14:textId="55023945" w:rsidR="00E7439E" w:rsidRPr="00561736" w:rsidRDefault="006654BA" w:rsidP="00EB6320">
      <w:r w:rsidRPr="00DF0CF9">
        <w:t>Table 15</w:t>
      </w:r>
      <w:r w:rsidR="00EB6320" w:rsidRPr="00DF0CF9">
        <w:t xml:space="preserve"> </w:t>
      </w:r>
      <w:r w:rsidR="00653C98" w:rsidRPr="00DF0CF9">
        <w:t>summarises th</w:t>
      </w:r>
      <w:r w:rsidR="00653C98" w:rsidRPr="00561736">
        <w:t xml:space="preserve">e reliability of </w:t>
      </w:r>
      <w:r w:rsidR="00EB6320" w:rsidRPr="00561736">
        <w:t xml:space="preserve">DRG cost weights by grouping the standard errors into a </w:t>
      </w:r>
      <w:r w:rsidR="00653C98" w:rsidRPr="00561736">
        <w:t xml:space="preserve">number of ranges. Numbers of </w:t>
      </w:r>
      <w:r w:rsidR="00EB6320" w:rsidRPr="00561736">
        <w:t>DRGs and separations falling into standard error ranges provide insight into the global impact of estimation error on cost weights.</w:t>
      </w:r>
      <w:bookmarkStart w:id="263" w:name="_Toc432078952"/>
    </w:p>
    <w:p w14:paraId="479D58FF" w14:textId="4D5C0948" w:rsidR="00EB6320" w:rsidRPr="00561736" w:rsidRDefault="006654BA" w:rsidP="00E763E2">
      <w:pPr>
        <w:pStyle w:val="TableHeadings3"/>
      </w:pPr>
      <w:bookmarkStart w:id="264" w:name="_Toc497488053"/>
      <w:bookmarkStart w:id="265" w:name="_Toc162005"/>
      <w:r w:rsidRPr="00561736">
        <w:t>Table 15</w:t>
      </w:r>
      <w:r w:rsidR="00E22F35" w:rsidRPr="00561736">
        <w:t>.</w:t>
      </w:r>
      <w:r w:rsidR="008D220E" w:rsidRPr="00561736">
        <w:t xml:space="preserve"> </w:t>
      </w:r>
      <w:r w:rsidR="00653C98" w:rsidRPr="00561736">
        <w:t xml:space="preserve">Number of </w:t>
      </w:r>
      <w:r w:rsidR="00EB6320" w:rsidRPr="00561736">
        <w:t>DRGs by standard error range</w:t>
      </w:r>
      <w:bookmarkEnd w:id="263"/>
      <w:bookmarkEnd w:id="264"/>
      <w:bookmarkEnd w:id="265"/>
    </w:p>
    <w:tbl>
      <w:tblPr>
        <w:tblStyle w:val="GridTable4-Accent21"/>
        <w:tblW w:w="7360" w:type="dxa"/>
        <w:tblBorders>
          <w:top w:val="dashSmallGap" w:sz="4" w:space="0" w:color="auto"/>
          <w:left w:val="single" w:sz="4" w:space="0" w:color="auto"/>
          <w:bottom w:val="dashSmallGap" w:sz="4" w:space="0" w:color="auto"/>
          <w:right w:val="single" w:sz="4" w:space="0" w:color="auto"/>
          <w:insideH w:val="dashSmallGap" w:sz="4" w:space="0" w:color="auto"/>
          <w:insideV w:val="dashSmallGap" w:sz="4" w:space="0" w:color="auto"/>
        </w:tblBorders>
        <w:tblLook w:val="04A0" w:firstRow="1" w:lastRow="0" w:firstColumn="1" w:lastColumn="0" w:noHBand="0" w:noVBand="1"/>
        <w:tblCaption w:val="Table 15 Number of AR-DRGs by standard error range"/>
        <w:tblDescription w:val="Table 15 shows the number of AR-DRGs by standard error range. The columns are standard error range, number of AR-DRGs, separations, percentage of AR-DRGs, and percentage of total separations. There is one row for each standard error range and a total row at the bottom."/>
      </w:tblPr>
      <w:tblGrid>
        <w:gridCol w:w="1640"/>
        <w:gridCol w:w="1180"/>
        <w:gridCol w:w="1380"/>
        <w:gridCol w:w="1520"/>
        <w:gridCol w:w="1640"/>
      </w:tblGrid>
      <w:tr w:rsidR="00EB6320" w:rsidRPr="00913C50" w14:paraId="56489825" w14:textId="77777777" w:rsidTr="00913C50">
        <w:trPr>
          <w:cnfStyle w:val="100000000000" w:firstRow="1" w:lastRow="0" w:firstColumn="0" w:lastColumn="0" w:oddVBand="0" w:evenVBand="0" w:oddHBand="0" w:evenHBand="0" w:firstRowFirstColumn="0" w:firstRowLastColumn="0" w:lastRowFirstColumn="0" w:lastRowLastColumn="0"/>
          <w:trHeight w:val="498"/>
          <w:tblHead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single" w:sz="4" w:space="0" w:color="auto"/>
            </w:tcBorders>
            <w:shd w:val="clear" w:color="auto" w:fill="auto"/>
            <w:hideMark/>
          </w:tcPr>
          <w:p w14:paraId="1E295204" w14:textId="77777777" w:rsidR="00EB6320" w:rsidRPr="00913C50" w:rsidRDefault="00EB6320" w:rsidP="007B51EC">
            <w:pPr>
              <w:spacing w:before="80" w:after="80" w:line="240" w:lineRule="auto"/>
              <w:rPr>
                <w:rFonts w:ascii="Georgia" w:hAnsi="Georgia"/>
                <w:bCs w:val="0"/>
                <w:color w:val="auto"/>
                <w:sz w:val="16"/>
                <w:szCs w:val="18"/>
              </w:rPr>
            </w:pPr>
            <w:r w:rsidRPr="00913C50">
              <w:rPr>
                <w:bCs w:val="0"/>
                <w:color w:val="auto"/>
                <w:sz w:val="16"/>
                <w:szCs w:val="18"/>
              </w:rPr>
              <w:t>Standard error range</w:t>
            </w:r>
          </w:p>
        </w:tc>
        <w:tc>
          <w:tcPr>
            <w:tcW w:w="1180" w:type="dxa"/>
            <w:tcBorders>
              <w:top w:val="single" w:sz="4" w:space="0" w:color="auto"/>
              <w:bottom w:val="single" w:sz="4" w:space="0" w:color="auto"/>
            </w:tcBorders>
            <w:shd w:val="clear" w:color="auto" w:fill="auto"/>
            <w:hideMark/>
          </w:tcPr>
          <w:p w14:paraId="323C1522" w14:textId="78159290" w:rsidR="00EB6320" w:rsidRPr="00913C50" w:rsidRDefault="00653C98"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913C50">
              <w:rPr>
                <w:bCs w:val="0"/>
                <w:color w:val="auto"/>
                <w:sz w:val="16"/>
                <w:szCs w:val="18"/>
              </w:rPr>
              <w:t xml:space="preserve">Number of </w:t>
            </w:r>
            <w:r w:rsidR="00EB6320" w:rsidRPr="00913C50">
              <w:rPr>
                <w:bCs w:val="0"/>
                <w:color w:val="auto"/>
                <w:sz w:val="16"/>
                <w:szCs w:val="18"/>
              </w:rPr>
              <w:t>DRGs</w:t>
            </w:r>
          </w:p>
        </w:tc>
        <w:tc>
          <w:tcPr>
            <w:tcW w:w="1380" w:type="dxa"/>
            <w:tcBorders>
              <w:top w:val="single" w:sz="4" w:space="0" w:color="auto"/>
              <w:bottom w:val="single" w:sz="4" w:space="0" w:color="auto"/>
            </w:tcBorders>
            <w:shd w:val="clear" w:color="auto" w:fill="auto"/>
            <w:hideMark/>
          </w:tcPr>
          <w:p w14:paraId="46037D3D" w14:textId="77777777" w:rsidR="00EB6320" w:rsidRPr="00913C50"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913C50">
              <w:rPr>
                <w:bCs w:val="0"/>
                <w:color w:val="auto"/>
                <w:sz w:val="16"/>
                <w:szCs w:val="18"/>
              </w:rPr>
              <w:t>Separations</w:t>
            </w:r>
          </w:p>
        </w:tc>
        <w:tc>
          <w:tcPr>
            <w:tcW w:w="1520" w:type="dxa"/>
            <w:tcBorders>
              <w:top w:val="single" w:sz="4" w:space="0" w:color="auto"/>
              <w:bottom w:val="single" w:sz="4" w:space="0" w:color="auto"/>
            </w:tcBorders>
            <w:shd w:val="clear" w:color="auto" w:fill="auto"/>
            <w:hideMark/>
          </w:tcPr>
          <w:p w14:paraId="0EE8565E" w14:textId="77777777" w:rsidR="00EB6320" w:rsidRPr="00913C50"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913C50">
              <w:rPr>
                <w:bCs w:val="0"/>
                <w:color w:val="auto"/>
                <w:sz w:val="16"/>
                <w:szCs w:val="18"/>
              </w:rPr>
              <w:t>Percentage of DRGs (%)</w:t>
            </w:r>
          </w:p>
        </w:tc>
        <w:tc>
          <w:tcPr>
            <w:tcW w:w="1640" w:type="dxa"/>
            <w:tcBorders>
              <w:top w:val="single" w:sz="4" w:space="0" w:color="auto"/>
              <w:bottom w:val="single" w:sz="4" w:space="0" w:color="auto"/>
              <w:right w:val="nil"/>
            </w:tcBorders>
            <w:shd w:val="clear" w:color="auto" w:fill="auto"/>
            <w:hideMark/>
          </w:tcPr>
          <w:p w14:paraId="02461963" w14:textId="77777777" w:rsidR="00EB6320" w:rsidRPr="00913C50"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913C50">
              <w:rPr>
                <w:bCs w:val="0"/>
                <w:color w:val="auto"/>
                <w:sz w:val="16"/>
                <w:szCs w:val="18"/>
              </w:rPr>
              <w:t>Percentage of total separations (%)</w:t>
            </w:r>
          </w:p>
        </w:tc>
      </w:tr>
      <w:tr w:rsidR="009248A9" w:rsidRPr="00913C50" w14:paraId="74B4F4A0"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nil"/>
              <w:right w:val="nil"/>
            </w:tcBorders>
            <w:shd w:val="clear" w:color="auto" w:fill="auto"/>
            <w:noWrap/>
            <w:hideMark/>
          </w:tcPr>
          <w:p w14:paraId="3A01B197" w14:textId="77777777" w:rsidR="009248A9" w:rsidRPr="00913C50" w:rsidRDefault="009248A9" w:rsidP="007B51EC">
            <w:pPr>
              <w:spacing w:before="80" w:after="80" w:line="240" w:lineRule="auto"/>
              <w:rPr>
                <w:color w:val="000000"/>
                <w:sz w:val="16"/>
                <w:szCs w:val="18"/>
              </w:rPr>
            </w:pPr>
            <w:r w:rsidRPr="00913C50">
              <w:rPr>
                <w:color w:val="000000"/>
                <w:sz w:val="16"/>
                <w:szCs w:val="18"/>
              </w:rPr>
              <w:t>0.000 - 0.039</w:t>
            </w:r>
          </w:p>
        </w:tc>
        <w:tc>
          <w:tcPr>
            <w:tcW w:w="1180" w:type="dxa"/>
            <w:tcBorders>
              <w:top w:val="single" w:sz="4" w:space="0" w:color="auto"/>
              <w:left w:val="nil"/>
              <w:bottom w:val="nil"/>
              <w:right w:val="nil"/>
            </w:tcBorders>
            <w:shd w:val="clear" w:color="auto" w:fill="auto"/>
            <w:noWrap/>
            <w:hideMark/>
          </w:tcPr>
          <w:p w14:paraId="6E06B8C8" w14:textId="0A957E05"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259</w:t>
            </w:r>
          </w:p>
        </w:tc>
        <w:tc>
          <w:tcPr>
            <w:tcW w:w="1380" w:type="dxa"/>
            <w:tcBorders>
              <w:top w:val="single" w:sz="4" w:space="0" w:color="auto"/>
              <w:left w:val="nil"/>
              <w:bottom w:val="nil"/>
              <w:right w:val="nil"/>
            </w:tcBorders>
            <w:shd w:val="clear" w:color="auto" w:fill="auto"/>
            <w:noWrap/>
            <w:hideMark/>
          </w:tcPr>
          <w:p w14:paraId="12EBC313" w14:textId="1EC034EB"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2,910,040</w:t>
            </w:r>
          </w:p>
        </w:tc>
        <w:tc>
          <w:tcPr>
            <w:tcW w:w="1520" w:type="dxa"/>
            <w:tcBorders>
              <w:top w:val="single" w:sz="4" w:space="0" w:color="auto"/>
              <w:left w:val="nil"/>
              <w:bottom w:val="nil"/>
              <w:right w:val="nil"/>
            </w:tcBorders>
            <w:shd w:val="clear" w:color="auto" w:fill="auto"/>
            <w:noWrap/>
            <w:hideMark/>
          </w:tcPr>
          <w:p w14:paraId="79A77176" w14:textId="72A64995"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34%</w:t>
            </w:r>
          </w:p>
        </w:tc>
        <w:tc>
          <w:tcPr>
            <w:tcW w:w="1640" w:type="dxa"/>
            <w:tcBorders>
              <w:top w:val="single" w:sz="4" w:space="0" w:color="auto"/>
              <w:left w:val="nil"/>
              <w:bottom w:val="nil"/>
              <w:right w:val="nil"/>
            </w:tcBorders>
            <w:shd w:val="clear" w:color="auto" w:fill="auto"/>
            <w:noWrap/>
            <w:hideMark/>
          </w:tcPr>
          <w:p w14:paraId="27B8B999" w14:textId="74C464A8"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90%</w:t>
            </w:r>
          </w:p>
        </w:tc>
      </w:tr>
      <w:tr w:rsidR="009248A9" w:rsidRPr="00913C50" w14:paraId="5F870D77"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5D199A5B" w14:textId="77777777" w:rsidR="009248A9" w:rsidRPr="00913C50" w:rsidRDefault="009248A9" w:rsidP="007B51EC">
            <w:pPr>
              <w:spacing w:before="80" w:after="80" w:line="240" w:lineRule="auto"/>
              <w:rPr>
                <w:color w:val="000000"/>
                <w:sz w:val="16"/>
                <w:szCs w:val="18"/>
              </w:rPr>
            </w:pPr>
            <w:r w:rsidRPr="00913C50">
              <w:rPr>
                <w:color w:val="000000"/>
                <w:sz w:val="16"/>
                <w:szCs w:val="18"/>
              </w:rPr>
              <w:t>0.040 - 0.099</w:t>
            </w:r>
          </w:p>
        </w:tc>
        <w:tc>
          <w:tcPr>
            <w:tcW w:w="1180" w:type="dxa"/>
            <w:tcBorders>
              <w:top w:val="nil"/>
              <w:left w:val="nil"/>
              <w:bottom w:val="nil"/>
              <w:right w:val="nil"/>
            </w:tcBorders>
            <w:shd w:val="clear" w:color="auto" w:fill="auto"/>
            <w:noWrap/>
            <w:hideMark/>
          </w:tcPr>
          <w:p w14:paraId="3A437531" w14:textId="6AD6AA79"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188</w:t>
            </w:r>
          </w:p>
        </w:tc>
        <w:tc>
          <w:tcPr>
            <w:tcW w:w="1380" w:type="dxa"/>
            <w:tcBorders>
              <w:top w:val="nil"/>
              <w:left w:val="nil"/>
              <w:bottom w:val="nil"/>
              <w:right w:val="nil"/>
            </w:tcBorders>
            <w:shd w:val="clear" w:color="auto" w:fill="auto"/>
            <w:noWrap/>
            <w:hideMark/>
          </w:tcPr>
          <w:p w14:paraId="48F3B45D" w14:textId="45540F0F"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235,469</w:t>
            </w:r>
          </w:p>
        </w:tc>
        <w:tc>
          <w:tcPr>
            <w:tcW w:w="1520" w:type="dxa"/>
            <w:tcBorders>
              <w:top w:val="nil"/>
              <w:left w:val="nil"/>
              <w:bottom w:val="nil"/>
              <w:right w:val="nil"/>
            </w:tcBorders>
            <w:shd w:val="clear" w:color="auto" w:fill="auto"/>
            <w:noWrap/>
            <w:hideMark/>
          </w:tcPr>
          <w:p w14:paraId="485B2C46" w14:textId="59B38334"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24%</w:t>
            </w:r>
          </w:p>
        </w:tc>
        <w:tc>
          <w:tcPr>
            <w:tcW w:w="1640" w:type="dxa"/>
            <w:tcBorders>
              <w:top w:val="nil"/>
              <w:left w:val="nil"/>
              <w:bottom w:val="nil"/>
              <w:right w:val="nil"/>
            </w:tcBorders>
            <w:shd w:val="clear" w:color="auto" w:fill="auto"/>
            <w:noWrap/>
            <w:hideMark/>
          </w:tcPr>
          <w:p w14:paraId="6CBE671F" w14:textId="373B88FE"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7%</w:t>
            </w:r>
          </w:p>
        </w:tc>
      </w:tr>
      <w:tr w:rsidR="009248A9" w:rsidRPr="00913C50" w14:paraId="1AA5FA7D"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5B1C7C26" w14:textId="77777777" w:rsidR="009248A9" w:rsidRPr="00913C50" w:rsidRDefault="009248A9" w:rsidP="007B51EC">
            <w:pPr>
              <w:spacing w:before="80" w:after="80" w:line="240" w:lineRule="auto"/>
              <w:rPr>
                <w:color w:val="000000"/>
                <w:sz w:val="16"/>
                <w:szCs w:val="18"/>
              </w:rPr>
            </w:pPr>
            <w:r w:rsidRPr="00913C50">
              <w:rPr>
                <w:color w:val="000000"/>
                <w:sz w:val="16"/>
                <w:szCs w:val="18"/>
              </w:rPr>
              <w:t>0.100 - 0.149</w:t>
            </w:r>
          </w:p>
        </w:tc>
        <w:tc>
          <w:tcPr>
            <w:tcW w:w="1180" w:type="dxa"/>
            <w:tcBorders>
              <w:top w:val="nil"/>
              <w:left w:val="nil"/>
              <w:bottom w:val="nil"/>
              <w:right w:val="nil"/>
            </w:tcBorders>
            <w:shd w:val="clear" w:color="auto" w:fill="auto"/>
            <w:noWrap/>
            <w:hideMark/>
          </w:tcPr>
          <w:p w14:paraId="6ED3A98D" w14:textId="50EE3CAF"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73</w:t>
            </w:r>
          </w:p>
        </w:tc>
        <w:tc>
          <w:tcPr>
            <w:tcW w:w="1380" w:type="dxa"/>
            <w:tcBorders>
              <w:top w:val="nil"/>
              <w:left w:val="nil"/>
              <w:bottom w:val="nil"/>
              <w:right w:val="nil"/>
            </w:tcBorders>
            <w:shd w:val="clear" w:color="auto" w:fill="auto"/>
            <w:noWrap/>
            <w:hideMark/>
          </w:tcPr>
          <w:p w14:paraId="491C67B4" w14:textId="79FD85B3"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42,727</w:t>
            </w:r>
          </w:p>
        </w:tc>
        <w:tc>
          <w:tcPr>
            <w:tcW w:w="1520" w:type="dxa"/>
            <w:tcBorders>
              <w:top w:val="nil"/>
              <w:left w:val="nil"/>
              <w:bottom w:val="nil"/>
              <w:right w:val="nil"/>
            </w:tcBorders>
            <w:shd w:val="clear" w:color="auto" w:fill="auto"/>
            <w:noWrap/>
            <w:hideMark/>
          </w:tcPr>
          <w:p w14:paraId="61C34A5E" w14:textId="10DB74A6"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10%</w:t>
            </w:r>
          </w:p>
        </w:tc>
        <w:tc>
          <w:tcPr>
            <w:tcW w:w="1640" w:type="dxa"/>
            <w:tcBorders>
              <w:top w:val="nil"/>
              <w:left w:val="nil"/>
              <w:bottom w:val="nil"/>
              <w:right w:val="nil"/>
            </w:tcBorders>
            <w:shd w:val="clear" w:color="auto" w:fill="auto"/>
            <w:noWrap/>
            <w:hideMark/>
          </w:tcPr>
          <w:p w14:paraId="1C08DA28" w14:textId="590B2006"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1%</w:t>
            </w:r>
          </w:p>
        </w:tc>
      </w:tr>
      <w:tr w:rsidR="009248A9" w:rsidRPr="00913C50" w14:paraId="5BEF6AFB"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6C874B99" w14:textId="77777777" w:rsidR="009248A9" w:rsidRPr="00913C50" w:rsidRDefault="009248A9" w:rsidP="007B51EC">
            <w:pPr>
              <w:spacing w:before="80" w:after="80" w:line="240" w:lineRule="auto"/>
              <w:rPr>
                <w:color w:val="000000"/>
                <w:sz w:val="16"/>
                <w:szCs w:val="18"/>
              </w:rPr>
            </w:pPr>
            <w:r w:rsidRPr="00913C50">
              <w:rPr>
                <w:color w:val="000000"/>
                <w:sz w:val="16"/>
                <w:szCs w:val="18"/>
              </w:rPr>
              <w:t>0.150 - 0.199</w:t>
            </w:r>
          </w:p>
        </w:tc>
        <w:tc>
          <w:tcPr>
            <w:tcW w:w="1180" w:type="dxa"/>
            <w:tcBorders>
              <w:top w:val="nil"/>
              <w:left w:val="nil"/>
              <w:bottom w:val="nil"/>
              <w:right w:val="nil"/>
            </w:tcBorders>
            <w:shd w:val="clear" w:color="auto" w:fill="auto"/>
            <w:noWrap/>
            <w:hideMark/>
          </w:tcPr>
          <w:p w14:paraId="1D6C23A5" w14:textId="7D43EAD1"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52</w:t>
            </w:r>
          </w:p>
        </w:tc>
        <w:tc>
          <w:tcPr>
            <w:tcW w:w="1380" w:type="dxa"/>
            <w:tcBorders>
              <w:top w:val="nil"/>
              <w:left w:val="nil"/>
              <w:bottom w:val="nil"/>
              <w:right w:val="nil"/>
            </w:tcBorders>
            <w:shd w:val="clear" w:color="auto" w:fill="auto"/>
            <w:noWrap/>
            <w:hideMark/>
          </w:tcPr>
          <w:p w14:paraId="58A03C8B" w14:textId="21ABB054"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20,761</w:t>
            </w:r>
          </w:p>
        </w:tc>
        <w:tc>
          <w:tcPr>
            <w:tcW w:w="1520" w:type="dxa"/>
            <w:tcBorders>
              <w:top w:val="nil"/>
              <w:left w:val="nil"/>
              <w:bottom w:val="nil"/>
              <w:right w:val="nil"/>
            </w:tcBorders>
            <w:shd w:val="clear" w:color="auto" w:fill="auto"/>
            <w:noWrap/>
            <w:hideMark/>
          </w:tcPr>
          <w:p w14:paraId="163F84E7" w14:textId="3606AAA9"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7%</w:t>
            </w:r>
          </w:p>
        </w:tc>
        <w:tc>
          <w:tcPr>
            <w:tcW w:w="1640" w:type="dxa"/>
            <w:tcBorders>
              <w:top w:val="nil"/>
              <w:left w:val="nil"/>
              <w:bottom w:val="nil"/>
              <w:right w:val="nil"/>
            </w:tcBorders>
            <w:shd w:val="clear" w:color="auto" w:fill="auto"/>
            <w:noWrap/>
            <w:hideMark/>
          </w:tcPr>
          <w:p w14:paraId="1DDA54AE" w14:textId="4E2090D3"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1%</w:t>
            </w:r>
          </w:p>
        </w:tc>
      </w:tr>
      <w:tr w:rsidR="009248A9" w:rsidRPr="00913C50" w14:paraId="59FA8216"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0AE7FBE0" w14:textId="77777777" w:rsidR="009248A9" w:rsidRPr="00913C50" w:rsidRDefault="009248A9" w:rsidP="007B51EC">
            <w:pPr>
              <w:spacing w:before="80" w:after="80" w:line="240" w:lineRule="auto"/>
              <w:rPr>
                <w:color w:val="000000"/>
                <w:sz w:val="16"/>
                <w:szCs w:val="18"/>
              </w:rPr>
            </w:pPr>
            <w:r w:rsidRPr="00913C50">
              <w:rPr>
                <w:color w:val="000000"/>
                <w:sz w:val="16"/>
                <w:szCs w:val="18"/>
              </w:rPr>
              <w:t>0.200 - 0.399</w:t>
            </w:r>
          </w:p>
        </w:tc>
        <w:tc>
          <w:tcPr>
            <w:tcW w:w="1180" w:type="dxa"/>
            <w:tcBorders>
              <w:top w:val="nil"/>
              <w:left w:val="nil"/>
              <w:bottom w:val="nil"/>
              <w:right w:val="nil"/>
            </w:tcBorders>
            <w:shd w:val="clear" w:color="auto" w:fill="auto"/>
            <w:noWrap/>
            <w:hideMark/>
          </w:tcPr>
          <w:p w14:paraId="00B667F1" w14:textId="65770143"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93</w:t>
            </w:r>
          </w:p>
        </w:tc>
        <w:tc>
          <w:tcPr>
            <w:tcW w:w="1380" w:type="dxa"/>
            <w:tcBorders>
              <w:top w:val="nil"/>
              <w:left w:val="nil"/>
              <w:bottom w:val="nil"/>
              <w:right w:val="nil"/>
            </w:tcBorders>
            <w:shd w:val="clear" w:color="auto" w:fill="auto"/>
            <w:noWrap/>
            <w:hideMark/>
          </w:tcPr>
          <w:p w14:paraId="70BE386D" w14:textId="22237CF0"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20,992</w:t>
            </w:r>
          </w:p>
        </w:tc>
        <w:tc>
          <w:tcPr>
            <w:tcW w:w="1520" w:type="dxa"/>
            <w:tcBorders>
              <w:top w:val="nil"/>
              <w:left w:val="nil"/>
              <w:bottom w:val="nil"/>
              <w:right w:val="nil"/>
            </w:tcBorders>
            <w:shd w:val="clear" w:color="auto" w:fill="auto"/>
            <w:noWrap/>
            <w:hideMark/>
          </w:tcPr>
          <w:p w14:paraId="4C87B06C" w14:textId="3DDC56DD"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12%</w:t>
            </w:r>
          </w:p>
        </w:tc>
        <w:tc>
          <w:tcPr>
            <w:tcW w:w="1640" w:type="dxa"/>
            <w:tcBorders>
              <w:top w:val="nil"/>
              <w:left w:val="nil"/>
              <w:bottom w:val="nil"/>
              <w:right w:val="nil"/>
            </w:tcBorders>
            <w:shd w:val="clear" w:color="auto" w:fill="auto"/>
            <w:noWrap/>
            <w:hideMark/>
          </w:tcPr>
          <w:p w14:paraId="0C880A29" w14:textId="34FE1C34"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8"/>
                <w:highlight w:val="yellow"/>
              </w:rPr>
            </w:pPr>
            <w:r w:rsidRPr="00913C50">
              <w:rPr>
                <w:color w:val="000000"/>
                <w:sz w:val="16"/>
                <w:szCs w:val="18"/>
              </w:rPr>
              <w:t>1%</w:t>
            </w:r>
          </w:p>
        </w:tc>
      </w:tr>
      <w:tr w:rsidR="009248A9" w:rsidRPr="00913C50" w14:paraId="33B3C545"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single" w:sz="4" w:space="0" w:color="auto"/>
              <w:right w:val="nil"/>
            </w:tcBorders>
            <w:shd w:val="clear" w:color="auto" w:fill="auto"/>
            <w:noWrap/>
            <w:hideMark/>
          </w:tcPr>
          <w:p w14:paraId="7A5D72DC" w14:textId="77777777" w:rsidR="009248A9" w:rsidRPr="00913C50" w:rsidRDefault="009248A9" w:rsidP="007B51EC">
            <w:pPr>
              <w:spacing w:before="80" w:after="80" w:line="240" w:lineRule="auto"/>
              <w:rPr>
                <w:color w:val="000000"/>
                <w:sz w:val="16"/>
                <w:szCs w:val="18"/>
              </w:rPr>
            </w:pPr>
            <w:r w:rsidRPr="00913C50">
              <w:rPr>
                <w:color w:val="000000"/>
                <w:sz w:val="16"/>
                <w:szCs w:val="18"/>
              </w:rPr>
              <w:t xml:space="preserve">0.400 + </w:t>
            </w:r>
          </w:p>
        </w:tc>
        <w:tc>
          <w:tcPr>
            <w:tcW w:w="1180" w:type="dxa"/>
            <w:tcBorders>
              <w:top w:val="nil"/>
              <w:left w:val="nil"/>
              <w:bottom w:val="single" w:sz="4" w:space="0" w:color="auto"/>
              <w:right w:val="nil"/>
            </w:tcBorders>
            <w:shd w:val="clear" w:color="auto" w:fill="auto"/>
            <w:noWrap/>
            <w:hideMark/>
          </w:tcPr>
          <w:p w14:paraId="6E0C5F33" w14:textId="1AB218CF"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103</w:t>
            </w:r>
          </w:p>
        </w:tc>
        <w:tc>
          <w:tcPr>
            <w:tcW w:w="1380" w:type="dxa"/>
            <w:tcBorders>
              <w:top w:val="nil"/>
              <w:left w:val="nil"/>
              <w:bottom w:val="single" w:sz="4" w:space="0" w:color="auto"/>
              <w:right w:val="nil"/>
            </w:tcBorders>
            <w:shd w:val="clear" w:color="auto" w:fill="auto"/>
            <w:noWrap/>
            <w:hideMark/>
          </w:tcPr>
          <w:p w14:paraId="6BAD1C57" w14:textId="527ABC49"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12,315</w:t>
            </w:r>
          </w:p>
        </w:tc>
        <w:tc>
          <w:tcPr>
            <w:tcW w:w="1520" w:type="dxa"/>
            <w:tcBorders>
              <w:top w:val="nil"/>
              <w:left w:val="nil"/>
              <w:bottom w:val="single" w:sz="4" w:space="0" w:color="auto"/>
              <w:right w:val="nil"/>
            </w:tcBorders>
            <w:shd w:val="clear" w:color="auto" w:fill="auto"/>
            <w:noWrap/>
            <w:hideMark/>
          </w:tcPr>
          <w:p w14:paraId="6B251656" w14:textId="1CFBC392"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13%</w:t>
            </w:r>
          </w:p>
        </w:tc>
        <w:tc>
          <w:tcPr>
            <w:tcW w:w="1640" w:type="dxa"/>
            <w:tcBorders>
              <w:top w:val="nil"/>
              <w:left w:val="nil"/>
              <w:bottom w:val="single" w:sz="4" w:space="0" w:color="auto"/>
              <w:right w:val="nil"/>
            </w:tcBorders>
            <w:shd w:val="clear" w:color="auto" w:fill="auto"/>
            <w:noWrap/>
            <w:hideMark/>
          </w:tcPr>
          <w:p w14:paraId="08D6CE44" w14:textId="3A422AF9" w:rsidR="009248A9" w:rsidRPr="00913C50" w:rsidRDefault="009248A9" w:rsidP="007B51EC">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8"/>
                <w:highlight w:val="yellow"/>
              </w:rPr>
            </w:pPr>
            <w:r w:rsidRPr="00913C50">
              <w:rPr>
                <w:color w:val="000000"/>
                <w:sz w:val="16"/>
                <w:szCs w:val="18"/>
              </w:rPr>
              <w:t>0%</w:t>
            </w:r>
          </w:p>
        </w:tc>
      </w:tr>
      <w:tr w:rsidR="009248A9" w:rsidRPr="00913C50" w14:paraId="498AAD99"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single" w:sz="4" w:space="0" w:color="auto"/>
              <w:right w:val="nil"/>
            </w:tcBorders>
            <w:shd w:val="clear" w:color="auto" w:fill="auto"/>
            <w:noWrap/>
            <w:hideMark/>
          </w:tcPr>
          <w:p w14:paraId="12A3B53F" w14:textId="77777777" w:rsidR="009248A9" w:rsidRPr="00913C50" w:rsidRDefault="009248A9" w:rsidP="007B51EC">
            <w:pPr>
              <w:spacing w:before="80" w:after="80" w:line="240" w:lineRule="auto"/>
              <w:rPr>
                <w:bCs w:val="0"/>
                <w:color w:val="000000"/>
                <w:sz w:val="16"/>
                <w:szCs w:val="18"/>
              </w:rPr>
            </w:pPr>
            <w:r w:rsidRPr="00913C50">
              <w:rPr>
                <w:bCs w:val="0"/>
                <w:color w:val="000000"/>
                <w:sz w:val="16"/>
                <w:szCs w:val="18"/>
              </w:rPr>
              <w:t>Total*</w:t>
            </w:r>
          </w:p>
        </w:tc>
        <w:tc>
          <w:tcPr>
            <w:tcW w:w="1180" w:type="dxa"/>
            <w:tcBorders>
              <w:top w:val="single" w:sz="4" w:space="0" w:color="auto"/>
              <w:left w:val="nil"/>
              <w:bottom w:val="single" w:sz="4" w:space="0" w:color="auto"/>
              <w:right w:val="nil"/>
            </w:tcBorders>
            <w:shd w:val="clear" w:color="auto" w:fill="auto"/>
            <w:noWrap/>
            <w:hideMark/>
          </w:tcPr>
          <w:p w14:paraId="2D6CE8D0" w14:textId="5BE71838"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highlight w:val="yellow"/>
              </w:rPr>
            </w:pPr>
            <w:r w:rsidRPr="00913C50">
              <w:rPr>
                <w:b/>
                <w:bCs/>
                <w:color w:val="000000"/>
                <w:sz w:val="16"/>
                <w:szCs w:val="18"/>
              </w:rPr>
              <w:t>768</w:t>
            </w:r>
          </w:p>
        </w:tc>
        <w:tc>
          <w:tcPr>
            <w:tcW w:w="1380" w:type="dxa"/>
            <w:tcBorders>
              <w:top w:val="single" w:sz="4" w:space="0" w:color="auto"/>
              <w:left w:val="nil"/>
              <w:bottom w:val="single" w:sz="4" w:space="0" w:color="auto"/>
              <w:right w:val="nil"/>
            </w:tcBorders>
            <w:shd w:val="clear" w:color="auto" w:fill="auto"/>
            <w:noWrap/>
            <w:hideMark/>
          </w:tcPr>
          <w:p w14:paraId="462C2C82" w14:textId="4645F974"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highlight w:val="yellow"/>
              </w:rPr>
            </w:pPr>
            <w:r w:rsidRPr="00913C50">
              <w:rPr>
                <w:b/>
                <w:bCs/>
                <w:color w:val="000000"/>
                <w:sz w:val="16"/>
                <w:szCs w:val="18"/>
              </w:rPr>
              <w:t>3,242,304*</w:t>
            </w:r>
          </w:p>
        </w:tc>
        <w:tc>
          <w:tcPr>
            <w:tcW w:w="1520" w:type="dxa"/>
            <w:tcBorders>
              <w:top w:val="single" w:sz="4" w:space="0" w:color="auto"/>
              <w:left w:val="nil"/>
              <w:bottom w:val="single" w:sz="4" w:space="0" w:color="auto"/>
              <w:right w:val="nil"/>
            </w:tcBorders>
            <w:shd w:val="clear" w:color="auto" w:fill="auto"/>
            <w:noWrap/>
            <w:hideMark/>
          </w:tcPr>
          <w:p w14:paraId="27B452DE" w14:textId="0E36E48D"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highlight w:val="yellow"/>
              </w:rPr>
            </w:pPr>
            <w:r w:rsidRPr="00913C50">
              <w:rPr>
                <w:b/>
                <w:bCs/>
                <w:color w:val="000000"/>
                <w:sz w:val="16"/>
                <w:szCs w:val="18"/>
              </w:rPr>
              <w:t>100%</w:t>
            </w:r>
          </w:p>
        </w:tc>
        <w:tc>
          <w:tcPr>
            <w:tcW w:w="1640" w:type="dxa"/>
            <w:tcBorders>
              <w:top w:val="single" w:sz="4" w:space="0" w:color="auto"/>
              <w:left w:val="nil"/>
              <w:bottom w:val="single" w:sz="4" w:space="0" w:color="auto"/>
              <w:right w:val="nil"/>
            </w:tcBorders>
            <w:shd w:val="clear" w:color="auto" w:fill="auto"/>
            <w:noWrap/>
            <w:hideMark/>
          </w:tcPr>
          <w:p w14:paraId="4BDBC7BE" w14:textId="45B2FF95" w:rsidR="009248A9" w:rsidRPr="00913C50"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highlight w:val="yellow"/>
              </w:rPr>
            </w:pPr>
            <w:r w:rsidRPr="00913C50">
              <w:rPr>
                <w:b/>
                <w:bCs/>
                <w:color w:val="000000"/>
                <w:sz w:val="16"/>
                <w:szCs w:val="18"/>
              </w:rPr>
              <w:t>100%</w:t>
            </w:r>
          </w:p>
        </w:tc>
      </w:tr>
    </w:tbl>
    <w:p w14:paraId="549A8F53" w14:textId="78B97213" w:rsidR="00E7439E" w:rsidRPr="007B51EC" w:rsidRDefault="00EB6320" w:rsidP="00EB6320">
      <w:pPr>
        <w:rPr>
          <w:sz w:val="18"/>
          <w:szCs w:val="18"/>
        </w:rPr>
      </w:pPr>
      <w:r w:rsidRPr="007B51EC">
        <w:rPr>
          <w:sz w:val="18"/>
          <w:szCs w:val="18"/>
        </w:rPr>
        <w:t>* The standard error for some DRGs cannot be estimated due to low separation counts in the sample.</w:t>
      </w:r>
    </w:p>
    <w:p w14:paraId="487953EB" w14:textId="21E35829" w:rsidR="00E7439E" w:rsidRPr="00105F5C" w:rsidRDefault="00EB6320" w:rsidP="00EB6320">
      <w:r w:rsidRPr="00105F5C">
        <w:t xml:space="preserve">The results above </w:t>
      </w:r>
      <w:r w:rsidR="00653C98" w:rsidRPr="00105F5C">
        <w:t>show that 5</w:t>
      </w:r>
      <w:r w:rsidR="004C7026" w:rsidRPr="00105F5C">
        <w:t>8</w:t>
      </w:r>
      <w:r w:rsidR="00210A35" w:rsidRPr="00105F5C">
        <w:t xml:space="preserve"> </w:t>
      </w:r>
      <w:r w:rsidR="00F74337">
        <w:t>percent</w:t>
      </w:r>
      <w:r w:rsidR="004C7026" w:rsidRPr="00105F5C">
        <w:t xml:space="preserve"> (34</w:t>
      </w:r>
      <w:r w:rsidR="00210A35" w:rsidRPr="00105F5C">
        <w:t xml:space="preserve"> </w:t>
      </w:r>
      <w:r w:rsidR="00F74337">
        <w:t>percent</w:t>
      </w:r>
      <w:r w:rsidR="004C7026" w:rsidRPr="00105F5C">
        <w:t xml:space="preserve"> + 24</w:t>
      </w:r>
      <w:r w:rsidR="00210A35" w:rsidRPr="00105F5C">
        <w:t xml:space="preserve"> </w:t>
      </w:r>
      <w:r w:rsidR="00F74337">
        <w:t>percent</w:t>
      </w:r>
      <w:r w:rsidR="00653C98" w:rsidRPr="00105F5C">
        <w:t xml:space="preserve">) of </w:t>
      </w:r>
      <w:r w:rsidRPr="00105F5C">
        <w:t>DRGs have cost weight estimates with a standard error ra</w:t>
      </w:r>
      <w:r w:rsidR="00210A35" w:rsidRPr="00105F5C">
        <w:t>nge of less than 0.1. Around 9</w:t>
      </w:r>
      <w:r w:rsidR="00105F5C" w:rsidRPr="00105F5C">
        <w:t>7</w:t>
      </w:r>
      <w:r w:rsidR="00210A35" w:rsidRPr="00105F5C">
        <w:t xml:space="preserve"> </w:t>
      </w:r>
      <w:r w:rsidR="00F74337">
        <w:t>percent</w:t>
      </w:r>
      <w:r w:rsidRPr="00105F5C">
        <w:t xml:space="preserve"> (</w:t>
      </w:r>
      <w:r w:rsidR="00105F5C" w:rsidRPr="00105F5C">
        <w:t>90</w:t>
      </w:r>
      <w:r w:rsidR="00210A35" w:rsidRPr="00105F5C">
        <w:t xml:space="preserve"> </w:t>
      </w:r>
      <w:r w:rsidR="00F74337">
        <w:t>percent</w:t>
      </w:r>
      <w:r w:rsidR="00210A35" w:rsidRPr="00105F5C">
        <w:t xml:space="preserve"> + 7 </w:t>
      </w:r>
      <w:r w:rsidR="00F74337">
        <w:t>percent</w:t>
      </w:r>
      <w:r w:rsidRPr="00105F5C">
        <w:t>) of separati</w:t>
      </w:r>
      <w:r w:rsidR="00653C98" w:rsidRPr="00105F5C">
        <w:t xml:space="preserve">ons are within the subset of </w:t>
      </w:r>
      <w:r w:rsidRPr="00105F5C">
        <w:t xml:space="preserve">DRGs that have </w:t>
      </w:r>
      <w:r w:rsidR="00105F5C" w:rsidRPr="00105F5C">
        <w:t xml:space="preserve">a </w:t>
      </w:r>
      <w:r w:rsidRPr="00105F5C">
        <w:t xml:space="preserve">standard error </w:t>
      </w:r>
      <w:r w:rsidR="00105F5C" w:rsidRPr="00105F5C">
        <w:t xml:space="preserve">of </w:t>
      </w:r>
      <w:r w:rsidRPr="00105F5C">
        <w:t>less than 0.1.</w:t>
      </w:r>
    </w:p>
    <w:p w14:paraId="4726A3FE" w14:textId="77777777" w:rsidR="002315CF" w:rsidRPr="00E4527E" w:rsidRDefault="002315CF" w:rsidP="002315CF">
      <w:pPr>
        <w:pStyle w:val="PwCNormal"/>
        <w:numPr>
          <w:ilvl w:val="0"/>
          <w:numId w:val="0"/>
        </w:numPr>
        <w:rPr>
          <w:highlight w:val="yellow"/>
        </w:rPr>
      </w:pPr>
    </w:p>
    <w:p w14:paraId="0C9CFFD7" w14:textId="78F7CC1F" w:rsidR="002315CF" w:rsidRPr="00E4527E" w:rsidRDefault="002315CF" w:rsidP="006200A2">
      <w:pPr>
        <w:pStyle w:val="Heading1"/>
        <w:numPr>
          <w:ilvl w:val="0"/>
          <w:numId w:val="0"/>
        </w:numPr>
        <w:rPr>
          <w:highlight w:val="yellow"/>
        </w:rPr>
        <w:sectPr w:rsidR="002315CF" w:rsidRPr="00E4527E" w:rsidSect="00384647">
          <w:type w:val="continuous"/>
          <w:pgSz w:w="11907" w:h="16840" w:code="9"/>
          <w:pgMar w:top="1843" w:right="1440" w:bottom="1021" w:left="1021" w:header="680" w:footer="510" w:gutter="0"/>
          <w:cols w:space="708"/>
          <w:docGrid w:linePitch="360"/>
        </w:sectPr>
      </w:pPr>
      <w:bookmarkStart w:id="266" w:name="_Toc435611235"/>
      <w:bookmarkStart w:id="267" w:name="_Ref433984344"/>
      <w:bookmarkStart w:id="268" w:name="_Ref431563279"/>
      <w:bookmarkStart w:id="269" w:name="_Ref430348640"/>
      <w:bookmarkStart w:id="270" w:name="_Ref430348632"/>
      <w:bookmarkStart w:id="271" w:name="_Ref430348620"/>
      <w:bookmarkStart w:id="272" w:name="_Ref430338462"/>
      <w:bookmarkStart w:id="273" w:name="_Ref430338461"/>
      <w:bookmarkStart w:id="274" w:name="_Ref430247171"/>
      <w:bookmarkStart w:id="275" w:name="_Toc430010948"/>
      <w:bookmarkStart w:id="276" w:name="_Ref404551388"/>
      <w:bookmarkStart w:id="277" w:name="_Toc401133812"/>
      <w:bookmarkStart w:id="278" w:name="_Toc401133778"/>
      <w:bookmarkStart w:id="279" w:name="_Toc356830903"/>
      <w:bookmarkStart w:id="280" w:name="CVs"/>
    </w:p>
    <w:p w14:paraId="7195465E" w14:textId="56A66E6F" w:rsidR="00E7439E" w:rsidRPr="006365D0" w:rsidRDefault="002315CF" w:rsidP="006200A2">
      <w:pPr>
        <w:pStyle w:val="Heading1"/>
        <w:numPr>
          <w:ilvl w:val="0"/>
          <w:numId w:val="0"/>
        </w:numPr>
      </w:pPr>
      <w:bookmarkStart w:id="281" w:name="_Toc496857603"/>
      <w:bookmarkStart w:id="282" w:name="_Ref496865407"/>
      <w:bookmarkStart w:id="283" w:name="_Ref497167766"/>
      <w:bookmarkStart w:id="284" w:name="_Ref497167774"/>
      <w:bookmarkStart w:id="285" w:name="_Ref497335615"/>
      <w:bookmarkStart w:id="286" w:name="_Ref497337026"/>
      <w:bookmarkStart w:id="287" w:name="_Toc161980"/>
      <w:r w:rsidRPr="006365D0">
        <w:t>Appen</w:t>
      </w:r>
      <w:r w:rsidR="002C1FF8" w:rsidRPr="006365D0">
        <w:t xml:space="preserve">dix </w:t>
      </w:r>
      <w:r w:rsidR="00E00286" w:rsidRPr="006365D0">
        <w:t>D</w:t>
      </w:r>
      <w:r w:rsidR="002C1FF8" w:rsidRPr="006365D0">
        <w:t>: Cost weight tables by AR-</w:t>
      </w:r>
      <w:r w:rsidRPr="006365D0">
        <w:t>DRG</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1"/>
      <w:bookmarkEnd w:id="282"/>
      <w:bookmarkEnd w:id="283"/>
      <w:bookmarkEnd w:id="284"/>
      <w:r w:rsidR="00EA7FE4" w:rsidRPr="006365D0">
        <w:t xml:space="preserve"> Version 9</w:t>
      </w:r>
      <w:r w:rsidR="00FB7EF0" w:rsidRPr="006365D0">
        <w:t>.0</w:t>
      </w:r>
      <w:bookmarkEnd w:id="285"/>
      <w:bookmarkEnd w:id="286"/>
      <w:bookmarkEnd w:id="287"/>
    </w:p>
    <w:p w14:paraId="15F1BBBA" w14:textId="542FF25B" w:rsidR="000147A6" w:rsidRPr="006365D0" w:rsidRDefault="006654BA" w:rsidP="00E763E2">
      <w:pPr>
        <w:pStyle w:val="TableHeadings3"/>
      </w:pPr>
      <w:bookmarkStart w:id="288" w:name="_Toc497385676"/>
      <w:bookmarkStart w:id="289" w:name="_Toc497488054"/>
      <w:bookmarkStart w:id="290" w:name="_Toc162006"/>
      <w:r w:rsidRPr="006365D0">
        <w:t>Table 16</w:t>
      </w:r>
      <w:r w:rsidR="00E22F35" w:rsidRPr="006365D0">
        <w:t>.</w:t>
      </w:r>
      <w:r w:rsidR="001105BD" w:rsidRPr="006365D0">
        <w:t xml:space="preserve"> </w:t>
      </w:r>
      <w:r w:rsidR="000147A6" w:rsidRPr="006365D0">
        <w:t>Round 2</w:t>
      </w:r>
      <w:r w:rsidR="0009001E" w:rsidRPr="006365D0">
        <w:t>1</w:t>
      </w:r>
      <w:r w:rsidR="000147A6" w:rsidRPr="006365D0">
        <w:t xml:space="preserve"> (201</w:t>
      </w:r>
      <w:r w:rsidR="0009001E" w:rsidRPr="006365D0">
        <w:t>6</w:t>
      </w:r>
      <w:r w:rsidR="000147A6" w:rsidRPr="006365D0">
        <w:t>-1</w:t>
      </w:r>
      <w:r w:rsidR="0009001E" w:rsidRPr="006365D0">
        <w:t>7</w:t>
      </w:r>
      <w:r w:rsidR="000147A6" w:rsidRPr="006365D0">
        <w:t>) national consoli</w:t>
      </w:r>
      <w:r w:rsidR="00EA7FE4" w:rsidRPr="006365D0">
        <w:t>dation cost weight tables – V9</w:t>
      </w:r>
      <w:r w:rsidR="000147A6" w:rsidRPr="006365D0">
        <w:t>.0</w:t>
      </w:r>
      <w:bookmarkEnd w:id="288"/>
      <w:bookmarkEnd w:id="289"/>
      <w:bookmarkEnd w:id="290"/>
    </w:p>
    <w:p w14:paraId="75BB82A4" w14:textId="4A8F08CE" w:rsidR="000147A6" w:rsidRPr="006365D0" w:rsidRDefault="000147A6" w:rsidP="006F21D0">
      <w:pPr>
        <w:pStyle w:val="Caption"/>
        <w:spacing w:before="240"/>
        <w:rPr>
          <w:b/>
          <w:i w:val="0"/>
          <w:sz w:val="20"/>
        </w:rPr>
      </w:pPr>
      <w:bookmarkStart w:id="291" w:name="_Toc497385677"/>
      <w:bookmarkStart w:id="292" w:name="_Toc497486135"/>
      <w:bookmarkStart w:id="293" w:name="_Toc497488055"/>
      <w:r w:rsidRPr="006365D0">
        <w:rPr>
          <w:b/>
          <w:i w:val="0"/>
          <w:sz w:val="20"/>
        </w:rPr>
        <w:t xml:space="preserve">Please refer to </w:t>
      </w:r>
      <w:bookmarkEnd w:id="291"/>
      <w:bookmarkEnd w:id="292"/>
      <w:bookmarkEnd w:id="293"/>
      <w:r w:rsidR="00615108" w:rsidRPr="006365D0">
        <w:rPr>
          <w:b/>
          <w:i w:val="0"/>
          <w:sz w:val="20"/>
        </w:rPr>
        <w:t>E</w:t>
      </w:r>
      <w:r w:rsidR="00E33828" w:rsidRPr="006365D0">
        <w:rPr>
          <w:b/>
          <w:i w:val="0"/>
          <w:sz w:val="20"/>
        </w:rPr>
        <w:t>xcel file for details</w:t>
      </w:r>
    </w:p>
    <w:p w14:paraId="358FD6FF" w14:textId="77777777" w:rsidR="000147A6" w:rsidRPr="006365D0" w:rsidRDefault="000147A6" w:rsidP="000147A6"/>
    <w:p w14:paraId="6A37D392" w14:textId="77777777" w:rsidR="000147A6" w:rsidRPr="006365D0" w:rsidRDefault="000147A6" w:rsidP="000147A6"/>
    <w:p w14:paraId="7ABC6732" w14:textId="77777777" w:rsidR="000147A6" w:rsidRPr="006365D0" w:rsidRDefault="000147A6" w:rsidP="000147A6"/>
    <w:p w14:paraId="28CFDD3B" w14:textId="77777777" w:rsidR="000147A6" w:rsidRPr="006365D0" w:rsidRDefault="000147A6" w:rsidP="000147A6"/>
    <w:p w14:paraId="4966E1D9" w14:textId="77777777" w:rsidR="000147A6" w:rsidRPr="006365D0" w:rsidRDefault="000147A6" w:rsidP="000147A6"/>
    <w:p w14:paraId="0AF30B44" w14:textId="77777777" w:rsidR="000147A6" w:rsidRPr="006365D0" w:rsidRDefault="000147A6" w:rsidP="000147A6"/>
    <w:p w14:paraId="2903E37B" w14:textId="77777777" w:rsidR="000147A6" w:rsidRPr="006365D0" w:rsidRDefault="000147A6" w:rsidP="000147A6"/>
    <w:p w14:paraId="153AACDE" w14:textId="77777777" w:rsidR="000147A6" w:rsidRPr="006365D0" w:rsidRDefault="000147A6" w:rsidP="000147A6"/>
    <w:p w14:paraId="0706898F" w14:textId="77777777" w:rsidR="000147A6" w:rsidRPr="006365D0" w:rsidRDefault="000147A6" w:rsidP="000147A6"/>
    <w:p w14:paraId="20D7DC50" w14:textId="77777777" w:rsidR="000147A6" w:rsidRPr="006365D0" w:rsidRDefault="000147A6" w:rsidP="000147A6"/>
    <w:p w14:paraId="142BA6BB" w14:textId="77777777" w:rsidR="000147A6" w:rsidRPr="006365D0" w:rsidRDefault="000147A6" w:rsidP="000147A6"/>
    <w:p w14:paraId="69A81A37" w14:textId="77777777" w:rsidR="000147A6" w:rsidRPr="006365D0" w:rsidRDefault="000147A6" w:rsidP="006200A2">
      <w:pPr>
        <w:pStyle w:val="Tablesheadings"/>
      </w:pPr>
    </w:p>
    <w:p w14:paraId="7102985A" w14:textId="77777777" w:rsidR="000147A6" w:rsidRPr="006365D0" w:rsidRDefault="000147A6" w:rsidP="006200A2">
      <w:pPr>
        <w:pStyle w:val="Tablesheadings"/>
      </w:pPr>
      <w:bookmarkStart w:id="294" w:name="_Toc497385678"/>
      <w:bookmarkStart w:id="295" w:name="_Toc497486136"/>
      <w:bookmarkStart w:id="296" w:name="_Toc497488056"/>
      <w:r w:rsidRPr="006365D0">
        <w:t>Intentionally left blank.</w:t>
      </w:r>
      <w:bookmarkEnd w:id="294"/>
      <w:bookmarkEnd w:id="295"/>
      <w:bookmarkEnd w:id="296"/>
    </w:p>
    <w:p w14:paraId="00749964" w14:textId="77777777" w:rsidR="000147A6" w:rsidRPr="006365D0" w:rsidRDefault="000147A6" w:rsidP="000147A6"/>
    <w:p w14:paraId="111FAE65" w14:textId="01171B99" w:rsidR="002315CF" w:rsidRPr="006365D0" w:rsidRDefault="002315CF" w:rsidP="002315CF"/>
    <w:p w14:paraId="6E8A790C" w14:textId="2EE729DB" w:rsidR="00662867" w:rsidRPr="006365D0" w:rsidRDefault="00662867" w:rsidP="002315CF"/>
    <w:p w14:paraId="753D7DAA" w14:textId="77777777" w:rsidR="00662867" w:rsidRPr="006365D0" w:rsidRDefault="00662867" w:rsidP="002315CF"/>
    <w:p w14:paraId="2E911F08" w14:textId="69BD4244" w:rsidR="00662867" w:rsidRPr="006365D0" w:rsidRDefault="00662867" w:rsidP="002315CF"/>
    <w:p w14:paraId="1CA4122E" w14:textId="5BFB4E64" w:rsidR="00662867" w:rsidRPr="006365D0" w:rsidRDefault="00662867" w:rsidP="002315CF"/>
    <w:p w14:paraId="52FB2E44" w14:textId="618307C3" w:rsidR="00662867" w:rsidRPr="006365D0" w:rsidRDefault="00662867" w:rsidP="002315CF"/>
    <w:p w14:paraId="7ACDBDAC" w14:textId="77777777" w:rsidR="00662867" w:rsidRPr="006365D0" w:rsidRDefault="00662867" w:rsidP="002315CF"/>
    <w:p w14:paraId="38700A8A" w14:textId="2B76E9B9" w:rsidR="00662867" w:rsidRPr="006365D0" w:rsidRDefault="00662867" w:rsidP="002315CF"/>
    <w:p w14:paraId="0BF12205" w14:textId="707C8EC8" w:rsidR="00662867" w:rsidRPr="006365D0" w:rsidRDefault="00662867" w:rsidP="002315CF"/>
    <w:p w14:paraId="757E906E" w14:textId="7817716A" w:rsidR="00662867" w:rsidRPr="006365D0" w:rsidRDefault="00662867" w:rsidP="002315CF"/>
    <w:p w14:paraId="7A7768D8" w14:textId="77777777" w:rsidR="006365D0" w:rsidRPr="006365D0" w:rsidRDefault="006365D0" w:rsidP="006365D0">
      <w:pPr>
        <w:spacing w:after="0"/>
      </w:pPr>
      <w:r w:rsidRPr="006365D0">
        <w:br w:type="page"/>
      </w:r>
    </w:p>
    <w:p w14:paraId="7A3C6CB3" w14:textId="5824372F" w:rsidR="00C9494C" w:rsidRPr="006365D0" w:rsidRDefault="00C9494C" w:rsidP="006200A2">
      <w:pPr>
        <w:pStyle w:val="Heading1"/>
        <w:numPr>
          <w:ilvl w:val="0"/>
          <w:numId w:val="0"/>
        </w:numPr>
      </w:pPr>
      <w:bookmarkStart w:id="297" w:name="_Toc161981"/>
      <w:bookmarkStart w:id="298" w:name="_Ref497285518"/>
      <w:bookmarkStart w:id="299" w:name="_Toc497324309"/>
      <w:r w:rsidRPr="006365D0">
        <w:t>Appendix E: Cost weight tables by AR-DRG Version 8.0</w:t>
      </w:r>
      <w:bookmarkEnd w:id="297"/>
    </w:p>
    <w:p w14:paraId="7B230C87" w14:textId="07CC524F" w:rsidR="00C9494C" w:rsidRPr="006365D0" w:rsidRDefault="00C9494C" w:rsidP="00E763E2">
      <w:pPr>
        <w:pStyle w:val="TableHeadings3"/>
      </w:pPr>
      <w:bookmarkStart w:id="300" w:name="_Toc162007"/>
      <w:r w:rsidRPr="006365D0">
        <w:t>Table 17. Round 21 (2016-17) national consolidation cost weight tables – V8.0</w:t>
      </w:r>
      <w:bookmarkEnd w:id="300"/>
    </w:p>
    <w:p w14:paraId="0AA4A0D7" w14:textId="3C183D11" w:rsidR="00C9494C" w:rsidRPr="006365D0" w:rsidRDefault="00C9494C" w:rsidP="00C9494C">
      <w:pPr>
        <w:pStyle w:val="Caption"/>
        <w:spacing w:before="240"/>
        <w:rPr>
          <w:b/>
          <w:i w:val="0"/>
          <w:sz w:val="20"/>
        </w:rPr>
      </w:pPr>
      <w:r w:rsidRPr="006365D0">
        <w:rPr>
          <w:b/>
          <w:i w:val="0"/>
          <w:sz w:val="20"/>
        </w:rPr>
        <w:t xml:space="preserve">Please refer to </w:t>
      </w:r>
      <w:r w:rsidR="00615108" w:rsidRPr="006365D0">
        <w:rPr>
          <w:b/>
          <w:i w:val="0"/>
          <w:sz w:val="20"/>
        </w:rPr>
        <w:t>E</w:t>
      </w:r>
      <w:r w:rsidRPr="006365D0">
        <w:rPr>
          <w:b/>
          <w:i w:val="0"/>
          <w:sz w:val="20"/>
        </w:rPr>
        <w:t>xcel file for details</w:t>
      </w:r>
    </w:p>
    <w:p w14:paraId="68BB0D14" w14:textId="77777777" w:rsidR="00C9494C" w:rsidRPr="006365D0" w:rsidRDefault="00C9494C" w:rsidP="00C9494C"/>
    <w:p w14:paraId="6AF1A236" w14:textId="77777777" w:rsidR="00C9494C" w:rsidRPr="006365D0" w:rsidRDefault="00C9494C" w:rsidP="00C9494C"/>
    <w:p w14:paraId="52E8EBAD" w14:textId="77777777" w:rsidR="00C9494C" w:rsidRPr="006365D0" w:rsidRDefault="00C9494C" w:rsidP="00C9494C"/>
    <w:p w14:paraId="4CA621A4" w14:textId="77777777" w:rsidR="00C9494C" w:rsidRPr="006365D0" w:rsidRDefault="00C9494C" w:rsidP="00C9494C"/>
    <w:p w14:paraId="1C656998" w14:textId="77777777" w:rsidR="00C9494C" w:rsidRPr="006365D0" w:rsidRDefault="00C9494C" w:rsidP="00C9494C"/>
    <w:p w14:paraId="7990BDF6" w14:textId="77777777" w:rsidR="00C9494C" w:rsidRPr="006365D0" w:rsidRDefault="00C9494C" w:rsidP="00C9494C"/>
    <w:p w14:paraId="40D48D17" w14:textId="77777777" w:rsidR="00C9494C" w:rsidRPr="006365D0" w:rsidRDefault="00C9494C" w:rsidP="00C9494C"/>
    <w:p w14:paraId="3535759C" w14:textId="77777777" w:rsidR="00C9494C" w:rsidRPr="006365D0" w:rsidRDefault="00C9494C" w:rsidP="00C9494C"/>
    <w:p w14:paraId="5EEDBBBC" w14:textId="77777777" w:rsidR="00C9494C" w:rsidRPr="006365D0" w:rsidRDefault="00C9494C" w:rsidP="00C9494C"/>
    <w:p w14:paraId="614801DF" w14:textId="77777777" w:rsidR="00C9494C" w:rsidRPr="006365D0" w:rsidRDefault="00C9494C" w:rsidP="00C9494C"/>
    <w:p w14:paraId="227CBB67" w14:textId="77777777" w:rsidR="00C9494C" w:rsidRPr="006365D0" w:rsidRDefault="00C9494C" w:rsidP="00C9494C"/>
    <w:p w14:paraId="262E2DC5" w14:textId="77777777" w:rsidR="00C9494C" w:rsidRPr="006365D0" w:rsidRDefault="00C9494C" w:rsidP="00C9494C"/>
    <w:p w14:paraId="549E9FC1" w14:textId="77777777" w:rsidR="00C9494C" w:rsidRPr="006365D0" w:rsidRDefault="00C9494C" w:rsidP="006200A2">
      <w:pPr>
        <w:pStyle w:val="Tablesheadings"/>
      </w:pPr>
    </w:p>
    <w:p w14:paraId="64638A00" w14:textId="77777777" w:rsidR="00C9494C" w:rsidRPr="006365D0" w:rsidRDefault="00C9494C" w:rsidP="006200A2">
      <w:pPr>
        <w:pStyle w:val="Tablesheadings"/>
      </w:pPr>
      <w:r w:rsidRPr="006365D0">
        <w:t>Intentionally left blank.</w:t>
      </w:r>
    </w:p>
    <w:p w14:paraId="59B20880" w14:textId="77777777" w:rsidR="00C9494C" w:rsidRPr="006365D0" w:rsidRDefault="00C9494C" w:rsidP="00C9494C"/>
    <w:p w14:paraId="1DFD02EC" w14:textId="77777777" w:rsidR="00C9494C" w:rsidRPr="006365D0" w:rsidRDefault="00C9494C" w:rsidP="00C9494C"/>
    <w:p w14:paraId="0E65EB35" w14:textId="77777777" w:rsidR="00C9494C" w:rsidRPr="006365D0" w:rsidRDefault="00C9494C" w:rsidP="00C9494C"/>
    <w:p w14:paraId="76FD1110" w14:textId="77777777" w:rsidR="00C9494C" w:rsidRPr="006365D0" w:rsidRDefault="00C9494C" w:rsidP="00C9494C"/>
    <w:p w14:paraId="65849795" w14:textId="77777777" w:rsidR="00C9494C" w:rsidRPr="006365D0" w:rsidRDefault="00C9494C" w:rsidP="00C9494C"/>
    <w:p w14:paraId="2AB82A3D" w14:textId="77777777" w:rsidR="00C9494C" w:rsidRPr="006365D0" w:rsidRDefault="00C9494C" w:rsidP="00C9494C"/>
    <w:p w14:paraId="76392A58" w14:textId="77777777" w:rsidR="00C9494C" w:rsidRPr="006365D0" w:rsidRDefault="00C9494C" w:rsidP="00C9494C"/>
    <w:p w14:paraId="0A1A570D" w14:textId="77777777" w:rsidR="00C9494C" w:rsidRPr="006365D0" w:rsidRDefault="00C9494C" w:rsidP="00C9494C"/>
    <w:p w14:paraId="2F8A428C" w14:textId="77777777" w:rsidR="00C9494C" w:rsidRPr="006365D0" w:rsidRDefault="00C9494C" w:rsidP="00C9494C">
      <w:pPr>
        <w:spacing w:after="0"/>
      </w:pPr>
      <w:r w:rsidRPr="006365D0">
        <w:br w:type="page"/>
      </w:r>
    </w:p>
    <w:p w14:paraId="092CFA4F" w14:textId="357BD6EC" w:rsidR="000147A6" w:rsidRPr="006365D0" w:rsidRDefault="000147A6" w:rsidP="006200A2">
      <w:pPr>
        <w:pStyle w:val="Heading1"/>
        <w:numPr>
          <w:ilvl w:val="0"/>
          <w:numId w:val="0"/>
        </w:numPr>
      </w:pPr>
      <w:bookmarkStart w:id="301" w:name="_Toc161982"/>
      <w:r w:rsidRPr="006365D0">
        <w:t xml:space="preserve">Appendix </w:t>
      </w:r>
      <w:r w:rsidR="00615108" w:rsidRPr="006365D0">
        <w:t>F</w:t>
      </w:r>
      <w:r w:rsidRPr="006365D0">
        <w:t>: Cost weight tables by AR-DRG Version 7</w:t>
      </w:r>
      <w:bookmarkEnd w:id="298"/>
      <w:bookmarkEnd w:id="299"/>
      <w:r w:rsidR="00B92C6C" w:rsidRPr="006365D0">
        <w:t>.0</w:t>
      </w:r>
      <w:bookmarkEnd w:id="301"/>
    </w:p>
    <w:p w14:paraId="1D8B50F0" w14:textId="69F17973" w:rsidR="000147A6" w:rsidRPr="006365D0" w:rsidRDefault="006654BA" w:rsidP="00E763E2">
      <w:pPr>
        <w:pStyle w:val="TableHeadings3"/>
      </w:pPr>
      <w:bookmarkStart w:id="302" w:name="_Toc497385679"/>
      <w:bookmarkStart w:id="303" w:name="_Toc497488057"/>
      <w:bookmarkStart w:id="304" w:name="_Toc162008"/>
      <w:r w:rsidRPr="006365D0">
        <w:t>Table 1</w:t>
      </w:r>
      <w:r w:rsidR="00615108" w:rsidRPr="006365D0">
        <w:t>8</w:t>
      </w:r>
      <w:r w:rsidR="00E22F35" w:rsidRPr="006365D0">
        <w:t>.</w:t>
      </w:r>
      <w:r w:rsidR="001105BD" w:rsidRPr="006365D0">
        <w:t xml:space="preserve"> </w:t>
      </w:r>
      <w:r w:rsidR="0009001E" w:rsidRPr="006365D0">
        <w:t>Round 21 (2016-17</w:t>
      </w:r>
      <w:r w:rsidR="000147A6" w:rsidRPr="006365D0">
        <w:t>) national consolidation cost weight tables – V7</w:t>
      </w:r>
      <w:bookmarkEnd w:id="302"/>
      <w:bookmarkEnd w:id="303"/>
      <w:r w:rsidR="00B92C6C" w:rsidRPr="006365D0">
        <w:t>.0</w:t>
      </w:r>
      <w:bookmarkEnd w:id="304"/>
    </w:p>
    <w:p w14:paraId="1FE7E52B" w14:textId="444679DE" w:rsidR="00E33828" w:rsidRPr="006365D0" w:rsidRDefault="00E33828" w:rsidP="00E33828">
      <w:pPr>
        <w:pStyle w:val="Caption"/>
        <w:spacing w:before="240"/>
        <w:rPr>
          <w:b/>
          <w:i w:val="0"/>
          <w:sz w:val="20"/>
        </w:rPr>
      </w:pPr>
      <w:r w:rsidRPr="006365D0">
        <w:rPr>
          <w:b/>
          <w:i w:val="0"/>
          <w:sz w:val="20"/>
        </w:rPr>
        <w:t xml:space="preserve">Please refer to </w:t>
      </w:r>
      <w:r w:rsidR="00615108" w:rsidRPr="006365D0">
        <w:rPr>
          <w:b/>
          <w:i w:val="0"/>
          <w:sz w:val="20"/>
        </w:rPr>
        <w:t>E</w:t>
      </w:r>
      <w:r w:rsidRPr="006365D0">
        <w:rPr>
          <w:b/>
          <w:i w:val="0"/>
          <w:sz w:val="20"/>
        </w:rPr>
        <w:t>xcel file for details</w:t>
      </w:r>
    </w:p>
    <w:p w14:paraId="749E199A" w14:textId="77777777" w:rsidR="000147A6" w:rsidRPr="006365D0" w:rsidRDefault="000147A6" w:rsidP="000147A6"/>
    <w:p w14:paraId="70493210" w14:textId="77777777" w:rsidR="000147A6" w:rsidRPr="006365D0" w:rsidRDefault="000147A6" w:rsidP="000147A6"/>
    <w:p w14:paraId="4312793D" w14:textId="77777777" w:rsidR="000147A6" w:rsidRPr="006365D0" w:rsidRDefault="000147A6" w:rsidP="000147A6"/>
    <w:p w14:paraId="36C1E284" w14:textId="77777777" w:rsidR="000147A6" w:rsidRPr="006365D0" w:rsidRDefault="000147A6" w:rsidP="000147A6"/>
    <w:p w14:paraId="471BB520" w14:textId="77777777" w:rsidR="000147A6" w:rsidRPr="006365D0" w:rsidRDefault="000147A6" w:rsidP="000147A6"/>
    <w:p w14:paraId="0D0057EE" w14:textId="77777777" w:rsidR="000147A6" w:rsidRPr="006365D0" w:rsidRDefault="000147A6" w:rsidP="000147A6"/>
    <w:p w14:paraId="613A0DFD" w14:textId="77777777" w:rsidR="000147A6" w:rsidRPr="006365D0" w:rsidRDefault="000147A6" w:rsidP="000147A6"/>
    <w:p w14:paraId="0B379C86" w14:textId="77777777" w:rsidR="000147A6" w:rsidRPr="006365D0" w:rsidRDefault="000147A6" w:rsidP="000147A6"/>
    <w:p w14:paraId="6F7C6C96" w14:textId="77777777" w:rsidR="000147A6" w:rsidRPr="006365D0" w:rsidRDefault="000147A6" w:rsidP="000147A6"/>
    <w:p w14:paraId="135EA145" w14:textId="77777777" w:rsidR="000147A6" w:rsidRPr="006365D0" w:rsidRDefault="000147A6" w:rsidP="000147A6"/>
    <w:p w14:paraId="305D8166" w14:textId="77777777" w:rsidR="000147A6" w:rsidRPr="006365D0" w:rsidRDefault="000147A6" w:rsidP="000147A6"/>
    <w:p w14:paraId="0E39FBC7" w14:textId="77777777" w:rsidR="000147A6" w:rsidRPr="006365D0" w:rsidRDefault="000147A6" w:rsidP="000147A6"/>
    <w:p w14:paraId="617CACF9" w14:textId="77777777" w:rsidR="000147A6" w:rsidRPr="006365D0" w:rsidRDefault="000147A6" w:rsidP="006200A2">
      <w:pPr>
        <w:pStyle w:val="Tablesheadings"/>
      </w:pPr>
    </w:p>
    <w:p w14:paraId="0704C8B1" w14:textId="77777777" w:rsidR="000147A6" w:rsidRPr="006365D0" w:rsidRDefault="000147A6" w:rsidP="006200A2">
      <w:pPr>
        <w:pStyle w:val="Tablesheadings"/>
      </w:pPr>
      <w:bookmarkStart w:id="305" w:name="_Toc497385681"/>
      <w:bookmarkStart w:id="306" w:name="_Toc497486139"/>
      <w:bookmarkStart w:id="307" w:name="_Toc497488059"/>
      <w:r w:rsidRPr="006365D0">
        <w:t>Intentionally left blank.</w:t>
      </w:r>
      <w:bookmarkEnd w:id="305"/>
      <w:bookmarkEnd w:id="306"/>
      <w:bookmarkEnd w:id="307"/>
    </w:p>
    <w:p w14:paraId="5D93E7EB" w14:textId="77777777" w:rsidR="000147A6" w:rsidRPr="006365D0" w:rsidRDefault="000147A6" w:rsidP="000147A6"/>
    <w:p w14:paraId="0E35165D" w14:textId="77777777" w:rsidR="000147A6" w:rsidRPr="006365D0" w:rsidRDefault="000147A6" w:rsidP="000147A6"/>
    <w:p w14:paraId="25A7A828" w14:textId="77777777" w:rsidR="000147A6" w:rsidRPr="006365D0" w:rsidRDefault="000147A6" w:rsidP="000147A6"/>
    <w:p w14:paraId="2BEACD1E" w14:textId="77777777" w:rsidR="000147A6" w:rsidRPr="006365D0" w:rsidRDefault="000147A6" w:rsidP="000147A6"/>
    <w:p w14:paraId="69CBAF6B" w14:textId="77777777" w:rsidR="000147A6" w:rsidRPr="006365D0" w:rsidRDefault="000147A6" w:rsidP="000147A6"/>
    <w:p w14:paraId="46158C90" w14:textId="77777777" w:rsidR="000147A6" w:rsidRPr="006365D0" w:rsidRDefault="000147A6" w:rsidP="000147A6"/>
    <w:p w14:paraId="43BE5158" w14:textId="77777777" w:rsidR="000147A6" w:rsidRPr="006365D0" w:rsidRDefault="000147A6" w:rsidP="000147A6"/>
    <w:p w14:paraId="77437F6C" w14:textId="77777777" w:rsidR="000147A6" w:rsidRPr="006365D0" w:rsidRDefault="000147A6" w:rsidP="000147A6"/>
    <w:p w14:paraId="737C45FF" w14:textId="77777777" w:rsidR="000147A6" w:rsidRPr="006365D0" w:rsidRDefault="000147A6" w:rsidP="000147A6">
      <w:pPr>
        <w:spacing w:after="0"/>
      </w:pPr>
      <w:r w:rsidRPr="006365D0">
        <w:br w:type="page"/>
      </w:r>
    </w:p>
    <w:p w14:paraId="019639E8" w14:textId="1416C172" w:rsidR="000147A6" w:rsidRPr="006365D0" w:rsidRDefault="000147A6" w:rsidP="006200A2">
      <w:pPr>
        <w:pStyle w:val="Heading1"/>
        <w:numPr>
          <w:ilvl w:val="0"/>
          <w:numId w:val="0"/>
        </w:numPr>
      </w:pPr>
      <w:bookmarkStart w:id="308" w:name="_Ref497285537"/>
      <w:bookmarkStart w:id="309" w:name="_Toc497324310"/>
      <w:bookmarkStart w:id="310" w:name="_Toc161983"/>
      <w:r w:rsidRPr="006365D0">
        <w:t xml:space="preserve">Appendix </w:t>
      </w:r>
      <w:r w:rsidR="00615108" w:rsidRPr="006365D0">
        <w:t>G</w:t>
      </w:r>
      <w:r w:rsidRPr="006365D0">
        <w:t>: Cost weight tables by AR-DRG Version 6.0x</w:t>
      </w:r>
      <w:bookmarkEnd w:id="308"/>
      <w:bookmarkEnd w:id="309"/>
      <w:bookmarkEnd w:id="310"/>
    </w:p>
    <w:p w14:paraId="7B382CE7" w14:textId="62BB68B5" w:rsidR="000147A6" w:rsidRPr="006365D0" w:rsidRDefault="00615108" w:rsidP="00E763E2">
      <w:pPr>
        <w:pStyle w:val="TableHeadings3"/>
      </w:pPr>
      <w:bookmarkStart w:id="311" w:name="_Toc497385682"/>
      <w:bookmarkStart w:id="312" w:name="_Toc497488060"/>
      <w:bookmarkStart w:id="313" w:name="_Toc162009"/>
      <w:r w:rsidRPr="006365D0">
        <w:t>Table 19</w:t>
      </w:r>
      <w:r w:rsidR="00202CAA" w:rsidRPr="006365D0">
        <w:t>.</w:t>
      </w:r>
      <w:r w:rsidR="001105BD" w:rsidRPr="006365D0">
        <w:t xml:space="preserve"> </w:t>
      </w:r>
      <w:r w:rsidR="000147A6" w:rsidRPr="006365D0">
        <w:t>Round 2</w:t>
      </w:r>
      <w:r w:rsidR="0009001E" w:rsidRPr="006365D0">
        <w:t>1</w:t>
      </w:r>
      <w:r w:rsidR="000147A6" w:rsidRPr="006365D0">
        <w:t xml:space="preserve"> (201</w:t>
      </w:r>
      <w:r w:rsidR="0009001E" w:rsidRPr="006365D0">
        <w:t>6-17</w:t>
      </w:r>
      <w:r w:rsidR="000147A6" w:rsidRPr="006365D0">
        <w:t>) national consolidation cost weight tables – V6.0x</w:t>
      </w:r>
      <w:bookmarkEnd w:id="311"/>
      <w:bookmarkEnd w:id="312"/>
      <w:bookmarkEnd w:id="313"/>
    </w:p>
    <w:p w14:paraId="4AB1A2C0" w14:textId="573FC21C" w:rsidR="00E33828" w:rsidRPr="006365D0" w:rsidRDefault="00615108" w:rsidP="00E33828">
      <w:pPr>
        <w:pStyle w:val="Caption"/>
        <w:spacing w:before="240"/>
        <w:rPr>
          <w:b/>
          <w:i w:val="0"/>
          <w:sz w:val="20"/>
        </w:rPr>
      </w:pPr>
      <w:r w:rsidRPr="006365D0">
        <w:rPr>
          <w:b/>
          <w:i w:val="0"/>
          <w:sz w:val="20"/>
        </w:rPr>
        <w:t>Please refer to E</w:t>
      </w:r>
      <w:r w:rsidR="00E33828" w:rsidRPr="006365D0">
        <w:rPr>
          <w:b/>
          <w:i w:val="0"/>
          <w:sz w:val="20"/>
        </w:rPr>
        <w:t>xcel file for details</w:t>
      </w:r>
    </w:p>
    <w:p w14:paraId="1945CA84" w14:textId="77777777" w:rsidR="000147A6" w:rsidRPr="006365D0" w:rsidRDefault="000147A6" w:rsidP="006200A2">
      <w:pPr>
        <w:pStyle w:val="Tablesheadings"/>
      </w:pPr>
    </w:p>
    <w:p w14:paraId="2576F7E1" w14:textId="77777777" w:rsidR="000147A6" w:rsidRPr="006365D0" w:rsidRDefault="000147A6" w:rsidP="006200A2">
      <w:pPr>
        <w:pStyle w:val="Tablesheadings"/>
      </w:pPr>
    </w:p>
    <w:p w14:paraId="601048FB" w14:textId="77777777" w:rsidR="000147A6" w:rsidRPr="006365D0" w:rsidRDefault="000147A6" w:rsidP="006200A2">
      <w:pPr>
        <w:pStyle w:val="Tablesheadings"/>
      </w:pPr>
    </w:p>
    <w:p w14:paraId="6BCCA1A5" w14:textId="77777777" w:rsidR="000147A6" w:rsidRPr="006365D0" w:rsidRDefault="000147A6" w:rsidP="006200A2">
      <w:pPr>
        <w:pStyle w:val="Tablesheadings"/>
      </w:pPr>
    </w:p>
    <w:p w14:paraId="24621654" w14:textId="77777777" w:rsidR="000147A6" w:rsidRPr="006365D0" w:rsidRDefault="000147A6" w:rsidP="006200A2">
      <w:pPr>
        <w:pStyle w:val="Tablesheadings"/>
      </w:pPr>
    </w:p>
    <w:p w14:paraId="61FF50D5" w14:textId="77777777" w:rsidR="000147A6" w:rsidRPr="006365D0" w:rsidRDefault="000147A6" w:rsidP="006200A2">
      <w:pPr>
        <w:pStyle w:val="Tablesheadings"/>
      </w:pPr>
    </w:p>
    <w:p w14:paraId="1ACCDDB0" w14:textId="77777777" w:rsidR="000147A6" w:rsidRPr="006365D0" w:rsidRDefault="000147A6" w:rsidP="006200A2">
      <w:pPr>
        <w:pStyle w:val="Tablesheadings"/>
      </w:pPr>
    </w:p>
    <w:p w14:paraId="40616867" w14:textId="77777777" w:rsidR="000147A6" w:rsidRPr="006365D0" w:rsidRDefault="000147A6" w:rsidP="006200A2">
      <w:pPr>
        <w:pStyle w:val="Tablesheadings"/>
      </w:pPr>
    </w:p>
    <w:p w14:paraId="73EF0B7C" w14:textId="77777777" w:rsidR="000147A6" w:rsidRPr="006365D0" w:rsidRDefault="000147A6" w:rsidP="006200A2">
      <w:pPr>
        <w:pStyle w:val="Tablesheadings"/>
      </w:pPr>
    </w:p>
    <w:p w14:paraId="34988C9C" w14:textId="77777777" w:rsidR="000147A6" w:rsidRPr="006365D0" w:rsidRDefault="000147A6" w:rsidP="006200A2">
      <w:pPr>
        <w:pStyle w:val="Tablesheadings"/>
      </w:pPr>
    </w:p>
    <w:p w14:paraId="5B56FA30" w14:textId="77777777" w:rsidR="000147A6" w:rsidRPr="006365D0" w:rsidRDefault="000147A6" w:rsidP="006200A2">
      <w:pPr>
        <w:pStyle w:val="Tablesheadings"/>
      </w:pPr>
    </w:p>
    <w:p w14:paraId="32C8E226" w14:textId="77777777" w:rsidR="000147A6" w:rsidRPr="006365D0" w:rsidRDefault="000147A6" w:rsidP="006200A2">
      <w:pPr>
        <w:pStyle w:val="Tablesheadings"/>
      </w:pPr>
    </w:p>
    <w:p w14:paraId="5F98960F" w14:textId="77777777" w:rsidR="000147A6" w:rsidRPr="006365D0" w:rsidRDefault="000147A6" w:rsidP="006200A2">
      <w:pPr>
        <w:pStyle w:val="Tablesheadings"/>
      </w:pPr>
    </w:p>
    <w:p w14:paraId="7BC19782" w14:textId="77777777" w:rsidR="000147A6" w:rsidRPr="006365D0" w:rsidRDefault="000147A6" w:rsidP="006200A2">
      <w:pPr>
        <w:pStyle w:val="Tablesheadings"/>
      </w:pPr>
    </w:p>
    <w:p w14:paraId="4CDE632B" w14:textId="77777777" w:rsidR="000147A6" w:rsidRPr="006365D0" w:rsidRDefault="000147A6" w:rsidP="006200A2">
      <w:pPr>
        <w:pStyle w:val="Tablesheadings"/>
      </w:pPr>
    </w:p>
    <w:p w14:paraId="0A8F35BA" w14:textId="77777777" w:rsidR="000147A6" w:rsidRPr="006365D0" w:rsidRDefault="000147A6" w:rsidP="006200A2">
      <w:pPr>
        <w:pStyle w:val="Tablesheadings"/>
      </w:pPr>
    </w:p>
    <w:p w14:paraId="330CD087" w14:textId="77777777" w:rsidR="000147A6" w:rsidRPr="006365D0" w:rsidRDefault="000147A6" w:rsidP="006200A2">
      <w:pPr>
        <w:pStyle w:val="Tablesheadings"/>
      </w:pPr>
    </w:p>
    <w:p w14:paraId="0DA8881D" w14:textId="77777777" w:rsidR="000147A6" w:rsidRPr="006365D0" w:rsidRDefault="000147A6" w:rsidP="006200A2">
      <w:pPr>
        <w:pStyle w:val="Tablesheadings"/>
      </w:pPr>
      <w:bookmarkStart w:id="314" w:name="_Toc497385684"/>
      <w:bookmarkStart w:id="315" w:name="_Toc497486142"/>
      <w:bookmarkStart w:id="316" w:name="_Toc497488062"/>
      <w:r w:rsidRPr="006365D0">
        <w:t>Intentionally left blank.</w:t>
      </w:r>
      <w:bookmarkEnd w:id="314"/>
      <w:bookmarkEnd w:id="315"/>
      <w:bookmarkEnd w:id="316"/>
    </w:p>
    <w:p w14:paraId="157A7570" w14:textId="77777777" w:rsidR="000147A6" w:rsidRPr="00E4527E" w:rsidRDefault="000147A6" w:rsidP="000147A6">
      <w:pPr>
        <w:rPr>
          <w:highlight w:val="yellow"/>
        </w:rPr>
      </w:pPr>
    </w:p>
    <w:p w14:paraId="47B43CB4" w14:textId="77777777" w:rsidR="000147A6" w:rsidRPr="00E4527E" w:rsidRDefault="000147A6" w:rsidP="002315CF">
      <w:pPr>
        <w:rPr>
          <w:highlight w:val="yellow"/>
        </w:rPr>
      </w:pPr>
    </w:p>
    <w:bookmarkEnd w:id="224"/>
    <w:bookmarkEnd w:id="225"/>
    <w:bookmarkEnd w:id="280"/>
    <w:p w14:paraId="140A3D26" w14:textId="4898B29B" w:rsidR="00662867" w:rsidRPr="00E4527E" w:rsidRDefault="00662867" w:rsidP="002315CF">
      <w:pPr>
        <w:rPr>
          <w:highlight w:val="yellow"/>
        </w:rPr>
      </w:pPr>
    </w:p>
    <w:p w14:paraId="2508BCE0" w14:textId="272174C7" w:rsidR="00B40F6B" w:rsidRPr="00E4527E" w:rsidRDefault="00B40F6B" w:rsidP="002315CF">
      <w:pPr>
        <w:rPr>
          <w:highlight w:val="yellow"/>
        </w:rPr>
      </w:pPr>
    </w:p>
    <w:p w14:paraId="4989B755" w14:textId="23AE1A74" w:rsidR="00B40F6B" w:rsidRPr="00E4527E" w:rsidRDefault="00B40F6B" w:rsidP="002315CF">
      <w:pPr>
        <w:rPr>
          <w:highlight w:val="yellow"/>
        </w:rPr>
      </w:pPr>
    </w:p>
    <w:p w14:paraId="69398870" w14:textId="6F024A1E" w:rsidR="00B40F6B" w:rsidRPr="00E4527E" w:rsidRDefault="00B40F6B" w:rsidP="002315CF">
      <w:pPr>
        <w:rPr>
          <w:highlight w:val="yellow"/>
        </w:rPr>
      </w:pPr>
    </w:p>
    <w:p w14:paraId="45E25244" w14:textId="55EB74E2" w:rsidR="00B40F6B" w:rsidRPr="00E4527E" w:rsidRDefault="00B40F6B" w:rsidP="002315CF">
      <w:pPr>
        <w:rPr>
          <w:highlight w:val="yellow"/>
        </w:rPr>
      </w:pPr>
    </w:p>
    <w:p w14:paraId="44EFEFCC" w14:textId="7598DFB0" w:rsidR="00B40F6B" w:rsidRPr="00E4527E" w:rsidRDefault="00B40F6B" w:rsidP="002315CF">
      <w:pPr>
        <w:rPr>
          <w:highlight w:val="yellow"/>
        </w:rPr>
      </w:pPr>
    </w:p>
    <w:p w14:paraId="04CA6AF0" w14:textId="642F12D7" w:rsidR="00B40F6B" w:rsidRPr="00E4527E" w:rsidRDefault="00B40F6B" w:rsidP="002315CF">
      <w:pPr>
        <w:rPr>
          <w:highlight w:val="yellow"/>
        </w:rPr>
      </w:pPr>
    </w:p>
    <w:p w14:paraId="69ADA238" w14:textId="6C94738C" w:rsidR="00B40F6B" w:rsidRPr="00E4527E" w:rsidRDefault="00B40F6B" w:rsidP="00B40F6B">
      <w:pPr>
        <w:tabs>
          <w:tab w:val="left" w:pos="2091"/>
        </w:tabs>
        <w:spacing w:after="0"/>
        <w:rPr>
          <w:highlight w:val="yellow"/>
        </w:rPr>
      </w:pPr>
    </w:p>
    <w:p w14:paraId="21172825" w14:textId="23439645" w:rsidR="00B40F6B" w:rsidRDefault="00B40F6B" w:rsidP="00B40F6B">
      <w:pPr>
        <w:spacing w:after="0"/>
      </w:pPr>
      <w:r w:rsidRPr="00E4527E">
        <w:rPr>
          <w:highlight w:val="yellow"/>
        </w:rPr>
        <w:br w:type="page"/>
      </w:r>
      <w:r w:rsidRPr="00E4527E">
        <w:rPr>
          <w:noProof/>
          <w:highlight w:val="yellow"/>
        </w:rPr>
        <mc:AlternateContent>
          <mc:Choice Requires="wps">
            <w:drawing>
              <wp:anchor distT="0" distB="0" distL="114300" distR="114300" simplePos="0" relativeHeight="251662336" behindDoc="0" locked="0" layoutInCell="1" allowOverlap="1" wp14:anchorId="72E89E6B" wp14:editId="24AA5721">
                <wp:simplePos x="0" y="0"/>
                <wp:positionH relativeFrom="margin">
                  <wp:posOffset>-135164</wp:posOffset>
                </wp:positionH>
                <wp:positionV relativeFrom="margin">
                  <wp:posOffset>4991735</wp:posOffset>
                </wp:positionV>
                <wp:extent cx="1943100" cy="1582420"/>
                <wp:effectExtent l="0" t="0" r="0" b="1778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1582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7D910" w14:textId="77777777" w:rsidR="00066FB7" w:rsidRPr="00906A0B" w:rsidRDefault="00066FB7" w:rsidP="00B40F6B">
                            <w:pPr>
                              <w:pStyle w:val="Address"/>
                            </w:pPr>
                            <w:r w:rsidRPr="00906A0B">
                              <w:t>Independent Hospital Pricing Authority</w:t>
                            </w:r>
                          </w:p>
                          <w:p w14:paraId="45DEE91E" w14:textId="77777777" w:rsidR="00066FB7" w:rsidRPr="00906A0B" w:rsidRDefault="00066FB7" w:rsidP="00B40F6B">
                            <w:pPr>
                              <w:pStyle w:val="Address"/>
                            </w:pPr>
                            <w:r w:rsidRPr="00906A0B">
                              <w:t> </w:t>
                            </w:r>
                          </w:p>
                          <w:p w14:paraId="13A2077B" w14:textId="77777777" w:rsidR="00066FB7" w:rsidRPr="00906A0B" w:rsidRDefault="00066FB7" w:rsidP="00755D99">
                            <w:pPr>
                              <w:pStyle w:val="Address"/>
                              <w:spacing w:after="0"/>
                            </w:pPr>
                            <w:r w:rsidRPr="00906A0B">
                              <w:t>Level 6, 1 Oxford Street</w:t>
                            </w:r>
                          </w:p>
                          <w:p w14:paraId="4A05BC85" w14:textId="77777777" w:rsidR="00066FB7" w:rsidRDefault="00066FB7" w:rsidP="00755D99">
                            <w:pPr>
                              <w:pStyle w:val="Address"/>
                              <w:spacing w:after="0"/>
                            </w:pPr>
                            <w:r w:rsidRPr="00906A0B">
                              <w:t>Sydney NSW 2000</w:t>
                            </w:r>
                          </w:p>
                          <w:p w14:paraId="591E150E" w14:textId="77777777" w:rsidR="00066FB7" w:rsidRPr="00906A0B" w:rsidRDefault="00066FB7" w:rsidP="00755D99">
                            <w:pPr>
                              <w:pStyle w:val="Address"/>
                              <w:spacing w:after="0"/>
                            </w:pPr>
                            <w:r w:rsidRPr="00906A0B">
                              <w:t>Phone 02 8215 1100</w:t>
                            </w:r>
                          </w:p>
                          <w:p w14:paraId="721A92A6" w14:textId="77777777" w:rsidR="00066FB7" w:rsidRPr="00906A0B" w:rsidRDefault="00066FB7" w:rsidP="00755D99">
                            <w:pPr>
                              <w:pStyle w:val="Address"/>
                              <w:spacing w:after="0"/>
                            </w:pPr>
                            <w:r w:rsidRPr="00906A0B">
                              <w:t>Email enquiries.ihpa@ihpa.gov.au</w:t>
                            </w:r>
                          </w:p>
                          <w:p w14:paraId="0078DEF9" w14:textId="77777777" w:rsidR="00066FB7" w:rsidRDefault="00066FB7" w:rsidP="00755D99">
                            <w:pPr>
                              <w:pStyle w:val="Address"/>
                              <w:spacing w:after="0"/>
                            </w:pPr>
                            <w:r w:rsidRPr="00906A0B">
                              <w:t>Twitter @IHPAnews</w:t>
                            </w:r>
                          </w:p>
                          <w:p w14:paraId="380EA2E4" w14:textId="77777777" w:rsidR="00066FB7" w:rsidRDefault="00066FB7" w:rsidP="00B40F6B">
                            <w:pPr>
                              <w:pStyle w:val="Address"/>
                            </w:pPr>
                            <w:r w:rsidRPr="00906A0B">
                              <w:t>www.ihpa.gov.au</w:t>
                            </w:r>
                          </w:p>
                          <w:p w14:paraId="248BD3A8" w14:textId="77777777" w:rsidR="00066FB7" w:rsidRPr="00906A0B" w:rsidRDefault="00066FB7" w:rsidP="00B40F6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65pt;margin-top:393.05pt;width:153pt;height:1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KnbQIAAEoFAAAOAAAAZHJzL2Uyb0RvYy54bWysVMFu2zAMvQ/YPwi6L07SbuiCOEWWIsOA&#10;oi2WDj0rstQYk0RNYmJnXz9KttOu26XDLjJNPlLkI6n5ZWsNO6gQa3Aln4zGnCknoardY8m/3a/f&#10;XXAWUbhKGHCq5EcV+eXi7Zt542dqCjswlQqMgrg4a3zJd4h+VhRR7pQVcQReOTJqCFYg/YbHogqi&#10;oejWFNPx+EPRQKh8AKliJO1VZ+SLHF9rJfFW66iQmZJTbpjPkM9tOovFXMweg/C7WvZpiH/Iwora&#10;0aWnUFcCBduH+o9QtpYBImgcSbAFaF1LlWugaibjF9VsdsKrXAuRE/2Jpvj/wsqbw11gdVXyM86c&#10;sNSie9Ui+wQtO0vsND7OCLTxBMOW1NTlQR9JmYpudbDpS+UwshPPxxO3KZhMTh/PzyZjMkmyTd5f&#10;TM+nmf3iyd2HiJ8VWJaEkgdqXuZUHK4jUioEHSDpNgfr2pjcQON+UxCw06g8Ab13qqTLOEt4NCp5&#10;GfdVaWIgJ54UefbUygR2EDQ1QkrlMNec4xI6oTTd/RrHHp9cu6xe43zyyDeDw5OzrR2EzNKLtKvv&#10;Q8q6wxN/z+pOIrbbtu/wFqojNThAtyDRy3VNTbgWEe9EoI2gxtGW4y0d2kBTcuglznYQfv5Nn/A0&#10;qGTlrKENK3n8sRdBcWa+OBrhtI6DEAZhOwhub1dA9E/o/fAyi+QQ0AyiDmAfaPmX6RYyCSfprpLj&#10;IK6w23N6PKRaLjOIls4LvHYbL1PoRGcaqfv2QQTfzx3SyN7AsHti9mL8OmzydLDcI+g6z2YitGOx&#10;J5oWNo9s/7ikF+H5f0Y9PYGLXwAAAP//AwBQSwMEFAAGAAgAAAAhAD/gfGjiAAAADAEAAA8AAABk&#10;cnMvZG93bnJldi54bWxMj8tOwzAQRfdI/IM1SOxa5wFpCHGqCsEKCZGGBUsnniZW43GI3Tb8PWYF&#10;y9E9uvdMuV3MyM44O21JQLyOgCF1VmnqBXw0L6scmPOSlBwtoYBvdLCtrq9KWSh7oRrPe9+zUEKu&#10;kAIG76eCc9cNaKRb2wkpZAc7G+nDOfdczfISys3IkyjKuJGawsIgJ3wasDvuT0bA7pPqZ/311r7X&#10;h1o3zUNEr9lRiNubZfcIzOPi/2D41Q/qUAWn1p5IOTYKWCVxGlABmzyLgQUiye82wNqARul9Crwq&#10;+f8nqh8AAAD//wMAUEsBAi0AFAAGAAgAAAAhALaDOJL+AAAA4QEAABMAAAAAAAAAAAAAAAAAAAAA&#10;AFtDb250ZW50X1R5cGVzXS54bWxQSwECLQAUAAYACAAAACEAOP0h/9YAAACUAQAACwAAAAAAAAAA&#10;AAAAAAAvAQAAX3JlbHMvLnJlbHNQSwECLQAUAAYACAAAACEAmHjyp20CAABKBQAADgAAAAAAAAAA&#10;AAAAAAAuAgAAZHJzL2Uyb0RvYy54bWxQSwECLQAUAAYACAAAACEAP+B8aOIAAAAMAQAADwAAAAAA&#10;AAAAAAAAAADHBAAAZHJzL2Rvd25yZXYueG1sUEsFBgAAAAAEAAQA8wAAANYFAAAAAA==&#10;" filled="f" stroked="f">
                <v:textbox inset="0,0,0,0">
                  <w:txbxContent>
                    <w:p w14:paraId="18C7D910" w14:textId="77777777" w:rsidR="00066FB7" w:rsidRPr="00906A0B" w:rsidRDefault="00066FB7" w:rsidP="00B40F6B">
                      <w:pPr>
                        <w:pStyle w:val="Address"/>
                      </w:pPr>
                      <w:r w:rsidRPr="00906A0B">
                        <w:t>Independent Hospital Pricing Authority</w:t>
                      </w:r>
                    </w:p>
                    <w:p w14:paraId="45DEE91E" w14:textId="77777777" w:rsidR="00066FB7" w:rsidRPr="00906A0B" w:rsidRDefault="00066FB7" w:rsidP="00B40F6B">
                      <w:pPr>
                        <w:pStyle w:val="Address"/>
                      </w:pPr>
                      <w:r w:rsidRPr="00906A0B">
                        <w:t> </w:t>
                      </w:r>
                    </w:p>
                    <w:p w14:paraId="13A2077B" w14:textId="77777777" w:rsidR="00066FB7" w:rsidRPr="00906A0B" w:rsidRDefault="00066FB7" w:rsidP="00755D99">
                      <w:pPr>
                        <w:pStyle w:val="Address"/>
                        <w:spacing w:after="0"/>
                      </w:pPr>
                      <w:r w:rsidRPr="00906A0B">
                        <w:t>Level 6, 1 Oxford Street</w:t>
                      </w:r>
                    </w:p>
                    <w:p w14:paraId="4A05BC85" w14:textId="77777777" w:rsidR="00066FB7" w:rsidRDefault="00066FB7" w:rsidP="00755D99">
                      <w:pPr>
                        <w:pStyle w:val="Address"/>
                        <w:spacing w:after="0"/>
                      </w:pPr>
                      <w:r w:rsidRPr="00906A0B">
                        <w:t>Sydney NSW 2000</w:t>
                      </w:r>
                    </w:p>
                    <w:p w14:paraId="591E150E" w14:textId="77777777" w:rsidR="00066FB7" w:rsidRPr="00906A0B" w:rsidRDefault="00066FB7" w:rsidP="00755D99">
                      <w:pPr>
                        <w:pStyle w:val="Address"/>
                        <w:spacing w:after="0"/>
                      </w:pPr>
                      <w:r w:rsidRPr="00906A0B">
                        <w:t>Phone 02 8215 1100</w:t>
                      </w:r>
                    </w:p>
                    <w:p w14:paraId="721A92A6" w14:textId="77777777" w:rsidR="00066FB7" w:rsidRPr="00906A0B" w:rsidRDefault="00066FB7" w:rsidP="00755D99">
                      <w:pPr>
                        <w:pStyle w:val="Address"/>
                        <w:spacing w:after="0"/>
                      </w:pPr>
                      <w:r w:rsidRPr="00906A0B">
                        <w:t>Email enquiries.ihpa@ihpa.gov.au</w:t>
                      </w:r>
                    </w:p>
                    <w:p w14:paraId="0078DEF9" w14:textId="77777777" w:rsidR="00066FB7" w:rsidRDefault="00066FB7" w:rsidP="00755D99">
                      <w:pPr>
                        <w:pStyle w:val="Address"/>
                        <w:spacing w:after="0"/>
                      </w:pPr>
                      <w:r w:rsidRPr="00906A0B">
                        <w:t>Twitter @</w:t>
                      </w:r>
                      <w:proofErr w:type="spellStart"/>
                      <w:r w:rsidRPr="00906A0B">
                        <w:t>IHPAnews</w:t>
                      </w:r>
                      <w:proofErr w:type="spellEnd"/>
                    </w:p>
                    <w:p w14:paraId="380EA2E4" w14:textId="77777777" w:rsidR="00066FB7" w:rsidRDefault="00066FB7" w:rsidP="00B40F6B">
                      <w:pPr>
                        <w:pStyle w:val="Address"/>
                      </w:pPr>
                      <w:r w:rsidRPr="00906A0B">
                        <w:t>www.ihpa.gov.au</w:t>
                      </w:r>
                    </w:p>
                    <w:p w14:paraId="248BD3A8" w14:textId="77777777" w:rsidR="00066FB7" w:rsidRPr="00906A0B" w:rsidRDefault="00066FB7" w:rsidP="00B40F6B">
                      <w:pPr>
                        <w:pStyle w:val="Address"/>
                      </w:pPr>
                    </w:p>
                  </w:txbxContent>
                </v:textbox>
                <w10:wrap type="square" anchorx="margin" anchory="margin"/>
              </v:shape>
            </w:pict>
          </mc:Fallback>
        </mc:AlternateContent>
      </w:r>
      <w:r w:rsidRPr="00E4527E">
        <w:rPr>
          <w:b/>
          <w:noProof/>
          <w:highlight w:val="yellow"/>
        </w:rPr>
        <w:drawing>
          <wp:anchor distT="0" distB="0" distL="114300" distR="114300" simplePos="0" relativeHeight="251660800" behindDoc="1" locked="0" layoutInCell="1" allowOverlap="1" wp14:anchorId="3257EFA3" wp14:editId="60C1552E">
            <wp:simplePos x="0" y="0"/>
            <wp:positionH relativeFrom="page">
              <wp:posOffset>-43180</wp:posOffset>
            </wp:positionH>
            <wp:positionV relativeFrom="page">
              <wp:posOffset>-15512</wp:posOffset>
            </wp:positionV>
            <wp:extent cx="7593480" cy="10740240"/>
            <wp:effectExtent l="0" t="0" r="7620" b="4445"/>
            <wp:wrapNone/>
            <wp:docPr id="11" name="Picture 11" descr="IHPA logo" title="Fin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p>
    <w:sectPr w:rsidR="00B40F6B" w:rsidSect="00384647">
      <w:pgSz w:w="11907" w:h="16840" w:code="9"/>
      <w:pgMar w:top="1843" w:right="1440" w:bottom="1021" w:left="102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73CF6" w14:textId="77777777" w:rsidR="001E1929" w:rsidRDefault="001E1929">
      <w:r>
        <w:separator/>
      </w:r>
    </w:p>
  </w:endnote>
  <w:endnote w:type="continuationSeparator" w:id="0">
    <w:p w14:paraId="62E20F26" w14:textId="77777777" w:rsidR="001E1929" w:rsidRDefault="001E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2"/>
        <w:szCs w:val="22"/>
      </w:rPr>
      <w:id w:val="-1846781163"/>
      <w:docPartObj>
        <w:docPartGallery w:val="Page Numbers (Bottom of Page)"/>
        <w:docPartUnique/>
      </w:docPartObj>
    </w:sdtPr>
    <w:sdtEndPr>
      <w:rPr>
        <w:rFonts w:asciiTheme="majorHAnsi" w:eastAsiaTheme="majorEastAsia" w:hAnsiTheme="majorHAnsi" w:cstheme="majorBidi"/>
        <w:noProof/>
        <w:color w:val="004200" w:themeColor="accent1"/>
        <w:sz w:val="40"/>
        <w:szCs w:val="40"/>
      </w:rPr>
    </w:sdtEndPr>
    <w:sdtContent>
      <w:p w14:paraId="2980E239" w14:textId="7555B1EB" w:rsidR="00066FB7" w:rsidRDefault="00066FB7">
        <w:pPr>
          <w:pStyle w:val="Footer"/>
          <w:jc w:val="right"/>
          <w:rPr>
            <w:rFonts w:asciiTheme="majorHAnsi" w:eastAsiaTheme="majorEastAsia" w:hAnsiTheme="majorHAnsi" w:cstheme="majorBidi"/>
            <w:color w:val="004200" w:themeColor="accent1"/>
            <w:sz w:val="40"/>
            <w:szCs w:val="40"/>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D3254" w:rsidRPr="003D3254">
          <w:rPr>
            <w:rFonts w:asciiTheme="majorHAnsi" w:eastAsiaTheme="majorEastAsia" w:hAnsiTheme="majorHAnsi" w:cstheme="majorBidi"/>
            <w:noProof/>
            <w:color w:val="004200" w:themeColor="accent1"/>
            <w:sz w:val="40"/>
            <w:szCs w:val="40"/>
          </w:rPr>
          <w:t>1</w:t>
        </w:r>
        <w:r>
          <w:rPr>
            <w:rFonts w:asciiTheme="majorHAnsi" w:eastAsiaTheme="majorEastAsia" w:hAnsiTheme="majorHAnsi" w:cstheme="majorBidi"/>
            <w:noProof/>
            <w:color w:val="004200" w:themeColor="accent1"/>
            <w:sz w:val="40"/>
            <w:szCs w:val="40"/>
          </w:rPr>
          <w:fldChar w:fldCharType="end"/>
        </w:r>
      </w:p>
    </w:sdtContent>
  </w:sdt>
  <w:p w14:paraId="2F8A18F6" w14:textId="77777777" w:rsidR="00066FB7" w:rsidRDefault="00066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41865"/>
      <w:docPartObj>
        <w:docPartGallery w:val="Page Numbers (Bottom of Page)"/>
        <w:docPartUnique/>
      </w:docPartObj>
    </w:sdtPr>
    <w:sdtEndPr>
      <w:rPr>
        <w:noProof/>
      </w:rPr>
    </w:sdtEndPr>
    <w:sdtContent>
      <w:p w14:paraId="2302A97A" w14:textId="1EF0E594" w:rsidR="00884D25" w:rsidRDefault="00884D25" w:rsidP="00884D25">
        <w:pPr>
          <w:pStyle w:val="Footer"/>
          <w:jc w:val="center"/>
        </w:pPr>
        <w:r>
          <w:fldChar w:fldCharType="begin"/>
        </w:r>
        <w:r>
          <w:instrText xml:space="preserve"> PAGE   \* MERGEFORMAT </w:instrText>
        </w:r>
        <w:r>
          <w:fldChar w:fldCharType="separate"/>
        </w:r>
        <w:r w:rsidR="003D3254">
          <w:rPr>
            <w:noProof/>
          </w:rPr>
          <w:t>1</w:t>
        </w:r>
        <w:r>
          <w:rPr>
            <w:noProof/>
          </w:rPr>
          <w:fldChar w:fldCharType="end"/>
        </w:r>
      </w:p>
    </w:sdtContent>
  </w:sdt>
  <w:p w14:paraId="587C2896" w14:textId="77777777" w:rsidR="00066FB7" w:rsidRPr="00302DDA" w:rsidRDefault="00066FB7" w:rsidP="00302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810121"/>
      <w:docPartObj>
        <w:docPartGallery w:val="Page Numbers (Bottom of Page)"/>
        <w:docPartUnique/>
      </w:docPartObj>
    </w:sdtPr>
    <w:sdtEndPr>
      <w:rPr>
        <w:noProof/>
      </w:rPr>
    </w:sdtEndPr>
    <w:sdtContent>
      <w:p w14:paraId="2FB86F5F" w14:textId="675CE864" w:rsidR="00884D25" w:rsidRDefault="00884D25">
        <w:pPr>
          <w:pStyle w:val="Footer"/>
          <w:jc w:val="center"/>
        </w:pPr>
        <w:r>
          <w:fldChar w:fldCharType="begin"/>
        </w:r>
        <w:r>
          <w:instrText xml:space="preserve"> PAGE   \* MERGEFORMAT </w:instrText>
        </w:r>
        <w:r>
          <w:fldChar w:fldCharType="separate"/>
        </w:r>
        <w:r w:rsidR="00AA4D76">
          <w:rPr>
            <w:noProof/>
          </w:rPr>
          <w:t>48</w:t>
        </w:r>
        <w:r>
          <w:rPr>
            <w:noProof/>
          </w:rPr>
          <w:fldChar w:fldCharType="end"/>
        </w:r>
      </w:p>
    </w:sdtContent>
  </w:sdt>
  <w:p w14:paraId="21CD4641" w14:textId="77777777" w:rsidR="00066FB7" w:rsidRPr="00AD580E" w:rsidRDefault="00066FB7" w:rsidP="00AD5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BBA8" w14:textId="77777777" w:rsidR="001E1929" w:rsidRDefault="001E1929">
      <w:r>
        <w:separator/>
      </w:r>
    </w:p>
  </w:footnote>
  <w:footnote w:type="continuationSeparator" w:id="0">
    <w:p w14:paraId="5087019F" w14:textId="77777777" w:rsidR="001E1929" w:rsidRDefault="001E1929">
      <w:r>
        <w:continuationSeparator/>
      </w:r>
    </w:p>
  </w:footnote>
  <w:footnote w:id="1">
    <w:p w14:paraId="2EBCE586" w14:textId="18A18E95" w:rsidR="00066FB7" w:rsidRPr="00521262" w:rsidRDefault="00066FB7" w:rsidP="006200A2">
      <w:pPr>
        <w:pStyle w:val="SourceNotesText"/>
        <w:spacing w:after="60" w:line="240" w:lineRule="auto"/>
        <w:rPr>
          <w:sz w:val="14"/>
          <w:szCs w:val="14"/>
        </w:rPr>
      </w:pPr>
      <w:r>
        <w:rPr>
          <w:rStyle w:val="FootnoteReference"/>
          <w:rFonts w:ascii="Georgia" w:hAnsi="Georgia"/>
          <w:snapToGrid w:val="0"/>
        </w:rPr>
        <w:footnoteRef/>
      </w:r>
      <w:r>
        <w:rPr>
          <w:snapToGrid w:val="0"/>
        </w:rPr>
        <w:t xml:space="preserve"> </w:t>
      </w:r>
      <w:r>
        <w:rPr>
          <w:snapToGrid w:val="0"/>
          <w:sz w:val="14"/>
          <w:szCs w:val="14"/>
        </w:rPr>
        <w:t>Department of Health,</w:t>
      </w:r>
      <w:r w:rsidRPr="00521262">
        <w:rPr>
          <w:snapToGrid w:val="0"/>
          <w:sz w:val="14"/>
          <w:szCs w:val="14"/>
        </w:rPr>
        <w:t xml:space="preserve"> A Users Guide for the Collection of </w:t>
      </w:r>
      <w:r>
        <w:rPr>
          <w:snapToGrid w:val="0"/>
          <w:sz w:val="14"/>
          <w:szCs w:val="14"/>
        </w:rPr>
        <w:t>HCP and PHDB</w:t>
      </w:r>
      <w:r w:rsidRPr="00521262">
        <w:rPr>
          <w:snapToGrid w:val="0"/>
          <w:sz w:val="14"/>
          <w:szCs w:val="14"/>
        </w:rPr>
        <w:t xml:space="preserve"> (Version 1.2- May 2010  - page 38, </w:t>
      </w:r>
      <w:hyperlink r:id="rId1" w:history="1">
        <w:r w:rsidRPr="00521262">
          <w:rPr>
            <w:rStyle w:val="Hyperlink"/>
            <w:snapToGrid w:val="0"/>
            <w:sz w:val="14"/>
            <w:szCs w:val="14"/>
          </w:rPr>
          <w:t>Government Health Website: http://www.health.gov.au/internet/main/publishing.nsf/Content/38E5E5E23C0D4336CA257BF0001E8AC3/$File/Data%20Definitions%20Manual.pdf</w:t>
        </w:r>
      </w:hyperlink>
      <w:r w:rsidRPr="00521262">
        <w:rPr>
          <w:snapToGrid w:val="0"/>
          <w:sz w:val="14"/>
          <w:szCs w:val="14"/>
        </w:rPr>
        <w:t xml:space="preserve">, dated viewed </w:t>
      </w:r>
      <w:r>
        <w:rPr>
          <w:snapToGrid w:val="0"/>
          <w:sz w:val="14"/>
          <w:szCs w:val="14"/>
        </w:rPr>
        <w:t>21 January 2019</w:t>
      </w:r>
    </w:p>
  </w:footnote>
  <w:footnote w:id="2">
    <w:p w14:paraId="4F33B059" w14:textId="4D3E82CF" w:rsidR="00066FB7" w:rsidRPr="00521262" w:rsidRDefault="00066FB7" w:rsidP="006200A2">
      <w:pPr>
        <w:pStyle w:val="SourceNotesText"/>
        <w:spacing w:after="60" w:line="240" w:lineRule="auto"/>
        <w:rPr>
          <w:sz w:val="14"/>
          <w:szCs w:val="14"/>
        </w:rPr>
      </w:pPr>
      <w:r w:rsidRPr="00D81F1E">
        <w:rPr>
          <w:rStyle w:val="FootnoteReference"/>
          <w:rFonts w:ascii="Georgia" w:hAnsi="Georgia"/>
          <w:snapToGrid w:val="0"/>
        </w:rPr>
        <w:footnoteRef/>
      </w:r>
      <w:r w:rsidRPr="00521262">
        <w:rPr>
          <w:snapToGrid w:val="0"/>
          <w:sz w:val="14"/>
          <w:szCs w:val="14"/>
        </w:rPr>
        <w:t xml:space="preserve"> </w:t>
      </w:r>
      <w:r>
        <w:rPr>
          <w:snapToGrid w:val="0"/>
          <w:sz w:val="14"/>
          <w:szCs w:val="14"/>
        </w:rPr>
        <w:t>Department of Health,</w:t>
      </w:r>
      <w:r w:rsidRPr="00521262">
        <w:rPr>
          <w:snapToGrid w:val="0"/>
          <w:sz w:val="14"/>
          <w:szCs w:val="14"/>
        </w:rPr>
        <w:t xml:space="preserve"> A Users Guide for the Collection of </w:t>
      </w:r>
      <w:r>
        <w:rPr>
          <w:snapToGrid w:val="0"/>
          <w:sz w:val="14"/>
          <w:szCs w:val="14"/>
        </w:rPr>
        <w:t>HCP and PHDB</w:t>
      </w:r>
      <w:r w:rsidRPr="00521262">
        <w:rPr>
          <w:snapToGrid w:val="0"/>
          <w:sz w:val="14"/>
          <w:szCs w:val="14"/>
        </w:rPr>
        <w:t xml:space="preserve"> (Version 1.2- May 2010  - page 38, </w:t>
      </w:r>
      <w:hyperlink r:id="rId2" w:history="1">
        <w:r w:rsidRPr="00521262">
          <w:rPr>
            <w:rStyle w:val="Hyperlink"/>
            <w:snapToGrid w:val="0"/>
            <w:sz w:val="14"/>
            <w:szCs w:val="14"/>
          </w:rPr>
          <w:t>Government Health Website: http://www.health.gov.au/internet/main/publishing.nsf/Content/38E5E5E23C0D4336CA257BF0001E8AC3/$File/Data%20Definitions%20Manual.pdf</w:t>
        </w:r>
      </w:hyperlink>
      <w:r w:rsidRPr="00521262">
        <w:rPr>
          <w:snapToGrid w:val="0"/>
          <w:sz w:val="14"/>
          <w:szCs w:val="14"/>
        </w:rPr>
        <w:t xml:space="preserve">, dated viewed </w:t>
      </w:r>
      <w:r>
        <w:rPr>
          <w:snapToGrid w:val="0"/>
          <w:sz w:val="14"/>
          <w:szCs w:val="14"/>
        </w:rPr>
        <w:t>21 January 2019</w:t>
      </w:r>
    </w:p>
  </w:footnote>
  <w:footnote w:id="3">
    <w:p w14:paraId="5A5933AC" w14:textId="002C895D" w:rsidR="00066FB7" w:rsidRPr="003D7C5F" w:rsidRDefault="00066FB7" w:rsidP="00C04297">
      <w:pPr>
        <w:pStyle w:val="SourceNotesText"/>
        <w:spacing w:line="240" w:lineRule="auto"/>
        <w:rPr>
          <w:sz w:val="14"/>
        </w:rPr>
      </w:pPr>
      <w:r w:rsidRPr="003D7C5F">
        <w:rPr>
          <w:rStyle w:val="FootnoteReference"/>
          <w:rFonts w:ascii="Georgia" w:hAnsi="Georgia"/>
          <w:snapToGrid w:val="0"/>
          <w:sz w:val="14"/>
        </w:rPr>
        <w:footnoteRef/>
      </w:r>
      <w:r w:rsidRPr="003D7C5F">
        <w:rPr>
          <w:snapToGrid w:val="0"/>
          <w:sz w:val="14"/>
        </w:rPr>
        <w:t xml:space="preserve"> ABS, Private Hospital  Statistics for 201</w:t>
      </w:r>
      <w:r>
        <w:rPr>
          <w:snapToGrid w:val="0"/>
          <w:sz w:val="14"/>
        </w:rPr>
        <w:t>6</w:t>
      </w:r>
      <w:r w:rsidRPr="003D7C5F">
        <w:rPr>
          <w:snapToGrid w:val="0"/>
          <w:sz w:val="14"/>
        </w:rPr>
        <w:t>-1</w:t>
      </w:r>
      <w:r>
        <w:rPr>
          <w:snapToGrid w:val="0"/>
          <w:sz w:val="14"/>
        </w:rPr>
        <w:t>7</w:t>
      </w:r>
      <w:r w:rsidRPr="003D7C5F">
        <w:rPr>
          <w:snapToGrid w:val="0"/>
          <w:sz w:val="14"/>
        </w:rPr>
        <w:t xml:space="preserve">, </w:t>
      </w:r>
      <w:hyperlink r:id="rId3" w:history="1">
        <w:r>
          <w:rPr>
            <w:rStyle w:val="Hyperlink"/>
            <w:snapToGrid w:val="0"/>
            <w:sz w:val="14"/>
          </w:rPr>
          <w:t>Australian Bureau of Statistics Website: http://www.abs.gov.au/ausstats/abs@.nsf/Lookup/by%20Subject/4390.0~2016-17~Main%20Features~All%20Private%20Hospitals%20-%20summary~2</w:t>
        </w:r>
      </w:hyperlink>
      <w:r w:rsidRPr="003D7C5F">
        <w:rPr>
          <w:snapToGrid w:val="0"/>
          <w:sz w:val="14"/>
        </w:rPr>
        <w:t xml:space="preserve">, date viewed </w:t>
      </w:r>
      <w:r>
        <w:rPr>
          <w:snapToGrid w:val="0"/>
          <w:sz w:val="14"/>
        </w:rPr>
        <w:t>09</w:t>
      </w:r>
      <w:r w:rsidRPr="003D7C5F">
        <w:rPr>
          <w:snapToGrid w:val="0"/>
          <w:sz w:val="14"/>
          <w:vertAlign w:val="superscript"/>
        </w:rPr>
        <w:t>th</w:t>
      </w:r>
      <w:r w:rsidRPr="003D7C5F">
        <w:rPr>
          <w:snapToGrid w:val="0"/>
          <w:sz w:val="14"/>
        </w:rPr>
        <w:t xml:space="preserve"> </w:t>
      </w:r>
      <w:r>
        <w:rPr>
          <w:snapToGrid w:val="0"/>
          <w:sz w:val="14"/>
        </w:rPr>
        <w:t>January</w:t>
      </w:r>
      <w:r w:rsidRPr="003D7C5F">
        <w:rPr>
          <w:snapToGrid w:val="0"/>
          <w:sz w:val="14"/>
        </w:rPr>
        <w:t xml:space="preserve"> 201</w:t>
      </w:r>
      <w:r>
        <w:rPr>
          <w:snapToGrid w:val="0"/>
          <w:sz w:val="14"/>
        </w:rPr>
        <w:t>9</w:t>
      </w:r>
      <w:r w:rsidRPr="003D7C5F">
        <w:rPr>
          <w:snapToGrid w:val="0"/>
          <w:sz w:val="14"/>
        </w:rPr>
        <w:t xml:space="preserve"> (this referenc</w:t>
      </w:r>
      <w:r>
        <w:rPr>
          <w:snapToGrid w:val="0"/>
          <w:sz w:val="14"/>
        </w:rPr>
        <w:t>e is for the whole of section</w:t>
      </w:r>
      <w:r w:rsidRPr="003D7C5F">
        <w:rPr>
          <w:snapToGrid w:val="0"/>
          <w:sz w:val="14"/>
        </w:rPr>
        <w:t>)</w:t>
      </w:r>
      <w:r w:rsidRPr="003D7C5F">
        <w:rPr>
          <w:sz w:val="14"/>
        </w:rPr>
        <w:t xml:space="preserve"> </w:t>
      </w:r>
    </w:p>
  </w:footnote>
  <w:footnote w:id="4">
    <w:p w14:paraId="4AC9E75F" w14:textId="0B7408A6" w:rsidR="00066FB7" w:rsidRPr="00C04297" w:rsidRDefault="00066FB7" w:rsidP="00014FA5">
      <w:pPr>
        <w:pStyle w:val="FootnoteText"/>
        <w:spacing w:after="60" w:line="240" w:lineRule="auto"/>
        <w:rPr>
          <w:sz w:val="14"/>
          <w:szCs w:val="14"/>
        </w:rPr>
      </w:pPr>
      <w:r w:rsidRPr="003D7C5F">
        <w:rPr>
          <w:rStyle w:val="FootnoteReference"/>
          <w:sz w:val="14"/>
        </w:rPr>
        <w:footnoteRef/>
      </w:r>
      <w:r w:rsidRPr="003D7C5F">
        <w:rPr>
          <w:rStyle w:val="FootnoteReference"/>
          <w:sz w:val="14"/>
        </w:rPr>
        <w:t xml:space="preserve"> </w:t>
      </w:r>
      <w:hyperlink r:id="rId4" w:history="1">
        <w:r w:rsidRPr="003D7C5F">
          <w:rPr>
            <w:rStyle w:val="Hyperlink"/>
            <w:sz w:val="14"/>
            <w:szCs w:val="14"/>
          </w:rPr>
          <w:t>Data Dictionary, METeOR ID: 270174</w:t>
        </w:r>
      </w:hyperlink>
      <w:r w:rsidRPr="003D7C5F">
        <w:rPr>
          <w:sz w:val="14"/>
          <w:szCs w:val="14"/>
        </w:rPr>
        <w:t xml:space="preserve">, </w:t>
      </w:r>
      <w:r>
        <w:rPr>
          <w:sz w:val="14"/>
        </w:rPr>
        <w:t xml:space="preserve">AIHW, </w:t>
      </w:r>
      <w:r w:rsidRPr="003D7C5F">
        <w:rPr>
          <w:sz w:val="14"/>
          <w:szCs w:val="14"/>
        </w:rPr>
        <w:t xml:space="preserve">date viewed </w:t>
      </w:r>
      <w:r>
        <w:rPr>
          <w:sz w:val="14"/>
          <w:szCs w:val="14"/>
        </w:rPr>
        <w:t>21 January 2019;</w:t>
      </w:r>
    </w:p>
  </w:footnote>
  <w:footnote w:id="5">
    <w:p w14:paraId="3EBE0925" w14:textId="77777777" w:rsidR="00066FB7" w:rsidRPr="003D7C5F" w:rsidRDefault="00066FB7" w:rsidP="00014FA5">
      <w:pPr>
        <w:pStyle w:val="SourceNotesText"/>
        <w:spacing w:after="60" w:line="240" w:lineRule="auto"/>
        <w:rPr>
          <w:sz w:val="14"/>
          <w:szCs w:val="14"/>
        </w:rPr>
      </w:pPr>
      <w:r w:rsidRPr="003D7C5F">
        <w:rPr>
          <w:rStyle w:val="FootnoteReference"/>
          <w:rFonts w:ascii="Georgia" w:hAnsi="Georgia"/>
          <w:sz w:val="14"/>
        </w:rPr>
        <w:footnoteRef/>
      </w:r>
      <w:r w:rsidRPr="003D7C5F">
        <w:rPr>
          <w:sz w:val="14"/>
        </w:rPr>
        <w:t xml:space="preserve"> </w:t>
      </w:r>
      <w:r w:rsidRPr="003D7C5F">
        <w:rPr>
          <w:sz w:val="14"/>
          <w:szCs w:val="14"/>
        </w:rPr>
        <w:t>These are separations with care type 7.0 (new born care), with zero qualified days in the neonate DRGs (Major Diagnostic Category 15 newborns and other neonates)</w:t>
      </w:r>
    </w:p>
  </w:footnote>
  <w:footnote w:id="6">
    <w:p w14:paraId="5C3AEFB3" w14:textId="21DFC007" w:rsidR="00066FB7" w:rsidRDefault="00066FB7" w:rsidP="00014FA5">
      <w:pPr>
        <w:pStyle w:val="FootnoteText"/>
        <w:spacing w:after="60" w:line="240" w:lineRule="auto"/>
      </w:pPr>
      <w:r w:rsidRPr="00F636F2">
        <w:rPr>
          <w:rStyle w:val="FootnoteReference"/>
          <w:sz w:val="14"/>
          <w:szCs w:val="14"/>
        </w:rPr>
        <w:footnoteRef/>
      </w:r>
      <w:r w:rsidRPr="00F636F2">
        <w:rPr>
          <w:sz w:val="14"/>
          <w:szCs w:val="14"/>
        </w:rPr>
        <w:t xml:space="preserve"> </w:t>
      </w:r>
      <w:hyperlink r:id="rId5" w:history="1">
        <w:r w:rsidRPr="00F636F2">
          <w:rPr>
            <w:rStyle w:val="Hyperlink"/>
            <w:sz w:val="14"/>
            <w:szCs w:val="14"/>
          </w:rPr>
          <w:t>A Users Guide for the Collection of Hospital Casemix Protocol (HCP) and Private Hospital Data Bureau (PHDB)</w:t>
        </w:r>
      </w:hyperlink>
      <w:r w:rsidRPr="00F636F2">
        <w:rPr>
          <w:sz w:val="14"/>
          <w:szCs w:val="14"/>
        </w:rPr>
        <w:t>, (Version 1.2- May 2010 page 28), D</w:t>
      </w:r>
      <w:r>
        <w:rPr>
          <w:sz w:val="14"/>
          <w:szCs w:val="14"/>
        </w:rPr>
        <w:t xml:space="preserve">epartment of Health, </w:t>
      </w:r>
      <w:r w:rsidRPr="003D7C5F">
        <w:rPr>
          <w:sz w:val="14"/>
        </w:rPr>
        <w:t xml:space="preserve">dated viewed </w:t>
      </w:r>
      <w:r>
        <w:rPr>
          <w:sz w:val="14"/>
        </w:rPr>
        <w:t>21 January 2019</w:t>
      </w:r>
    </w:p>
  </w:footnote>
  <w:footnote w:id="7">
    <w:p w14:paraId="347762E6" w14:textId="1927FEB4" w:rsidR="00066FB7" w:rsidRDefault="00066FB7" w:rsidP="00014FA5">
      <w:pPr>
        <w:pStyle w:val="FootnoteText"/>
        <w:spacing w:after="60" w:line="240" w:lineRule="auto"/>
      </w:pPr>
      <w:r w:rsidRPr="00F636F2">
        <w:rPr>
          <w:rStyle w:val="FootnoteReference"/>
          <w:sz w:val="14"/>
          <w:szCs w:val="14"/>
        </w:rPr>
        <w:footnoteRef/>
      </w:r>
      <w:r w:rsidRPr="00F636F2">
        <w:rPr>
          <w:sz w:val="14"/>
          <w:szCs w:val="14"/>
        </w:rPr>
        <w:t xml:space="preserve"> </w:t>
      </w:r>
      <w:hyperlink r:id="rId6" w:history="1">
        <w:r w:rsidRPr="00F636F2">
          <w:rPr>
            <w:rStyle w:val="Hyperlink"/>
            <w:sz w:val="14"/>
            <w:szCs w:val="14"/>
          </w:rPr>
          <w:t>A Users Guide for the Collection of Hospital Casemix Protocol (HCP) and Private Hospital Data Bureau (PHDB)</w:t>
        </w:r>
      </w:hyperlink>
      <w:r w:rsidRPr="00F636F2">
        <w:rPr>
          <w:sz w:val="14"/>
          <w:szCs w:val="14"/>
        </w:rPr>
        <w:t xml:space="preserve">, (Version 1.2- May 2010  page 30-31), </w:t>
      </w:r>
      <w:r>
        <w:rPr>
          <w:sz w:val="14"/>
          <w:szCs w:val="14"/>
        </w:rPr>
        <w:t>Department of Health,</w:t>
      </w:r>
      <w:r w:rsidRPr="00F636F2">
        <w:rPr>
          <w:sz w:val="14"/>
          <w:szCs w:val="14"/>
        </w:rPr>
        <w:t xml:space="preserve"> </w:t>
      </w:r>
      <w:r w:rsidRPr="003D7C5F">
        <w:rPr>
          <w:sz w:val="14"/>
        </w:rPr>
        <w:t xml:space="preserve">dated viewed </w:t>
      </w:r>
      <w:r>
        <w:rPr>
          <w:sz w:val="14"/>
        </w:rPr>
        <w:t>21 January 2019</w:t>
      </w:r>
    </w:p>
  </w:footnote>
  <w:footnote w:id="8">
    <w:p w14:paraId="571624E9" w14:textId="10D3D8BB" w:rsidR="00066FB7" w:rsidRPr="003D7C5F" w:rsidRDefault="00066FB7" w:rsidP="00014FA5">
      <w:pPr>
        <w:pStyle w:val="SourceNotesText"/>
        <w:spacing w:after="60" w:line="240" w:lineRule="auto"/>
        <w:rPr>
          <w:sz w:val="14"/>
          <w:szCs w:val="14"/>
        </w:rPr>
      </w:pPr>
      <w:r w:rsidRPr="003D7C5F">
        <w:rPr>
          <w:rStyle w:val="FootnoteReference"/>
          <w:rFonts w:ascii="Georgia" w:hAnsi="Georgia"/>
          <w:sz w:val="14"/>
          <w:szCs w:val="14"/>
        </w:rPr>
        <w:footnoteRef/>
      </w:r>
      <w:r w:rsidRPr="003D7C5F">
        <w:rPr>
          <w:sz w:val="14"/>
          <w:szCs w:val="14"/>
        </w:rPr>
        <w:t xml:space="preserve">  </w:t>
      </w:r>
      <w:r>
        <w:rPr>
          <w:sz w:val="14"/>
          <w:szCs w:val="14"/>
        </w:rPr>
        <w:t>IHPA, AHPCS</w:t>
      </w:r>
      <w:r w:rsidRPr="003D7C5F">
        <w:rPr>
          <w:sz w:val="14"/>
          <w:szCs w:val="14"/>
        </w:rPr>
        <w:t xml:space="preserve"> v3.1,  July 2014, </w:t>
      </w:r>
      <w:hyperlink r:id="rId7" w:history="1">
        <w:r w:rsidRPr="003D7C5F">
          <w:rPr>
            <w:rStyle w:val="Hyperlink"/>
            <w:sz w:val="14"/>
            <w:szCs w:val="14"/>
          </w:rPr>
          <w:t>Independent H</w:t>
        </w:r>
        <w:r>
          <w:rPr>
            <w:rStyle w:val="Hyperlink"/>
            <w:sz w:val="14"/>
            <w:szCs w:val="14"/>
          </w:rPr>
          <w:t>ospital</w:t>
        </w:r>
        <w:r w:rsidRPr="003D7C5F">
          <w:rPr>
            <w:rStyle w:val="Hyperlink"/>
            <w:sz w:val="14"/>
            <w:szCs w:val="14"/>
          </w:rPr>
          <w:t xml:space="preserve"> Pricing Authority</w:t>
        </w:r>
      </w:hyperlink>
      <w:r w:rsidRPr="003D7C5F">
        <w:rPr>
          <w:sz w:val="14"/>
          <w:szCs w:val="14"/>
        </w:rPr>
        <w:t>, viewed</w:t>
      </w:r>
      <w:r>
        <w:rPr>
          <w:sz w:val="14"/>
          <w:szCs w:val="14"/>
        </w:rPr>
        <w:t xml:space="preserve"> 21 January 2019</w:t>
      </w:r>
    </w:p>
  </w:footnote>
  <w:footnote w:id="9">
    <w:p w14:paraId="2AF87B99" w14:textId="67F510B3" w:rsidR="00066FB7" w:rsidRPr="00851800" w:rsidRDefault="00066FB7" w:rsidP="00014FA5">
      <w:pPr>
        <w:pStyle w:val="SourceNotesText"/>
        <w:spacing w:after="60" w:line="240" w:lineRule="auto"/>
        <w:rPr>
          <w:sz w:val="14"/>
          <w:szCs w:val="14"/>
        </w:rPr>
      </w:pPr>
      <w:r w:rsidRPr="003D7C5F">
        <w:rPr>
          <w:rStyle w:val="FootnoteReference"/>
          <w:rFonts w:ascii="Georgia" w:hAnsi="Georgia"/>
          <w:sz w:val="14"/>
          <w:szCs w:val="14"/>
        </w:rPr>
        <w:footnoteRef/>
      </w:r>
      <w:r w:rsidRPr="003D7C5F">
        <w:rPr>
          <w:sz w:val="14"/>
          <w:szCs w:val="14"/>
        </w:rPr>
        <w:t xml:space="preserve">  I</w:t>
      </w:r>
      <w:r>
        <w:rPr>
          <w:sz w:val="14"/>
          <w:szCs w:val="14"/>
        </w:rPr>
        <w:t>HPA, AHPCS</w:t>
      </w:r>
      <w:r w:rsidRPr="003D7C5F">
        <w:rPr>
          <w:sz w:val="14"/>
          <w:szCs w:val="14"/>
        </w:rPr>
        <w:t xml:space="preserve"> v3.1,  July 2014, page 14, standard SCP 2.003 – Product Costs in Scope</w:t>
      </w:r>
      <w:r w:rsidRPr="003D7C5F">
        <w:rPr>
          <w:b/>
          <w:bCs/>
          <w:sz w:val="14"/>
          <w:szCs w:val="14"/>
        </w:rPr>
        <w:t xml:space="preserve">, </w:t>
      </w:r>
      <w:hyperlink r:id="rId8" w:history="1">
        <w:r w:rsidRPr="003D7C5F">
          <w:rPr>
            <w:rStyle w:val="Hyperlink"/>
            <w:sz w:val="14"/>
            <w:szCs w:val="14"/>
          </w:rPr>
          <w:t>Independent Hospital Pricing Authority</w:t>
        </w:r>
      </w:hyperlink>
      <w:r w:rsidRPr="003D7C5F">
        <w:rPr>
          <w:sz w:val="14"/>
          <w:szCs w:val="14"/>
        </w:rPr>
        <w:t>, viewed</w:t>
      </w:r>
      <w:r>
        <w:rPr>
          <w:sz w:val="14"/>
          <w:szCs w:val="14"/>
        </w:rPr>
        <w:t xml:space="preserve"> 21 January 2019</w:t>
      </w:r>
    </w:p>
  </w:footnote>
  <w:footnote w:id="10">
    <w:p w14:paraId="3A6DD57A" w14:textId="77777777" w:rsidR="00066FB7" w:rsidRDefault="00066FB7" w:rsidP="00BA7AE4">
      <w:pPr>
        <w:pStyle w:val="FootnoteText"/>
      </w:pPr>
      <w:r w:rsidRPr="00F46E87">
        <w:rPr>
          <w:rStyle w:val="FootnoteReference"/>
          <w:sz w:val="14"/>
          <w:szCs w:val="14"/>
        </w:rPr>
        <w:footnoteRef/>
      </w:r>
      <w:r w:rsidRPr="00F46E87">
        <w:rPr>
          <w:sz w:val="14"/>
          <w:szCs w:val="14"/>
        </w:rPr>
        <w:t xml:space="preserve"> DRG flipping occurs when the average cost of a lower complexity DRG within the related adjacent DRG is higher than the one with more complexity.</w:t>
      </w:r>
      <w:r>
        <w:t xml:space="preserve">  </w:t>
      </w:r>
    </w:p>
  </w:footnote>
  <w:footnote w:id="11">
    <w:p w14:paraId="04487022" w14:textId="77777777" w:rsidR="00066FB7" w:rsidRDefault="00066FB7" w:rsidP="00751830">
      <w:pPr>
        <w:pStyle w:val="SourceNotesText"/>
      </w:pPr>
      <w:r>
        <w:rPr>
          <w:rStyle w:val="FootnoteReference"/>
          <w:rFonts w:ascii="Georgia" w:hAnsi="Georgia"/>
          <w:snapToGrid w:val="0"/>
        </w:rPr>
        <w:footnoteRef/>
      </w:r>
      <w:r>
        <w:rPr>
          <w:snapToGrid w:val="0"/>
        </w:rPr>
        <w:t xml:space="preserve"> </w:t>
      </w:r>
      <w:r>
        <w:rPr>
          <w:snapToGrid w:val="0"/>
          <w:sz w:val="14"/>
          <w:szCs w:val="14"/>
        </w:rPr>
        <w:t xml:space="preserve">Data Dictionary, Meteor ID 327254, </w:t>
      </w:r>
      <w:hyperlink r:id="rId9" w:history="1">
        <w:r w:rsidRPr="00EF3011">
          <w:rPr>
            <w:rStyle w:val="Hyperlink"/>
            <w:snapToGrid w:val="0"/>
            <w:sz w:val="14"/>
            <w:szCs w:val="14"/>
          </w:rPr>
          <w:t>https://meteor.aihw.gov.au/content/index.phtml/itemId/327254</w:t>
        </w:r>
      </w:hyperlink>
      <w:r>
        <w:rPr>
          <w:snapToGrid w:val="0"/>
          <w:sz w:val="14"/>
          <w:szCs w:val="14"/>
        </w:rPr>
        <w:t>, viewed 22</w:t>
      </w:r>
      <w:r w:rsidRPr="006365D0">
        <w:rPr>
          <w:snapToGrid w:val="0"/>
          <w:sz w:val="14"/>
          <w:szCs w:val="14"/>
          <w:vertAlign w:val="superscript"/>
        </w:rPr>
        <w:t>nd</w:t>
      </w:r>
      <w:r>
        <w:rPr>
          <w:snapToGrid w:val="0"/>
          <w:sz w:val="14"/>
          <w:szCs w:val="14"/>
        </w:rPr>
        <w:t xml:space="preserve"> January 2019</w:t>
      </w:r>
    </w:p>
  </w:footnote>
  <w:footnote w:id="12">
    <w:p w14:paraId="2A93D6E7" w14:textId="0ADC200C" w:rsidR="00066FB7" w:rsidRPr="00014FA5" w:rsidRDefault="00066FB7" w:rsidP="00014FA5">
      <w:pPr>
        <w:pStyle w:val="SourceNotesText"/>
        <w:spacing w:after="60" w:line="240" w:lineRule="auto"/>
        <w:rPr>
          <w:rFonts w:asciiTheme="majorHAnsi" w:hAnsiTheme="majorHAnsi" w:cstheme="majorHAnsi"/>
          <w:sz w:val="14"/>
          <w:szCs w:val="14"/>
          <w:lang w:eastAsia="en-US"/>
        </w:rPr>
      </w:pPr>
      <w:r w:rsidRPr="00014FA5">
        <w:rPr>
          <w:rStyle w:val="FootnoteReference"/>
          <w:rFonts w:asciiTheme="majorHAnsi" w:hAnsiTheme="majorHAnsi" w:cstheme="majorHAnsi"/>
          <w:snapToGrid w:val="0"/>
          <w:sz w:val="14"/>
          <w:szCs w:val="14"/>
        </w:rPr>
        <w:footnoteRef/>
      </w:r>
      <w:r w:rsidRPr="00014FA5">
        <w:rPr>
          <w:rFonts w:asciiTheme="majorHAnsi" w:hAnsiTheme="majorHAnsi" w:cstheme="majorHAnsi"/>
          <w:snapToGrid w:val="0"/>
          <w:sz w:val="14"/>
          <w:szCs w:val="14"/>
        </w:rPr>
        <w:t xml:space="preserve">Published cost weight tables for Round 13 on the Commonwealth Department of Health website </w:t>
      </w:r>
      <w:hyperlink r:id="rId10" w:history="1">
        <w:r w:rsidRPr="00014FA5">
          <w:rPr>
            <w:rStyle w:val="Hyperlink"/>
            <w:rFonts w:asciiTheme="majorHAnsi" w:hAnsiTheme="majorHAnsi" w:cstheme="majorHAnsi"/>
            <w:snapToGrid w:val="0"/>
            <w:sz w:val="14"/>
            <w:szCs w:val="14"/>
          </w:rPr>
          <w:t>Government Health Website: http://www.health.gov.au/internet/main/publishing.nsf/Content/Round_13-cost-reports</w:t>
        </w:r>
      </w:hyperlink>
      <w:r w:rsidRPr="00014FA5">
        <w:rPr>
          <w:rFonts w:asciiTheme="majorHAnsi" w:hAnsiTheme="majorHAnsi" w:cstheme="majorHAnsi"/>
          <w:snapToGrid w:val="0"/>
          <w:sz w:val="14"/>
          <w:szCs w:val="14"/>
        </w:rPr>
        <w:t>, accessed 3 April 2012</w:t>
      </w:r>
    </w:p>
  </w:footnote>
  <w:footnote w:id="13">
    <w:p w14:paraId="04A82846" w14:textId="77777777" w:rsidR="00066FB7" w:rsidRDefault="00066FB7" w:rsidP="00014FA5">
      <w:pPr>
        <w:pStyle w:val="SourceNotesText"/>
        <w:spacing w:after="60" w:line="240" w:lineRule="auto"/>
      </w:pPr>
      <w:r w:rsidRPr="00014FA5">
        <w:rPr>
          <w:rStyle w:val="FootnoteReference"/>
          <w:rFonts w:asciiTheme="majorHAnsi" w:hAnsiTheme="majorHAnsi" w:cstheme="majorHAnsi"/>
          <w:sz w:val="14"/>
          <w:szCs w:val="14"/>
        </w:rPr>
        <w:footnoteRef/>
      </w:r>
      <w:r w:rsidRPr="00014FA5">
        <w:rPr>
          <w:rFonts w:asciiTheme="majorHAnsi" w:hAnsiTheme="majorHAnsi" w:cstheme="majorHAnsi"/>
          <w:sz w:val="14"/>
          <w:szCs w:val="14"/>
        </w:rPr>
        <w:t xml:space="preserve">   In this context: the probability that an estimate falls within the margin of error of the true mean.</w:t>
      </w:r>
    </w:p>
  </w:footnote>
  <w:footnote w:id="14">
    <w:p w14:paraId="2EA4E377" w14:textId="6C68EF29" w:rsidR="00066FB7" w:rsidRPr="00014FA5" w:rsidRDefault="00066FB7" w:rsidP="00014FA5">
      <w:pPr>
        <w:pStyle w:val="SourceNotesText"/>
        <w:spacing w:after="0" w:line="240" w:lineRule="auto"/>
        <w:rPr>
          <w:rFonts w:asciiTheme="majorHAnsi" w:hAnsiTheme="majorHAnsi" w:cstheme="majorHAnsi"/>
          <w:sz w:val="14"/>
          <w:szCs w:val="14"/>
        </w:rPr>
      </w:pPr>
      <w:r w:rsidRPr="00014FA5">
        <w:rPr>
          <w:rStyle w:val="FootnoteReference"/>
          <w:rFonts w:asciiTheme="majorHAnsi" w:hAnsiTheme="majorHAnsi" w:cstheme="majorHAnsi"/>
          <w:sz w:val="14"/>
          <w:szCs w:val="14"/>
        </w:rPr>
        <w:footnoteRef/>
      </w:r>
      <w:r w:rsidRPr="00014FA5">
        <w:rPr>
          <w:rFonts w:asciiTheme="majorHAnsi" w:hAnsiTheme="majorHAnsi" w:cstheme="majorHAnsi"/>
          <w:sz w:val="14"/>
          <w:szCs w:val="14"/>
        </w:rPr>
        <w:t xml:space="preserve"> Defined as 95 percent confidence level and 4.0 percent acceptable margin of error for the overall average cost. The 95 percent confidence level and 4.0 percent margin of error parameters were informed by considering participation levels in historic publications that were considered acceptable for publication.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6277" w14:textId="273E9B77" w:rsidR="00066FB7" w:rsidRDefault="00066FB7" w:rsidP="000954D0">
    <w:pPr>
      <w:pStyle w:val="Footer"/>
      <w:tabs>
        <w:tab w:val="clear" w:pos="9639"/>
        <w:tab w:val="clear" w:pos="10319"/>
        <w:tab w:val="left" w:pos="9165"/>
        <w:tab w:val="right" w:pos="14317"/>
      </w:tabs>
      <w:rPr>
        <w:noProof/>
      </w:rPr>
    </w:pPr>
    <w:r w:rsidRPr="00AD36EE">
      <w:rPr>
        <w:noProof/>
        <w:color w:val="FFFFFF" w:themeColor="background1"/>
        <w:sz w:val="14"/>
      </w:rPr>
      <w:drawing>
        <wp:anchor distT="0" distB="0" distL="114300" distR="114300" simplePos="0" relativeHeight="251652608" behindDoc="1" locked="0" layoutInCell="0" allowOverlap="1" wp14:anchorId="79D9F67B" wp14:editId="7178D5AA">
          <wp:simplePos x="0" y="0"/>
          <wp:positionH relativeFrom="page">
            <wp:align>left</wp:align>
          </wp:positionH>
          <wp:positionV relativeFrom="page">
            <wp:align>top</wp:align>
          </wp:positionV>
          <wp:extent cx="6080400" cy="1011600"/>
          <wp:effectExtent l="0" t="0" r="0" b="0"/>
          <wp:wrapNone/>
          <wp:docPr id="1" name="Picture 1" descr="List of abbreviations&#10;" title="List of abbrev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14"/>
      </w:rPr>
      <w:t>National Hospital Cost Data Collection: Private Hospital Report – Round 21</w:t>
    </w:r>
    <w:r>
      <w:rPr>
        <w:color w:val="FFFFFF" w:themeColor="background1"/>
        <w:sz w:val="14"/>
      </w:rPr>
      <w:tab/>
    </w:r>
    <w:r>
      <w:rPr>
        <w:color w:val="FFFFFF" w:themeColor="background1"/>
        <w:sz w:val="14"/>
      </w:rPr>
      <w:tab/>
    </w:r>
  </w:p>
  <w:p w14:paraId="30CD2C13" w14:textId="4D28522F" w:rsidR="00066FB7" w:rsidRPr="00AD36EE" w:rsidRDefault="00066FB7" w:rsidP="009C4441">
    <w:pPr>
      <w:pStyle w:val="Header"/>
      <w:tabs>
        <w:tab w:val="left" w:pos="385"/>
      </w:tabs>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DC47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60E0D"/>
    <w:multiLevelType w:val="hybridMultilevel"/>
    <w:tmpl w:val="9BEAD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5939DD"/>
    <w:multiLevelType w:val="hybridMultilevel"/>
    <w:tmpl w:val="2E1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86541"/>
    <w:multiLevelType w:val="multilevel"/>
    <w:tmpl w:val="572824AC"/>
    <w:lvl w:ilvl="0">
      <w:start w:val="1"/>
      <w:numFmt w:val="decimal"/>
      <w:pStyle w:val="ListNumber"/>
      <w:lvlText w:val="%1"/>
      <w:lvlJc w:val="left"/>
      <w:pPr>
        <w:tabs>
          <w:tab w:val="num" w:pos="567"/>
        </w:tabs>
        <w:ind w:left="567" w:hanging="567"/>
      </w:pPr>
    </w:lvl>
    <w:lvl w:ilvl="1">
      <w:start w:val="1"/>
      <w:numFmt w:val="lowerLetter"/>
      <w:pStyle w:val="ListNumber2"/>
      <w:lvlText w:val="%2"/>
      <w:lvlJc w:val="left"/>
      <w:pPr>
        <w:tabs>
          <w:tab w:val="num" w:pos="1134"/>
        </w:tabs>
        <w:ind w:left="1134" w:hanging="567"/>
      </w:pPr>
    </w:lvl>
    <w:lvl w:ilvl="2">
      <w:start w:val="1"/>
      <w:numFmt w:val="lowerRoman"/>
      <w:pStyle w:val="ListNumber3"/>
      <w:lvlText w:val="%3"/>
      <w:lvlJc w:val="left"/>
      <w:pPr>
        <w:tabs>
          <w:tab w:val="num" w:pos="1701"/>
        </w:tabs>
        <w:ind w:left="1701" w:hanging="567"/>
      </w:pPr>
    </w:lvl>
    <w:lvl w:ilvl="3">
      <w:start w:val="1"/>
      <w:numFmt w:val="decimal"/>
      <w:pStyle w:val="ListNumber4"/>
      <w:lvlText w:val="%4"/>
      <w:lvlJc w:val="left"/>
      <w:pPr>
        <w:tabs>
          <w:tab w:val="num" w:pos="2268"/>
        </w:tabs>
        <w:ind w:left="2268" w:hanging="567"/>
      </w:pPr>
    </w:lvl>
    <w:lvl w:ilvl="4">
      <w:start w:val="1"/>
      <w:numFmt w:val="lowerLetter"/>
      <w:pStyle w:val="ListNumber5"/>
      <w:lvlText w:val="%5"/>
      <w:lvlJc w:val="left"/>
      <w:pPr>
        <w:tabs>
          <w:tab w:val="num" w:pos="2835"/>
        </w:tabs>
        <w:ind w:left="2835"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34502EEF"/>
    <w:multiLevelType w:val="hybridMultilevel"/>
    <w:tmpl w:val="7F5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624CF"/>
    <w:multiLevelType w:val="multilevel"/>
    <w:tmpl w:val="CEE483D8"/>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sz w:val="64"/>
        <w:szCs w:val="6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rFonts w:asciiTheme="majorHAnsi" w:hAnsiTheme="majorHAnsi" w:cstheme="majorHAnsi" w:hint="default"/>
        <w:b/>
        <w:color w:val="004200" w:themeColor="accent1"/>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2144"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C5B30CC"/>
    <w:multiLevelType w:val="hybridMultilevel"/>
    <w:tmpl w:val="8F5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A17CB"/>
    <w:multiLevelType w:val="hybridMultilevel"/>
    <w:tmpl w:val="F3186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CB699F"/>
    <w:multiLevelType w:val="hybridMultilevel"/>
    <w:tmpl w:val="0B34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DC76B7F"/>
    <w:multiLevelType w:val="multilevel"/>
    <w:tmpl w:val="5AE694A2"/>
    <w:lvl w:ilvl="0">
      <w:start w:val="1"/>
      <w:numFmt w:val="decimal"/>
      <w:lvlText w:val="%1."/>
      <w:lvlJc w:val="left"/>
      <w:pPr>
        <w:tabs>
          <w:tab w:val="num" w:pos="851"/>
        </w:tabs>
        <w:ind w:left="851" w:hanging="851"/>
      </w:pPr>
    </w:lvl>
    <w:lvl w:ilvl="1">
      <w:start w:val="1"/>
      <w:numFmt w:val="decimal"/>
      <w:lvlText w:val="%1.%2"/>
      <w:lvlJc w:val="left"/>
      <w:pPr>
        <w:tabs>
          <w:tab w:val="num" w:pos="851"/>
        </w:tabs>
        <w:ind w:left="850" w:hanging="850"/>
      </w:pPr>
    </w:lvl>
    <w:lvl w:ilvl="2">
      <w:start w:val="1"/>
      <w:numFmt w:val="none"/>
      <w:suff w:val="nothing"/>
      <w:lvlText w:val=""/>
      <w:lvlJc w:val="left"/>
      <w:pPr>
        <w:ind w:left="0" w:firstLine="0"/>
      </w:pPr>
    </w:lvl>
    <w:lvl w:ilvl="3">
      <w:start w:val="1"/>
      <w:numFmt w:val="upperLetter"/>
      <w:lvlRestart w:val="0"/>
      <w:lvlText w:val="Appendix %4"/>
      <w:lvlJc w:val="left"/>
      <w:pPr>
        <w:tabs>
          <w:tab w:val="num" w:pos="10208"/>
        </w:tabs>
        <w:ind w:left="6522" w:firstLine="0"/>
      </w:pPr>
    </w:lvl>
    <w:lvl w:ilvl="4">
      <w:start w:val="1"/>
      <w:numFmt w:val="upperLetter"/>
      <w:lvlRestart w:val="0"/>
      <w:lvlText w:val="Appendix %5"/>
      <w:lvlJc w:val="left"/>
      <w:pPr>
        <w:tabs>
          <w:tab w:val="num" w:pos="3968"/>
        </w:tabs>
        <w:ind w:left="283" w:firstLine="0"/>
      </w:pPr>
    </w:lvl>
    <w:lvl w:ilvl="5">
      <w:start w:val="1"/>
      <w:numFmt w:val="upperLetter"/>
      <w:lvlRestart w:val="0"/>
      <w:pStyle w:val="AppendixNumberLong"/>
      <w:suff w:val="nothing"/>
      <w:lvlText w:val="Appendix %6"/>
      <w:lvlJc w:val="left"/>
      <w:pPr>
        <w:ind w:left="0" w:firstLine="0"/>
      </w:pPr>
    </w:lvl>
    <w:lvl w:ilvl="6">
      <w:start w:val="1"/>
      <w:numFmt w:val="decimal"/>
      <w:lvlText w:val="%7"/>
      <w:lvlJc w:val="left"/>
      <w:pPr>
        <w:tabs>
          <w:tab w:val="num" w:pos="567"/>
        </w:tabs>
        <w:ind w:left="567" w:hanging="567"/>
      </w:pPr>
      <w:rPr>
        <w:b/>
        <w:i/>
      </w:rPr>
    </w:lvl>
    <w:lvl w:ilvl="7">
      <w:start w:val="1"/>
      <w:numFmt w:val="decimal"/>
      <w:pStyle w:val="ChapterNumberedList1"/>
      <w:lvlText w:val="%8"/>
      <w:lvlJc w:val="left"/>
      <w:pPr>
        <w:tabs>
          <w:tab w:val="num" w:pos="567"/>
        </w:tabs>
        <w:ind w:left="567" w:hanging="567"/>
      </w:pPr>
      <w:rPr>
        <w:b w:val="0"/>
        <w:i w:val="0"/>
        <w:color w:val="auto"/>
      </w:rPr>
    </w:lvl>
    <w:lvl w:ilvl="8">
      <w:start w:val="1"/>
      <w:numFmt w:val="lowerLetter"/>
      <w:pStyle w:val="ChapterNumberedList2"/>
      <w:lvlText w:val="%9"/>
      <w:lvlJc w:val="left"/>
      <w:pPr>
        <w:tabs>
          <w:tab w:val="num" w:pos="1134"/>
        </w:tabs>
        <w:ind w:left="1134" w:hanging="567"/>
      </w:pPr>
      <w:rPr>
        <w:b w:val="0"/>
        <w:i w:val="0"/>
        <w:color w:val="auto"/>
      </w:rPr>
    </w:lvl>
  </w:abstractNum>
  <w:abstractNum w:abstractNumId="12">
    <w:nsid w:val="5E2753C7"/>
    <w:multiLevelType w:val="hybridMultilevel"/>
    <w:tmpl w:val="97AE81EA"/>
    <w:lvl w:ilvl="0" w:tplc="0C090019">
      <w:start w:val="1"/>
      <w:numFmt w:val="lowerLetter"/>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nsid w:val="614E2CEE"/>
    <w:multiLevelType w:val="hybridMultilevel"/>
    <w:tmpl w:val="D2EAF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63917BB9"/>
    <w:multiLevelType w:val="multilevel"/>
    <w:tmpl w:val="D0445D84"/>
    <w:lvl w:ilvl="0">
      <w:start w:val="1"/>
      <w:numFmt w:val="bullet"/>
      <w:pStyle w:val="PwCNormal"/>
      <w:lvlText w:val=""/>
      <w:lvlJc w:val="left"/>
      <w:pPr>
        <w:ind w:left="0" w:firstLine="0"/>
      </w:pPr>
      <w:rPr>
        <w:rFonts w:ascii="Symbol" w:hAnsi="Symbol" w:hint="default"/>
        <w:color w:val="auto"/>
      </w:rPr>
    </w:lvl>
    <w:lvl w:ilvl="1">
      <w:start w:val="1"/>
      <w:numFmt w:val="none"/>
      <w:pStyle w:val="Indent1"/>
      <w:suff w:val="nothing"/>
      <w:lvlText w:val=""/>
      <w:lvlJc w:val="left"/>
      <w:pPr>
        <w:ind w:left="567" w:firstLine="0"/>
      </w:pPr>
    </w:lvl>
    <w:lvl w:ilvl="2">
      <w:start w:val="1"/>
      <w:numFmt w:val="none"/>
      <w:pStyle w:val="Indent2"/>
      <w:suff w:val="nothing"/>
      <w:lvlText w:val=""/>
      <w:lvlJc w:val="left"/>
      <w:pPr>
        <w:ind w:left="1134" w:firstLine="0"/>
      </w:pPr>
    </w:lvl>
    <w:lvl w:ilvl="3">
      <w:start w:val="1"/>
      <w:numFmt w:val="none"/>
      <w:pStyle w:val="Indent3"/>
      <w:suff w:val="nothing"/>
      <w:lvlText w:val=""/>
      <w:lvlJc w:val="left"/>
      <w:pPr>
        <w:ind w:left="1701" w:firstLine="0"/>
      </w:pPr>
    </w:lvl>
    <w:lvl w:ilvl="4">
      <w:start w:val="1"/>
      <w:numFmt w:val="none"/>
      <w:pStyle w:val="Indent4"/>
      <w:suff w:val="nothing"/>
      <w:lvlText w:val=""/>
      <w:lvlJc w:val="left"/>
      <w:pPr>
        <w:ind w:left="2268" w:firstLine="0"/>
      </w:pPr>
    </w:lvl>
    <w:lvl w:ilvl="5">
      <w:start w:val="1"/>
      <w:numFmt w:val="none"/>
      <w:pStyle w:val="Indent5"/>
      <w:suff w:val="nothing"/>
      <w:lvlText w:val=""/>
      <w:lvlJc w:val="left"/>
      <w:pPr>
        <w:ind w:left="2835" w:firstLine="0"/>
      </w:pPr>
    </w:lvl>
    <w:lvl w:ilvl="6">
      <w:start w:val="1"/>
      <w:numFmt w:val="none"/>
      <w:pStyle w:val="Indent6"/>
      <w:suff w:val="nothing"/>
      <w:lvlText w:val=""/>
      <w:lvlJc w:val="left"/>
      <w:pPr>
        <w:ind w:left="3402" w:firstLine="0"/>
      </w:pPr>
    </w:lvl>
    <w:lvl w:ilvl="7">
      <w:start w:val="1"/>
      <w:numFmt w:val="none"/>
      <w:pStyle w:val="Indent7"/>
      <w:suff w:val="nothing"/>
      <w:lvlText w:val=""/>
      <w:lvlJc w:val="left"/>
      <w:pPr>
        <w:ind w:left="3969" w:firstLine="0"/>
      </w:pPr>
    </w:lvl>
    <w:lvl w:ilvl="8">
      <w:start w:val="1"/>
      <w:numFmt w:val="none"/>
      <w:pStyle w:val="Indent8"/>
      <w:suff w:val="nothing"/>
      <w:lvlText w:val=""/>
      <w:lvlJc w:val="left"/>
      <w:pPr>
        <w:ind w:left="4536" w:firstLine="0"/>
      </w:pPr>
    </w:lvl>
  </w:abstractNum>
  <w:abstractNum w:abstractNumId="15">
    <w:nsid w:val="72836DF6"/>
    <w:multiLevelType w:val="hybridMultilevel"/>
    <w:tmpl w:val="0B34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2"/>
  </w:num>
  <w:num w:numId="10">
    <w:abstractNumId w:val="8"/>
  </w:num>
  <w:num w:numId="11">
    <w:abstractNumId w:val="4"/>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AE"/>
    <w:rsid w:val="00005251"/>
    <w:rsid w:val="00005785"/>
    <w:rsid w:val="00005BE4"/>
    <w:rsid w:val="00006876"/>
    <w:rsid w:val="000079AD"/>
    <w:rsid w:val="00007D1F"/>
    <w:rsid w:val="00010D84"/>
    <w:rsid w:val="00010F15"/>
    <w:rsid w:val="00011CE3"/>
    <w:rsid w:val="000133B0"/>
    <w:rsid w:val="000147A6"/>
    <w:rsid w:val="00014FA5"/>
    <w:rsid w:val="0001519D"/>
    <w:rsid w:val="000159DD"/>
    <w:rsid w:val="00020AD3"/>
    <w:rsid w:val="00021A06"/>
    <w:rsid w:val="00021DDE"/>
    <w:rsid w:val="00022E9C"/>
    <w:rsid w:val="00024EF0"/>
    <w:rsid w:val="00025631"/>
    <w:rsid w:val="00027B26"/>
    <w:rsid w:val="00030705"/>
    <w:rsid w:val="00031ECD"/>
    <w:rsid w:val="00032861"/>
    <w:rsid w:val="00032B09"/>
    <w:rsid w:val="00032B77"/>
    <w:rsid w:val="0003712B"/>
    <w:rsid w:val="0004130B"/>
    <w:rsid w:val="00042285"/>
    <w:rsid w:val="00043256"/>
    <w:rsid w:val="00045A89"/>
    <w:rsid w:val="00046F8E"/>
    <w:rsid w:val="00047524"/>
    <w:rsid w:val="0005040E"/>
    <w:rsid w:val="0005087D"/>
    <w:rsid w:val="00050DFA"/>
    <w:rsid w:val="00050F9E"/>
    <w:rsid w:val="00051A50"/>
    <w:rsid w:val="000547EF"/>
    <w:rsid w:val="00056004"/>
    <w:rsid w:val="0006075A"/>
    <w:rsid w:val="00061BD0"/>
    <w:rsid w:val="00061C84"/>
    <w:rsid w:val="00062484"/>
    <w:rsid w:val="00063129"/>
    <w:rsid w:val="00064EE9"/>
    <w:rsid w:val="00065022"/>
    <w:rsid w:val="00065A5E"/>
    <w:rsid w:val="00066FB7"/>
    <w:rsid w:val="00070681"/>
    <w:rsid w:val="00074A8B"/>
    <w:rsid w:val="0007594B"/>
    <w:rsid w:val="00080A09"/>
    <w:rsid w:val="00081CEB"/>
    <w:rsid w:val="00082B35"/>
    <w:rsid w:val="00083082"/>
    <w:rsid w:val="00084455"/>
    <w:rsid w:val="00084DF5"/>
    <w:rsid w:val="00087B2C"/>
    <w:rsid w:val="00087DBD"/>
    <w:rsid w:val="0009001E"/>
    <w:rsid w:val="000902F7"/>
    <w:rsid w:val="00090718"/>
    <w:rsid w:val="00091B4E"/>
    <w:rsid w:val="00091CD7"/>
    <w:rsid w:val="00093516"/>
    <w:rsid w:val="00093DD5"/>
    <w:rsid w:val="000940E0"/>
    <w:rsid w:val="000954D0"/>
    <w:rsid w:val="000967B2"/>
    <w:rsid w:val="0009778E"/>
    <w:rsid w:val="000A03DD"/>
    <w:rsid w:val="000A1A09"/>
    <w:rsid w:val="000A425D"/>
    <w:rsid w:val="000A47A8"/>
    <w:rsid w:val="000A609A"/>
    <w:rsid w:val="000A73FB"/>
    <w:rsid w:val="000B218A"/>
    <w:rsid w:val="000B61EC"/>
    <w:rsid w:val="000B6AE8"/>
    <w:rsid w:val="000C014D"/>
    <w:rsid w:val="000C29B4"/>
    <w:rsid w:val="000C3EE1"/>
    <w:rsid w:val="000C4242"/>
    <w:rsid w:val="000C546E"/>
    <w:rsid w:val="000C5CD8"/>
    <w:rsid w:val="000C66AE"/>
    <w:rsid w:val="000C7A69"/>
    <w:rsid w:val="000D0686"/>
    <w:rsid w:val="000D1158"/>
    <w:rsid w:val="000D1232"/>
    <w:rsid w:val="000D4703"/>
    <w:rsid w:val="000D6147"/>
    <w:rsid w:val="000D6D03"/>
    <w:rsid w:val="000D7759"/>
    <w:rsid w:val="000E0252"/>
    <w:rsid w:val="000E10B8"/>
    <w:rsid w:val="000E12D4"/>
    <w:rsid w:val="000E39EF"/>
    <w:rsid w:val="000E57F0"/>
    <w:rsid w:val="000E620E"/>
    <w:rsid w:val="000E674A"/>
    <w:rsid w:val="000F15F4"/>
    <w:rsid w:val="000F2063"/>
    <w:rsid w:val="000F3D28"/>
    <w:rsid w:val="000F4588"/>
    <w:rsid w:val="000F63C4"/>
    <w:rsid w:val="000F65AE"/>
    <w:rsid w:val="000F6DC7"/>
    <w:rsid w:val="000F72D8"/>
    <w:rsid w:val="00100200"/>
    <w:rsid w:val="0010263D"/>
    <w:rsid w:val="00102824"/>
    <w:rsid w:val="00102E52"/>
    <w:rsid w:val="0010300A"/>
    <w:rsid w:val="0010587A"/>
    <w:rsid w:val="00105F5C"/>
    <w:rsid w:val="001070A4"/>
    <w:rsid w:val="001105BD"/>
    <w:rsid w:val="00110745"/>
    <w:rsid w:val="001119EE"/>
    <w:rsid w:val="00112027"/>
    <w:rsid w:val="001131F0"/>
    <w:rsid w:val="001139C7"/>
    <w:rsid w:val="00114EBC"/>
    <w:rsid w:val="001230EC"/>
    <w:rsid w:val="00123DCC"/>
    <w:rsid w:val="0012427E"/>
    <w:rsid w:val="001247E0"/>
    <w:rsid w:val="00124F7E"/>
    <w:rsid w:val="0012512C"/>
    <w:rsid w:val="00126750"/>
    <w:rsid w:val="001271A1"/>
    <w:rsid w:val="00127539"/>
    <w:rsid w:val="0012767B"/>
    <w:rsid w:val="00131C0F"/>
    <w:rsid w:val="001325BF"/>
    <w:rsid w:val="00132DD1"/>
    <w:rsid w:val="00132F0D"/>
    <w:rsid w:val="00133713"/>
    <w:rsid w:val="001348AC"/>
    <w:rsid w:val="00135776"/>
    <w:rsid w:val="00135B7E"/>
    <w:rsid w:val="00136FEE"/>
    <w:rsid w:val="00140FC9"/>
    <w:rsid w:val="001413C5"/>
    <w:rsid w:val="0014231B"/>
    <w:rsid w:val="00142956"/>
    <w:rsid w:val="00142D10"/>
    <w:rsid w:val="00143675"/>
    <w:rsid w:val="00144868"/>
    <w:rsid w:val="00144CA5"/>
    <w:rsid w:val="001452BC"/>
    <w:rsid w:val="00150D2A"/>
    <w:rsid w:val="00150E25"/>
    <w:rsid w:val="00150EA9"/>
    <w:rsid w:val="00151650"/>
    <w:rsid w:val="00153087"/>
    <w:rsid w:val="00155707"/>
    <w:rsid w:val="00155B98"/>
    <w:rsid w:val="00157001"/>
    <w:rsid w:val="00157709"/>
    <w:rsid w:val="00160E91"/>
    <w:rsid w:val="00161056"/>
    <w:rsid w:val="00162614"/>
    <w:rsid w:val="00162AE0"/>
    <w:rsid w:val="00164B39"/>
    <w:rsid w:val="00165626"/>
    <w:rsid w:val="00167CF4"/>
    <w:rsid w:val="0017147C"/>
    <w:rsid w:val="0017194E"/>
    <w:rsid w:val="001720A8"/>
    <w:rsid w:val="0017249B"/>
    <w:rsid w:val="001745D1"/>
    <w:rsid w:val="001777E0"/>
    <w:rsid w:val="00177EC4"/>
    <w:rsid w:val="00181533"/>
    <w:rsid w:val="001824C8"/>
    <w:rsid w:val="00182698"/>
    <w:rsid w:val="00182B0B"/>
    <w:rsid w:val="00182B63"/>
    <w:rsid w:val="00183262"/>
    <w:rsid w:val="001864FD"/>
    <w:rsid w:val="0019139F"/>
    <w:rsid w:val="00191507"/>
    <w:rsid w:val="001943DD"/>
    <w:rsid w:val="00196278"/>
    <w:rsid w:val="00196BAC"/>
    <w:rsid w:val="00196D29"/>
    <w:rsid w:val="001A05B1"/>
    <w:rsid w:val="001A08AC"/>
    <w:rsid w:val="001A13F6"/>
    <w:rsid w:val="001A18E0"/>
    <w:rsid w:val="001A1AF5"/>
    <w:rsid w:val="001A21FD"/>
    <w:rsid w:val="001A2D6E"/>
    <w:rsid w:val="001A2D78"/>
    <w:rsid w:val="001A3CAF"/>
    <w:rsid w:val="001A7249"/>
    <w:rsid w:val="001A7A92"/>
    <w:rsid w:val="001B0978"/>
    <w:rsid w:val="001B1824"/>
    <w:rsid w:val="001B385A"/>
    <w:rsid w:val="001B3904"/>
    <w:rsid w:val="001B3AEC"/>
    <w:rsid w:val="001B3E8D"/>
    <w:rsid w:val="001B5259"/>
    <w:rsid w:val="001B60D4"/>
    <w:rsid w:val="001B6F28"/>
    <w:rsid w:val="001C198D"/>
    <w:rsid w:val="001C20B4"/>
    <w:rsid w:val="001C4F4F"/>
    <w:rsid w:val="001C5CC3"/>
    <w:rsid w:val="001C6BA1"/>
    <w:rsid w:val="001D141C"/>
    <w:rsid w:val="001D2540"/>
    <w:rsid w:val="001D2904"/>
    <w:rsid w:val="001D3046"/>
    <w:rsid w:val="001D6402"/>
    <w:rsid w:val="001D652D"/>
    <w:rsid w:val="001D693F"/>
    <w:rsid w:val="001D6F9E"/>
    <w:rsid w:val="001E1929"/>
    <w:rsid w:val="001E38FB"/>
    <w:rsid w:val="001E4166"/>
    <w:rsid w:val="001E4B22"/>
    <w:rsid w:val="001E52C2"/>
    <w:rsid w:val="001E54F4"/>
    <w:rsid w:val="001F0BE1"/>
    <w:rsid w:val="001F101A"/>
    <w:rsid w:val="001F24EF"/>
    <w:rsid w:val="001F56C7"/>
    <w:rsid w:val="001F5D0E"/>
    <w:rsid w:val="001F62E5"/>
    <w:rsid w:val="001F72E2"/>
    <w:rsid w:val="001F788D"/>
    <w:rsid w:val="0020158B"/>
    <w:rsid w:val="00202113"/>
    <w:rsid w:val="00202CAA"/>
    <w:rsid w:val="00203039"/>
    <w:rsid w:val="00204B17"/>
    <w:rsid w:val="00205F82"/>
    <w:rsid w:val="002069D2"/>
    <w:rsid w:val="002100F0"/>
    <w:rsid w:val="0021069C"/>
    <w:rsid w:val="00210A35"/>
    <w:rsid w:val="00211DA2"/>
    <w:rsid w:val="00213693"/>
    <w:rsid w:val="00215CCB"/>
    <w:rsid w:val="00216CF5"/>
    <w:rsid w:val="0022037B"/>
    <w:rsid w:val="00221CDC"/>
    <w:rsid w:val="00222C8D"/>
    <w:rsid w:val="00224371"/>
    <w:rsid w:val="002256A8"/>
    <w:rsid w:val="002261E9"/>
    <w:rsid w:val="0022779A"/>
    <w:rsid w:val="002306B7"/>
    <w:rsid w:val="00230E6B"/>
    <w:rsid w:val="002315CF"/>
    <w:rsid w:val="00231641"/>
    <w:rsid w:val="0023222F"/>
    <w:rsid w:val="00232B97"/>
    <w:rsid w:val="00233B23"/>
    <w:rsid w:val="0023523A"/>
    <w:rsid w:val="00235DEA"/>
    <w:rsid w:val="00236EF2"/>
    <w:rsid w:val="0023757C"/>
    <w:rsid w:val="00237C47"/>
    <w:rsid w:val="002402E4"/>
    <w:rsid w:val="00240CEB"/>
    <w:rsid w:val="00241188"/>
    <w:rsid w:val="002421A0"/>
    <w:rsid w:val="00242B98"/>
    <w:rsid w:val="002445A1"/>
    <w:rsid w:val="00244C9E"/>
    <w:rsid w:val="00246FE6"/>
    <w:rsid w:val="002470E3"/>
    <w:rsid w:val="0024785F"/>
    <w:rsid w:val="00247882"/>
    <w:rsid w:val="00250796"/>
    <w:rsid w:val="002507BE"/>
    <w:rsid w:val="0025207D"/>
    <w:rsid w:val="00252565"/>
    <w:rsid w:val="00254DE9"/>
    <w:rsid w:val="0025543B"/>
    <w:rsid w:val="002615D3"/>
    <w:rsid w:val="002622B4"/>
    <w:rsid w:val="002647B1"/>
    <w:rsid w:val="00265032"/>
    <w:rsid w:val="002668F1"/>
    <w:rsid w:val="002672F1"/>
    <w:rsid w:val="00271414"/>
    <w:rsid w:val="00271922"/>
    <w:rsid w:val="00272A9E"/>
    <w:rsid w:val="00273412"/>
    <w:rsid w:val="0027373F"/>
    <w:rsid w:val="00274ACF"/>
    <w:rsid w:val="0028159B"/>
    <w:rsid w:val="00281672"/>
    <w:rsid w:val="00282671"/>
    <w:rsid w:val="00282861"/>
    <w:rsid w:val="002843E2"/>
    <w:rsid w:val="0028492A"/>
    <w:rsid w:val="00287BAA"/>
    <w:rsid w:val="00290A7D"/>
    <w:rsid w:val="0029244B"/>
    <w:rsid w:val="00293489"/>
    <w:rsid w:val="002948E7"/>
    <w:rsid w:val="00296E3C"/>
    <w:rsid w:val="00296F5E"/>
    <w:rsid w:val="00297B87"/>
    <w:rsid w:val="00297CEB"/>
    <w:rsid w:val="002A1FEE"/>
    <w:rsid w:val="002A30F0"/>
    <w:rsid w:val="002A4C1B"/>
    <w:rsid w:val="002A5193"/>
    <w:rsid w:val="002A6CCC"/>
    <w:rsid w:val="002A6DF5"/>
    <w:rsid w:val="002B4B8D"/>
    <w:rsid w:val="002B6406"/>
    <w:rsid w:val="002B6809"/>
    <w:rsid w:val="002C0A9D"/>
    <w:rsid w:val="002C1FF8"/>
    <w:rsid w:val="002C2096"/>
    <w:rsid w:val="002C4231"/>
    <w:rsid w:val="002C440C"/>
    <w:rsid w:val="002C4465"/>
    <w:rsid w:val="002C5144"/>
    <w:rsid w:val="002C7080"/>
    <w:rsid w:val="002D00B0"/>
    <w:rsid w:val="002D2364"/>
    <w:rsid w:val="002D278B"/>
    <w:rsid w:val="002D2E16"/>
    <w:rsid w:val="002D3040"/>
    <w:rsid w:val="002D6B6A"/>
    <w:rsid w:val="002E45F0"/>
    <w:rsid w:val="002E7778"/>
    <w:rsid w:val="002F03D5"/>
    <w:rsid w:val="002F6DAB"/>
    <w:rsid w:val="003025F5"/>
    <w:rsid w:val="00302DDA"/>
    <w:rsid w:val="0030300D"/>
    <w:rsid w:val="00304B3E"/>
    <w:rsid w:val="00304D97"/>
    <w:rsid w:val="003117A7"/>
    <w:rsid w:val="0031180A"/>
    <w:rsid w:val="00313127"/>
    <w:rsid w:val="00313304"/>
    <w:rsid w:val="0031336E"/>
    <w:rsid w:val="003145B1"/>
    <w:rsid w:val="003155F4"/>
    <w:rsid w:val="00315682"/>
    <w:rsid w:val="00317D28"/>
    <w:rsid w:val="00320309"/>
    <w:rsid w:val="00321D1E"/>
    <w:rsid w:val="0032225B"/>
    <w:rsid w:val="003246F9"/>
    <w:rsid w:val="0032530E"/>
    <w:rsid w:val="00325A61"/>
    <w:rsid w:val="00326976"/>
    <w:rsid w:val="00330383"/>
    <w:rsid w:val="003311D7"/>
    <w:rsid w:val="00332B8B"/>
    <w:rsid w:val="0033521E"/>
    <w:rsid w:val="00336584"/>
    <w:rsid w:val="00337CA2"/>
    <w:rsid w:val="003404A4"/>
    <w:rsid w:val="00340C71"/>
    <w:rsid w:val="00345176"/>
    <w:rsid w:val="00345D43"/>
    <w:rsid w:val="00347104"/>
    <w:rsid w:val="00350852"/>
    <w:rsid w:val="0035096E"/>
    <w:rsid w:val="00350F79"/>
    <w:rsid w:val="00351C9A"/>
    <w:rsid w:val="0035218F"/>
    <w:rsid w:val="0035219F"/>
    <w:rsid w:val="00352398"/>
    <w:rsid w:val="00355D01"/>
    <w:rsid w:val="00355E24"/>
    <w:rsid w:val="00356C24"/>
    <w:rsid w:val="00360B81"/>
    <w:rsid w:val="00362478"/>
    <w:rsid w:val="00364874"/>
    <w:rsid w:val="00366283"/>
    <w:rsid w:val="0036708F"/>
    <w:rsid w:val="0036777E"/>
    <w:rsid w:val="003701FA"/>
    <w:rsid w:val="00370DDB"/>
    <w:rsid w:val="00371024"/>
    <w:rsid w:val="00372A26"/>
    <w:rsid w:val="0037484C"/>
    <w:rsid w:val="003749CD"/>
    <w:rsid w:val="00374A6C"/>
    <w:rsid w:val="0038009C"/>
    <w:rsid w:val="003822A8"/>
    <w:rsid w:val="00382718"/>
    <w:rsid w:val="00382B3B"/>
    <w:rsid w:val="00384647"/>
    <w:rsid w:val="00384C17"/>
    <w:rsid w:val="003851AE"/>
    <w:rsid w:val="00385317"/>
    <w:rsid w:val="00385ED2"/>
    <w:rsid w:val="00387025"/>
    <w:rsid w:val="00387329"/>
    <w:rsid w:val="00391892"/>
    <w:rsid w:val="00391F86"/>
    <w:rsid w:val="003923FB"/>
    <w:rsid w:val="003924D9"/>
    <w:rsid w:val="003932C7"/>
    <w:rsid w:val="00393F00"/>
    <w:rsid w:val="003945C0"/>
    <w:rsid w:val="003956FC"/>
    <w:rsid w:val="003978DC"/>
    <w:rsid w:val="003A0FEF"/>
    <w:rsid w:val="003A166C"/>
    <w:rsid w:val="003A25A7"/>
    <w:rsid w:val="003A6F38"/>
    <w:rsid w:val="003A705D"/>
    <w:rsid w:val="003B0187"/>
    <w:rsid w:val="003B465D"/>
    <w:rsid w:val="003B535C"/>
    <w:rsid w:val="003B620F"/>
    <w:rsid w:val="003C059B"/>
    <w:rsid w:val="003C2120"/>
    <w:rsid w:val="003C54B6"/>
    <w:rsid w:val="003D030E"/>
    <w:rsid w:val="003D040D"/>
    <w:rsid w:val="003D04F6"/>
    <w:rsid w:val="003D0713"/>
    <w:rsid w:val="003D1557"/>
    <w:rsid w:val="003D1F49"/>
    <w:rsid w:val="003D2061"/>
    <w:rsid w:val="003D29E9"/>
    <w:rsid w:val="003D3254"/>
    <w:rsid w:val="003D3E16"/>
    <w:rsid w:val="003D40CA"/>
    <w:rsid w:val="003D50D2"/>
    <w:rsid w:val="003D7C5F"/>
    <w:rsid w:val="003D7E16"/>
    <w:rsid w:val="003E0D81"/>
    <w:rsid w:val="003E1FE3"/>
    <w:rsid w:val="003E32A7"/>
    <w:rsid w:val="003E5409"/>
    <w:rsid w:val="003F071C"/>
    <w:rsid w:val="003F1A33"/>
    <w:rsid w:val="003F2402"/>
    <w:rsid w:val="003F3072"/>
    <w:rsid w:val="003F3653"/>
    <w:rsid w:val="003F57B4"/>
    <w:rsid w:val="003F7E4B"/>
    <w:rsid w:val="00401766"/>
    <w:rsid w:val="004024E4"/>
    <w:rsid w:val="00406289"/>
    <w:rsid w:val="004063C7"/>
    <w:rsid w:val="00406578"/>
    <w:rsid w:val="004074EF"/>
    <w:rsid w:val="004102C3"/>
    <w:rsid w:val="0041307C"/>
    <w:rsid w:val="00413699"/>
    <w:rsid w:val="0041509D"/>
    <w:rsid w:val="004153F0"/>
    <w:rsid w:val="0041577A"/>
    <w:rsid w:val="00415AAE"/>
    <w:rsid w:val="00415E27"/>
    <w:rsid w:val="004167B4"/>
    <w:rsid w:val="004167BC"/>
    <w:rsid w:val="0042032D"/>
    <w:rsid w:val="004225DC"/>
    <w:rsid w:val="00423A41"/>
    <w:rsid w:val="00423BB2"/>
    <w:rsid w:val="00424F25"/>
    <w:rsid w:val="00425FBA"/>
    <w:rsid w:val="00426D7B"/>
    <w:rsid w:val="00430D7E"/>
    <w:rsid w:val="00432332"/>
    <w:rsid w:val="00432368"/>
    <w:rsid w:val="00433B04"/>
    <w:rsid w:val="00434928"/>
    <w:rsid w:val="0043784D"/>
    <w:rsid w:val="00440256"/>
    <w:rsid w:val="00440AD8"/>
    <w:rsid w:val="00440E22"/>
    <w:rsid w:val="004453DE"/>
    <w:rsid w:val="0044547D"/>
    <w:rsid w:val="00446F93"/>
    <w:rsid w:val="00450CF7"/>
    <w:rsid w:val="00451A74"/>
    <w:rsid w:val="004552AB"/>
    <w:rsid w:val="00455435"/>
    <w:rsid w:val="004557D5"/>
    <w:rsid w:val="0045622C"/>
    <w:rsid w:val="00460980"/>
    <w:rsid w:val="0046362C"/>
    <w:rsid w:val="004647EB"/>
    <w:rsid w:val="00464FB1"/>
    <w:rsid w:val="00467185"/>
    <w:rsid w:val="00467736"/>
    <w:rsid w:val="0047050C"/>
    <w:rsid w:val="004711F3"/>
    <w:rsid w:val="00473875"/>
    <w:rsid w:val="004750DB"/>
    <w:rsid w:val="0047601C"/>
    <w:rsid w:val="00476F62"/>
    <w:rsid w:val="00480F21"/>
    <w:rsid w:val="0048108E"/>
    <w:rsid w:val="0048537F"/>
    <w:rsid w:val="0048617E"/>
    <w:rsid w:val="004874E5"/>
    <w:rsid w:val="00487885"/>
    <w:rsid w:val="00490A65"/>
    <w:rsid w:val="0049116C"/>
    <w:rsid w:val="004930C9"/>
    <w:rsid w:val="004935D4"/>
    <w:rsid w:val="00493F62"/>
    <w:rsid w:val="00494832"/>
    <w:rsid w:val="004957C2"/>
    <w:rsid w:val="00495AF1"/>
    <w:rsid w:val="00497A89"/>
    <w:rsid w:val="004A249A"/>
    <w:rsid w:val="004A4CED"/>
    <w:rsid w:val="004A6563"/>
    <w:rsid w:val="004A6BE6"/>
    <w:rsid w:val="004B0828"/>
    <w:rsid w:val="004B3304"/>
    <w:rsid w:val="004B3DF1"/>
    <w:rsid w:val="004B4BC0"/>
    <w:rsid w:val="004B4BDD"/>
    <w:rsid w:val="004B4E77"/>
    <w:rsid w:val="004B5555"/>
    <w:rsid w:val="004B6B3B"/>
    <w:rsid w:val="004B7238"/>
    <w:rsid w:val="004C0484"/>
    <w:rsid w:val="004C7026"/>
    <w:rsid w:val="004C777E"/>
    <w:rsid w:val="004D16A4"/>
    <w:rsid w:val="004D3497"/>
    <w:rsid w:val="004D379E"/>
    <w:rsid w:val="004E20B0"/>
    <w:rsid w:val="004E6682"/>
    <w:rsid w:val="004E6D8A"/>
    <w:rsid w:val="004E7F49"/>
    <w:rsid w:val="004F15EF"/>
    <w:rsid w:val="004F1D8C"/>
    <w:rsid w:val="004F22FE"/>
    <w:rsid w:val="004F4B8F"/>
    <w:rsid w:val="004F774D"/>
    <w:rsid w:val="004F7ECE"/>
    <w:rsid w:val="00500B1C"/>
    <w:rsid w:val="005013B0"/>
    <w:rsid w:val="005015E4"/>
    <w:rsid w:val="005017A6"/>
    <w:rsid w:val="0050291D"/>
    <w:rsid w:val="00502DAD"/>
    <w:rsid w:val="005064CD"/>
    <w:rsid w:val="005068A3"/>
    <w:rsid w:val="00506C00"/>
    <w:rsid w:val="00511016"/>
    <w:rsid w:val="00512D64"/>
    <w:rsid w:val="005159B3"/>
    <w:rsid w:val="00517529"/>
    <w:rsid w:val="0052015D"/>
    <w:rsid w:val="00521262"/>
    <w:rsid w:val="00522C03"/>
    <w:rsid w:val="00525386"/>
    <w:rsid w:val="00525EA4"/>
    <w:rsid w:val="0052791F"/>
    <w:rsid w:val="005319AA"/>
    <w:rsid w:val="0053227C"/>
    <w:rsid w:val="005323B1"/>
    <w:rsid w:val="00532BC8"/>
    <w:rsid w:val="00532CFF"/>
    <w:rsid w:val="00536768"/>
    <w:rsid w:val="00536880"/>
    <w:rsid w:val="00540AD0"/>
    <w:rsid w:val="00542F05"/>
    <w:rsid w:val="0054376C"/>
    <w:rsid w:val="005437E6"/>
    <w:rsid w:val="00543A76"/>
    <w:rsid w:val="00544B40"/>
    <w:rsid w:val="00545558"/>
    <w:rsid w:val="005474FB"/>
    <w:rsid w:val="005478BD"/>
    <w:rsid w:val="005523D1"/>
    <w:rsid w:val="0055280C"/>
    <w:rsid w:val="00553386"/>
    <w:rsid w:val="00553961"/>
    <w:rsid w:val="00553E45"/>
    <w:rsid w:val="0055532E"/>
    <w:rsid w:val="0055560A"/>
    <w:rsid w:val="00555BC3"/>
    <w:rsid w:val="00557C8E"/>
    <w:rsid w:val="0056155B"/>
    <w:rsid w:val="00561736"/>
    <w:rsid w:val="00561AEE"/>
    <w:rsid w:val="00561B2B"/>
    <w:rsid w:val="00561E73"/>
    <w:rsid w:val="0056235A"/>
    <w:rsid w:val="0056357E"/>
    <w:rsid w:val="00564952"/>
    <w:rsid w:val="005713A6"/>
    <w:rsid w:val="00571AB1"/>
    <w:rsid w:val="00571D9D"/>
    <w:rsid w:val="0057344E"/>
    <w:rsid w:val="00573FF7"/>
    <w:rsid w:val="00576E29"/>
    <w:rsid w:val="00577E1C"/>
    <w:rsid w:val="00580247"/>
    <w:rsid w:val="00580DB1"/>
    <w:rsid w:val="005814AC"/>
    <w:rsid w:val="00581D11"/>
    <w:rsid w:val="0058290D"/>
    <w:rsid w:val="005829E3"/>
    <w:rsid w:val="00584676"/>
    <w:rsid w:val="005854B7"/>
    <w:rsid w:val="00587AB1"/>
    <w:rsid w:val="0059070B"/>
    <w:rsid w:val="0059283C"/>
    <w:rsid w:val="00592C33"/>
    <w:rsid w:val="00592EA4"/>
    <w:rsid w:val="005951B6"/>
    <w:rsid w:val="005A0D95"/>
    <w:rsid w:val="005A224B"/>
    <w:rsid w:val="005A2D60"/>
    <w:rsid w:val="005A391C"/>
    <w:rsid w:val="005A4CA8"/>
    <w:rsid w:val="005A67EB"/>
    <w:rsid w:val="005B1225"/>
    <w:rsid w:val="005B17D8"/>
    <w:rsid w:val="005B1D82"/>
    <w:rsid w:val="005B4077"/>
    <w:rsid w:val="005C22AC"/>
    <w:rsid w:val="005C28B0"/>
    <w:rsid w:val="005C2F01"/>
    <w:rsid w:val="005C5624"/>
    <w:rsid w:val="005C5F3C"/>
    <w:rsid w:val="005C7A49"/>
    <w:rsid w:val="005D00B2"/>
    <w:rsid w:val="005D01BE"/>
    <w:rsid w:val="005D0441"/>
    <w:rsid w:val="005D1177"/>
    <w:rsid w:val="005D1D13"/>
    <w:rsid w:val="005D3E1D"/>
    <w:rsid w:val="005D4162"/>
    <w:rsid w:val="005D4B0E"/>
    <w:rsid w:val="005D5460"/>
    <w:rsid w:val="005D62AC"/>
    <w:rsid w:val="005D7320"/>
    <w:rsid w:val="005D75D1"/>
    <w:rsid w:val="005E0719"/>
    <w:rsid w:val="005E08CD"/>
    <w:rsid w:val="005E37E8"/>
    <w:rsid w:val="005E476F"/>
    <w:rsid w:val="005E74C5"/>
    <w:rsid w:val="005F1BC1"/>
    <w:rsid w:val="005F219D"/>
    <w:rsid w:val="005F2437"/>
    <w:rsid w:val="005F318A"/>
    <w:rsid w:val="005F3A57"/>
    <w:rsid w:val="005F65A2"/>
    <w:rsid w:val="005F6731"/>
    <w:rsid w:val="005F6A0F"/>
    <w:rsid w:val="005F7710"/>
    <w:rsid w:val="005F7730"/>
    <w:rsid w:val="006004F7"/>
    <w:rsid w:val="00600F10"/>
    <w:rsid w:val="00603261"/>
    <w:rsid w:val="006035EC"/>
    <w:rsid w:val="006050C8"/>
    <w:rsid w:val="0060596E"/>
    <w:rsid w:val="00607597"/>
    <w:rsid w:val="00607884"/>
    <w:rsid w:val="00610F93"/>
    <w:rsid w:val="00611FC6"/>
    <w:rsid w:val="006127CC"/>
    <w:rsid w:val="006145E7"/>
    <w:rsid w:val="00615108"/>
    <w:rsid w:val="006200A2"/>
    <w:rsid w:val="006212A3"/>
    <w:rsid w:val="006239E9"/>
    <w:rsid w:val="006243C6"/>
    <w:rsid w:val="00626321"/>
    <w:rsid w:val="006273BC"/>
    <w:rsid w:val="006278AE"/>
    <w:rsid w:val="00632009"/>
    <w:rsid w:val="00633CF1"/>
    <w:rsid w:val="006357F7"/>
    <w:rsid w:val="00635A6C"/>
    <w:rsid w:val="00635C80"/>
    <w:rsid w:val="006365D0"/>
    <w:rsid w:val="00637091"/>
    <w:rsid w:val="006379DE"/>
    <w:rsid w:val="00642839"/>
    <w:rsid w:val="00644299"/>
    <w:rsid w:val="006457F8"/>
    <w:rsid w:val="00645A17"/>
    <w:rsid w:val="00645CCB"/>
    <w:rsid w:val="00646404"/>
    <w:rsid w:val="0064700E"/>
    <w:rsid w:val="006478CB"/>
    <w:rsid w:val="00647ABC"/>
    <w:rsid w:val="00650B88"/>
    <w:rsid w:val="006512A0"/>
    <w:rsid w:val="00651A11"/>
    <w:rsid w:val="00651BAF"/>
    <w:rsid w:val="00652C58"/>
    <w:rsid w:val="006530EF"/>
    <w:rsid w:val="00653C98"/>
    <w:rsid w:val="0065448B"/>
    <w:rsid w:val="006554DD"/>
    <w:rsid w:val="00660951"/>
    <w:rsid w:val="00661542"/>
    <w:rsid w:val="00662867"/>
    <w:rsid w:val="006636E2"/>
    <w:rsid w:val="006654BA"/>
    <w:rsid w:val="00666273"/>
    <w:rsid w:val="00667FA9"/>
    <w:rsid w:val="006706FE"/>
    <w:rsid w:val="0067161C"/>
    <w:rsid w:val="0067233D"/>
    <w:rsid w:val="006723AA"/>
    <w:rsid w:val="00672B2E"/>
    <w:rsid w:val="00673458"/>
    <w:rsid w:val="00673958"/>
    <w:rsid w:val="0067446D"/>
    <w:rsid w:val="006745AE"/>
    <w:rsid w:val="00674A8F"/>
    <w:rsid w:val="00676870"/>
    <w:rsid w:val="00676AF3"/>
    <w:rsid w:val="00677895"/>
    <w:rsid w:val="00677920"/>
    <w:rsid w:val="00677BEF"/>
    <w:rsid w:val="006814A3"/>
    <w:rsid w:val="00682AFC"/>
    <w:rsid w:val="00683054"/>
    <w:rsid w:val="00683344"/>
    <w:rsid w:val="00683C93"/>
    <w:rsid w:val="00684FC9"/>
    <w:rsid w:val="00685F64"/>
    <w:rsid w:val="0068643D"/>
    <w:rsid w:val="006870AF"/>
    <w:rsid w:val="0069072B"/>
    <w:rsid w:val="0069174B"/>
    <w:rsid w:val="006923CA"/>
    <w:rsid w:val="00693340"/>
    <w:rsid w:val="006A04C7"/>
    <w:rsid w:val="006A1D04"/>
    <w:rsid w:val="006A4B05"/>
    <w:rsid w:val="006B05E3"/>
    <w:rsid w:val="006B09BC"/>
    <w:rsid w:val="006B11DB"/>
    <w:rsid w:val="006B1A0A"/>
    <w:rsid w:val="006B3A78"/>
    <w:rsid w:val="006B48D2"/>
    <w:rsid w:val="006B5AB7"/>
    <w:rsid w:val="006B6D14"/>
    <w:rsid w:val="006B6D5D"/>
    <w:rsid w:val="006B79BA"/>
    <w:rsid w:val="006B7B5A"/>
    <w:rsid w:val="006C07CB"/>
    <w:rsid w:val="006C0801"/>
    <w:rsid w:val="006C0C2C"/>
    <w:rsid w:val="006C1EAA"/>
    <w:rsid w:val="006C216F"/>
    <w:rsid w:val="006C45D4"/>
    <w:rsid w:val="006C4E43"/>
    <w:rsid w:val="006D043B"/>
    <w:rsid w:val="006D1A7A"/>
    <w:rsid w:val="006D2042"/>
    <w:rsid w:val="006D4CC5"/>
    <w:rsid w:val="006D66E3"/>
    <w:rsid w:val="006D7855"/>
    <w:rsid w:val="006D7DE6"/>
    <w:rsid w:val="006E010C"/>
    <w:rsid w:val="006E1003"/>
    <w:rsid w:val="006E16BF"/>
    <w:rsid w:val="006E18F0"/>
    <w:rsid w:val="006E38AF"/>
    <w:rsid w:val="006E4F88"/>
    <w:rsid w:val="006E4F93"/>
    <w:rsid w:val="006E570D"/>
    <w:rsid w:val="006F21D0"/>
    <w:rsid w:val="006F26B4"/>
    <w:rsid w:val="006F325D"/>
    <w:rsid w:val="006F4D2E"/>
    <w:rsid w:val="006F4D76"/>
    <w:rsid w:val="006F6E59"/>
    <w:rsid w:val="00700135"/>
    <w:rsid w:val="00705180"/>
    <w:rsid w:val="007075D4"/>
    <w:rsid w:val="00711605"/>
    <w:rsid w:val="00711DF6"/>
    <w:rsid w:val="00713681"/>
    <w:rsid w:val="00713FCD"/>
    <w:rsid w:val="00713FD1"/>
    <w:rsid w:val="00714DFA"/>
    <w:rsid w:val="00716FBC"/>
    <w:rsid w:val="00717090"/>
    <w:rsid w:val="0072053D"/>
    <w:rsid w:val="00720739"/>
    <w:rsid w:val="0072253E"/>
    <w:rsid w:val="007239AF"/>
    <w:rsid w:val="00723E1F"/>
    <w:rsid w:val="0072443D"/>
    <w:rsid w:val="007247E5"/>
    <w:rsid w:val="007248B7"/>
    <w:rsid w:val="007254CA"/>
    <w:rsid w:val="00725E50"/>
    <w:rsid w:val="00730AF7"/>
    <w:rsid w:val="00730CF8"/>
    <w:rsid w:val="00731A90"/>
    <w:rsid w:val="00732608"/>
    <w:rsid w:val="00733251"/>
    <w:rsid w:val="00736DCA"/>
    <w:rsid w:val="00737CF6"/>
    <w:rsid w:val="00740DE5"/>
    <w:rsid w:val="0074173A"/>
    <w:rsid w:val="00745C47"/>
    <w:rsid w:val="00746272"/>
    <w:rsid w:val="007465A2"/>
    <w:rsid w:val="00746D0C"/>
    <w:rsid w:val="0075003D"/>
    <w:rsid w:val="00750696"/>
    <w:rsid w:val="00751104"/>
    <w:rsid w:val="00751830"/>
    <w:rsid w:val="0075183F"/>
    <w:rsid w:val="00751D97"/>
    <w:rsid w:val="00752C55"/>
    <w:rsid w:val="0075439D"/>
    <w:rsid w:val="00754CD9"/>
    <w:rsid w:val="00755D99"/>
    <w:rsid w:val="007562D4"/>
    <w:rsid w:val="007570A0"/>
    <w:rsid w:val="007573FA"/>
    <w:rsid w:val="0075792E"/>
    <w:rsid w:val="00761624"/>
    <w:rsid w:val="00761DBF"/>
    <w:rsid w:val="00761FCF"/>
    <w:rsid w:val="00763C00"/>
    <w:rsid w:val="00764A55"/>
    <w:rsid w:val="00764DBD"/>
    <w:rsid w:val="00765503"/>
    <w:rsid w:val="00767B7E"/>
    <w:rsid w:val="00771D7D"/>
    <w:rsid w:val="007723B7"/>
    <w:rsid w:val="007745B7"/>
    <w:rsid w:val="007750C8"/>
    <w:rsid w:val="00776538"/>
    <w:rsid w:val="007802BE"/>
    <w:rsid w:val="00780EEF"/>
    <w:rsid w:val="0078134C"/>
    <w:rsid w:val="00781C47"/>
    <w:rsid w:val="007837C7"/>
    <w:rsid w:val="00784B44"/>
    <w:rsid w:val="00785465"/>
    <w:rsid w:val="00785FAC"/>
    <w:rsid w:val="00787656"/>
    <w:rsid w:val="00791767"/>
    <w:rsid w:val="0079268A"/>
    <w:rsid w:val="0079456C"/>
    <w:rsid w:val="00794859"/>
    <w:rsid w:val="007951E4"/>
    <w:rsid w:val="00797C88"/>
    <w:rsid w:val="007A05B3"/>
    <w:rsid w:val="007A1013"/>
    <w:rsid w:val="007A3DBB"/>
    <w:rsid w:val="007A4CA9"/>
    <w:rsid w:val="007A7D19"/>
    <w:rsid w:val="007A7EC2"/>
    <w:rsid w:val="007B042D"/>
    <w:rsid w:val="007B05BB"/>
    <w:rsid w:val="007B51EC"/>
    <w:rsid w:val="007B6E0A"/>
    <w:rsid w:val="007B764C"/>
    <w:rsid w:val="007C118A"/>
    <w:rsid w:val="007C1906"/>
    <w:rsid w:val="007C3059"/>
    <w:rsid w:val="007C40BB"/>
    <w:rsid w:val="007C636F"/>
    <w:rsid w:val="007C657D"/>
    <w:rsid w:val="007D168C"/>
    <w:rsid w:val="007D3711"/>
    <w:rsid w:val="007D39EB"/>
    <w:rsid w:val="007D43BC"/>
    <w:rsid w:val="007D60B9"/>
    <w:rsid w:val="007D785D"/>
    <w:rsid w:val="007E26E6"/>
    <w:rsid w:val="007E3821"/>
    <w:rsid w:val="007E620E"/>
    <w:rsid w:val="007E6E55"/>
    <w:rsid w:val="007E6F3B"/>
    <w:rsid w:val="007E74E1"/>
    <w:rsid w:val="007E77A8"/>
    <w:rsid w:val="007F0B0F"/>
    <w:rsid w:val="007F491C"/>
    <w:rsid w:val="007F5108"/>
    <w:rsid w:val="008009B1"/>
    <w:rsid w:val="008020CE"/>
    <w:rsid w:val="00803BF8"/>
    <w:rsid w:val="008061C9"/>
    <w:rsid w:val="008066D8"/>
    <w:rsid w:val="00811A18"/>
    <w:rsid w:val="00813711"/>
    <w:rsid w:val="00815E2F"/>
    <w:rsid w:val="00821D1E"/>
    <w:rsid w:val="00821E64"/>
    <w:rsid w:val="00823692"/>
    <w:rsid w:val="00823FE0"/>
    <w:rsid w:val="008249E6"/>
    <w:rsid w:val="008263C2"/>
    <w:rsid w:val="008307DB"/>
    <w:rsid w:val="00833398"/>
    <w:rsid w:val="008356A1"/>
    <w:rsid w:val="0083575B"/>
    <w:rsid w:val="00835D9D"/>
    <w:rsid w:val="00835FC9"/>
    <w:rsid w:val="008368F8"/>
    <w:rsid w:val="008370E3"/>
    <w:rsid w:val="00837198"/>
    <w:rsid w:val="00840A93"/>
    <w:rsid w:val="008418FA"/>
    <w:rsid w:val="00842959"/>
    <w:rsid w:val="00843390"/>
    <w:rsid w:val="00851800"/>
    <w:rsid w:val="008519B0"/>
    <w:rsid w:val="0085235A"/>
    <w:rsid w:val="00852569"/>
    <w:rsid w:val="00853F32"/>
    <w:rsid w:val="00854138"/>
    <w:rsid w:val="00854410"/>
    <w:rsid w:val="008544DF"/>
    <w:rsid w:val="0085518C"/>
    <w:rsid w:val="00860AAD"/>
    <w:rsid w:val="0086146C"/>
    <w:rsid w:val="00861AA6"/>
    <w:rsid w:val="00864042"/>
    <w:rsid w:val="008671D8"/>
    <w:rsid w:val="008708F3"/>
    <w:rsid w:val="00871354"/>
    <w:rsid w:val="00872D1C"/>
    <w:rsid w:val="008733C5"/>
    <w:rsid w:val="00873611"/>
    <w:rsid w:val="00873794"/>
    <w:rsid w:val="00873C8F"/>
    <w:rsid w:val="0087411E"/>
    <w:rsid w:val="00874FB3"/>
    <w:rsid w:val="0088092B"/>
    <w:rsid w:val="00880BE3"/>
    <w:rsid w:val="00880E0D"/>
    <w:rsid w:val="00881359"/>
    <w:rsid w:val="00882093"/>
    <w:rsid w:val="00882588"/>
    <w:rsid w:val="00882F6B"/>
    <w:rsid w:val="00883F82"/>
    <w:rsid w:val="00884ADE"/>
    <w:rsid w:val="00884D25"/>
    <w:rsid w:val="008856CF"/>
    <w:rsid w:val="00885864"/>
    <w:rsid w:val="00885E5C"/>
    <w:rsid w:val="00890A1D"/>
    <w:rsid w:val="008913E2"/>
    <w:rsid w:val="0089383B"/>
    <w:rsid w:val="0089534B"/>
    <w:rsid w:val="0089616F"/>
    <w:rsid w:val="008A0232"/>
    <w:rsid w:val="008A0CEC"/>
    <w:rsid w:val="008A1D89"/>
    <w:rsid w:val="008A2093"/>
    <w:rsid w:val="008A23FE"/>
    <w:rsid w:val="008A2F9D"/>
    <w:rsid w:val="008A3A19"/>
    <w:rsid w:val="008A3B6A"/>
    <w:rsid w:val="008A433B"/>
    <w:rsid w:val="008A6A45"/>
    <w:rsid w:val="008A76AA"/>
    <w:rsid w:val="008B0470"/>
    <w:rsid w:val="008B06C5"/>
    <w:rsid w:val="008B1483"/>
    <w:rsid w:val="008B164E"/>
    <w:rsid w:val="008B502A"/>
    <w:rsid w:val="008B555E"/>
    <w:rsid w:val="008B57D8"/>
    <w:rsid w:val="008B7A65"/>
    <w:rsid w:val="008C0756"/>
    <w:rsid w:val="008C1219"/>
    <w:rsid w:val="008C123E"/>
    <w:rsid w:val="008C137D"/>
    <w:rsid w:val="008C1995"/>
    <w:rsid w:val="008C1B74"/>
    <w:rsid w:val="008C1D45"/>
    <w:rsid w:val="008C22DD"/>
    <w:rsid w:val="008C27E6"/>
    <w:rsid w:val="008C2CB1"/>
    <w:rsid w:val="008C3232"/>
    <w:rsid w:val="008C3ED0"/>
    <w:rsid w:val="008C43C2"/>
    <w:rsid w:val="008C597F"/>
    <w:rsid w:val="008C5E94"/>
    <w:rsid w:val="008C67CE"/>
    <w:rsid w:val="008C7855"/>
    <w:rsid w:val="008D196A"/>
    <w:rsid w:val="008D220E"/>
    <w:rsid w:val="008D4616"/>
    <w:rsid w:val="008D5C33"/>
    <w:rsid w:val="008D60AA"/>
    <w:rsid w:val="008E3B24"/>
    <w:rsid w:val="008E3EF2"/>
    <w:rsid w:val="008E4FAA"/>
    <w:rsid w:val="008E51C9"/>
    <w:rsid w:val="008E5BEB"/>
    <w:rsid w:val="008E6306"/>
    <w:rsid w:val="008E70C9"/>
    <w:rsid w:val="008F119C"/>
    <w:rsid w:val="008F68F7"/>
    <w:rsid w:val="009005A6"/>
    <w:rsid w:val="009006CF"/>
    <w:rsid w:val="00900B6D"/>
    <w:rsid w:val="00900C71"/>
    <w:rsid w:val="00902A1C"/>
    <w:rsid w:val="00903698"/>
    <w:rsid w:val="009037B6"/>
    <w:rsid w:val="00904C34"/>
    <w:rsid w:val="00906A0B"/>
    <w:rsid w:val="00906BBE"/>
    <w:rsid w:val="00906CBE"/>
    <w:rsid w:val="00910024"/>
    <w:rsid w:val="00910384"/>
    <w:rsid w:val="00913C50"/>
    <w:rsid w:val="0091623B"/>
    <w:rsid w:val="0091643D"/>
    <w:rsid w:val="00916E33"/>
    <w:rsid w:val="0092093B"/>
    <w:rsid w:val="00922ED2"/>
    <w:rsid w:val="00924705"/>
    <w:rsid w:val="009248A9"/>
    <w:rsid w:val="0092740E"/>
    <w:rsid w:val="00930669"/>
    <w:rsid w:val="00932109"/>
    <w:rsid w:val="00932C33"/>
    <w:rsid w:val="009342CB"/>
    <w:rsid w:val="009344C6"/>
    <w:rsid w:val="00935410"/>
    <w:rsid w:val="0093692C"/>
    <w:rsid w:val="00936CBD"/>
    <w:rsid w:val="009427A1"/>
    <w:rsid w:val="00942FFE"/>
    <w:rsid w:val="009477AE"/>
    <w:rsid w:val="00951E08"/>
    <w:rsid w:val="00953369"/>
    <w:rsid w:val="009551E0"/>
    <w:rsid w:val="0095654E"/>
    <w:rsid w:val="00956F3C"/>
    <w:rsid w:val="00964110"/>
    <w:rsid w:val="00964500"/>
    <w:rsid w:val="00965341"/>
    <w:rsid w:val="00966594"/>
    <w:rsid w:val="00971C34"/>
    <w:rsid w:val="00971F62"/>
    <w:rsid w:val="00972488"/>
    <w:rsid w:val="009726D0"/>
    <w:rsid w:val="0097421D"/>
    <w:rsid w:val="00976117"/>
    <w:rsid w:val="00976A23"/>
    <w:rsid w:val="009800BC"/>
    <w:rsid w:val="009816F6"/>
    <w:rsid w:val="0098382E"/>
    <w:rsid w:val="009860E8"/>
    <w:rsid w:val="009900F0"/>
    <w:rsid w:val="00990B9B"/>
    <w:rsid w:val="00991769"/>
    <w:rsid w:val="00993236"/>
    <w:rsid w:val="00993308"/>
    <w:rsid w:val="00993D8C"/>
    <w:rsid w:val="00994E3D"/>
    <w:rsid w:val="009A297E"/>
    <w:rsid w:val="009A450F"/>
    <w:rsid w:val="009A5158"/>
    <w:rsid w:val="009A6127"/>
    <w:rsid w:val="009A6275"/>
    <w:rsid w:val="009A688B"/>
    <w:rsid w:val="009A6D02"/>
    <w:rsid w:val="009B0CC1"/>
    <w:rsid w:val="009B1343"/>
    <w:rsid w:val="009B22DD"/>
    <w:rsid w:val="009B2AA0"/>
    <w:rsid w:val="009B2D76"/>
    <w:rsid w:val="009B37DF"/>
    <w:rsid w:val="009B713C"/>
    <w:rsid w:val="009C0F18"/>
    <w:rsid w:val="009C12C6"/>
    <w:rsid w:val="009C2555"/>
    <w:rsid w:val="009C4441"/>
    <w:rsid w:val="009C53E9"/>
    <w:rsid w:val="009C58FD"/>
    <w:rsid w:val="009C7778"/>
    <w:rsid w:val="009D06AE"/>
    <w:rsid w:val="009D09E2"/>
    <w:rsid w:val="009D1E42"/>
    <w:rsid w:val="009D7148"/>
    <w:rsid w:val="009E02FD"/>
    <w:rsid w:val="009E132F"/>
    <w:rsid w:val="009E4C74"/>
    <w:rsid w:val="009E62B6"/>
    <w:rsid w:val="009E6DCF"/>
    <w:rsid w:val="009E75B3"/>
    <w:rsid w:val="009F0A64"/>
    <w:rsid w:val="009F35D4"/>
    <w:rsid w:val="009F35DA"/>
    <w:rsid w:val="009F43D0"/>
    <w:rsid w:val="00A004D9"/>
    <w:rsid w:val="00A00568"/>
    <w:rsid w:val="00A00884"/>
    <w:rsid w:val="00A009EB"/>
    <w:rsid w:val="00A00DCD"/>
    <w:rsid w:val="00A02F62"/>
    <w:rsid w:val="00A02FA3"/>
    <w:rsid w:val="00A030C3"/>
    <w:rsid w:val="00A04530"/>
    <w:rsid w:val="00A04729"/>
    <w:rsid w:val="00A04803"/>
    <w:rsid w:val="00A0590A"/>
    <w:rsid w:val="00A10147"/>
    <w:rsid w:val="00A11331"/>
    <w:rsid w:val="00A12AC4"/>
    <w:rsid w:val="00A131E6"/>
    <w:rsid w:val="00A13843"/>
    <w:rsid w:val="00A146A5"/>
    <w:rsid w:val="00A17466"/>
    <w:rsid w:val="00A204B3"/>
    <w:rsid w:val="00A20576"/>
    <w:rsid w:val="00A21593"/>
    <w:rsid w:val="00A221F7"/>
    <w:rsid w:val="00A22971"/>
    <w:rsid w:val="00A22C21"/>
    <w:rsid w:val="00A22E16"/>
    <w:rsid w:val="00A23161"/>
    <w:rsid w:val="00A24567"/>
    <w:rsid w:val="00A25A3D"/>
    <w:rsid w:val="00A2604E"/>
    <w:rsid w:val="00A279AD"/>
    <w:rsid w:val="00A31CCE"/>
    <w:rsid w:val="00A330F5"/>
    <w:rsid w:val="00A33C95"/>
    <w:rsid w:val="00A3433C"/>
    <w:rsid w:val="00A344E0"/>
    <w:rsid w:val="00A34653"/>
    <w:rsid w:val="00A34FF3"/>
    <w:rsid w:val="00A35351"/>
    <w:rsid w:val="00A361C7"/>
    <w:rsid w:val="00A36723"/>
    <w:rsid w:val="00A43798"/>
    <w:rsid w:val="00A45C4C"/>
    <w:rsid w:val="00A46DF5"/>
    <w:rsid w:val="00A5149A"/>
    <w:rsid w:val="00A516FD"/>
    <w:rsid w:val="00A51D8B"/>
    <w:rsid w:val="00A51F9F"/>
    <w:rsid w:val="00A53650"/>
    <w:rsid w:val="00A53818"/>
    <w:rsid w:val="00A53B2A"/>
    <w:rsid w:val="00A53E51"/>
    <w:rsid w:val="00A555E6"/>
    <w:rsid w:val="00A56D5D"/>
    <w:rsid w:val="00A570F4"/>
    <w:rsid w:val="00A57183"/>
    <w:rsid w:val="00A60693"/>
    <w:rsid w:val="00A6196D"/>
    <w:rsid w:val="00A619C0"/>
    <w:rsid w:val="00A61ADF"/>
    <w:rsid w:val="00A624CB"/>
    <w:rsid w:val="00A62AC0"/>
    <w:rsid w:val="00A64042"/>
    <w:rsid w:val="00A66B65"/>
    <w:rsid w:val="00A75CE2"/>
    <w:rsid w:val="00A76231"/>
    <w:rsid w:val="00A76BD2"/>
    <w:rsid w:val="00A76FEB"/>
    <w:rsid w:val="00A80860"/>
    <w:rsid w:val="00A81EF4"/>
    <w:rsid w:val="00A8267D"/>
    <w:rsid w:val="00A82E14"/>
    <w:rsid w:val="00A85487"/>
    <w:rsid w:val="00A866CA"/>
    <w:rsid w:val="00A8688E"/>
    <w:rsid w:val="00A8722B"/>
    <w:rsid w:val="00A901E9"/>
    <w:rsid w:val="00A917B6"/>
    <w:rsid w:val="00A91831"/>
    <w:rsid w:val="00A91B3B"/>
    <w:rsid w:val="00A93B4F"/>
    <w:rsid w:val="00A94436"/>
    <w:rsid w:val="00A9446D"/>
    <w:rsid w:val="00A94C01"/>
    <w:rsid w:val="00A94F7A"/>
    <w:rsid w:val="00A95D3B"/>
    <w:rsid w:val="00A97341"/>
    <w:rsid w:val="00AA0081"/>
    <w:rsid w:val="00AA16B4"/>
    <w:rsid w:val="00AA4D76"/>
    <w:rsid w:val="00AA4E4D"/>
    <w:rsid w:val="00AA5590"/>
    <w:rsid w:val="00AA62F9"/>
    <w:rsid w:val="00AB099F"/>
    <w:rsid w:val="00AB09ED"/>
    <w:rsid w:val="00AB2CFC"/>
    <w:rsid w:val="00AB2E63"/>
    <w:rsid w:val="00AB343B"/>
    <w:rsid w:val="00AB3DC0"/>
    <w:rsid w:val="00AB4CBB"/>
    <w:rsid w:val="00AB5C8A"/>
    <w:rsid w:val="00AB71C4"/>
    <w:rsid w:val="00AC125E"/>
    <w:rsid w:val="00AC45DF"/>
    <w:rsid w:val="00AC474D"/>
    <w:rsid w:val="00AC4DFD"/>
    <w:rsid w:val="00AC5415"/>
    <w:rsid w:val="00AC5663"/>
    <w:rsid w:val="00AC58FD"/>
    <w:rsid w:val="00AC5EF9"/>
    <w:rsid w:val="00AD0F6D"/>
    <w:rsid w:val="00AD1166"/>
    <w:rsid w:val="00AD19D2"/>
    <w:rsid w:val="00AD1A96"/>
    <w:rsid w:val="00AD29A3"/>
    <w:rsid w:val="00AD3042"/>
    <w:rsid w:val="00AD3274"/>
    <w:rsid w:val="00AD36EE"/>
    <w:rsid w:val="00AD418C"/>
    <w:rsid w:val="00AD580E"/>
    <w:rsid w:val="00AD5AB4"/>
    <w:rsid w:val="00AD6694"/>
    <w:rsid w:val="00AD793A"/>
    <w:rsid w:val="00AE0120"/>
    <w:rsid w:val="00AE0155"/>
    <w:rsid w:val="00AE1171"/>
    <w:rsid w:val="00AE24CA"/>
    <w:rsid w:val="00AE3038"/>
    <w:rsid w:val="00AE3D4A"/>
    <w:rsid w:val="00AE4A42"/>
    <w:rsid w:val="00AE500D"/>
    <w:rsid w:val="00AE5956"/>
    <w:rsid w:val="00AE619F"/>
    <w:rsid w:val="00AE7A88"/>
    <w:rsid w:val="00AF009E"/>
    <w:rsid w:val="00AF1F7A"/>
    <w:rsid w:val="00AF2A56"/>
    <w:rsid w:val="00AF57BF"/>
    <w:rsid w:val="00AF63AB"/>
    <w:rsid w:val="00AF7B6F"/>
    <w:rsid w:val="00AF7FF9"/>
    <w:rsid w:val="00B00179"/>
    <w:rsid w:val="00B005DF"/>
    <w:rsid w:val="00B01784"/>
    <w:rsid w:val="00B0388B"/>
    <w:rsid w:val="00B03BEE"/>
    <w:rsid w:val="00B0416B"/>
    <w:rsid w:val="00B0517E"/>
    <w:rsid w:val="00B07F9B"/>
    <w:rsid w:val="00B11314"/>
    <w:rsid w:val="00B113E3"/>
    <w:rsid w:val="00B1156A"/>
    <w:rsid w:val="00B126C0"/>
    <w:rsid w:val="00B138E3"/>
    <w:rsid w:val="00B13FB5"/>
    <w:rsid w:val="00B1515A"/>
    <w:rsid w:val="00B178FA"/>
    <w:rsid w:val="00B17D8E"/>
    <w:rsid w:val="00B207C3"/>
    <w:rsid w:val="00B23267"/>
    <w:rsid w:val="00B23906"/>
    <w:rsid w:val="00B24125"/>
    <w:rsid w:val="00B257BF"/>
    <w:rsid w:val="00B2694E"/>
    <w:rsid w:val="00B27149"/>
    <w:rsid w:val="00B302F5"/>
    <w:rsid w:val="00B35B4D"/>
    <w:rsid w:val="00B362F0"/>
    <w:rsid w:val="00B36652"/>
    <w:rsid w:val="00B40F6B"/>
    <w:rsid w:val="00B425AB"/>
    <w:rsid w:val="00B46890"/>
    <w:rsid w:val="00B47090"/>
    <w:rsid w:val="00B47775"/>
    <w:rsid w:val="00B47CE0"/>
    <w:rsid w:val="00B51237"/>
    <w:rsid w:val="00B519A8"/>
    <w:rsid w:val="00B5247E"/>
    <w:rsid w:val="00B532D1"/>
    <w:rsid w:val="00B55442"/>
    <w:rsid w:val="00B55B42"/>
    <w:rsid w:val="00B61E3E"/>
    <w:rsid w:val="00B67A79"/>
    <w:rsid w:val="00B72D62"/>
    <w:rsid w:val="00B72E87"/>
    <w:rsid w:val="00B73F6B"/>
    <w:rsid w:val="00B767AF"/>
    <w:rsid w:val="00B80511"/>
    <w:rsid w:val="00B80798"/>
    <w:rsid w:val="00B80876"/>
    <w:rsid w:val="00B82B3F"/>
    <w:rsid w:val="00B82C3C"/>
    <w:rsid w:val="00B82DE6"/>
    <w:rsid w:val="00B831CD"/>
    <w:rsid w:val="00B8330E"/>
    <w:rsid w:val="00B83FA8"/>
    <w:rsid w:val="00B85329"/>
    <w:rsid w:val="00B8705E"/>
    <w:rsid w:val="00B91B9D"/>
    <w:rsid w:val="00B92C6C"/>
    <w:rsid w:val="00B92EA2"/>
    <w:rsid w:val="00B93854"/>
    <w:rsid w:val="00B95C7E"/>
    <w:rsid w:val="00BA2940"/>
    <w:rsid w:val="00BA572E"/>
    <w:rsid w:val="00BA5E20"/>
    <w:rsid w:val="00BA607C"/>
    <w:rsid w:val="00BA6734"/>
    <w:rsid w:val="00BA756E"/>
    <w:rsid w:val="00BA7AE4"/>
    <w:rsid w:val="00BA7D7E"/>
    <w:rsid w:val="00BB2A2B"/>
    <w:rsid w:val="00BB391D"/>
    <w:rsid w:val="00BB3E2A"/>
    <w:rsid w:val="00BB7121"/>
    <w:rsid w:val="00BC0479"/>
    <w:rsid w:val="00BC1651"/>
    <w:rsid w:val="00BC16F5"/>
    <w:rsid w:val="00BC18FF"/>
    <w:rsid w:val="00BC287D"/>
    <w:rsid w:val="00BC2A38"/>
    <w:rsid w:val="00BC46EB"/>
    <w:rsid w:val="00BC643B"/>
    <w:rsid w:val="00BD030A"/>
    <w:rsid w:val="00BD143D"/>
    <w:rsid w:val="00BD32E5"/>
    <w:rsid w:val="00BD36C4"/>
    <w:rsid w:val="00BE03BA"/>
    <w:rsid w:val="00BE1095"/>
    <w:rsid w:val="00BE150A"/>
    <w:rsid w:val="00BE6767"/>
    <w:rsid w:val="00BE78EC"/>
    <w:rsid w:val="00BF0282"/>
    <w:rsid w:val="00BF2A9E"/>
    <w:rsid w:val="00BF425E"/>
    <w:rsid w:val="00BF46EE"/>
    <w:rsid w:val="00BF794D"/>
    <w:rsid w:val="00C020D5"/>
    <w:rsid w:val="00C02F74"/>
    <w:rsid w:val="00C036A8"/>
    <w:rsid w:val="00C04297"/>
    <w:rsid w:val="00C06084"/>
    <w:rsid w:val="00C0613C"/>
    <w:rsid w:val="00C10D05"/>
    <w:rsid w:val="00C11EFE"/>
    <w:rsid w:val="00C14FBA"/>
    <w:rsid w:val="00C15004"/>
    <w:rsid w:val="00C15C81"/>
    <w:rsid w:val="00C15EA1"/>
    <w:rsid w:val="00C17A8E"/>
    <w:rsid w:val="00C24F70"/>
    <w:rsid w:val="00C25DC2"/>
    <w:rsid w:val="00C27357"/>
    <w:rsid w:val="00C303D7"/>
    <w:rsid w:val="00C33479"/>
    <w:rsid w:val="00C40ED2"/>
    <w:rsid w:val="00C4150F"/>
    <w:rsid w:val="00C416F7"/>
    <w:rsid w:val="00C41F10"/>
    <w:rsid w:val="00C43095"/>
    <w:rsid w:val="00C432DD"/>
    <w:rsid w:val="00C4423A"/>
    <w:rsid w:val="00C45CF0"/>
    <w:rsid w:val="00C46497"/>
    <w:rsid w:val="00C46B42"/>
    <w:rsid w:val="00C501FE"/>
    <w:rsid w:val="00C54AB0"/>
    <w:rsid w:val="00C55807"/>
    <w:rsid w:val="00C5784B"/>
    <w:rsid w:val="00C639FF"/>
    <w:rsid w:val="00C6442A"/>
    <w:rsid w:val="00C64608"/>
    <w:rsid w:val="00C64D15"/>
    <w:rsid w:val="00C653D4"/>
    <w:rsid w:val="00C66088"/>
    <w:rsid w:val="00C67C4C"/>
    <w:rsid w:val="00C74B5D"/>
    <w:rsid w:val="00C74F74"/>
    <w:rsid w:val="00C7554B"/>
    <w:rsid w:val="00C757A6"/>
    <w:rsid w:val="00C77B80"/>
    <w:rsid w:val="00C80951"/>
    <w:rsid w:val="00C813A5"/>
    <w:rsid w:val="00C8205E"/>
    <w:rsid w:val="00C82EAF"/>
    <w:rsid w:val="00C82EB5"/>
    <w:rsid w:val="00C86646"/>
    <w:rsid w:val="00C8751C"/>
    <w:rsid w:val="00C87966"/>
    <w:rsid w:val="00C902DE"/>
    <w:rsid w:val="00C916AE"/>
    <w:rsid w:val="00C92920"/>
    <w:rsid w:val="00C93AAA"/>
    <w:rsid w:val="00C9494C"/>
    <w:rsid w:val="00C95FCD"/>
    <w:rsid w:val="00C97188"/>
    <w:rsid w:val="00CA0639"/>
    <w:rsid w:val="00CA0740"/>
    <w:rsid w:val="00CA084B"/>
    <w:rsid w:val="00CA11D0"/>
    <w:rsid w:val="00CA1472"/>
    <w:rsid w:val="00CA1CF3"/>
    <w:rsid w:val="00CA2E02"/>
    <w:rsid w:val="00CA583A"/>
    <w:rsid w:val="00CA5EC6"/>
    <w:rsid w:val="00CA6746"/>
    <w:rsid w:val="00CB0989"/>
    <w:rsid w:val="00CB33B4"/>
    <w:rsid w:val="00CB5744"/>
    <w:rsid w:val="00CB6058"/>
    <w:rsid w:val="00CB69B5"/>
    <w:rsid w:val="00CB7022"/>
    <w:rsid w:val="00CB7AD8"/>
    <w:rsid w:val="00CB7BC5"/>
    <w:rsid w:val="00CC0311"/>
    <w:rsid w:val="00CC13C6"/>
    <w:rsid w:val="00CC49A5"/>
    <w:rsid w:val="00CC586D"/>
    <w:rsid w:val="00CC798D"/>
    <w:rsid w:val="00CC7DBC"/>
    <w:rsid w:val="00CD0927"/>
    <w:rsid w:val="00CD1BA3"/>
    <w:rsid w:val="00CD1D23"/>
    <w:rsid w:val="00CD3612"/>
    <w:rsid w:val="00CD38B7"/>
    <w:rsid w:val="00CD3E69"/>
    <w:rsid w:val="00CD454A"/>
    <w:rsid w:val="00CD460D"/>
    <w:rsid w:val="00CD5F49"/>
    <w:rsid w:val="00CD66C3"/>
    <w:rsid w:val="00CD6B7D"/>
    <w:rsid w:val="00CD7D29"/>
    <w:rsid w:val="00CE0847"/>
    <w:rsid w:val="00CE0B6C"/>
    <w:rsid w:val="00CE11D0"/>
    <w:rsid w:val="00CE4708"/>
    <w:rsid w:val="00CE4C50"/>
    <w:rsid w:val="00CE5440"/>
    <w:rsid w:val="00CE6858"/>
    <w:rsid w:val="00CE7450"/>
    <w:rsid w:val="00CE770C"/>
    <w:rsid w:val="00CF107B"/>
    <w:rsid w:val="00CF1DBF"/>
    <w:rsid w:val="00CF50BE"/>
    <w:rsid w:val="00CF7625"/>
    <w:rsid w:val="00D004C1"/>
    <w:rsid w:val="00D00724"/>
    <w:rsid w:val="00D0506A"/>
    <w:rsid w:val="00D0768A"/>
    <w:rsid w:val="00D1289C"/>
    <w:rsid w:val="00D13CD5"/>
    <w:rsid w:val="00D1666F"/>
    <w:rsid w:val="00D17C66"/>
    <w:rsid w:val="00D2071A"/>
    <w:rsid w:val="00D2555B"/>
    <w:rsid w:val="00D25FCD"/>
    <w:rsid w:val="00D262AE"/>
    <w:rsid w:val="00D30F73"/>
    <w:rsid w:val="00D30F97"/>
    <w:rsid w:val="00D313A0"/>
    <w:rsid w:val="00D331D3"/>
    <w:rsid w:val="00D33479"/>
    <w:rsid w:val="00D340D6"/>
    <w:rsid w:val="00D363C9"/>
    <w:rsid w:val="00D36FE0"/>
    <w:rsid w:val="00D379AF"/>
    <w:rsid w:val="00D4028A"/>
    <w:rsid w:val="00D40799"/>
    <w:rsid w:val="00D407E3"/>
    <w:rsid w:val="00D41A06"/>
    <w:rsid w:val="00D42284"/>
    <w:rsid w:val="00D42ABF"/>
    <w:rsid w:val="00D42F40"/>
    <w:rsid w:val="00D43BE7"/>
    <w:rsid w:val="00D45B67"/>
    <w:rsid w:val="00D4631D"/>
    <w:rsid w:val="00D46485"/>
    <w:rsid w:val="00D5034A"/>
    <w:rsid w:val="00D51F49"/>
    <w:rsid w:val="00D52161"/>
    <w:rsid w:val="00D521C4"/>
    <w:rsid w:val="00D55EE8"/>
    <w:rsid w:val="00D562CB"/>
    <w:rsid w:val="00D569D1"/>
    <w:rsid w:val="00D56AD8"/>
    <w:rsid w:val="00D56C05"/>
    <w:rsid w:val="00D5785A"/>
    <w:rsid w:val="00D57A2B"/>
    <w:rsid w:val="00D57F91"/>
    <w:rsid w:val="00D60A39"/>
    <w:rsid w:val="00D61C39"/>
    <w:rsid w:val="00D624AC"/>
    <w:rsid w:val="00D62C98"/>
    <w:rsid w:val="00D6375F"/>
    <w:rsid w:val="00D64C48"/>
    <w:rsid w:val="00D6680B"/>
    <w:rsid w:val="00D72F4F"/>
    <w:rsid w:val="00D731C4"/>
    <w:rsid w:val="00D73ECD"/>
    <w:rsid w:val="00D7469C"/>
    <w:rsid w:val="00D74EB4"/>
    <w:rsid w:val="00D77065"/>
    <w:rsid w:val="00D801FC"/>
    <w:rsid w:val="00D80696"/>
    <w:rsid w:val="00D815E5"/>
    <w:rsid w:val="00D81F1E"/>
    <w:rsid w:val="00D82B6B"/>
    <w:rsid w:val="00D85BE0"/>
    <w:rsid w:val="00D871C1"/>
    <w:rsid w:val="00D87FD7"/>
    <w:rsid w:val="00D90FEE"/>
    <w:rsid w:val="00D91466"/>
    <w:rsid w:val="00D915ED"/>
    <w:rsid w:val="00D92300"/>
    <w:rsid w:val="00D9249B"/>
    <w:rsid w:val="00D94A84"/>
    <w:rsid w:val="00D94AFC"/>
    <w:rsid w:val="00D950E6"/>
    <w:rsid w:val="00D97047"/>
    <w:rsid w:val="00DA2D79"/>
    <w:rsid w:val="00DA3619"/>
    <w:rsid w:val="00DA4A8E"/>
    <w:rsid w:val="00DB0B88"/>
    <w:rsid w:val="00DB1652"/>
    <w:rsid w:val="00DB58A6"/>
    <w:rsid w:val="00DB6B99"/>
    <w:rsid w:val="00DC001A"/>
    <w:rsid w:val="00DC05BE"/>
    <w:rsid w:val="00DC4CF5"/>
    <w:rsid w:val="00DC6369"/>
    <w:rsid w:val="00DC6E07"/>
    <w:rsid w:val="00DC796A"/>
    <w:rsid w:val="00DD4F44"/>
    <w:rsid w:val="00DD516D"/>
    <w:rsid w:val="00DD5FCE"/>
    <w:rsid w:val="00DD686C"/>
    <w:rsid w:val="00DE2AC3"/>
    <w:rsid w:val="00DE2E40"/>
    <w:rsid w:val="00DE3598"/>
    <w:rsid w:val="00DE3FBD"/>
    <w:rsid w:val="00DE43F5"/>
    <w:rsid w:val="00DE4666"/>
    <w:rsid w:val="00DE65FB"/>
    <w:rsid w:val="00DF0CF9"/>
    <w:rsid w:val="00DF14E1"/>
    <w:rsid w:val="00DF23D1"/>
    <w:rsid w:val="00DF420A"/>
    <w:rsid w:val="00DF57B5"/>
    <w:rsid w:val="00DF5AA8"/>
    <w:rsid w:val="00DF7A5F"/>
    <w:rsid w:val="00E00286"/>
    <w:rsid w:val="00E02472"/>
    <w:rsid w:val="00E041F0"/>
    <w:rsid w:val="00E052E9"/>
    <w:rsid w:val="00E05496"/>
    <w:rsid w:val="00E0636F"/>
    <w:rsid w:val="00E11E94"/>
    <w:rsid w:val="00E126EB"/>
    <w:rsid w:val="00E128D8"/>
    <w:rsid w:val="00E130C3"/>
    <w:rsid w:val="00E153D4"/>
    <w:rsid w:val="00E15D40"/>
    <w:rsid w:val="00E175E8"/>
    <w:rsid w:val="00E17EDF"/>
    <w:rsid w:val="00E2082D"/>
    <w:rsid w:val="00E221E2"/>
    <w:rsid w:val="00E2235F"/>
    <w:rsid w:val="00E22D09"/>
    <w:rsid w:val="00E22F35"/>
    <w:rsid w:val="00E23A3E"/>
    <w:rsid w:val="00E24303"/>
    <w:rsid w:val="00E27A16"/>
    <w:rsid w:val="00E3088B"/>
    <w:rsid w:val="00E33828"/>
    <w:rsid w:val="00E359A8"/>
    <w:rsid w:val="00E40F7B"/>
    <w:rsid w:val="00E418CF"/>
    <w:rsid w:val="00E41B9D"/>
    <w:rsid w:val="00E42C18"/>
    <w:rsid w:val="00E43C69"/>
    <w:rsid w:val="00E4527E"/>
    <w:rsid w:val="00E46D60"/>
    <w:rsid w:val="00E473AD"/>
    <w:rsid w:val="00E47C33"/>
    <w:rsid w:val="00E47F58"/>
    <w:rsid w:val="00E50939"/>
    <w:rsid w:val="00E51273"/>
    <w:rsid w:val="00E52A05"/>
    <w:rsid w:val="00E53105"/>
    <w:rsid w:val="00E549B8"/>
    <w:rsid w:val="00E54BFC"/>
    <w:rsid w:val="00E56D9D"/>
    <w:rsid w:val="00E60903"/>
    <w:rsid w:val="00E60E2E"/>
    <w:rsid w:val="00E6483F"/>
    <w:rsid w:val="00E70D09"/>
    <w:rsid w:val="00E71A2D"/>
    <w:rsid w:val="00E73C71"/>
    <w:rsid w:val="00E73E50"/>
    <w:rsid w:val="00E7439E"/>
    <w:rsid w:val="00E74A73"/>
    <w:rsid w:val="00E763E2"/>
    <w:rsid w:val="00E7756B"/>
    <w:rsid w:val="00E823C1"/>
    <w:rsid w:val="00E82DB7"/>
    <w:rsid w:val="00E83DC2"/>
    <w:rsid w:val="00E8579C"/>
    <w:rsid w:val="00E865FE"/>
    <w:rsid w:val="00E86DE1"/>
    <w:rsid w:val="00E870B0"/>
    <w:rsid w:val="00E9024A"/>
    <w:rsid w:val="00E91408"/>
    <w:rsid w:val="00E91759"/>
    <w:rsid w:val="00E93835"/>
    <w:rsid w:val="00E944A2"/>
    <w:rsid w:val="00E94858"/>
    <w:rsid w:val="00E9654B"/>
    <w:rsid w:val="00E96ECE"/>
    <w:rsid w:val="00EA18DB"/>
    <w:rsid w:val="00EA271D"/>
    <w:rsid w:val="00EA2FBA"/>
    <w:rsid w:val="00EA389B"/>
    <w:rsid w:val="00EA4DC5"/>
    <w:rsid w:val="00EA5A5E"/>
    <w:rsid w:val="00EA63C0"/>
    <w:rsid w:val="00EA66DF"/>
    <w:rsid w:val="00EA6ADC"/>
    <w:rsid w:val="00EA7FE4"/>
    <w:rsid w:val="00EB13A7"/>
    <w:rsid w:val="00EB14DF"/>
    <w:rsid w:val="00EB1A4D"/>
    <w:rsid w:val="00EB1CC4"/>
    <w:rsid w:val="00EB3A07"/>
    <w:rsid w:val="00EB5539"/>
    <w:rsid w:val="00EB6320"/>
    <w:rsid w:val="00EC2B0D"/>
    <w:rsid w:val="00EC2C42"/>
    <w:rsid w:val="00EC3F31"/>
    <w:rsid w:val="00EC52E7"/>
    <w:rsid w:val="00EC6182"/>
    <w:rsid w:val="00EC6416"/>
    <w:rsid w:val="00ED3484"/>
    <w:rsid w:val="00ED3698"/>
    <w:rsid w:val="00ED4794"/>
    <w:rsid w:val="00EE0759"/>
    <w:rsid w:val="00EE265C"/>
    <w:rsid w:val="00EE275B"/>
    <w:rsid w:val="00EE2FB0"/>
    <w:rsid w:val="00EE42F8"/>
    <w:rsid w:val="00EE4BB9"/>
    <w:rsid w:val="00EE5C63"/>
    <w:rsid w:val="00EF3204"/>
    <w:rsid w:val="00EF4B36"/>
    <w:rsid w:val="00F0095C"/>
    <w:rsid w:val="00F01129"/>
    <w:rsid w:val="00F01CCA"/>
    <w:rsid w:val="00F01F2C"/>
    <w:rsid w:val="00F02104"/>
    <w:rsid w:val="00F02D99"/>
    <w:rsid w:val="00F039A3"/>
    <w:rsid w:val="00F064F2"/>
    <w:rsid w:val="00F06C17"/>
    <w:rsid w:val="00F12D5A"/>
    <w:rsid w:val="00F1303C"/>
    <w:rsid w:val="00F13AC2"/>
    <w:rsid w:val="00F1632B"/>
    <w:rsid w:val="00F17B00"/>
    <w:rsid w:val="00F207B5"/>
    <w:rsid w:val="00F22F0D"/>
    <w:rsid w:val="00F30C33"/>
    <w:rsid w:val="00F32225"/>
    <w:rsid w:val="00F334CB"/>
    <w:rsid w:val="00F3495A"/>
    <w:rsid w:val="00F34E2C"/>
    <w:rsid w:val="00F3621E"/>
    <w:rsid w:val="00F36C26"/>
    <w:rsid w:val="00F370BC"/>
    <w:rsid w:val="00F37143"/>
    <w:rsid w:val="00F408F7"/>
    <w:rsid w:val="00F40C87"/>
    <w:rsid w:val="00F40CAB"/>
    <w:rsid w:val="00F4235B"/>
    <w:rsid w:val="00F4338F"/>
    <w:rsid w:val="00F45275"/>
    <w:rsid w:val="00F467C8"/>
    <w:rsid w:val="00F46E87"/>
    <w:rsid w:val="00F500E3"/>
    <w:rsid w:val="00F50562"/>
    <w:rsid w:val="00F50A92"/>
    <w:rsid w:val="00F50D01"/>
    <w:rsid w:val="00F512F0"/>
    <w:rsid w:val="00F55B6B"/>
    <w:rsid w:val="00F56BC1"/>
    <w:rsid w:val="00F618C4"/>
    <w:rsid w:val="00F636F2"/>
    <w:rsid w:val="00F65774"/>
    <w:rsid w:val="00F657FC"/>
    <w:rsid w:val="00F65A34"/>
    <w:rsid w:val="00F65F4C"/>
    <w:rsid w:val="00F71A60"/>
    <w:rsid w:val="00F725DA"/>
    <w:rsid w:val="00F74337"/>
    <w:rsid w:val="00F744F3"/>
    <w:rsid w:val="00F7536E"/>
    <w:rsid w:val="00F75652"/>
    <w:rsid w:val="00F8168B"/>
    <w:rsid w:val="00F81CF2"/>
    <w:rsid w:val="00F81F93"/>
    <w:rsid w:val="00F83BB8"/>
    <w:rsid w:val="00F857D1"/>
    <w:rsid w:val="00F87B64"/>
    <w:rsid w:val="00F9007A"/>
    <w:rsid w:val="00F91DCC"/>
    <w:rsid w:val="00F9323F"/>
    <w:rsid w:val="00F939F2"/>
    <w:rsid w:val="00F943FE"/>
    <w:rsid w:val="00F95814"/>
    <w:rsid w:val="00F95CE9"/>
    <w:rsid w:val="00F97100"/>
    <w:rsid w:val="00FA01D9"/>
    <w:rsid w:val="00FA0F21"/>
    <w:rsid w:val="00FA2287"/>
    <w:rsid w:val="00FA3C68"/>
    <w:rsid w:val="00FA5DC3"/>
    <w:rsid w:val="00FA75C1"/>
    <w:rsid w:val="00FA7EC6"/>
    <w:rsid w:val="00FB5C92"/>
    <w:rsid w:val="00FB67F6"/>
    <w:rsid w:val="00FB7D06"/>
    <w:rsid w:val="00FB7EF0"/>
    <w:rsid w:val="00FC0E56"/>
    <w:rsid w:val="00FC1DFB"/>
    <w:rsid w:val="00FC1EF2"/>
    <w:rsid w:val="00FC3343"/>
    <w:rsid w:val="00FC33BA"/>
    <w:rsid w:val="00FC35AB"/>
    <w:rsid w:val="00FC5166"/>
    <w:rsid w:val="00FC6134"/>
    <w:rsid w:val="00FC654D"/>
    <w:rsid w:val="00FC67EF"/>
    <w:rsid w:val="00FC7D78"/>
    <w:rsid w:val="00FD0555"/>
    <w:rsid w:val="00FD0ACC"/>
    <w:rsid w:val="00FD56F8"/>
    <w:rsid w:val="00FD57E0"/>
    <w:rsid w:val="00FD5961"/>
    <w:rsid w:val="00FE0356"/>
    <w:rsid w:val="00FE3EFA"/>
    <w:rsid w:val="00FE4117"/>
    <w:rsid w:val="00FE5C56"/>
    <w:rsid w:val="00FE5E20"/>
    <w:rsid w:val="00FE7AAC"/>
    <w:rsid w:val="00FE7B06"/>
    <w:rsid w:val="00FE7E98"/>
    <w:rsid w:val="00FF06BC"/>
    <w:rsid w:val="00FF20AC"/>
    <w:rsid w:val="00FF3801"/>
    <w:rsid w:val="00FF3A27"/>
    <w:rsid w:val="00FF3B27"/>
    <w:rsid w:val="00FF4263"/>
    <w:rsid w:val="00FF5997"/>
    <w:rsid w:val="00FF5AF4"/>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List Bullet" w:qFormat="1"/>
    <w:lsdException w:name="List Number" w:semiHidden="0"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52565"/>
    <w:pPr>
      <w:spacing w:after="120" w:line="260" w:lineRule="atLeast"/>
    </w:pPr>
  </w:style>
  <w:style w:type="paragraph" w:styleId="Heading1">
    <w:name w:val="heading 1"/>
    <w:basedOn w:val="Normal"/>
    <w:next w:val="Normal"/>
    <w:uiPriority w:val="2"/>
    <w:qFormat/>
    <w:rsid w:val="006200A2"/>
    <w:pPr>
      <w:keepNext/>
      <w:keepLines/>
      <w:numPr>
        <w:numId w:val="12"/>
      </w:numPr>
      <w:spacing w:after="160" w:line="264" w:lineRule="auto"/>
      <w:ind w:left="851" w:hanging="851"/>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6200A2"/>
    <w:pPr>
      <w:keepNext/>
      <w:keepLines/>
      <w:spacing w:before="360"/>
      <w:ind w:left="578" w:hanging="578"/>
      <w:contextualSpacing/>
      <w:outlineLvl w:val="1"/>
    </w:pPr>
    <w:rPr>
      <w:rFonts w:asciiTheme="majorHAnsi" w:hAnsiTheme="majorHAnsi"/>
      <w:b/>
      <w:sz w:val="28"/>
      <w:szCs w:val="28"/>
    </w:rPr>
  </w:style>
  <w:style w:type="paragraph" w:styleId="Heading3">
    <w:name w:val="heading 3"/>
    <w:basedOn w:val="Normal"/>
    <w:next w:val="Normal"/>
    <w:uiPriority w:val="2"/>
    <w:qFormat/>
    <w:rsid w:val="00302DDA"/>
    <w:pPr>
      <w:keepNext/>
      <w:keepLines/>
      <w:spacing w:before="240"/>
      <w:ind w:left="720" w:hanging="720"/>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numPr>
        <w:ilvl w:val="3"/>
        <w:numId w:val="12"/>
      </w:numPr>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numPr>
        <w:ilvl w:val="4"/>
        <w:numId w:val="12"/>
      </w:numPr>
      <w:spacing w:before="240"/>
      <w:contextualSpacing/>
      <w:outlineLvl w:val="4"/>
    </w:pPr>
    <w:rPr>
      <w:b/>
      <w:szCs w:val="22"/>
    </w:rPr>
  </w:style>
  <w:style w:type="paragraph" w:styleId="Heading6">
    <w:name w:val="heading 6"/>
    <w:basedOn w:val="Normal"/>
    <w:next w:val="Normal"/>
    <w:link w:val="Heading6Char"/>
    <w:semiHidden/>
    <w:rsid w:val="002672F1"/>
    <w:pPr>
      <w:keepNext/>
      <w:numPr>
        <w:ilvl w:val="5"/>
        <w:numId w:val="12"/>
      </w:numPr>
      <w:spacing w:before="240"/>
      <w:ind w:left="1152"/>
      <w:contextualSpacing/>
      <w:outlineLvl w:val="5"/>
    </w:pPr>
    <w:rPr>
      <w:b/>
      <w:sz w:val="20"/>
      <w:szCs w:val="22"/>
    </w:rPr>
  </w:style>
  <w:style w:type="paragraph" w:styleId="Heading7">
    <w:name w:val="heading 7"/>
    <w:basedOn w:val="Normal"/>
    <w:next w:val="Normal"/>
    <w:link w:val="Heading7Char"/>
    <w:semiHidden/>
    <w:unhideWhenUsed/>
    <w:qFormat/>
    <w:rsid w:val="006E4F88"/>
    <w:pPr>
      <w:keepNext/>
      <w:keepLines/>
      <w:numPr>
        <w:ilvl w:val="6"/>
        <w:numId w:val="12"/>
      </w:numPr>
      <w:spacing w:before="40"/>
      <w:outlineLvl w:val="6"/>
    </w:pPr>
    <w:rPr>
      <w:rFonts w:asciiTheme="majorHAnsi" w:eastAsiaTheme="majorEastAsia" w:hAnsiTheme="majorHAnsi" w:cstheme="majorBidi"/>
      <w:i/>
      <w:iCs/>
      <w:color w:val="002000" w:themeColor="accent1" w:themeShade="7F"/>
    </w:rPr>
  </w:style>
  <w:style w:type="paragraph" w:styleId="Heading8">
    <w:name w:val="heading 8"/>
    <w:basedOn w:val="Normal"/>
    <w:next w:val="Normal"/>
    <w:link w:val="Heading8Char"/>
    <w:semiHidden/>
    <w:unhideWhenUsed/>
    <w:qFormat/>
    <w:rsid w:val="006E4F8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4F8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b/>
      <w:bCs/>
      <w:color w:val="FFFFFF" w:themeColor="background1"/>
      <w:kern w:val="28"/>
      <w:sz w:val="84"/>
      <w:szCs w:val="32"/>
    </w:rPr>
  </w:style>
  <w:style w:type="paragraph" w:styleId="ListBullet">
    <w:name w:val="List Bullet"/>
    <w:basedOn w:val="Normal"/>
    <w:link w:val="ListBulletChar"/>
    <w:qFormat/>
    <w:rsid w:val="00235DEA"/>
    <w:pPr>
      <w:numPr>
        <w:numId w:val="1"/>
      </w:numPr>
      <w:spacing w:before="60" w:after="60"/>
      <w:ind w:left="714" w:hanging="357"/>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b/>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ind w:left="142" w:hanging="142"/>
    </w:p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qFormat/>
    <w:rsid w:val="00235DEA"/>
    <w:pPr>
      <w:ind w:left="714" w:hanging="357"/>
    </w:pPr>
  </w:style>
  <w:style w:type="character" w:customStyle="1" w:styleId="Heading2Char">
    <w:name w:val="Heading 2 Char"/>
    <w:basedOn w:val="DefaultParagraphFont"/>
    <w:link w:val="Heading2"/>
    <w:uiPriority w:val="2"/>
    <w:rsid w:val="006200A2"/>
    <w:rPr>
      <w:rFonts w:asciiTheme="majorHAnsi" w:hAnsiTheme="majorHAnsi"/>
      <w:b/>
      <w:sz w:val="28"/>
      <w:szCs w:val="28"/>
    </w:rPr>
  </w:style>
  <w:style w:type="paragraph" w:styleId="TOC1">
    <w:name w:val="toc 1"/>
    <w:basedOn w:val="Normal"/>
    <w:next w:val="Normal"/>
    <w:autoRedefine/>
    <w:uiPriority w:val="39"/>
    <w:rsid w:val="004A249A"/>
    <w:pPr>
      <w:tabs>
        <w:tab w:val="right" w:leader="dot" w:pos="9356"/>
      </w:tabs>
      <w:spacing w:before="240" w:after="60"/>
    </w:pPr>
    <w:rPr>
      <w:noProof/>
    </w:rPr>
  </w:style>
  <w:style w:type="paragraph" w:styleId="TOC2">
    <w:name w:val="toc 2"/>
    <w:basedOn w:val="Normal"/>
    <w:next w:val="Normal"/>
    <w:autoRedefine/>
    <w:uiPriority w:val="39"/>
    <w:rsid w:val="00D94A84"/>
    <w:pPr>
      <w:tabs>
        <w:tab w:val="left" w:pos="660"/>
        <w:tab w:val="right" w:leader="dot" w:pos="9356"/>
      </w:tabs>
      <w:spacing w:before="60" w:after="60"/>
      <w:ind w:right="90"/>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b/>
      <w:sz w:val="20"/>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numPr>
        <w:numId w:val="0"/>
      </w:numPr>
      <w:outlineLvl w:val="9"/>
    </w:pPr>
    <w:rPr>
      <w:rFonts w:eastAsiaTheme="majorEastAsia" w:cstheme="majorBidi"/>
      <w:bCs/>
      <w:szCs w:val="28"/>
    </w:rPr>
  </w:style>
  <w:style w:type="paragraph" w:customStyle="1" w:styleId="SourceNotesText">
    <w:name w:val="Source/Notes Text"/>
    <w:basedOn w:val="Normal"/>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szCs w:val="24"/>
    </w:rPr>
  </w:style>
  <w:style w:type="paragraph" w:styleId="EndnoteText">
    <w:name w:val="endnote text"/>
    <w:basedOn w:val="Normal"/>
    <w:link w:val="EndnoteTextChar"/>
    <w:semiHidden/>
    <w:rsid w:val="00EE265C"/>
    <w:rPr>
      <w:sz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after="86"/>
    </w:pPr>
    <w:rPr>
      <w:sz w:val="12"/>
      <w:szCs w:val="12"/>
      <w:lang w:val="en-US" w:eastAsia="en-US"/>
    </w:rPr>
  </w:style>
  <w:style w:type="paragraph" w:customStyle="1" w:styleId="p2">
    <w:name w:val="p2"/>
    <w:basedOn w:val="Normal"/>
    <w:rsid w:val="00C303D7"/>
    <w:rPr>
      <w:color w:val="005100"/>
      <w:sz w:val="12"/>
      <w:szCs w:val="12"/>
      <w:lang w:val="en-US" w:eastAsia="en-US"/>
    </w:rPr>
  </w:style>
  <w:style w:type="paragraph" w:customStyle="1" w:styleId="p3">
    <w:name w:val="p3"/>
    <w:basedOn w:val="Normal"/>
    <w:rsid w:val="00C303D7"/>
    <w:pPr>
      <w:spacing w:after="86"/>
    </w:pPr>
    <w:rPr>
      <w:color w:val="005100"/>
      <w:sz w:val="12"/>
      <w:szCs w:val="12"/>
      <w:lang w:val="en-US" w:eastAsia="en-US"/>
    </w:rPr>
  </w:style>
  <w:style w:type="paragraph" w:customStyle="1" w:styleId="p4">
    <w:name w:val="p4"/>
    <w:basedOn w:val="Normal"/>
    <w:rsid w:val="00C303D7"/>
    <w:rPr>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line="192" w:lineRule="exact"/>
    </w:pPr>
    <w:rPr>
      <w:b/>
      <w:bCs/>
      <w:color w:val="FFFFFF" w:themeColor="background1"/>
      <w:sz w:val="16"/>
      <w:szCs w:val="16"/>
    </w:rPr>
  </w:style>
  <w:style w:type="paragraph" w:customStyle="1" w:styleId="Act">
    <w:name w:val="Act"/>
    <w:basedOn w:val="Normal"/>
    <w:uiPriority w:val="1"/>
    <w:qFormat/>
    <w:rsid w:val="00E15D40"/>
    <w:rPr>
      <w:i/>
    </w:rPr>
  </w:style>
  <w:style w:type="paragraph" w:customStyle="1" w:styleId="Disclaimer">
    <w:name w:val="Disclaimer"/>
    <w:basedOn w:val="Normal"/>
    <w:uiPriority w:val="1"/>
    <w:qFormat/>
    <w:rsid w:val="00E15D40"/>
    <w:rPr>
      <w:i/>
    </w:rPr>
  </w:style>
  <w:style w:type="paragraph" w:customStyle="1" w:styleId="Organisationname">
    <w:name w:val="Organisation name"/>
    <w:basedOn w:val="CommentSubject"/>
    <w:autoRedefine/>
    <w:uiPriority w:val="1"/>
    <w:qFormat/>
    <w:rsid w:val="00AB099F"/>
    <w:pPr>
      <w:spacing w:after="1320"/>
    </w:pPr>
    <w:rPr>
      <w:noProof/>
      <w:color w:val="FFFFFF" w:themeColor="background1"/>
    </w:rPr>
  </w:style>
  <w:style w:type="paragraph" w:styleId="CommentText">
    <w:name w:val="annotation text"/>
    <w:basedOn w:val="Normal"/>
    <w:link w:val="CommentTextChar"/>
    <w:semiHidden/>
    <w:unhideWhenUsed/>
    <w:rsid w:val="00E15D40"/>
    <w:rPr>
      <w:sz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paragraph" w:customStyle="1" w:styleId="PwCNormal">
    <w:name w:val="PwC Normal"/>
    <w:basedOn w:val="Normal"/>
    <w:link w:val="PwCNormalChar"/>
    <w:rsid w:val="00CD0927"/>
    <w:pPr>
      <w:numPr>
        <w:numId w:val="3"/>
      </w:numPr>
      <w:snapToGrid w:val="0"/>
      <w:spacing w:after="240"/>
    </w:pPr>
    <w:rPr>
      <w:rFonts w:ascii="Georgia" w:hAnsi="Georgia"/>
      <w:sz w:val="20"/>
      <w:lang w:eastAsia="en-US"/>
    </w:rPr>
  </w:style>
  <w:style w:type="paragraph" w:customStyle="1" w:styleId="Indent1">
    <w:name w:val="Indent 1"/>
    <w:basedOn w:val="Normal"/>
    <w:rsid w:val="00CD0927"/>
    <w:pPr>
      <w:numPr>
        <w:ilvl w:val="1"/>
        <w:numId w:val="3"/>
      </w:numPr>
      <w:snapToGrid w:val="0"/>
      <w:spacing w:before="100" w:after="100"/>
    </w:pPr>
    <w:rPr>
      <w:rFonts w:ascii="Georgia" w:hAnsi="Georgia"/>
      <w:sz w:val="20"/>
      <w:lang w:eastAsia="en-US"/>
    </w:rPr>
  </w:style>
  <w:style w:type="paragraph" w:customStyle="1" w:styleId="Indent2">
    <w:name w:val="Indent 2"/>
    <w:basedOn w:val="Indent1"/>
    <w:rsid w:val="00CD0927"/>
    <w:pPr>
      <w:numPr>
        <w:ilvl w:val="2"/>
      </w:numPr>
    </w:pPr>
  </w:style>
  <w:style w:type="paragraph" w:customStyle="1" w:styleId="Indent3">
    <w:name w:val="Indent 3"/>
    <w:basedOn w:val="Indent2"/>
    <w:rsid w:val="00CD0927"/>
    <w:pPr>
      <w:numPr>
        <w:ilvl w:val="3"/>
      </w:numPr>
    </w:pPr>
  </w:style>
  <w:style w:type="paragraph" w:customStyle="1" w:styleId="Indent4">
    <w:name w:val="Indent 4"/>
    <w:basedOn w:val="Indent3"/>
    <w:rsid w:val="00CD0927"/>
    <w:pPr>
      <w:numPr>
        <w:ilvl w:val="4"/>
      </w:numPr>
    </w:pPr>
  </w:style>
  <w:style w:type="character" w:customStyle="1" w:styleId="PwCNormalChar">
    <w:name w:val="PwC Normal Char"/>
    <w:basedOn w:val="DefaultParagraphFont"/>
    <w:link w:val="PwCNormal"/>
    <w:locked/>
    <w:rsid w:val="00CD0927"/>
    <w:rPr>
      <w:rFonts w:ascii="Georgia" w:hAnsi="Georgia"/>
      <w:sz w:val="20"/>
      <w:lang w:eastAsia="en-US"/>
    </w:rPr>
  </w:style>
  <w:style w:type="character" w:customStyle="1" w:styleId="TablesheadingsChar">
    <w:name w:val="Tables headings Char"/>
    <w:basedOn w:val="DefaultParagraphFont"/>
    <w:link w:val="Tablesheadings"/>
    <w:locked/>
    <w:rsid w:val="00CD0927"/>
    <w:rPr>
      <w:rFonts w:asciiTheme="majorHAnsi" w:hAnsiTheme="majorHAnsi" w:cs="Arial"/>
      <w:b/>
      <w:bCs/>
      <w:color w:val="333132" w:themeColor="text2"/>
      <w:lang w:val="en-GB" w:eastAsia="en-US"/>
    </w:rPr>
  </w:style>
  <w:style w:type="paragraph" w:customStyle="1" w:styleId="Tablesheadings">
    <w:name w:val="Tables headings"/>
    <w:basedOn w:val="ListBullet"/>
    <w:link w:val="TablesheadingsChar"/>
    <w:qFormat/>
    <w:rsid w:val="00CD0927"/>
    <w:pPr>
      <w:numPr>
        <w:numId w:val="0"/>
      </w:numPr>
      <w:tabs>
        <w:tab w:val="left" w:pos="1418"/>
      </w:tabs>
      <w:snapToGrid w:val="0"/>
      <w:spacing w:before="0" w:after="0"/>
    </w:pPr>
    <w:rPr>
      <w:rFonts w:asciiTheme="majorHAnsi" w:hAnsiTheme="majorHAnsi"/>
      <w:b/>
      <w:bCs/>
      <w:color w:val="333132" w:themeColor="text2"/>
      <w:sz w:val="20"/>
      <w:lang w:val="en-GB" w:eastAsia="en-US"/>
    </w:rPr>
  </w:style>
  <w:style w:type="paragraph" w:customStyle="1" w:styleId="Indent5">
    <w:name w:val="Indent 5"/>
    <w:basedOn w:val="Indent4"/>
    <w:rsid w:val="00CD0927"/>
    <w:pPr>
      <w:numPr>
        <w:ilvl w:val="5"/>
      </w:numPr>
    </w:pPr>
  </w:style>
  <w:style w:type="paragraph" w:customStyle="1" w:styleId="Indent6">
    <w:name w:val="Indent 6"/>
    <w:basedOn w:val="Indent5"/>
    <w:rsid w:val="00CD0927"/>
    <w:pPr>
      <w:numPr>
        <w:ilvl w:val="6"/>
      </w:numPr>
    </w:pPr>
  </w:style>
  <w:style w:type="paragraph" w:customStyle="1" w:styleId="Indent7">
    <w:name w:val="Indent 7"/>
    <w:basedOn w:val="Indent6"/>
    <w:rsid w:val="00CD0927"/>
    <w:pPr>
      <w:numPr>
        <w:ilvl w:val="7"/>
      </w:numPr>
    </w:pPr>
  </w:style>
  <w:style w:type="paragraph" w:customStyle="1" w:styleId="Indent8">
    <w:name w:val="Indent 8"/>
    <w:basedOn w:val="Indent7"/>
    <w:rsid w:val="00CD0927"/>
    <w:pPr>
      <w:numPr>
        <w:ilvl w:val="8"/>
      </w:numPr>
    </w:pPr>
  </w:style>
  <w:style w:type="character" w:styleId="CommentReference">
    <w:name w:val="annotation reference"/>
    <w:basedOn w:val="DefaultParagraphFont"/>
    <w:semiHidden/>
    <w:unhideWhenUsed/>
    <w:rsid w:val="00CD0927"/>
    <w:rPr>
      <w:rFonts w:ascii="Georgia" w:hAnsi="Georgia" w:hint="default"/>
      <w:sz w:val="16"/>
      <w:szCs w:val="16"/>
    </w:rPr>
  </w:style>
  <w:style w:type="paragraph" w:customStyle="1" w:styleId="PrefaceTitle">
    <w:name w:val="Preface Title"/>
    <w:basedOn w:val="Heading2"/>
    <w:next w:val="PwCNormal"/>
    <w:rsid w:val="009C58FD"/>
    <w:pPr>
      <w:snapToGrid w:val="0"/>
      <w:spacing w:before="240" w:after="40"/>
      <w:contextualSpacing w:val="0"/>
    </w:pPr>
    <w:rPr>
      <w:bCs/>
      <w:i/>
      <w:iCs/>
      <w:color w:val="333132" w:themeColor="text2"/>
      <w:sz w:val="32"/>
      <w:szCs w:val="36"/>
      <w:lang w:eastAsia="en-US"/>
    </w:rPr>
  </w:style>
  <w:style w:type="table" w:customStyle="1" w:styleId="Tables-APBase">
    <w:name w:val="Tables - AP Base"/>
    <w:basedOn w:val="TableNormal"/>
    <w:rsid w:val="009C58FD"/>
    <w:rPr>
      <w:rFonts w:ascii="Georgia" w:hAnsi="Georgia"/>
    </w:rPr>
    <w:tblPr>
      <w:tblStyleRowBandSize w:val="1"/>
      <w:tblStyleColBandSize w:val="1"/>
      <w:tblInd w:w="0" w:type="nil"/>
      <w:tblBorders>
        <w:top w:val="single" w:sz="4" w:space="0" w:color="FFFFFF"/>
        <w:left w:val="single" w:sz="4" w:space="0" w:color="FFFFFF"/>
        <w:bottom w:val="single" w:sz="6" w:space="0" w:color="333132" w:themeColor="text2"/>
        <w:right w:val="single" w:sz="4" w:space="0" w:color="FFFFFF"/>
        <w:insideH w:val="dotted" w:sz="8" w:space="0" w:color="333132" w:themeColor="text2"/>
        <w:insideV w:val="single" w:sz="4" w:space="0" w:color="FFFFFF"/>
      </w:tblBorders>
    </w:tblPr>
    <w:tblStylePr w:type="firstRow">
      <w:pPr>
        <w:jc w:val="center"/>
      </w:pPr>
      <w:rPr>
        <w:rFonts w:ascii="Georgia" w:hAnsi="Georgia" w:hint="default"/>
        <w:b w:val="0"/>
        <w:color w:val="auto"/>
      </w:rPr>
      <w:tblPr/>
      <w:tcPr>
        <w:tcBorders>
          <w:top w:val="single" w:sz="4" w:space="0" w:color="333132" w:themeColor="text2"/>
          <w:bottom w:val="single" w:sz="4" w:space="0" w:color="333132" w:themeColor="text2"/>
        </w:tcBorders>
      </w:tcPr>
    </w:tblStylePr>
    <w:tblStylePr w:type="lastRow">
      <w:rPr>
        <w:color w:val="auto"/>
      </w:rPr>
      <w:tblPr/>
      <w:tcPr>
        <w:tcBorders>
          <w:top w:val="single" w:sz="4" w:space="0" w:color="333132" w:themeColor="text2"/>
        </w:tcBorders>
      </w:tcPr>
    </w:tblStylePr>
    <w:tblStylePr w:type="nwCell">
      <w:pPr>
        <w:jc w:val="left"/>
      </w:pPr>
      <w:tblPr/>
      <w:tcPr>
        <w:vAlign w:val="bottom"/>
      </w:tcPr>
    </w:tblStylePr>
  </w:style>
  <w:style w:type="paragraph" w:styleId="BodyText">
    <w:name w:val="Body Text"/>
    <w:basedOn w:val="Normal"/>
    <w:link w:val="BodyTextChar"/>
    <w:semiHidden/>
    <w:unhideWhenUsed/>
    <w:rsid w:val="00162AE0"/>
    <w:pPr>
      <w:snapToGrid w:val="0"/>
      <w:spacing w:after="240"/>
    </w:pPr>
    <w:rPr>
      <w:rFonts w:ascii="Georgia" w:hAnsi="Georgia"/>
      <w:sz w:val="20"/>
      <w:lang w:eastAsia="en-US"/>
    </w:rPr>
  </w:style>
  <w:style w:type="character" w:customStyle="1" w:styleId="BodyTextChar">
    <w:name w:val="Body Text Char"/>
    <w:basedOn w:val="DefaultParagraphFont"/>
    <w:link w:val="BodyText"/>
    <w:semiHidden/>
    <w:rsid w:val="00162AE0"/>
    <w:rPr>
      <w:rFonts w:ascii="Georgia" w:hAnsi="Georgia" w:cs="Arial"/>
      <w:lang w:eastAsia="en-US"/>
    </w:rPr>
  </w:style>
  <w:style w:type="character" w:customStyle="1" w:styleId="ListBulletChar">
    <w:name w:val="List Bullet Char"/>
    <w:basedOn w:val="DefaultParagraphFont"/>
    <w:link w:val="ListBullet"/>
    <w:locked/>
    <w:rsid w:val="00235DEA"/>
  </w:style>
  <w:style w:type="paragraph" w:styleId="ListBullet2">
    <w:name w:val="List Bullet 2"/>
    <w:basedOn w:val="Normal"/>
    <w:semiHidden/>
    <w:unhideWhenUsed/>
    <w:qFormat/>
    <w:rsid w:val="00162AE0"/>
    <w:pPr>
      <w:tabs>
        <w:tab w:val="num" w:pos="1134"/>
      </w:tabs>
      <w:snapToGrid w:val="0"/>
      <w:spacing w:after="240"/>
      <w:ind w:left="1134" w:hanging="567"/>
    </w:pPr>
    <w:rPr>
      <w:rFonts w:ascii="Georgia" w:hAnsi="Georgia"/>
      <w:sz w:val="20"/>
      <w:lang w:eastAsia="en-US"/>
    </w:rPr>
  </w:style>
  <w:style w:type="paragraph" w:styleId="ListBullet3">
    <w:name w:val="List Bullet 3"/>
    <w:basedOn w:val="ListBullet2"/>
    <w:semiHidden/>
    <w:unhideWhenUsed/>
    <w:qFormat/>
    <w:rsid w:val="00162AE0"/>
    <w:pPr>
      <w:tabs>
        <w:tab w:val="clear" w:pos="1134"/>
        <w:tab w:val="num" w:pos="1701"/>
      </w:tabs>
      <w:ind w:left="1701"/>
    </w:pPr>
  </w:style>
  <w:style w:type="paragraph" w:styleId="ListBullet4">
    <w:name w:val="List Bullet 4"/>
    <w:basedOn w:val="ListBullet3"/>
    <w:semiHidden/>
    <w:unhideWhenUsed/>
    <w:rsid w:val="00162AE0"/>
    <w:pPr>
      <w:tabs>
        <w:tab w:val="clear" w:pos="1701"/>
        <w:tab w:val="num" w:pos="2268"/>
      </w:tabs>
      <w:ind w:left="2268"/>
    </w:pPr>
  </w:style>
  <w:style w:type="paragraph" w:styleId="ListBullet5">
    <w:name w:val="List Bullet 5"/>
    <w:basedOn w:val="ListBullet4"/>
    <w:semiHidden/>
    <w:unhideWhenUsed/>
    <w:rsid w:val="00162AE0"/>
    <w:pPr>
      <w:tabs>
        <w:tab w:val="clear" w:pos="2268"/>
        <w:tab w:val="num" w:pos="2835"/>
      </w:tabs>
      <w:ind w:left="2835"/>
      <w:contextualSpacing/>
    </w:pPr>
  </w:style>
  <w:style w:type="paragraph" w:customStyle="1" w:styleId="AppendixNumberLong">
    <w:name w:val="Appendix Number (Long)"/>
    <w:basedOn w:val="Heading3"/>
    <w:next w:val="Heading3"/>
    <w:rsid w:val="00162AE0"/>
    <w:pPr>
      <w:numPr>
        <w:ilvl w:val="5"/>
        <w:numId w:val="4"/>
      </w:numPr>
      <w:snapToGrid w:val="0"/>
      <w:spacing w:before="0"/>
      <w:contextualSpacing w:val="0"/>
    </w:pPr>
    <w:rPr>
      <w:rFonts w:ascii="Georgia" w:hAnsi="Georgia"/>
      <w:bCs/>
      <w:color w:val="333132" w:themeColor="text2"/>
      <w:sz w:val="20"/>
      <w:szCs w:val="20"/>
      <w:lang w:eastAsia="en-US"/>
    </w:rPr>
  </w:style>
  <w:style w:type="paragraph" w:customStyle="1" w:styleId="ChapterNumberedList1">
    <w:name w:val="Chapter Numbered List 1"/>
    <w:basedOn w:val="PwCNormal"/>
    <w:rsid w:val="00162AE0"/>
    <w:pPr>
      <w:numPr>
        <w:ilvl w:val="7"/>
        <w:numId w:val="4"/>
      </w:numPr>
      <w:tabs>
        <w:tab w:val="num" w:pos="360"/>
      </w:tabs>
      <w:ind w:left="3969" w:firstLine="0"/>
    </w:pPr>
  </w:style>
  <w:style w:type="paragraph" w:customStyle="1" w:styleId="ChapterNumberedList2">
    <w:name w:val="Chapter Numbered List 2"/>
    <w:basedOn w:val="ChapterNumberedList1"/>
    <w:rsid w:val="00162AE0"/>
    <w:pPr>
      <w:numPr>
        <w:ilvl w:val="8"/>
      </w:numPr>
      <w:tabs>
        <w:tab w:val="num" w:pos="360"/>
        <w:tab w:val="num" w:pos="567"/>
      </w:tabs>
    </w:pPr>
  </w:style>
  <w:style w:type="character" w:customStyle="1" w:styleId="FigureheadingsChar">
    <w:name w:val="Figure headings Char"/>
    <w:basedOn w:val="TablesheadingsChar"/>
    <w:link w:val="Figureheadings"/>
    <w:locked/>
    <w:rsid w:val="00162AE0"/>
    <w:rPr>
      <w:rFonts w:asciiTheme="majorHAnsi" w:hAnsiTheme="majorHAnsi" w:cs="Arial"/>
      <w:b/>
      <w:bCs/>
      <w:color w:val="333132" w:themeColor="text2"/>
      <w:lang w:val="en-GB" w:eastAsia="en-US"/>
    </w:rPr>
  </w:style>
  <w:style w:type="paragraph" w:customStyle="1" w:styleId="Figureheadings">
    <w:name w:val="Figure headings"/>
    <w:basedOn w:val="Tablesheadings"/>
    <w:link w:val="FigureheadingsChar"/>
    <w:qFormat/>
    <w:rsid w:val="00162AE0"/>
  </w:style>
  <w:style w:type="character" w:customStyle="1" w:styleId="FooterChar">
    <w:name w:val="Footer Char"/>
    <w:basedOn w:val="DefaultParagraphFont"/>
    <w:link w:val="Footer"/>
    <w:uiPriority w:val="99"/>
    <w:rsid w:val="00900B6D"/>
    <w:rPr>
      <w:rFonts w:ascii="Arial" w:hAnsi="Arial"/>
      <w:b/>
      <w:sz w:val="16"/>
      <w:szCs w:val="24"/>
    </w:rPr>
  </w:style>
  <w:style w:type="paragraph" w:styleId="ListNumber">
    <w:name w:val="List Number"/>
    <w:basedOn w:val="Normal"/>
    <w:uiPriority w:val="13"/>
    <w:unhideWhenUsed/>
    <w:qFormat/>
    <w:rsid w:val="00EE275B"/>
    <w:pPr>
      <w:numPr>
        <w:numId w:val="6"/>
      </w:numPr>
      <w:snapToGrid w:val="0"/>
      <w:contextualSpacing/>
    </w:pPr>
    <w:rPr>
      <w:rFonts w:ascii="Georgia" w:hAnsi="Georgia"/>
      <w:sz w:val="20"/>
      <w:lang w:eastAsia="en-US"/>
    </w:rPr>
  </w:style>
  <w:style w:type="paragraph" w:styleId="ListNumber2">
    <w:name w:val="List Number 2"/>
    <w:basedOn w:val="ListNumber"/>
    <w:uiPriority w:val="13"/>
    <w:semiHidden/>
    <w:unhideWhenUsed/>
    <w:qFormat/>
    <w:rsid w:val="00EE275B"/>
    <w:pPr>
      <w:numPr>
        <w:ilvl w:val="1"/>
      </w:numPr>
    </w:pPr>
  </w:style>
  <w:style w:type="paragraph" w:styleId="ListNumber3">
    <w:name w:val="List Number 3"/>
    <w:basedOn w:val="ListNumber2"/>
    <w:uiPriority w:val="13"/>
    <w:semiHidden/>
    <w:unhideWhenUsed/>
    <w:qFormat/>
    <w:rsid w:val="00EE275B"/>
    <w:pPr>
      <w:numPr>
        <w:ilvl w:val="2"/>
      </w:numPr>
    </w:pPr>
  </w:style>
  <w:style w:type="paragraph" w:styleId="ListNumber4">
    <w:name w:val="List Number 4"/>
    <w:basedOn w:val="ListNumber3"/>
    <w:uiPriority w:val="13"/>
    <w:semiHidden/>
    <w:unhideWhenUsed/>
    <w:rsid w:val="00EE275B"/>
    <w:pPr>
      <w:numPr>
        <w:ilvl w:val="3"/>
      </w:numPr>
    </w:pPr>
  </w:style>
  <w:style w:type="paragraph" w:styleId="ListNumber5">
    <w:name w:val="List Number 5"/>
    <w:basedOn w:val="ListNumber4"/>
    <w:uiPriority w:val="13"/>
    <w:semiHidden/>
    <w:unhideWhenUsed/>
    <w:rsid w:val="00EE275B"/>
    <w:pPr>
      <w:numPr>
        <w:ilvl w:val="4"/>
      </w:numPr>
    </w:pPr>
  </w:style>
  <w:style w:type="paragraph" w:customStyle="1" w:styleId="Minorheading2">
    <w:name w:val="Minor heading 2"/>
    <w:basedOn w:val="Normal"/>
    <w:next w:val="PwCNormal"/>
    <w:rsid w:val="00EE275B"/>
    <w:pPr>
      <w:keepNext/>
      <w:keepLines/>
      <w:snapToGrid w:val="0"/>
      <w:spacing w:before="240" w:after="40" w:line="240" w:lineRule="atLeast"/>
    </w:pPr>
    <w:rPr>
      <w:rFonts w:asciiTheme="majorHAnsi" w:hAnsiTheme="majorHAnsi"/>
      <w:b/>
      <w:color w:val="333132" w:themeColor="text2"/>
      <w:sz w:val="20"/>
      <w:lang w:eastAsia="en-US"/>
    </w:rPr>
  </w:style>
  <w:style w:type="table" w:styleId="LightShading-Accent1">
    <w:name w:val="Light Shading Accent 1"/>
    <w:basedOn w:val="TableNormal"/>
    <w:uiPriority w:val="60"/>
    <w:semiHidden/>
    <w:unhideWhenUsed/>
    <w:rsid w:val="00E42C18"/>
    <w:rPr>
      <w:color w:val="003100" w:themeColor="accent1" w:themeShade="BF"/>
    </w:rPr>
    <w:tblPr>
      <w:tblStyleRowBandSize w:val="1"/>
      <w:tblStyleColBandSize w:val="1"/>
      <w:tblInd w:w="0" w:type="nil"/>
      <w:tblBorders>
        <w:top w:val="single" w:sz="8" w:space="0" w:color="004200" w:themeColor="accent1"/>
        <w:bottom w:val="single" w:sz="8" w:space="0" w:color="004200" w:themeColor="accent1"/>
      </w:tblBorders>
    </w:tblPr>
    <w:tblStylePr w:type="fir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character" w:customStyle="1" w:styleId="HeaderChar">
    <w:name w:val="Header Char"/>
    <w:basedOn w:val="DefaultParagraphFont"/>
    <w:link w:val="Header"/>
    <w:uiPriority w:val="99"/>
    <w:rsid w:val="00DD516D"/>
    <w:rPr>
      <w:rFonts w:ascii="Arial" w:hAnsi="Arial"/>
      <w:b/>
      <w:sz w:val="16"/>
      <w:szCs w:val="24"/>
    </w:rPr>
  </w:style>
  <w:style w:type="table" w:customStyle="1" w:styleId="GridTable4-Accent21">
    <w:name w:val="Grid Table 4 - Accent 21"/>
    <w:basedOn w:val="TableNormal"/>
    <w:uiPriority w:val="49"/>
    <w:rsid w:val="00E944A2"/>
    <w:tblPr>
      <w:tblStyleRowBandSize w:val="1"/>
      <w:tblStyleColBandSize w:val="1"/>
      <w:tblBorders>
        <w:top w:val="single" w:sz="4" w:space="0" w:color="1FFF1F" w:themeColor="accent2" w:themeTint="99"/>
        <w:left w:val="single" w:sz="4" w:space="0" w:color="1FFF1F" w:themeColor="accent2" w:themeTint="99"/>
        <w:bottom w:val="single" w:sz="4" w:space="0" w:color="1FFF1F" w:themeColor="accent2" w:themeTint="99"/>
        <w:right w:val="single" w:sz="4" w:space="0" w:color="1FFF1F" w:themeColor="accent2" w:themeTint="99"/>
        <w:insideH w:val="single" w:sz="4" w:space="0" w:color="1FFF1F" w:themeColor="accent2" w:themeTint="99"/>
        <w:insideV w:val="single" w:sz="4" w:space="0" w:color="1FFF1F" w:themeColor="accent2" w:themeTint="99"/>
      </w:tblBorders>
    </w:tblPr>
    <w:tblStylePr w:type="firstRow">
      <w:rPr>
        <w:b/>
        <w:bCs/>
        <w:color w:val="FFFFFF" w:themeColor="background1"/>
      </w:rPr>
      <w:tblPr/>
      <w:tcPr>
        <w:tcBorders>
          <w:top w:val="single" w:sz="4" w:space="0" w:color="008A00" w:themeColor="accent2"/>
          <w:left w:val="single" w:sz="4" w:space="0" w:color="008A00" w:themeColor="accent2"/>
          <w:bottom w:val="single" w:sz="4" w:space="0" w:color="008A00" w:themeColor="accent2"/>
          <w:right w:val="single" w:sz="4" w:space="0" w:color="008A00" w:themeColor="accent2"/>
          <w:insideH w:val="nil"/>
          <w:insideV w:val="nil"/>
        </w:tcBorders>
        <w:shd w:val="clear" w:color="auto" w:fill="008A00" w:themeFill="accent2"/>
      </w:tcPr>
    </w:tblStylePr>
    <w:tblStylePr w:type="lastRow">
      <w:rPr>
        <w:b/>
        <w:bCs/>
      </w:rPr>
      <w:tblPr/>
      <w:tcPr>
        <w:tcBorders>
          <w:top w:val="double" w:sz="4" w:space="0" w:color="008A00" w:themeColor="accent2"/>
        </w:tcBorders>
      </w:tcPr>
    </w:tblStylePr>
    <w:tblStylePr w:type="firstCol">
      <w:rPr>
        <w:b/>
        <w:bCs/>
      </w:rPr>
    </w:tblStylePr>
    <w:tblStylePr w:type="lastCol">
      <w:rPr>
        <w:b/>
        <w:bCs/>
      </w:rPr>
    </w:tblStylePr>
    <w:tblStylePr w:type="band1Vert">
      <w:tblPr/>
      <w:tcPr>
        <w:shd w:val="clear" w:color="auto" w:fill="B4FFB4" w:themeFill="accent2" w:themeFillTint="33"/>
      </w:tcPr>
    </w:tblStylePr>
    <w:tblStylePr w:type="band1Horz">
      <w:tblPr/>
      <w:tcPr>
        <w:shd w:val="clear" w:color="auto" w:fill="B4FFB4" w:themeFill="accent2" w:themeFillTint="33"/>
      </w:tcPr>
    </w:tblStylePr>
  </w:style>
  <w:style w:type="character" w:styleId="LineNumber">
    <w:name w:val="line number"/>
    <w:basedOn w:val="DefaultParagraphFont"/>
    <w:semiHidden/>
    <w:unhideWhenUsed/>
    <w:rsid w:val="009C4441"/>
  </w:style>
  <w:style w:type="paragraph" w:styleId="TableofFigures">
    <w:name w:val="table of figures"/>
    <w:basedOn w:val="Normal"/>
    <w:next w:val="Normal"/>
    <w:uiPriority w:val="99"/>
    <w:unhideWhenUsed/>
    <w:rsid w:val="006F21D0"/>
    <w:pPr>
      <w:snapToGrid w:val="0"/>
    </w:pPr>
    <w:rPr>
      <w:rFonts w:asciiTheme="majorHAnsi" w:hAnsiTheme="majorHAnsi"/>
      <w:sz w:val="20"/>
      <w:lang w:eastAsia="en-US"/>
    </w:rPr>
  </w:style>
  <w:style w:type="character" w:styleId="PlaceholderText">
    <w:name w:val="Placeholder Text"/>
    <w:basedOn w:val="DefaultParagraphFont"/>
    <w:uiPriority w:val="99"/>
    <w:semiHidden/>
    <w:rsid w:val="00D57F91"/>
    <w:rPr>
      <w:color w:val="808080"/>
    </w:rPr>
  </w:style>
  <w:style w:type="numbering" w:customStyle="1" w:styleId="TableNumberdListNormal">
    <w:name w:val="Table Numberd List Normal"/>
    <w:uiPriority w:val="99"/>
    <w:rsid w:val="003D7C5F"/>
    <w:pPr>
      <w:numPr>
        <w:numId w:val="11"/>
      </w:numPr>
    </w:pPr>
  </w:style>
  <w:style w:type="table" w:customStyle="1" w:styleId="PlainTable31">
    <w:name w:val="Plain Table 31"/>
    <w:basedOn w:val="TableNormal"/>
    <w:uiPriority w:val="43"/>
    <w:rsid w:val="00DF57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semiHidden/>
    <w:rsid w:val="006E4F88"/>
    <w:rPr>
      <w:rFonts w:asciiTheme="majorHAnsi" w:eastAsiaTheme="majorEastAsia" w:hAnsiTheme="majorHAnsi" w:cstheme="majorBidi"/>
      <w:i/>
      <w:iCs/>
      <w:color w:val="002000" w:themeColor="accent1" w:themeShade="7F"/>
    </w:rPr>
  </w:style>
  <w:style w:type="character" w:customStyle="1" w:styleId="Heading8Char">
    <w:name w:val="Heading 8 Char"/>
    <w:basedOn w:val="DefaultParagraphFont"/>
    <w:link w:val="Heading8"/>
    <w:semiHidden/>
    <w:rsid w:val="006E4F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4F8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5AA8"/>
    <w:rPr>
      <w:szCs w:val="24"/>
    </w:rPr>
  </w:style>
  <w:style w:type="paragraph" w:styleId="Caption">
    <w:name w:val="caption"/>
    <w:basedOn w:val="Normal"/>
    <w:next w:val="Normal"/>
    <w:unhideWhenUsed/>
    <w:qFormat/>
    <w:rsid w:val="00A56D5D"/>
    <w:pPr>
      <w:spacing w:after="200"/>
    </w:pPr>
    <w:rPr>
      <w:i/>
      <w:iCs/>
      <w:color w:val="333132" w:themeColor="text2"/>
      <w:sz w:val="18"/>
      <w:szCs w:val="18"/>
    </w:rPr>
  </w:style>
  <w:style w:type="paragraph" w:customStyle="1" w:styleId="Heading2-nonumbers">
    <w:name w:val="Heading 2 - no numbers"/>
    <w:basedOn w:val="Heading2"/>
    <w:link w:val="Heading2-nonumbersChar"/>
    <w:uiPriority w:val="1"/>
    <w:qFormat/>
    <w:rsid w:val="00683C93"/>
    <w:pPr>
      <w:ind w:left="576" w:hanging="576"/>
    </w:pPr>
  </w:style>
  <w:style w:type="character" w:customStyle="1" w:styleId="Heading2-nonumbersChar">
    <w:name w:val="Heading 2 - no numbers Char"/>
    <w:basedOn w:val="Heading2Char"/>
    <w:link w:val="Heading2-nonumbers"/>
    <w:uiPriority w:val="1"/>
    <w:rsid w:val="00683C93"/>
    <w:rPr>
      <w:rFonts w:asciiTheme="majorHAnsi" w:hAnsiTheme="majorHAnsi"/>
      <w:b/>
      <w:sz w:val="28"/>
      <w:szCs w:val="44"/>
    </w:rPr>
  </w:style>
  <w:style w:type="character" w:styleId="IntenseReference">
    <w:name w:val="Intense Reference"/>
    <w:basedOn w:val="DefaultParagraphFont"/>
    <w:uiPriority w:val="32"/>
    <w:qFormat/>
    <w:rsid w:val="00296E3C"/>
    <w:rPr>
      <w:b/>
      <w:bCs/>
      <w:i/>
      <w:smallCaps/>
      <w:color w:val="008A00" w:themeColor="accent2"/>
      <w:spacing w:val="5"/>
      <w:u w:val="none"/>
    </w:rPr>
  </w:style>
  <w:style w:type="paragraph" w:customStyle="1" w:styleId="TableHeadings3">
    <w:name w:val="Table Headings 3"/>
    <w:basedOn w:val="Tablesheadings"/>
    <w:link w:val="TableHeadings3Char"/>
    <w:uiPriority w:val="1"/>
    <w:qFormat/>
    <w:rsid w:val="00E763E2"/>
    <w:pPr>
      <w:spacing w:after="60"/>
    </w:pPr>
    <w:rPr>
      <w:color w:val="004200" w:themeColor="accent1"/>
      <w:sz w:val="18"/>
    </w:rPr>
  </w:style>
  <w:style w:type="paragraph" w:customStyle="1" w:styleId="Tableoffigures3">
    <w:name w:val="Table of figures 3"/>
    <w:basedOn w:val="Figureheadings"/>
    <w:link w:val="Tableoffigures3Char"/>
    <w:uiPriority w:val="1"/>
    <w:qFormat/>
    <w:rsid w:val="00FD56F8"/>
    <w:pPr>
      <w:keepNext/>
      <w:keepLines/>
    </w:pPr>
  </w:style>
  <w:style w:type="character" w:customStyle="1" w:styleId="TableHeadings3Char">
    <w:name w:val="Table Headings 3 Char"/>
    <w:basedOn w:val="TablesheadingsChar"/>
    <w:link w:val="TableHeadings3"/>
    <w:uiPriority w:val="1"/>
    <w:rsid w:val="00E763E2"/>
    <w:rPr>
      <w:rFonts w:asciiTheme="majorHAnsi" w:hAnsiTheme="majorHAnsi" w:cs="Arial"/>
      <w:b/>
      <w:bCs/>
      <w:color w:val="004200" w:themeColor="accent1"/>
      <w:sz w:val="18"/>
      <w:lang w:val="en-GB" w:eastAsia="en-US"/>
    </w:rPr>
  </w:style>
  <w:style w:type="character" w:customStyle="1" w:styleId="Tableoffigures3Char">
    <w:name w:val="Table of figures 3 Char"/>
    <w:basedOn w:val="FigureheadingsChar"/>
    <w:link w:val="Tableoffigures3"/>
    <w:uiPriority w:val="1"/>
    <w:rsid w:val="00FD56F8"/>
    <w:rPr>
      <w:rFonts w:asciiTheme="majorHAnsi" w:hAnsiTheme="majorHAnsi" w:cs="Arial"/>
      <w:b/>
      <w:bCs/>
      <w:color w:val="333132" w:themeColor="text2"/>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List Bullet" w:qFormat="1"/>
    <w:lsdException w:name="List Number" w:semiHidden="0"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52565"/>
    <w:pPr>
      <w:spacing w:after="120" w:line="260" w:lineRule="atLeast"/>
    </w:pPr>
  </w:style>
  <w:style w:type="paragraph" w:styleId="Heading1">
    <w:name w:val="heading 1"/>
    <w:basedOn w:val="Normal"/>
    <w:next w:val="Normal"/>
    <w:uiPriority w:val="2"/>
    <w:qFormat/>
    <w:rsid w:val="006200A2"/>
    <w:pPr>
      <w:keepNext/>
      <w:keepLines/>
      <w:numPr>
        <w:numId w:val="12"/>
      </w:numPr>
      <w:spacing w:after="160" w:line="264" w:lineRule="auto"/>
      <w:ind w:left="851" w:hanging="851"/>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6200A2"/>
    <w:pPr>
      <w:keepNext/>
      <w:keepLines/>
      <w:spacing w:before="360"/>
      <w:ind w:left="578" w:hanging="578"/>
      <w:contextualSpacing/>
      <w:outlineLvl w:val="1"/>
    </w:pPr>
    <w:rPr>
      <w:rFonts w:asciiTheme="majorHAnsi" w:hAnsiTheme="majorHAnsi"/>
      <w:b/>
      <w:sz w:val="28"/>
      <w:szCs w:val="28"/>
    </w:rPr>
  </w:style>
  <w:style w:type="paragraph" w:styleId="Heading3">
    <w:name w:val="heading 3"/>
    <w:basedOn w:val="Normal"/>
    <w:next w:val="Normal"/>
    <w:uiPriority w:val="2"/>
    <w:qFormat/>
    <w:rsid w:val="00302DDA"/>
    <w:pPr>
      <w:keepNext/>
      <w:keepLines/>
      <w:spacing w:before="240"/>
      <w:ind w:left="720" w:hanging="720"/>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numPr>
        <w:ilvl w:val="3"/>
        <w:numId w:val="12"/>
      </w:numPr>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numPr>
        <w:ilvl w:val="4"/>
        <w:numId w:val="12"/>
      </w:numPr>
      <w:spacing w:before="240"/>
      <w:contextualSpacing/>
      <w:outlineLvl w:val="4"/>
    </w:pPr>
    <w:rPr>
      <w:b/>
      <w:szCs w:val="22"/>
    </w:rPr>
  </w:style>
  <w:style w:type="paragraph" w:styleId="Heading6">
    <w:name w:val="heading 6"/>
    <w:basedOn w:val="Normal"/>
    <w:next w:val="Normal"/>
    <w:link w:val="Heading6Char"/>
    <w:semiHidden/>
    <w:rsid w:val="002672F1"/>
    <w:pPr>
      <w:keepNext/>
      <w:numPr>
        <w:ilvl w:val="5"/>
        <w:numId w:val="12"/>
      </w:numPr>
      <w:spacing w:before="240"/>
      <w:ind w:left="1152"/>
      <w:contextualSpacing/>
      <w:outlineLvl w:val="5"/>
    </w:pPr>
    <w:rPr>
      <w:b/>
      <w:sz w:val="20"/>
      <w:szCs w:val="22"/>
    </w:rPr>
  </w:style>
  <w:style w:type="paragraph" w:styleId="Heading7">
    <w:name w:val="heading 7"/>
    <w:basedOn w:val="Normal"/>
    <w:next w:val="Normal"/>
    <w:link w:val="Heading7Char"/>
    <w:semiHidden/>
    <w:unhideWhenUsed/>
    <w:qFormat/>
    <w:rsid w:val="006E4F88"/>
    <w:pPr>
      <w:keepNext/>
      <w:keepLines/>
      <w:numPr>
        <w:ilvl w:val="6"/>
        <w:numId w:val="12"/>
      </w:numPr>
      <w:spacing w:before="40"/>
      <w:outlineLvl w:val="6"/>
    </w:pPr>
    <w:rPr>
      <w:rFonts w:asciiTheme="majorHAnsi" w:eastAsiaTheme="majorEastAsia" w:hAnsiTheme="majorHAnsi" w:cstheme="majorBidi"/>
      <w:i/>
      <w:iCs/>
      <w:color w:val="002000" w:themeColor="accent1" w:themeShade="7F"/>
    </w:rPr>
  </w:style>
  <w:style w:type="paragraph" w:styleId="Heading8">
    <w:name w:val="heading 8"/>
    <w:basedOn w:val="Normal"/>
    <w:next w:val="Normal"/>
    <w:link w:val="Heading8Char"/>
    <w:semiHidden/>
    <w:unhideWhenUsed/>
    <w:qFormat/>
    <w:rsid w:val="006E4F8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4F8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b/>
      <w:bCs/>
      <w:color w:val="FFFFFF" w:themeColor="background1"/>
      <w:kern w:val="28"/>
      <w:sz w:val="84"/>
      <w:szCs w:val="32"/>
    </w:rPr>
  </w:style>
  <w:style w:type="paragraph" w:styleId="ListBullet">
    <w:name w:val="List Bullet"/>
    <w:basedOn w:val="Normal"/>
    <w:link w:val="ListBulletChar"/>
    <w:qFormat/>
    <w:rsid w:val="00235DEA"/>
    <w:pPr>
      <w:numPr>
        <w:numId w:val="1"/>
      </w:numPr>
      <w:spacing w:before="60" w:after="60"/>
      <w:ind w:left="714" w:hanging="357"/>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b/>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ind w:left="142" w:hanging="142"/>
    </w:p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qFormat/>
    <w:rsid w:val="00235DEA"/>
    <w:pPr>
      <w:ind w:left="714" w:hanging="357"/>
    </w:pPr>
  </w:style>
  <w:style w:type="character" w:customStyle="1" w:styleId="Heading2Char">
    <w:name w:val="Heading 2 Char"/>
    <w:basedOn w:val="DefaultParagraphFont"/>
    <w:link w:val="Heading2"/>
    <w:uiPriority w:val="2"/>
    <w:rsid w:val="006200A2"/>
    <w:rPr>
      <w:rFonts w:asciiTheme="majorHAnsi" w:hAnsiTheme="majorHAnsi"/>
      <w:b/>
      <w:sz w:val="28"/>
      <w:szCs w:val="28"/>
    </w:rPr>
  </w:style>
  <w:style w:type="paragraph" w:styleId="TOC1">
    <w:name w:val="toc 1"/>
    <w:basedOn w:val="Normal"/>
    <w:next w:val="Normal"/>
    <w:autoRedefine/>
    <w:uiPriority w:val="39"/>
    <w:rsid w:val="004A249A"/>
    <w:pPr>
      <w:tabs>
        <w:tab w:val="right" w:leader="dot" w:pos="9356"/>
      </w:tabs>
      <w:spacing w:before="240" w:after="60"/>
    </w:pPr>
    <w:rPr>
      <w:noProof/>
    </w:rPr>
  </w:style>
  <w:style w:type="paragraph" w:styleId="TOC2">
    <w:name w:val="toc 2"/>
    <w:basedOn w:val="Normal"/>
    <w:next w:val="Normal"/>
    <w:autoRedefine/>
    <w:uiPriority w:val="39"/>
    <w:rsid w:val="00D94A84"/>
    <w:pPr>
      <w:tabs>
        <w:tab w:val="left" w:pos="660"/>
        <w:tab w:val="right" w:leader="dot" w:pos="9356"/>
      </w:tabs>
      <w:spacing w:before="60" w:after="60"/>
      <w:ind w:right="90"/>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b/>
      <w:sz w:val="20"/>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numPr>
        <w:numId w:val="0"/>
      </w:numPr>
      <w:outlineLvl w:val="9"/>
    </w:pPr>
    <w:rPr>
      <w:rFonts w:eastAsiaTheme="majorEastAsia" w:cstheme="majorBidi"/>
      <w:bCs/>
      <w:szCs w:val="28"/>
    </w:rPr>
  </w:style>
  <w:style w:type="paragraph" w:customStyle="1" w:styleId="SourceNotesText">
    <w:name w:val="Source/Notes Text"/>
    <w:basedOn w:val="Normal"/>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szCs w:val="24"/>
    </w:rPr>
  </w:style>
  <w:style w:type="paragraph" w:styleId="EndnoteText">
    <w:name w:val="endnote text"/>
    <w:basedOn w:val="Normal"/>
    <w:link w:val="EndnoteTextChar"/>
    <w:semiHidden/>
    <w:rsid w:val="00EE265C"/>
    <w:rPr>
      <w:sz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after="86"/>
    </w:pPr>
    <w:rPr>
      <w:sz w:val="12"/>
      <w:szCs w:val="12"/>
      <w:lang w:val="en-US" w:eastAsia="en-US"/>
    </w:rPr>
  </w:style>
  <w:style w:type="paragraph" w:customStyle="1" w:styleId="p2">
    <w:name w:val="p2"/>
    <w:basedOn w:val="Normal"/>
    <w:rsid w:val="00C303D7"/>
    <w:rPr>
      <w:color w:val="005100"/>
      <w:sz w:val="12"/>
      <w:szCs w:val="12"/>
      <w:lang w:val="en-US" w:eastAsia="en-US"/>
    </w:rPr>
  </w:style>
  <w:style w:type="paragraph" w:customStyle="1" w:styleId="p3">
    <w:name w:val="p3"/>
    <w:basedOn w:val="Normal"/>
    <w:rsid w:val="00C303D7"/>
    <w:pPr>
      <w:spacing w:after="86"/>
    </w:pPr>
    <w:rPr>
      <w:color w:val="005100"/>
      <w:sz w:val="12"/>
      <w:szCs w:val="12"/>
      <w:lang w:val="en-US" w:eastAsia="en-US"/>
    </w:rPr>
  </w:style>
  <w:style w:type="paragraph" w:customStyle="1" w:styleId="p4">
    <w:name w:val="p4"/>
    <w:basedOn w:val="Normal"/>
    <w:rsid w:val="00C303D7"/>
    <w:rPr>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line="192" w:lineRule="exact"/>
    </w:pPr>
    <w:rPr>
      <w:b/>
      <w:bCs/>
      <w:color w:val="FFFFFF" w:themeColor="background1"/>
      <w:sz w:val="16"/>
      <w:szCs w:val="16"/>
    </w:rPr>
  </w:style>
  <w:style w:type="paragraph" w:customStyle="1" w:styleId="Act">
    <w:name w:val="Act"/>
    <w:basedOn w:val="Normal"/>
    <w:uiPriority w:val="1"/>
    <w:qFormat/>
    <w:rsid w:val="00E15D40"/>
    <w:rPr>
      <w:i/>
    </w:rPr>
  </w:style>
  <w:style w:type="paragraph" w:customStyle="1" w:styleId="Disclaimer">
    <w:name w:val="Disclaimer"/>
    <w:basedOn w:val="Normal"/>
    <w:uiPriority w:val="1"/>
    <w:qFormat/>
    <w:rsid w:val="00E15D40"/>
    <w:rPr>
      <w:i/>
    </w:rPr>
  </w:style>
  <w:style w:type="paragraph" w:customStyle="1" w:styleId="Organisationname">
    <w:name w:val="Organisation name"/>
    <w:basedOn w:val="CommentSubject"/>
    <w:autoRedefine/>
    <w:uiPriority w:val="1"/>
    <w:qFormat/>
    <w:rsid w:val="00AB099F"/>
    <w:pPr>
      <w:spacing w:after="1320"/>
    </w:pPr>
    <w:rPr>
      <w:noProof/>
      <w:color w:val="FFFFFF" w:themeColor="background1"/>
    </w:rPr>
  </w:style>
  <w:style w:type="paragraph" w:styleId="CommentText">
    <w:name w:val="annotation text"/>
    <w:basedOn w:val="Normal"/>
    <w:link w:val="CommentTextChar"/>
    <w:semiHidden/>
    <w:unhideWhenUsed/>
    <w:rsid w:val="00E15D40"/>
    <w:rPr>
      <w:sz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paragraph" w:customStyle="1" w:styleId="PwCNormal">
    <w:name w:val="PwC Normal"/>
    <w:basedOn w:val="Normal"/>
    <w:link w:val="PwCNormalChar"/>
    <w:rsid w:val="00CD0927"/>
    <w:pPr>
      <w:numPr>
        <w:numId w:val="3"/>
      </w:numPr>
      <w:snapToGrid w:val="0"/>
      <w:spacing w:after="240"/>
    </w:pPr>
    <w:rPr>
      <w:rFonts w:ascii="Georgia" w:hAnsi="Georgia"/>
      <w:sz w:val="20"/>
      <w:lang w:eastAsia="en-US"/>
    </w:rPr>
  </w:style>
  <w:style w:type="paragraph" w:customStyle="1" w:styleId="Indent1">
    <w:name w:val="Indent 1"/>
    <w:basedOn w:val="Normal"/>
    <w:rsid w:val="00CD0927"/>
    <w:pPr>
      <w:numPr>
        <w:ilvl w:val="1"/>
        <w:numId w:val="3"/>
      </w:numPr>
      <w:snapToGrid w:val="0"/>
      <w:spacing w:before="100" w:after="100"/>
    </w:pPr>
    <w:rPr>
      <w:rFonts w:ascii="Georgia" w:hAnsi="Georgia"/>
      <w:sz w:val="20"/>
      <w:lang w:eastAsia="en-US"/>
    </w:rPr>
  </w:style>
  <w:style w:type="paragraph" w:customStyle="1" w:styleId="Indent2">
    <w:name w:val="Indent 2"/>
    <w:basedOn w:val="Indent1"/>
    <w:rsid w:val="00CD0927"/>
    <w:pPr>
      <w:numPr>
        <w:ilvl w:val="2"/>
      </w:numPr>
    </w:pPr>
  </w:style>
  <w:style w:type="paragraph" w:customStyle="1" w:styleId="Indent3">
    <w:name w:val="Indent 3"/>
    <w:basedOn w:val="Indent2"/>
    <w:rsid w:val="00CD0927"/>
    <w:pPr>
      <w:numPr>
        <w:ilvl w:val="3"/>
      </w:numPr>
    </w:pPr>
  </w:style>
  <w:style w:type="paragraph" w:customStyle="1" w:styleId="Indent4">
    <w:name w:val="Indent 4"/>
    <w:basedOn w:val="Indent3"/>
    <w:rsid w:val="00CD0927"/>
    <w:pPr>
      <w:numPr>
        <w:ilvl w:val="4"/>
      </w:numPr>
    </w:pPr>
  </w:style>
  <w:style w:type="character" w:customStyle="1" w:styleId="PwCNormalChar">
    <w:name w:val="PwC Normal Char"/>
    <w:basedOn w:val="DefaultParagraphFont"/>
    <w:link w:val="PwCNormal"/>
    <w:locked/>
    <w:rsid w:val="00CD0927"/>
    <w:rPr>
      <w:rFonts w:ascii="Georgia" w:hAnsi="Georgia"/>
      <w:sz w:val="20"/>
      <w:lang w:eastAsia="en-US"/>
    </w:rPr>
  </w:style>
  <w:style w:type="character" w:customStyle="1" w:styleId="TablesheadingsChar">
    <w:name w:val="Tables headings Char"/>
    <w:basedOn w:val="DefaultParagraphFont"/>
    <w:link w:val="Tablesheadings"/>
    <w:locked/>
    <w:rsid w:val="00CD0927"/>
    <w:rPr>
      <w:rFonts w:asciiTheme="majorHAnsi" w:hAnsiTheme="majorHAnsi" w:cs="Arial"/>
      <w:b/>
      <w:bCs/>
      <w:color w:val="333132" w:themeColor="text2"/>
      <w:lang w:val="en-GB" w:eastAsia="en-US"/>
    </w:rPr>
  </w:style>
  <w:style w:type="paragraph" w:customStyle="1" w:styleId="Tablesheadings">
    <w:name w:val="Tables headings"/>
    <w:basedOn w:val="ListBullet"/>
    <w:link w:val="TablesheadingsChar"/>
    <w:qFormat/>
    <w:rsid w:val="00CD0927"/>
    <w:pPr>
      <w:numPr>
        <w:numId w:val="0"/>
      </w:numPr>
      <w:tabs>
        <w:tab w:val="left" w:pos="1418"/>
      </w:tabs>
      <w:snapToGrid w:val="0"/>
      <w:spacing w:before="0" w:after="0"/>
    </w:pPr>
    <w:rPr>
      <w:rFonts w:asciiTheme="majorHAnsi" w:hAnsiTheme="majorHAnsi"/>
      <w:b/>
      <w:bCs/>
      <w:color w:val="333132" w:themeColor="text2"/>
      <w:sz w:val="20"/>
      <w:lang w:val="en-GB" w:eastAsia="en-US"/>
    </w:rPr>
  </w:style>
  <w:style w:type="paragraph" w:customStyle="1" w:styleId="Indent5">
    <w:name w:val="Indent 5"/>
    <w:basedOn w:val="Indent4"/>
    <w:rsid w:val="00CD0927"/>
    <w:pPr>
      <w:numPr>
        <w:ilvl w:val="5"/>
      </w:numPr>
    </w:pPr>
  </w:style>
  <w:style w:type="paragraph" w:customStyle="1" w:styleId="Indent6">
    <w:name w:val="Indent 6"/>
    <w:basedOn w:val="Indent5"/>
    <w:rsid w:val="00CD0927"/>
    <w:pPr>
      <w:numPr>
        <w:ilvl w:val="6"/>
      </w:numPr>
    </w:pPr>
  </w:style>
  <w:style w:type="paragraph" w:customStyle="1" w:styleId="Indent7">
    <w:name w:val="Indent 7"/>
    <w:basedOn w:val="Indent6"/>
    <w:rsid w:val="00CD0927"/>
    <w:pPr>
      <w:numPr>
        <w:ilvl w:val="7"/>
      </w:numPr>
    </w:pPr>
  </w:style>
  <w:style w:type="paragraph" w:customStyle="1" w:styleId="Indent8">
    <w:name w:val="Indent 8"/>
    <w:basedOn w:val="Indent7"/>
    <w:rsid w:val="00CD0927"/>
    <w:pPr>
      <w:numPr>
        <w:ilvl w:val="8"/>
      </w:numPr>
    </w:pPr>
  </w:style>
  <w:style w:type="character" w:styleId="CommentReference">
    <w:name w:val="annotation reference"/>
    <w:basedOn w:val="DefaultParagraphFont"/>
    <w:semiHidden/>
    <w:unhideWhenUsed/>
    <w:rsid w:val="00CD0927"/>
    <w:rPr>
      <w:rFonts w:ascii="Georgia" w:hAnsi="Georgia" w:hint="default"/>
      <w:sz w:val="16"/>
      <w:szCs w:val="16"/>
    </w:rPr>
  </w:style>
  <w:style w:type="paragraph" w:customStyle="1" w:styleId="PrefaceTitle">
    <w:name w:val="Preface Title"/>
    <w:basedOn w:val="Heading2"/>
    <w:next w:val="PwCNormal"/>
    <w:rsid w:val="009C58FD"/>
    <w:pPr>
      <w:snapToGrid w:val="0"/>
      <w:spacing w:before="240" w:after="40"/>
      <w:contextualSpacing w:val="0"/>
    </w:pPr>
    <w:rPr>
      <w:bCs/>
      <w:i/>
      <w:iCs/>
      <w:color w:val="333132" w:themeColor="text2"/>
      <w:sz w:val="32"/>
      <w:szCs w:val="36"/>
      <w:lang w:eastAsia="en-US"/>
    </w:rPr>
  </w:style>
  <w:style w:type="table" w:customStyle="1" w:styleId="Tables-APBase">
    <w:name w:val="Tables - AP Base"/>
    <w:basedOn w:val="TableNormal"/>
    <w:rsid w:val="009C58FD"/>
    <w:rPr>
      <w:rFonts w:ascii="Georgia" w:hAnsi="Georgia"/>
    </w:rPr>
    <w:tblPr>
      <w:tblStyleRowBandSize w:val="1"/>
      <w:tblStyleColBandSize w:val="1"/>
      <w:tblInd w:w="0" w:type="nil"/>
      <w:tblBorders>
        <w:top w:val="single" w:sz="4" w:space="0" w:color="FFFFFF"/>
        <w:left w:val="single" w:sz="4" w:space="0" w:color="FFFFFF"/>
        <w:bottom w:val="single" w:sz="6" w:space="0" w:color="333132" w:themeColor="text2"/>
        <w:right w:val="single" w:sz="4" w:space="0" w:color="FFFFFF"/>
        <w:insideH w:val="dotted" w:sz="8" w:space="0" w:color="333132" w:themeColor="text2"/>
        <w:insideV w:val="single" w:sz="4" w:space="0" w:color="FFFFFF"/>
      </w:tblBorders>
    </w:tblPr>
    <w:tblStylePr w:type="firstRow">
      <w:pPr>
        <w:jc w:val="center"/>
      </w:pPr>
      <w:rPr>
        <w:rFonts w:ascii="Georgia" w:hAnsi="Georgia" w:hint="default"/>
        <w:b w:val="0"/>
        <w:color w:val="auto"/>
      </w:rPr>
      <w:tblPr/>
      <w:tcPr>
        <w:tcBorders>
          <w:top w:val="single" w:sz="4" w:space="0" w:color="333132" w:themeColor="text2"/>
          <w:bottom w:val="single" w:sz="4" w:space="0" w:color="333132" w:themeColor="text2"/>
        </w:tcBorders>
      </w:tcPr>
    </w:tblStylePr>
    <w:tblStylePr w:type="lastRow">
      <w:rPr>
        <w:color w:val="auto"/>
      </w:rPr>
      <w:tblPr/>
      <w:tcPr>
        <w:tcBorders>
          <w:top w:val="single" w:sz="4" w:space="0" w:color="333132" w:themeColor="text2"/>
        </w:tcBorders>
      </w:tcPr>
    </w:tblStylePr>
    <w:tblStylePr w:type="nwCell">
      <w:pPr>
        <w:jc w:val="left"/>
      </w:pPr>
      <w:tblPr/>
      <w:tcPr>
        <w:vAlign w:val="bottom"/>
      </w:tcPr>
    </w:tblStylePr>
  </w:style>
  <w:style w:type="paragraph" w:styleId="BodyText">
    <w:name w:val="Body Text"/>
    <w:basedOn w:val="Normal"/>
    <w:link w:val="BodyTextChar"/>
    <w:semiHidden/>
    <w:unhideWhenUsed/>
    <w:rsid w:val="00162AE0"/>
    <w:pPr>
      <w:snapToGrid w:val="0"/>
      <w:spacing w:after="240"/>
    </w:pPr>
    <w:rPr>
      <w:rFonts w:ascii="Georgia" w:hAnsi="Georgia"/>
      <w:sz w:val="20"/>
      <w:lang w:eastAsia="en-US"/>
    </w:rPr>
  </w:style>
  <w:style w:type="character" w:customStyle="1" w:styleId="BodyTextChar">
    <w:name w:val="Body Text Char"/>
    <w:basedOn w:val="DefaultParagraphFont"/>
    <w:link w:val="BodyText"/>
    <w:semiHidden/>
    <w:rsid w:val="00162AE0"/>
    <w:rPr>
      <w:rFonts w:ascii="Georgia" w:hAnsi="Georgia" w:cs="Arial"/>
      <w:lang w:eastAsia="en-US"/>
    </w:rPr>
  </w:style>
  <w:style w:type="character" w:customStyle="1" w:styleId="ListBulletChar">
    <w:name w:val="List Bullet Char"/>
    <w:basedOn w:val="DefaultParagraphFont"/>
    <w:link w:val="ListBullet"/>
    <w:locked/>
    <w:rsid w:val="00235DEA"/>
  </w:style>
  <w:style w:type="paragraph" w:styleId="ListBullet2">
    <w:name w:val="List Bullet 2"/>
    <w:basedOn w:val="Normal"/>
    <w:semiHidden/>
    <w:unhideWhenUsed/>
    <w:qFormat/>
    <w:rsid w:val="00162AE0"/>
    <w:pPr>
      <w:tabs>
        <w:tab w:val="num" w:pos="1134"/>
      </w:tabs>
      <w:snapToGrid w:val="0"/>
      <w:spacing w:after="240"/>
      <w:ind w:left="1134" w:hanging="567"/>
    </w:pPr>
    <w:rPr>
      <w:rFonts w:ascii="Georgia" w:hAnsi="Georgia"/>
      <w:sz w:val="20"/>
      <w:lang w:eastAsia="en-US"/>
    </w:rPr>
  </w:style>
  <w:style w:type="paragraph" w:styleId="ListBullet3">
    <w:name w:val="List Bullet 3"/>
    <w:basedOn w:val="ListBullet2"/>
    <w:semiHidden/>
    <w:unhideWhenUsed/>
    <w:qFormat/>
    <w:rsid w:val="00162AE0"/>
    <w:pPr>
      <w:tabs>
        <w:tab w:val="clear" w:pos="1134"/>
        <w:tab w:val="num" w:pos="1701"/>
      </w:tabs>
      <w:ind w:left="1701"/>
    </w:pPr>
  </w:style>
  <w:style w:type="paragraph" w:styleId="ListBullet4">
    <w:name w:val="List Bullet 4"/>
    <w:basedOn w:val="ListBullet3"/>
    <w:semiHidden/>
    <w:unhideWhenUsed/>
    <w:rsid w:val="00162AE0"/>
    <w:pPr>
      <w:tabs>
        <w:tab w:val="clear" w:pos="1701"/>
        <w:tab w:val="num" w:pos="2268"/>
      </w:tabs>
      <w:ind w:left="2268"/>
    </w:pPr>
  </w:style>
  <w:style w:type="paragraph" w:styleId="ListBullet5">
    <w:name w:val="List Bullet 5"/>
    <w:basedOn w:val="ListBullet4"/>
    <w:semiHidden/>
    <w:unhideWhenUsed/>
    <w:rsid w:val="00162AE0"/>
    <w:pPr>
      <w:tabs>
        <w:tab w:val="clear" w:pos="2268"/>
        <w:tab w:val="num" w:pos="2835"/>
      </w:tabs>
      <w:ind w:left="2835"/>
      <w:contextualSpacing/>
    </w:pPr>
  </w:style>
  <w:style w:type="paragraph" w:customStyle="1" w:styleId="AppendixNumberLong">
    <w:name w:val="Appendix Number (Long)"/>
    <w:basedOn w:val="Heading3"/>
    <w:next w:val="Heading3"/>
    <w:rsid w:val="00162AE0"/>
    <w:pPr>
      <w:numPr>
        <w:ilvl w:val="5"/>
        <w:numId w:val="4"/>
      </w:numPr>
      <w:snapToGrid w:val="0"/>
      <w:spacing w:before="0"/>
      <w:contextualSpacing w:val="0"/>
    </w:pPr>
    <w:rPr>
      <w:rFonts w:ascii="Georgia" w:hAnsi="Georgia"/>
      <w:bCs/>
      <w:color w:val="333132" w:themeColor="text2"/>
      <w:sz w:val="20"/>
      <w:szCs w:val="20"/>
      <w:lang w:eastAsia="en-US"/>
    </w:rPr>
  </w:style>
  <w:style w:type="paragraph" w:customStyle="1" w:styleId="ChapterNumberedList1">
    <w:name w:val="Chapter Numbered List 1"/>
    <w:basedOn w:val="PwCNormal"/>
    <w:rsid w:val="00162AE0"/>
    <w:pPr>
      <w:numPr>
        <w:ilvl w:val="7"/>
        <w:numId w:val="4"/>
      </w:numPr>
      <w:tabs>
        <w:tab w:val="num" w:pos="360"/>
      </w:tabs>
      <w:ind w:left="3969" w:firstLine="0"/>
    </w:pPr>
  </w:style>
  <w:style w:type="paragraph" w:customStyle="1" w:styleId="ChapterNumberedList2">
    <w:name w:val="Chapter Numbered List 2"/>
    <w:basedOn w:val="ChapterNumberedList1"/>
    <w:rsid w:val="00162AE0"/>
    <w:pPr>
      <w:numPr>
        <w:ilvl w:val="8"/>
      </w:numPr>
      <w:tabs>
        <w:tab w:val="num" w:pos="360"/>
        <w:tab w:val="num" w:pos="567"/>
      </w:tabs>
    </w:pPr>
  </w:style>
  <w:style w:type="character" w:customStyle="1" w:styleId="FigureheadingsChar">
    <w:name w:val="Figure headings Char"/>
    <w:basedOn w:val="TablesheadingsChar"/>
    <w:link w:val="Figureheadings"/>
    <w:locked/>
    <w:rsid w:val="00162AE0"/>
    <w:rPr>
      <w:rFonts w:asciiTheme="majorHAnsi" w:hAnsiTheme="majorHAnsi" w:cs="Arial"/>
      <w:b/>
      <w:bCs/>
      <w:color w:val="333132" w:themeColor="text2"/>
      <w:lang w:val="en-GB" w:eastAsia="en-US"/>
    </w:rPr>
  </w:style>
  <w:style w:type="paragraph" w:customStyle="1" w:styleId="Figureheadings">
    <w:name w:val="Figure headings"/>
    <w:basedOn w:val="Tablesheadings"/>
    <w:link w:val="FigureheadingsChar"/>
    <w:qFormat/>
    <w:rsid w:val="00162AE0"/>
  </w:style>
  <w:style w:type="character" w:customStyle="1" w:styleId="FooterChar">
    <w:name w:val="Footer Char"/>
    <w:basedOn w:val="DefaultParagraphFont"/>
    <w:link w:val="Footer"/>
    <w:uiPriority w:val="99"/>
    <w:rsid w:val="00900B6D"/>
    <w:rPr>
      <w:rFonts w:ascii="Arial" w:hAnsi="Arial"/>
      <w:b/>
      <w:sz w:val="16"/>
      <w:szCs w:val="24"/>
    </w:rPr>
  </w:style>
  <w:style w:type="paragraph" w:styleId="ListNumber">
    <w:name w:val="List Number"/>
    <w:basedOn w:val="Normal"/>
    <w:uiPriority w:val="13"/>
    <w:unhideWhenUsed/>
    <w:qFormat/>
    <w:rsid w:val="00EE275B"/>
    <w:pPr>
      <w:numPr>
        <w:numId w:val="6"/>
      </w:numPr>
      <w:snapToGrid w:val="0"/>
      <w:contextualSpacing/>
    </w:pPr>
    <w:rPr>
      <w:rFonts w:ascii="Georgia" w:hAnsi="Georgia"/>
      <w:sz w:val="20"/>
      <w:lang w:eastAsia="en-US"/>
    </w:rPr>
  </w:style>
  <w:style w:type="paragraph" w:styleId="ListNumber2">
    <w:name w:val="List Number 2"/>
    <w:basedOn w:val="ListNumber"/>
    <w:uiPriority w:val="13"/>
    <w:semiHidden/>
    <w:unhideWhenUsed/>
    <w:qFormat/>
    <w:rsid w:val="00EE275B"/>
    <w:pPr>
      <w:numPr>
        <w:ilvl w:val="1"/>
      </w:numPr>
    </w:pPr>
  </w:style>
  <w:style w:type="paragraph" w:styleId="ListNumber3">
    <w:name w:val="List Number 3"/>
    <w:basedOn w:val="ListNumber2"/>
    <w:uiPriority w:val="13"/>
    <w:semiHidden/>
    <w:unhideWhenUsed/>
    <w:qFormat/>
    <w:rsid w:val="00EE275B"/>
    <w:pPr>
      <w:numPr>
        <w:ilvl w:val="2"/>
      </w:numPr>
    </w:pPr>
  </w:style>
  <w:style w:type="paragraph" w:styleId="ListNumber4">
    <w:name w:val="List Number 4"/>
    <w:basedOn w:val="ListNumber3"/>
    <w:uiPriority w:val="13"/>
    <w:semiHidden/>
    <w:unhideWhenUsed/>
    <w:rsid w:val="00EE275B"/>
    <w:pPr>
      <w:numPr>
        <w:ilvl w:val="3"/>
      </w:numPr>
    </w:pPr>
  </w:style>
  <w:style w:type="paragraph" w:styleId="ListNumber5">
    <w:name w:val="List Number 5"/>
    <w:basedOn w:val="ListNumber4"/>
    <w:uiPriority w:val="13"/>
    <w:semiHidden/>
    <w:unhideWhenUsed/>
    <w:rsid w:val="00EE275B"/>
    <w:pPr>
      <w:numPr>
        <w:ilvl w:val="4"/>
      </w:numPr>
    </w:pPr>
  </w:style>
  <w:style w:type="paragraph" w:customStyle="1" w:styleId="Minorheading2">
    <w:name w:val="Minor heading 2"/>
    <w:basedOn w:val="Normal"/>
    <w:next w:val="PwCNormal"/>
    <w:rsid w:val="00EE275B"/>
    <w:pPr>
      <w:keepNext/>
      <w:keepLines/>
      <w:snapToGrid w:val="0"/>
      <w:spacing w:before="240" w:after="40" w:line="240" w:lineRule="atLeast"/>
    </w:pPr>
    <w:rPr>
      <w:rFonts w:asciiTheme="majorHAnsi" w:hAnsiTheme="majorHAnsi"/>
      <w:b/>
      <w:color w:val="333132" w:themeColor="text2"/>
      <w:sz w:val="20"/>
      <w:lang w:eastAsia="en-US"/>
    </w:rPr>
  </w:style>
  <w:style w:type="table" w:styleId="LightShading-Accent1">
    <w:name w:val="Light Shading Accent 1"/>
    <w:basedOn w:val="TableNormal"/>
    <w:uiPriority w:val="60"/>
    <w:semiHidden/>
    <w:unhideWhenUsed/>
    <w:rsid w:val="00E42C18"/>
    <w:rPr>
      <w:color w:val="003100" w:themeColor="accent1" w:themeShade="BF"/>
    </w:rPr>
    <w:tblPr>
      <w:tblStyleRowBandSize w:val="1"/>
      <w:tblStyleColBandSize w:val="1"/>
      <w:tblInd w:w="0" w:type="nil"/>
      <w:tblBorders>
        <w:top w:val="single" w:sz="8" w:space="0" w:color="004200" w:themeColor="accent1"/>
        <w:bottom w:val="single" w:sz="8" w:space="0" w:color="004200" w:themeColor="accent1"/>
      </w:tblBorders>
    </w:tblPr>
    <w:tblStylePr w:type="fir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character" w:customStyle="1" w:styleId="HeaderChar">
    <w:name w:val="Header Char"/>
    <w:basedOn w:val="DefaultParagraphFont"/>
    <w:link w:val="Header"/>
    <w:uiPriority w:val="99"/>
    <w:rsid w:val="00DD516D"/>
    <w:rPr>
      <w:rFonts w:ascii="Arial" w:hAnsi="Arial"/>
      <w:b/>
      <w:sz w:val="16"/>
      <w:szCs w:val="24"/>
    </w:rPr>
  </w:style>
  <w:style w:type="table" w:customStyle="1" w:styleId="GridTable4-Accent21">
    <w:name w:val="Grid Table 4 - Accent 21"/>
    <w:basedOn w:val="TableNormal"/>
    <w:uiPriority w:val="49"/>
    <w:rsid w:val="00E944A2"/>
    <w:tblPr>
      <w:tblStyleRowBandSize w:val="1"/>
      <w:tblStyleColBandSize w:val="1"/>
      <w:tblBorders>
        <w:top w:val="single" w:sz="4" w:space="0" w:color="1FFF1F" w:themeColor="accent2" w:themeTint="99"/>
        <w:left w:val="single" w:sz="4" w:space="0" w:color="1FFF1F" w:themeColor="accent2" w:themeTint="99"/>
        <w:bottom w:val="single" w:sz="4" w:space="0" w:color="1FFF1F" w:themeColor="accent2" w:themeTint="99"/>
        <w:right w:val="single" w:sz="4" w:space="0" w:color="1FFF1F" w:themeColor="accent2" w:themeTint="99"/>
        <w:insideH w:val="single" w:sz="4" w:space="0" w:color="1FFF1F" w:themeColor="accent2" w:themeTint="99"/>
        <w:insideV w:val="single" w:sz="4" w:space="0" w:color="1FFF1F" w:themeColor="accent2" w:themeTint="99"/>
      </w:tblBorders>
    </w:tblPr>
    <w:tblStylePr w:type="firstRow">
      <w:rPr>
        <w:b/>
        <w:bCs/>
        <w:color w:val="FFFFFF" w:themeColor="background1"/>
      </w:rPr>
      <w:tblPr/>
      <w:tcPr>
        <w:tcBorders>
          <w:top w:val="single" w:sz="4" w:space="0" w:color="008A00" w:themeColor="accent2"/>
          <w:left w:val="single" w:sz="4" w:space="0" w:color="008A00" w:themeColor="accent2"/>
          <w:bottom w:val="single" w:sz="4" w:space="0" w:color="008A00" w:themeColor="accent2"/>
          <w:right w:val="single" w:sz="4" w:space="0" w:color="008A00" w:themeColor="accent2"/>
          <w:insideH w:val="nil"/>
          <w:insideV w:val="nil"/>
        </w:tcBorders>
        <w:shd w:val="clear" w:color="auto" w:fill="008A00" w:themeFill="accent2"/>
      </w:tcPr>
    </w:tblStylePr>
    <w:tblStylePr w:type="lastRow">
      <w:rPr>
        <w:b/>
        <w:bCs/>
      </w:rPr>
      <w:tblPr/>
      <w:tcPr>
        <w:tcBorders>
          <w:top w:val="double" w:sz="4" w:space="0" w:color="008A00" w:themeColor="accent2"/>
        </w:tcBorders>
      </w:tcPr>
    </w:tblStylePr>
    <w:tblStylePr w:type="firstCol">
      <w:rPr>
        <w:b/>
        <w:bCs/>
      </w:rPr>
    </w:tblStylePr>
    <w:tblStylePr w:type="lastCol">
      <w:rPr>
        <w:b/>
        <w:bCs/>
      </w:rPr>
    </w:tblStylePr>
    <w:tblStylePr w:type="band1Vert">
      <w:tblPr/>
      <w:tcPr>
        <w:shd w:val="clear" w:color="auto" w:fill="B4FFB4" w:themeFill="accent2" w:themeFillTint="33"/>
      </w:tcPr>
    </w:tblStylePr>
    <w:tblStylePr w:type="band1Horz">
      <w:tblPr/>
      <w:tcPr>
        <w:shd w:val="clear" w:color="auto" w:fill="B4FFB4" w:themeFill="accent2" w:themeFillTint="33"/>
      </w:tcPr>
    </w:tblStylePr>
  </w:style>
  <w:style w:type="character" w:styleId="LineNumber">
    <w:name w:val="line number"/>
    <w:basedOn w:val="DefaultParagraphFont"/>
    <w:semiHidden/>
    <w:unhideWhenUsed/>
    <w:rsid w:val="009C4441"/>
  </w:style>
  <w:style w:type="paragraph" w:styleId="TableofFigures">
    <w:name w:val="table of figures"/>
    <w:basedOn w:val="Normal"/>
    <w:next w:val="Normal"/>
    <w:uiPriority w:val="99"/>
    <w:unhideWhenUsed/>
    <w:rsid w:val="006F21D0"/>
    <w:pPr>
      <w:snapToGrid w:val="0"/>
    </w:pPr>
    <w:rPr>
      <w:rFonts w:asciiTheme="majorHAnsi" w:hAnsiTheme="majorHAnsi"/>
      <w:sz w:val="20"/>
      <w:lang w:eastAsia="en-US"/>
    </w:rPr>
  </w:style>
  <w:style w:type="character" w:styleId="PlaceholderText">
    <w:name w:val="Placeholder Text"/>
    <w:basedOn w:val="DefaultParagraphFont"/>
    <w:uiPriority w:val="99"/>
    <w:semiHidden/>
    <w:rsid w:val="00D57F91"/>
    <w:rPr>
      <w:color w:val="808080"/>
    </w:rPr>
  </w:style>
  <w:style w:type="numbering" w:customStyle="1" w:styleId="TableNumberdListNormal">
    <w:name w:val="Table Numberd List Normal"/>
    <w:uiPriority w:val="99"/>
    <w:rsid w:val="003D7C5F"/>
    <w:pPr>
      <w:numPr>
        <w:numId w:val="11"/>
      </w:numPr>
    </w:pPr>
  </w:style>
  <w:style w:type="table" w:customStyle="1" w:styleId="PlainTable31">
    <w:name w:val="Plain Table 31"/>
    <w:basedOn w:val="TableNormal"/>
    <w:uiPriority w:val="43"/>
    <w:rsid w:val="00DF57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semiHidden/>
    <w:rsid w:val="006E4F88"/>
    <w:rPr>
      <w:rFonts w:asciiTheme="majorHAnsi" w:eastAsiaTheme="majorEastAsia" w:hAnsiTheme="majorHAnsi" w:cstheme="majorBidi"/>
      <w:i/>
      <w:iCs/>
      <w:color w:val="002000" w:themeColor="accent1" w:themeShade="7F"/>
    </w:rPr>
  </w:style>
  <w:style w:type="character" w:customStyle="1" w:styleId="Heading8Char">
    <w:name w:val="Heading 8 Char"/>
    <w:basedOn w:val="DefaultParagraphFont"/>
    <w:link w:val="Heading8"/>
    <w:semiHidden/>
    <w:rsid w:val="006E4F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4F8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5AA8"/>
    <w:rPr>
      <w:szCs w:val="24"/>
    </w:rPr>
  </w:style>
  <w:style w:type="paragraph" w:styleId="Caption">
    <w:name w:val="caption"/>
    <w:basedOn w:val="Normal"/>
    <w:next w:val="Normal"/>
    <w:unhideWhenUsed/>
    <w:qFormat/>
    <w:rsid w:val="00A56D5D"/>
    <w:pPr>
      <w:spacing w:after="200"/>
    </w:pPr>
    <w:rPr>
      <w:i/>
      <w:iCs/>
      <w:color w:val="333132" w:themeColor="text2"/>
      <w:sz w:val="18"/>
      <w:szCs w:val="18"/>
    </w:rPr>
  </w:style>
  <w:style w:type="paragraph" w:customStyle="1" w:styleId="Heading2-nonumbers">
    <w:name w:val="Heading 2 - no numbers"/>
    <w:basedOn w:val="Heading2"/>
    <w:link w:val="Heading2-nonumbersChar"/>
    <w:uiPriority w:val="1"/>
    <w:qFormat/>
    <w:rsid w:val="00683C93"/>
    <w:pPr>
      <w:ind w:left="576" w:hanging="576"/>
    </w:pPr>
  </w:style>
  <w:style w:type="character" w:customStyle="1" w:styleId="Heading2-nonumbersChar">
    <w:name w:val="Heading 2 - no numbers Char"/>
    <w:basedOn w:val="Heading2Char"/>
    <w:link w:val="Heading2-nonumbers"/>
    <w:uiPriority w:val="1"/>
    <w:rsid w:val="00683C93"/>
    <w:rPr>
      <w:rFonts w:asciiTheme="majorHAnsi" w:hAnsiTheme="majorHAnsi"/>
      <w:b/>
      <w:sz w:val="28"/>
      <w:szCs w:val="44"/>
    </w:rPr>
  </w:style>
  <w:style w:type="character" w:styleId="IntenseReference">
    <w:name w:val="Intense Reference"/>
    <w:basedOn w:val="DefaultParagraphFont"/>
    <w:uiPriority w:val="32"/>
    <w:qFormat/>
    <w:rsid w:val="00296E3C"/>
    <w:rPr>
      <w:b/>
      <w:bCs/>
      <w:i/>
      <w:smallCaps/>
      <w:color w:val="008A00" w:themeColor="accent2"/>
      <w:spacing w:val="5"/>
      <w:u w:val="none"/>
    </w:rPr>
  </w:style>
  <w:style w:type="paragraph" w:customStyle="1" w:styleId="TableHeadings3">
    <w:name w:val="Table Headings 3"/>
    <w:basedOn w:val="Tablesheadings"/>
    <w:link w:val="TableHeadings3Char"/>
    <w:uiPriority w:val="1"/>
    <w:qFormat/>
    <w:rsid w:val="00E763E2"/>
    <w:pPr>
      <w:spacing w:after="60"/>
    </w:pPr>
    <w:rPr>
      <w:color w:val="004200" w:themeColor="accent1"/>
      <w:sz w:val="18"/>
    </w:rPr>
  </w:style>
  <w:style w:type="paragraph" w:customStyle="1" w:styleId="Tableoffigures3">
    <w:name w:val="Table of figures 3"/>
    <w:basedOn w:val="Figureheadings"/>
    <w:link w:val="Tableoffigures3Char"/>
    <w:uiPriority w:val="1"/>
    <w:qFormat/>
    <w:rsid w:val="00FD56F8"/>
    <w:pPr>
      <w:keepNext/>
      <w:keepLines/>
    </w:pPr>
  </w:style>
  <w:style w:type="character" w:customStyle="1" w:styleId="TableHeadings3Char">
    <w:name w:val="Table Headings 3 Char"/>
    <w:basedOn w:val="TablesheadingsChar"/>
    <w:link w:val="TableHeadings3"/>
    <w:uiPriority w:val="1"/>
    <w:rsid w:val="00E763E2"/>
    <w:rPr>
      <w:rFonts w:asciiTheme="majorHAnsi" w:hAnsiTheme="majorHAnsi" w:cs="Arial"/>
      <w:b/>
      <w:bCs/>
      <w:color w:val="004200" w:themeColor="accent1"/>
      <w:sz w:val="18"/>
      <w:lang w:val="en-GB" w:eastAsia="en-US"/>
    </w:rPr>
  </w:style>
  <w:style w:type="character" w:customStyle="1" w:styleId="Tableoffigures3Char">
    <w:name w:val="Table of figures 3 Char"/>
    <w:basedOn w:val="FigureheadingsChar"/>
    <w:link w:val="Tableoffigures3"/>
    <w:uiPriority w:val="1"/>
    <w:rsid w:val="00FD56F8"/>
    <w:rPr>
      <w:rFonts w:asciiTheme="majorHAnsi" w:hAnsiTheme="majorHAnsi" w:cs="Arial"/>
      <w:b/>
      <w:bCs/>
      <w:color w:val="333132" w:themeColor="text2"/>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172">
      <w:bodyDiv w:val="1"/>
      <w:marLeft w:val="0"/>
      <w:marRight w:val="0"/>
      <w:marTop w:val="0"/>
      <w:marBottom w:val="0"/>
      <w:divBdr>
        <w:top w:val="none" w:sz="0" w:space="0" w:color="auto"/>
        <w:left w:val="none" w:sz="0" w:space="0" w:color="auto"/>
        <w:bottom w:val="none" w:sz="0" w:space="0" w:color="auto"/>
        <w:right w:val="none" w:sz="0" w:space="0" w:color="auto"/>
      </w:divBdr>
    </w:div>
    <w:div w:id="98069901">
      <w:bodyDiv w:val="1"/>
      <w:marLeft w:val="0"/>
      <w:marRight w:val="0"/>
      <w:marTop w:val="0"/>
      <w:marBottom w:val="0"/>
      <w:divBdr>
        <w:top w:val="none" w:sz="0" w:space="0" w:color="auto"/>
        <w:left w:val="none" w:sz="0" w:space="0" w:color="auto"/>
        <w:bottom w:val="none" w:sz="0" w:space="0" w:color="auto"/>
        <w:right w:val="none" w:sz="0" w:space="0" w:color="auto"/>
      </w:divBdr>
    </w:div>
    <w:div w:id="140116982">
      <w:bodyDiv w:val="1"/>
      <w:marLeft w:val="0"/>
      <w:marRight w:val="0"/>
      <w:marTop w:val="0"/>
      <w:marBottom w:val="0"/>
      <w:divBdr>
        <w:top w:val="none" w:sz="0" w:space="0" w:color="auto"/>
        <w:left w:val="none" w:sz="0" w:space="0" w:color="auto"/>
        <w:bottom w:val="none" w:sz="0" w:space="0" w:color="auto"/>
        <w:right w:val="none" w:sz="0" w:space="0" w:color="auto"/>
      </w:divBdr>
    </w:div>
    <w:div w:id="14046468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59392924">
      <w:bodyDiv w:val="1"/>
      <w:marLeft w:val="0"/>
      <w:marRight w:val="0"/>
      <w:marTop w:val="0"/>
      <w:marBottom w:val="0"/>
      <w:divBdr>
        <w:top w:val="none" w:sz="0" w:space="0" w:color="auto"/>
        <w:left w:val="none" w:sz="0" w:space="0" w:color="auto"/>
        <w:bottom w:val="none" w:sz="0" w:space="0" w:color="auto"/>
        <w:right w:val="none" w:sz="0" w:space="0" w:color="auto"/>
      </w:divBdr>
    </w:div>
    <w:div w:id="174422857">
      <w:bodyDiv w:val="1"/>
      <w:marLeft w:val="0"/>
      <w:marRight w:val="0"/>
      <w:marTop w:val="0"/>
      <w:marBottom w:val="0"/>
      <w:divBdr>
        <w:top w:val="none" w:sz="0" w:space="0" w:color="auto"/>
        <w:left w:val="none" w:sz="0" w:space="0" w:color="auto"/>
        <w:bottom w:val="none" w:sz="0" w:space="0" w:color="auto"/>
        <w:right w:val="none" w:sz="0" w:space="0" w:color="auto"/>
      </w:divBdr>
    </w:div>
    <w:div w:id="185098231">
      <w:bodyDiv w:val="1"/>
      <w:marLeft w:val="0"/>
      <w:marRight w:val="0"/>
      <w:marTop w:val="0"/>
      <w:marBottom w:val="0"/>
      <w:divBdr>
        <w:top w:val="none" w:sz="0" w:space="0" w:color="auto"/>
        <w:left w:val="none" w:sz="0" w:space="0" w:color="auto"/>
        <w:bottom w:val="none" w:sz="0" w:space="0" w:color="auto"/>
        <w:right w:val="none" w:sz="0" w:space="0" w:color="auto"/>
      </w:divBdr>
      <w:divsChild>
        <w:div w:id="1142969310">
          <w:marLeft w:val="0"/>
          <w:marRight w:val="0"/>
          <w:marTop w:val="0"/>
          <w:marBottom w:val="0"/>
          <w:divBdr>
            <w:top w:val="none" w:sz="0" w:space="0" w:color="auto"/>
            <w:left w:val="none" w:sz="0" w:space="0" w:color="auto"/>
            <w:bottom w:val="none" w:sz="0" w:space="0" w:color="auto"/>
            <w:right w:val="none" w:sz="0" w:space="0" w:color="auto"/>
          </w:divBdr>
          <w:divsChild>
            <w:div w:id="1794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710">
      <w:bodyDiv w:val="1"/>
      <w:marLeft w:val="0"/>
      <w:marRight w:val="0"/>
      <w:marTop w:val="0"/>
      <w:marBottom w:val="0"/>
      <w:divBdr>
        <w:top w:val="none" w:sz="0" w:space="0" w:color="auto"/>
        <w:left w:val="none" w:sz="0" w:space="0" w:color="auto"/>
        <w:bottom w:val="none" w:sz="0" w:space="0" w:color="auto"/>
        <w:right w:val="none" w:sz="0" w:space="0" w:color="auto"/>
      </w:divBdr>
    </w:div>
    <w:div w:id="209465336">
      <w:bodyDiv w:val="1"/>
      <w:marLeft w:val="0"/>
      <w:marRight w:val="0"/>
      <w:marTop w:val="0"/>
      <w:marBottom w:val="0"/>
      <w:divBdr>
        <w:top w:val="none" w:sz="0" w:space="0" w:color="auto"/>
        <w:left w:val="none" w:sz="0" w:space="0" w:color="auto"/>
        <w:bottom w:val="none" w:sz="0" w:space="0" w:color="auto"/>
        <w:right w:val="none" w:sz="0" w:space="0" w:color="auto"/>
      </w:divBdr>
    </w:div>
    <w:div w:id="308095776">
      <w:bodyDiv w:val="1"/>
      <w:marLeft w:val="0"/>
      <w:marRight w:val="0"/>
      <w:marTop w:val="0"/>
      <w:marBottom w:val="0"/>
      <w:divBdr>
        <w:top w:val="none" w:sz="0" w:space="0" w:color="auto"/>
        <w:left w:val="none" w:sz="0" w:space="0" w:color="auto"/>
        <w:bottom w:val="none" w:sz="0" w:space="0" w:color="auto"/>
        <w:right w:val="none" w:sz="0" w:space="0" w:color="auto"/>
      </w:divBdr>
    </w:div>
    <w:div w:id="358894949">
      <w:bodyDiv w:val="1"/>
      <w:marLeft w:val="0"/>
      <w:marRight w:val="0"/>
      <w:marTop w:val="0"/>
      <w:marBottom w:val="0"/>
      <w:divBdr>
        <w:top w:val="none" w:sz="0" w:space="0" w:color="auto"/>
        <w:left w:val="none" w:sz="0" w:space="0" w:color="auto"/>
        <w:bottom w:val="none" w:sz="0" w:space="0" w:color="auto"/>
        <w:right w:val="none" w:sz="0" w:space="0" w:color="auto"/>
      </w:divBdr>
    </w:div>
    <w:div w:id="359015617">
      <w:bodyDiv w:val="1"/>
      <w:marLeft w:val="0"/>
      <w:marRight w:val="0"/>
      <w:marTop w:val="0"/>
      <w:marBottom w:val="0"/>
      <w:divBdr>
        <w:top w:val="none" w:sz="0" w:space="0" w:color="auto"/>
        <w:left w:val="none" w:sz="0" w:space="0" w:color="auto"/>
        <w:bottom w:val="none" w:sz="0" w:space="0" w:color="auto"/>
        <w:right w:val="none" w:sz="0" w:space="0" w:color="auto"/>
      </w:divBdr>
    </w:div>
    <w:div w:id="433212029">
      <w:bodyDiv w:val="1"/>
      <w:marLeft w:val="0"/>
      <w:marRight w:val="0"/>
      <w:marTop w:val="0"/>
      <w:marBottom w:val="0"/>
      <w:divBdr>
        <w:top w:val="none" w:sz="0" w:space="0" w:color="auto"/>
        <w:left w:val="none" w:sz="0" w:space="0" w:color="auto"/>
        <w:bottom w:val="none" w:sz="0" w:space="0" w:color="auto"/>
        <w:right w:val="none" w:sz="0" w:space="0" w:color="auto"/>
      </w:divBdr>
    </w:div>
    <w:div w:id="450713967">
      <w:bodyDiv w:val="1"/>
      <w:marLeft w:val="0"/>
      <w:marRight w:val="0"/>
      <w:marTop w:val="0"/>
      <w:marBottom w:val="0"/>
      <w:divBdr>
        <w:top w:val="none" w:sz="0" w:space="0" w:color="auto"/>
        <w:left w:val="none" w:sz="0" w:space="0" w:color="auto"/>
        <w:bottom w:val="none" w:sz="0" w:space="0" w:color="auto"/>
        <w:right w:val="none" w:sz="0" w:space="0" w:color="auto"/>
      </w:divBdr>
    </w:div>
    <w:div w:id="470442725">
      <w:bodyDiv w:val="1"/>
      <w:marLeft w:val="0"/>
      <w:marRight w:val="0"/>
      <w:marTop w:val="0"/>
      <w:marBottom w:val="0"/>
      <w:divBdr>
        <w:top w:val="none" w:sz="0" w:space="0" w:color="auto"/>
        <w:left w:val="none" w:sz="0" w:space="0" w:color="auto"/>
        <w:bottom w:val="none" w:sz="0" w:space="0" w:color="auto"/>
        <w:right w:val="none" w:sz="0" w:space="0" w:color="auto"/>
      </w:divBdr>
    </w:div>
    <w:div w:id="603071125">
      <w:bodyDiv w:val="1"/>
      <w:marLeft w:val="0"/>
      <w:marRight w:val="0"/>
      <w:marTop w:val="0"/>
      <w:marBottom w:val="0"/>
      <w:divBdr>
        <w:top w:val="none" w:sz="0" w:space="0" w:color="auto"/>
        <w:left w:val="none" w:sz="0" w:space="0" w:color="auto"/>
        <w:bottom w:val="none" w:sz="0" w:space="0" w:color="auto"/>
        <w:right w:val="none" w:sz="0" w:space="0" w:color="auto"/>
      </w:divBdr>
    </w:div>
    <w:div w:id="626592193">
      <w:bodyDiv w:val="1"/>
      <w:marLeft w:val="0"/>
      <w:marRight w:val="0"/>
      <w:marTop w:val="0"/>
      <w:marBottom w:val="0"/>
      <w:divBdr>
        <w:top w:val="none" w:sz="0" w:space="0" w:color="auto"/>
        <w:left w:val="none" w:sz="0" w:space="0" w:color="auto"/>
        <w:bottom w:val="none" w:sz="0" w:space="0" w:color="auto"/>
        <w:right w:val="none" w:sz="0" w:space="0" w:color="auto"/>
      </w:divBdr>
      <w:divsChild>
        <w:div w:id="1473711179">
          <w:marLeft w:val="0"/>
          <w:marRight w:val="0"/>
          <w:marTop w:val="0"/>
          <w:marBottom w:val="0"/>
          <w:divBdr>
            <w:top w:val="none" w:sz="0" w:space="0" w:color="auto"/>
            <w:left w:val="none" w:sz="0" w:space="0" w:color="auto"/>
            <w:bottom w:val="none" w:sz="0" w:space="0" w:color="auto"/>
            <w:right w:val="none" w:sz="0" w:space="0" w:color="auto"/>
          </w:divBdr>
          <w:divsChild>
            <w:div w:id="126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850">
      <w:bodyDiv w:val="1"/>
      <w:marLeft w:val="0"/>
      <w:marRight w:val="0"/>
      <w:marTop w:val="0"/>
      <w:marBottom w:val="0"/>
      <w:divBdr>
        <w:top w:val="none" w:sz="0" w:space="0" w:color="auto"/>
        <w:left w:val="none" w:sz="0" w:space="0" w:color="auto"/>
        <w:bottom w:val="none" w:sz="0" w:space="0" w:color="auto"/>
        <w:right w:val="none" w:sz="0" w:space="0" w:color="auto"/>
      </w:divBdr>
    </w:div>
    <w:div w:id="715087955">
      <w:bodyDiv w:val="1"/>
      <w:marLeft w:val="0"/>
      <w:marRight w:val="0"/>
      <w:marTop w:val="0"/>
      <w:marBottom w:val="0"/>
      <w:divBdr>
        <w:top w:val="none" w:sz="0" w:space="0" w:color="auto"/>
        <w:left w:val="none" w:sz="0" w:space="0" w:color="auto"/>
        <w:bottom w:val="none" w:sz="0" w:space="0" w:color="auto"/>
        <w:right w:val="none" w:sz="0" w:space="0" w:color="auto"/>
      </w:divBdr>
    </w:div>
    <w:div w:id="719018134">
      <w:bodyDiv w:val="1"/>
      <w:marLeft w:val="0"/>
      <w:marRight w:val="0"/>
      <w:marTop w:val="0"/>
      <w:marBottom w:val="0"/>
      <w:divBdr>
        <w:top w:val="none" w:sz="0" w:space="0" w:color="auto"/>
        <w:left w:val="none" w:sz="0" w:space="0" w:color="auto"/>
        <w:bottom w:val="none" w:sz="0" w:space="0" w:color="auto"/>
        <w:right w:val="none" w:sz="0" w:space="0" w:color="auto"/>
      </w:divBdr>
    </w:div>
    <w:div w:id="73316562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4089854">
      <w:bodyDiv w:val="1"/>
      <w:marLeft w:val="0"/>
      <w:marRight w:val="0"/>
      <w:marTop w:val="0"/>
      <w:marBottom w:val="0"/>
      <w:divBdr>
        <w:top w:val="none" w:sz="0" w:space="0" w:color="auto"/>
        <w:left w:val="none" w:sz="0" w:space="0" w:color="auto"/>
        <w:bottom w:val="none" w:sz="0" w:space="0" w:color="auto"/>
        <w:right w:val="none" w:sz="0" w:space="0" w:color="auto"/>
      </w:divBdr>
    </w:div>
    <w:div w:id="778178764">
      <w:bodyDiv w:val="1"/>
      <w:marLeft w:val="0"/>
      <w:marRight w:val="0"/>
      <w:marTop w:val="0"/>
      <w:marBottom w:val="0"/>
      <w:divBdr>
        <w:top w:val="none" w:sz="0" w:space="0" w:color="auto"/>
        <w:left w:val="none" w:sz="0" w:space="0" w:color="auto"/>
        <w:bottom w:val="none" w:sz="0" w:space="0" w:color="auto"/>
        <w:right w:val="none" w:sz="0" w:space="0" w:color="auto"/>
      </w:divBdr>
    </w:div>
    <w:div w:id="781538570">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42816179">
      <w:bodyDiv w:val="1"/>
      <w:marLeft w:val="0"/>
      <w:marRight w:val="0"/>
      <w:marTop w:val="0"/>
      <w:marBottom w:val="0"/>
      <w:divBdr>
        <w:top w:val="none" w:sz="0" w:space="0" w:color="auto"/>
        <w:left w:val="none" w:sz="0" w:space="0" w:color="auto"/>
        <w:bottom w:val="none" w:sz="0" w:space="0" w:color="auto"/>
        <w:right w:val="none" w:sz="0" w:space="0" w:color="auto"/>
      </w:divBdr>
    </w:div>
    <w:div w:id="848329628">
      <w:bodyDiv w:val="1"/>
      <w:marLeft w:val="0"/>
      <w:marRight w:val="0"/>
      <w:marTop w:val="0"/>
      <w:marBottom w:val="0"/>
      <w:divBdr>
        <w:top w:val="none" w:sz="0" w:space="0" w:color="auto"/>
        <w:left w:val="none" w:sz="0" w:space="0" w:color="auto"/>
        <w:bottom w:val="none" w:sz="0" w:space="0" w:color="auto"/>
        <w:right w:val="none" w:sz="0" w:space="0" w:color="auto"/>
      </w:divBdr>
    </w:div>
    <w:div w:id="872956346">
      <w:bodyDiv w:val="1"/>
      <w:marLeft w:val="0"/>
      <w:marRight w:val="0"/>
      <w:marTop w:val="0"/>
      <w:marBottom w:val="0"/>
      <w:divBdr>
        <w:top w:val="none" w:sz="0" w:space="0" w:color="auto"/>
        <w:left w:val="none" w:sz="0" w:space="0" w:color="auto"/>
        <w:bottom w:val="none" w:sz="0" w:space="0" w:color="auto"/>
        <w:right w:val="none" w:sz="0" w:space="0" w:color="auto"/>
      </w:divBdr>
    </w:div>
    <w:div w:id="897399280">
      <w:bodyDiv w:val="1"/>
      <w:marLeft w:val="0"/>
      <w:marRight w:val="0"/>
      <w:marTop w:val="0"/>
      <w:marBottom w:val="0"/>
      <w:divBdr>
        <w:top w:val="none" w:sz="0" w:space="0" w:color="auto"/>
        <w:left w:val="none" w:sz="0" w:space="0" w:color="auto"/>
        <w:bottom w:val="none" w:sz="0" w:space="0" w:color="auto"/>
        <w:right w:val="none" w:sz="0" w:space="0" w:color="auto"/>
      </w:divBdr>
    </w:div>
    <w:div w:id="900943555">
      <w:bodyDiv w:val="1"/>
      <w:marLeft w:val="0"/>
      <w:marRight w:val="0"/>
      <w:marTop w:val="0"/>
      <w:marBottom w:val="0"/>
      <w:divBdr>
        <w:top w:val="none" w:sz="0" w:space="0" w:color="auto"/>
        <w:left w:val="none" w:sz="0" w:space="0" w:color="auto"/>
        <w:bottom w:val="none" w:sz="0" w:space="0" w:color="auto"/>
        <w:right w:val="none" w:sz="0" w:space="0" w:color="auto"/>
      </w:divBdr>
    </w:div>
    <w:div w:id="907157311">
      <w:bodyDiv w:val="1"/>
      <w:marLeft w:val="0"/>
      <w:marRight w:val="0"/>
      <w:marTop w:val="0"/>
      <w:marBottom w:val="0"/>
      <w:divBdr>
        <w:top w:val="none" w:sz="0" w:space="0" w:color="auto"/>
        <w:left w:val="none" w:sz="0" w:space="0" w:color="auto"/>
        <w:bottom w:val="none" w:sz="0" w:space="0" w:color="auto"/>
        <w:right w:val="none" w:sz="0" w:space="0" w:color="auto"/>
      </w:divBdr>
    </w:div>
    <w:div w:id="945818107">
      <w:bodyDiv w:val="1"/>
      <w:marLeft w:val="0"/>
      <w:marRight w:val="0"/>
      <w:marTop w:val="0"/>
      <w:marBottom w:val="0"/>
      <w:divBdr>
        <w:top w:val="none" w:sz="0" w:space="0" w:color="auto"/>
        <w:left w:val="none" w:sz="0" w:space="0" w:color="auto"/>
        <w:bottom w:val="none" w:sz="0" w:space="0" w:color="auto"/>
        <w:right w:val="none" w:sz="0" w:space="0" w:color="auto"/>
      </w:divBdr>
    </w:div>
    <w:div w:id="958292561">
      <w:bodyDiv w:val="1"/>
      <w:marLeft w:val="0"/>
      <w:marRight w:val="0"/>
      <w:marTop w:val="0"/>
      <w:marBottom w:val="0"/>
      <w:divBdr>
        <w:top w:val="none" w:sz="0" w:space="0" w:color="auto"/>
        <w:left w:val="none" w:sz="0" w:space="0" w:color="auto"/>
        <w:bottom w:val="none" w:sz="0" w:space="0" w:color="auto"/>
        <w:right w:val="none" w:sz="0" w:space="0" w:color="auto"/>
      </w:divBdr>
    </w:div>
    <w:div w:id="967709483">
      <w:bodyDiv w:val="1"/>
      <w:marLeft w:val="0"/>
      <w:marRight w:val="0"/>
      <w:marTop w:val="0"/>
      <w:marBottom w:val="0"/>
      <w:divBdr>
        <w:top w:val="none" w:sz="0" w:space="0" w:color="auto"/>
        <w:left w:val="none" w:sz="0" w:space="0" w:color="auto"/>
        <w:bottom w:val="none" w:sz="0" w:space="0" w:color="auto"/>
        <w:right w:val="none" w:sz="0" w:space="0" w:color="auto"/>
      </w:divBdr>
    </w:div>
    <w:div w:id="1016004918">
      <w:bodyDiv w:val="1"/>
      <w:marLeft w:val="0"/>
      <w:marRight w:val="0"/>
      <w:marTop w:val="0"/>
      <w:marBottom w:val="0"/>
      <w:divBdr>
        <w:top w:val="none" w:sz="0" w:space="0" w:color="auto"/>
        <w:left w:val="none" w:sz="0" w:space="0" w:color="auto"/>
        <w:bottom w:val="none" w:sz="0" w:space="0" w:color="auto"/>
        <w:right w:val="none" w:sz="0" w:space="0" w:color="auto"/>
      </w:divBdr>
    </w:div>
    <w:div w:id="1042481174">
      <w:bodyDiv w:val="1"/>
      <w:marLeft w:val="0"/>
      <w:marRight w:val="0"/>
      <w:marTop w:val="0"/>
      <w:marBottom w:val="0"/>
      <w:divBdr>
        <w:top w:val="none" w:sz="0" w:space="0" w:color="auto"/>
        <w:left w:val="none" w:sz="0" w:space="0" w:color="auto"/>
        <w:bottom w:val="none" w:sz="0" w:space="0" w:color="auto"/>
        <w:right w:val="none" w:sz="0" w:space="0" w:color="auto"/>
      </w:divBdr>
    </w:div>
    <w:div w:id="1074856765">
      <w:bodyDiv w:val="1"/>
      <w:marLeft w:val="0"/>
      <w:marRight w:val="0"/>
      <w:marTop w:val="0"/>
      <w:marBottom w:val="0"/>
      <w:divBdr>
        <w:top w:val="none" w:sz="0" w:space="0" w:color="auto"/>
        <w:left w:val="none" w:sz="0" w:space="0" w:color="auto"/>
        <w:bottom w:val="none" w:sz="0" w:space="0" w:color="auto"/>
        <w:right w:val="none" w:sz="0" w:space="0" w:color="auto"/>
      </w:divBdr>
    </w:div>
    <w:div w:id="1115717079">
      <w:bodyDiv w:val="1"/>
      <w:marLeft w:val="0"/>
      <w:marRight w:val="0"/>
      <w:marTop w:val="0"/>
      <w:marBottom w:val="0"/>
      <w:divBdr>
        <w:top w:val="none" w:sz="0" w:space="0" w:color="auto"/>
        <w:left w:val="none" w:sz="0" w:space="0" w:color="auto"/>
        <w:bottom w:val="none" w:sz="0" w:space="0" w:color="auto"/>
        <w:right w:val="none" w:sz="0" w:space="0" w:color="auto"/>
      </w:divBdr>
    </w:div>
    <w:div w:id="1122916133">
      <w:bodyDiv w:val="1"/>
      <w:marLeft w:val="0"/>
      <w:marRight w:val="0"/>
      <w:marTop w:val="0"/>
      <w:marBottom w:val="0"/>
      <w:divBdr>
        <w:top w:val="none" w:sz="0" w:space="0" w:color="auto"/>
        <w:left w:val="none" w:sz="0" w:space="0" w:color="auto"/>
        <w:bottom w:val="none" w:sz="0" w:space="0" w:color="auto"/>
        <w:right w:val="none" w:sz="0" w:space="0" w:color="auto"/>
      </w:divBdr>
    </w:div>
    <w:div w:id="1174877011">
      <w:bodyDiv w:val="1"/>
      <w:marLeft w:val="0"/>
      <w:marRight w:val="0"/>
      <w:marTop w:val="0"/>
      <w:marBottom w:val="0"/>
      <w:divBdr>
        <w:top w:val="none" w:sz="0" w:space="0" w:color="auto"/>
        <w:left w:val="none" w:sz="0" w:space="0" w:color="auto"/>
        <w:bottom w:val="none" w:sz="0" w:space="0" w:color="auto"/>
        <w:right w:val="none" w:sz="0" w:space="0" w:color="auto"/>
      </w:divBdr>
    </w:div>
    <w:div w:id="1175850070">
      <w:bodyDiv w:val="1"/>
      <w:marLeft w:val="0"/>
      <w:marRight w:val="0"/>
      <w:marTop w:val="0"/>
      <w:marBottom w:val="0"/>
      <w:divBdr>
        <w:top w:val="none" w:sz="0" w:space="0" w:color="auto"/>
        <w:left w:val="none" w:sz="0" w:space="0" w:color="auto"/>
        <w:bottom w:val="none" w:sz="0" w:space="0" w:color="auto"/>
        <w:right w:val="none" w:sz="0" w:space="0" w:color="auto"/>
      </w:divBdr>
    </w:div>
    <w:div w:id="1178274753">
      <w:bodyDiv w:val="1"/>
      <w:marLeft w:val="0"/>
      <w:marRight w:val="0"/>
      <w:marTop w:val="0"/>
      <w:marBottom w:val="0"/>
      <w:divBdr>
        <w:top w:val="none" w:sz="0" w:space="0" w:color="auto"/>
        <w:left w:val="none" w:sz="0" w:space="0" w:color="auto"/>
        <w:bottom w:val="none" w:sz="0" w:space="0" w:color="auto"/>
        <w:right w:val="none" w:sz="0" w:space="0" w:color="auto"/>
      </w:divBdr>
    </w:div>
    <w:div w:id="1179077196">
      <w:bodyDiv w:val="1"/>
      <w:marLeft w:val="0"/>
      <w:marRight w:val="0"/>
      <w:marTop w:val="0"/>
      <w:marBottom w:val="0"/>
      <w:divBdr>
        <w:top w:val="none" w:sz="0" w:space="0" w:color="auto"/>
        <w:left w:val="none" w:sz="0" w:space="0" w:color="auto"/>
        <w:bottom w:val="none" w:sz="0" w:space="0" w:color="auto"/>
        <w:right w:val="none" w:sz="0" w:space="0" w:color="auto"/>
      </w:divBdr>
    </w:div>
    <w:div w:id="1227843155">
      <w:bodyDiv w:val="1"/>
      <w:marLeft w:val="0"/>
      <w:marRight w:val="0"/>
      <w:marTop w:val="0"/>
      <w:marBottom w:val="0"/>
      <w:divBdr>
        <w:top w:val="none" w:sz="0" w:space="0" w:color="auto"/>
        <w:left w:val="none" w:sz="0" w:space="0" w:color="auto"/>
        <w:bottom w:val="none" w:sz="0" w:space="0" w:color="auto"/>
        <w:right w:val="none" w:sz="0" w:space="0" w:color="auto"/>
      </w:divBdr>
      <w:divsChild>
        <w:div w:id="1494758078">
          <w:marLeft w:val="0"/>
          <w:marRight w:val="0"/>
          <w:marTop w:val="0"/>
          <w:marBottom w:val="0"/>
          <w:divBdr>
            <w:top w:val="none" w:sz="0" w:space="0" w:color="auto"/>
            <w:left w:val="none" w:sz="0" w:space="0" w:color="auto"/>
            <w:bottom w:val="none" w:sz="0" w:space="0" w:color="auto"/>
            <w:right w:val="none" w:sz="0" w:space="0" w:color="auto"/>
          </w:divBdr>
          <w:divsChild>
            <w:div w:id="8809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919">
      <w:bodyDiv w:val="1"/>
      <w:marLeft w:val="0"/>
      <w:marRight w:val="0"/>
      <w:marTop w:val="0"/>
      <w:marBottom w:val="0"/>
      <w:divBdr>
        <w:top w:val="none" w:sz="0" w:space="0" w:color="auto"/>
        <w:left w:val="none" w:sz="0" w:space="0" w:color="auto"/>
        <w:bottom w:val="none" w:sz="0" w:space="0" w:color="auto"/>
        <w:right w:val="none" w:sz="0" w:space="0" w:color="auto"/>
      </w:divBdr>
    </w:div>
    <w:div w:id="1245140513">
      <w:bodyDiv w:val="1"/>
      <w:marLeft w:val="0"/>
      <w:marRight w:val="0"/>
      <w:marTop w:val="0"/>
      <w:marBottom w:val="0"/>
      <w:divBdr>
        <w:top w:val="none" w:sz="0" w:space="0" w:color="auto"/>
        <w:left w:val="none" w:sz="0" w:space="0" w:color="auto"/>
        <w:bottom w:val="none" w:sz="0" w:space="0" w:color="auto"/>
        <w:right w:val="none" w:sz="0" w:space="0" w:color="auto"/>
      </w:divBdr>
    </w:div>
    <w:div w:id="127304882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786671">
      <w:bodyDiv w:val="1"/>
      <w:marLeft w:val="0"/>
      <w:marRight w:val="0"/>
      <w:marTop w:val="0"/>
      <w:marBottom w:val="0"/>
      <w:divBdr>
        <w:top w:val="none" w:sz="0" w:space="0" w:color="auto"/>
        <w:left w:val="none" w:sz="0" w:space="0" w:color="auto"/>
        <w:bottom w:val="none" w:sz="0" w:space="0" w:color="auto"/>
        <w:right w:val="none" w:sz="0" w:space="0" w:color="auto"/>
      </w:divBdr>
    </w:div>
    <w:div w:id="1326517193">
      <w:bodyDiv w:val="1"/>
      <w:marLeft w:val="0"/>
      <w:marRight w:val="0"/>
      <w:marTop w:val="0"/>
      <w:marBottom w:val="0"/>
      <w:divBdr>
        <w:top w:val="none" w:sz="0" w:space="0" w:color="auto"/>
        <w:left w:val="none" w:sz="0" w:space="0" w:color="auto"/>
        <w:bottom w:val="none" w:sz="0" w:space="0" w:color="auto"/>
        <w:right w:val="none" w:sz="0" w:space="0" w:color="auto"/>
      </w:divBdr>
    </w:div>
    <w:div w:id="1338577060">
      <w:bodyDiv w:val="1"/>
      <w:marLeft w:val="0"/>
      <w:marRight w:val="0"/>
      <w:marTop w:val="0"/>
      <w:marBottom w:val="0"/>
      <w:divBdr>
        <w:top w:val="none" w:sz="0" w:space="0" w:color="auto"/>
        <w:left w:val="none" w:sz="0" w:space="0" w:color="auto"/>
        <w:bottom w:val="none" w:sz="0" w:space="0" w:color="auto"/>
        <w:right w:val="none" w:sz="0" w:space="0" w:color="auto"/>
      </w:divBdr>
    </w:div>
    <w:div w:id="1352102550">
      <w:bodyDiv w:val="1"/>
      <w:marLeft w:val="0"/>
      <w:marRight w:val="0"/>
      <w:marTop w:val="0"/>
      <w:marBottom w:val="0"/>
      <w:divBdr>
        <w:top w:val="none" w:sz="0" w:space="0" w:color="auto"/>
        <w:left w:val="none" w:sz="0" w:space="0" w:color="auto"/>
        <w:bottom w:val="none" w:sz="0" w:space="0" w:color="auto"/>
        <w:right w:val="none" w:sz="0" w:space="0" w:color="auto"/>
      </w:divBdr>
    </w:div>
    <w:div w:id="1441491413">
      <w:bodyDiv w:val="1"/>
      <w:marLeft w:val="0"/>
      <w:marRight w:val="0"/>
      <w:marTop w:val="0"/>
      <w:marBottom w:val="0"/>
      <w:divBdr>
        <w:top w:val="none" w:sz="0" w:space="0" w:color="auto"/>
        <w:left w:val="none" w:sz="0" w:space="0" w:color="auto"/>
        <w:bottom w:val="none" w:sz="0" w:space="0" w:color="auto"/>
        <w:right w:val="none" w:sz="0" w:space="0" w:color="auto"/>
      </w:divBdr>
    </w:div>
    <w:div w:id="1454056315">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2666978">
      <w:bodyDiv w:val="1"/>
      <w:marLeft w:val="0"/>
      <w:marRight w:val="0"/>
      <w:marTop w:val="0"/>
      <w:marBottom w:val="0"/>
      <w:divBdr>
        <w:top w:val="none" w:sz="0" w:space="0" w:color="auto"/>
        <w:left w:val="none" w:sz="0" w:space="0" w:color="auto"/>
        <w:bottom w:val="none" w:sz="0" w:space="0" w:color="auto"/>
        <w:right w:val="none" w:sz="0" w:space="0" w:color="auto"/>
      </w:divBdr>
    </w:div>
    <w:div w:id="1524052386">
      <w:bodyDiv w:val="1"/>
      <w:marLeft w:val="0"/>
      <w:marRight w:val="0"/>
      <w:marTop w:val="0"/>
      <w:marBottom w:val="0"/>
      <w:divBdr>
        <w:top w:val="none" w:sz="0" w:space="0" w:color="auto"/>
        <w:left w:val="none" w:sz="0" w:space="0" w:color="auto"/>
        <w:bottom w:val="none" w:sz="0" w:space="0" w:color="auto"/>
        <w:right w:val="none" w:sz="0" w:space="0" w:color="auto"/>
      </w:divBdr>
    </w:div>
    <w:div w:id="1535266150">
      <w:bodyDiv w:val="1"/>
      <w:marLeft w:val="0"/>
      <w:marRight w:val="0"/>
      <w:marTop w:val="0"/>
      <w:marBottom w:val="0"/>
      <w:divBdr>
        <w:top w:val="none" w:sz="0" w:space="0" w:color="auto"/>
        <w:left w:val="none" w:sz="0" w:space="0" w:color="auto"/>
        <w:bottom w:val="none" w:sz="0" w:space="0" w:color="auto"/>
        <w:right w:val="none" w:sz="0" w:space="0" w:color="auto"/>
      </w:divBdr>
    </w:div>
    <w:div w:id="1536238138">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sChild>
        <w:div w:id="320934695">
          <w:marLeft w:val="0"/>
          <w:marRight w:val="0"/>
          <w:marTop w:val="0"/>
          <w:marBottom w:val="0"/>
          <w:divBdr>
            <w:top w:val="none" w:sz="0" w:space="0" w:color="auto"/>
            <w:left w:val="none" w:sz="0" w:space="0" w:color="auto"/>
            <w:bottom w:val="none" w:sz="0" w:space="0" w:color="auto"/>
            <w:right w:val="none" w:sz="0" w:space="0" w:color="auto"/>
          </w:divBdr>
          <w:divsChild>
            <w:div w:id="12385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356">
      <w:bodyDiv w:val="1"/>
      <w:marLeft w:val="0"/>
      <w:marRight w:val="0"/>
      <w:marTop w:val="0"/>
      <w:marBottom w:val="0"/>
      <w:divBdr>
        <w:top w:val="none" w:sz="0" w:space="0" w:color="auto"/>
        <w:left w:val="none" w:sz="0" w:space="0" w:color="auto"/>
        <w:bottom w:val="none" w:sz="0" w:space="0" w:color="auto"/>
        <w:right w:val="none" w:sz="0" w:space="0" w:color="auto"/>
      </w:divBdr>
    </w:div>
    <w:div w:id="1697657514">
      <w:bodyDiv w:val="1"/>
      <w:marLeft w:val="0"/>
      <w:marRight w:val="0"/>
      <w:marTop w:val="0"/>
      <w:marBottom w:val="0"/>
      <w:divBdr>
        <w:top w:val="none" w:sz="0" w:space="0" w:color="auto"/>
        <w:left w:val="none" w:sz="0" w:space="0" w:color="auto"/>
        <w:bottom w:val="none" w:sz="0" w:space="0" w:color="auto"/>
        <w:right w:val="none" w:sz="0" w:space="0" w:color="auto"/>
      </w:divBdr>
    </w:div>
    <w:div w:id="1703818719">
      <w:bodyDiv w:val="1"/>
      <w:marLeft w:val="0"/>
      <w:marRight w:val="0"/>
      <w:marTop w:val="0"/>
      <w:marBottom w:val="0"/>
      <w:divBdr>
        <w:top w:val="none" w:sz="0" w:space="0" w:color="auto"/>
        <w:left w:val="none" w:sz="0" w:space="0" w:color="auto"/>
        <w:bottom w:val="none" w:sz="0" w:space="0" w:color="auto"/>
        <w:right w:val="none" w:sz="0" w:space="0" w:color="auto"/>
      </w:divBdr>
    </w:div>
    <w:div w:id="1743331080">
      <w:bodyDiv w:val="1"/>
      <w:marLeft w:val="0"/>
      <w:marRight w:val="0"/>
      <w:marTop w:val="0"/>
      <w:marBottom w:val="0"/>
      <w:divBdr>
        <w:top w:val="none" w:sz="0" w:space="0" w:color="auto"/>
        <w:left w:val="none" w:sz="0" w:space="0" w:color="auto"/>
        <w:bottom w:val="none" w:sz="0" w:space="0" w:color="auto"/>
        <w:right w:val="none" w:sz="0" w:space="0" w:color="auto"/>
      </w:divBdr>
    </w:div>
    <w:div w:id="1758019231">
      <w:bodyDiv w:val="1"/>
      <w:marLeft w:val="0"/>
      <w:marRight w:val="0"/>
      <w:marTop w:val="0"/>
      <w:marBottom w:val="0"/>
      <w:divBdr>
        <w:top w:val="none" w:sz="0" w:space="0" w:color="auto"/>
        <w:left w:val="none" w:sz="0" w:space="0" w:color="auto"/>
        <w:bottom w:val="none" w:sz="0" w:space="0" w:color="auto"/>
        <w:right w:val="none" w:sz="0" w:space="0" w:color="auto"/>
      </w:divBdr>
    </w:div>
    <w:div w:id="1758598075">
      <w:bodyDiv w:val="1"/>
      <w:marLeft w:val="0"/>
      <w:marRight w:val="0"/>
      <w:marTop w:val="0"/>
      <w:marBottom w:val="0"/>
      <w:divBdr>
        <w:top w:val="none" w:sz="0" w:space="0" w:color="auto"/>
        <w:left w:val="none" w:sz="0" w:space="0" w:color="auto"/>
        <w:bottom w:val="none" w:sz="0" w:space="0" w:color="auto"/>
        <w:right w:val="none" w:sz="0" w:space="0" w:color="auto"/>
      </w:divBdr>
    </w:div>
    <w:div w:id="1791586475">
      <w:bodyDiv w:val="1"/>
      <w:marLeft w:val="0"/>
      <w:marRight w:val="0"/>
      <w:marTop w:val="0"/>
      <w:marBottom w:val="0"/>
      <w:divBdr>
        <w:top w:val="none" w:sz="0" w:space="0" w:color="auto"/>
        <w:left w:val="none" w:sz="0" w:space="0" w:color="auto"/>
        <w:bottom w:val="none" w:sz="0" w:space="0" w:color="auto"/>
        <w:right w:val="none" w:sz="0" w:space="0" w:color="auto"/>
      </w:divBdr>
    </w:div>
    <w:div w:id="1831943683">
      <w:bodyDiv w:val="1"/>
      <w:marLeft w:val="0"/>
      <w:marRight w:val="0"/>
      <w:marTop w:val="0"/>
      <w:marBottom w:val="0"/>
      <w:divBdr>
        <w:top w:val="none" w:sz="0" w:space="0" w:color="auto"/>
        <w:left w:val="none" w:sz="0" w:space="0" w:color="auto"/>
        <w:bottom w:val="none" w:sz="0" w:space="0" w:color="auto"/>
        <w:right w:val="none" w:sz="0" w:space="0" w:color="auto"/>
      </w:divBdr>
    </w:div>
    <w:div w:id="1894384063">
      <w:bodyDiv w:val="1"/>
      <w:marLeft w:val="0"/>
      <w:marRight w:val="0"/>
      <w:marTop w:val="0"/>
      <w:marBottom w:val="0"/>
      <w:divBdr>
        <w:top w:val="none" w:sz="0" w:space="0" w:color="auto"/>
        <w:left w:val="none" w:sz="0" w:space="0" w:color="auto"/>
        <w:bottom w:val="none" w:sz="0" w:space="0" w:color="auto"/>
        <w:right w:val="none" w:sz="0" w:space="0" w:color="auto"/>
      </w:divBdr>
    </w:div>
    <w:div w:id="1898474607">
      <w:bodyDiv w:val="1"/>
      <w:marLeft w:val="0"/>
      <w:marRight w:val="0"/>
      <w:marTop w:val="0"/>
      <w:marBottom w:val="0"/>
      <w:divBdr>
        <w:top w:val="none" w:sz="0" w:space="0" w:color="auto"/>
        <w:left w:val="none" w:sz="0" w:space="0" w:color="auto"/>
        <w:bottom w:val="none" w:sz="0" w:space="0" w:color="auto"/>
        <w:right w:val="none" w:sz="0" w:space="0" w:color="auto"/>
      </w:divBdr>
    </w:div>
    <w:div w:id="1900900234">
      <w:bodyDiv w:val="1"/>
      <w:marLeft w:val="0"/>
      <w:marRight w:val="0"/>
      <w:marTop w:val="0"/>
      <w:marBottom w:val="0"/>
      <w:divBdr>
        <w:top w:val="none" w:sz="0" w:space="0" w:color="auto"/>
        <w:left w:val="none" w:sz="0" w:space="0" w:color="auto"/>
        <w:bottom w:val="none" w:sz="0" w:space="0" w:color="auto"/>
        <w:right w:val="none" w:sz="0" w:space="0" w:color="auto"/>
      </w:divBdr>
    </w:div>
    <w:div w:id="1955209624">
      <w:bodyDiv w:val="1"/>
      <w:marLeft w:val="0"/>
      <w:marRight w:val="0"/>
      <w:marTop w:val="0"/>
      <w:marBottom w:val="0"/>
      <w:divBdr>
        <w:top w:val="none" w:sz="0" w:space="0" w:color="auto"/>
        <w:left w:val="none" w:sz="0" w:space="0" w:color="auto"/>
        <w:bottom w:val="none" w:sz="0" w:space="0" w:color="auto"/>
        <w:right w:val="none" w:sz="0" w:space="0" w:color="auto"/>
      </w:divBdr>
    </w:div>
    <w:div w:id="1966764669">
      <w:bodyDiv w:val="1"/>
      <w:marLeft w:val="0"/>
      <w:marRight w:val="0"/>
      <w:marTop w:val="0"/>
      <w:marBottom w:val="0"/>
      <w:divBdr>
        <w:top w:val="none" w:sz="0" w:space="0" w:color="auto"/>
        <w:left w:val="none" w:sz="0" w:space="0" w:color="auto"/>
        <w:bottom w:val="none" w:sz="0" w:space="0" w:color="auto"/>
        <w:right w:val="none" w:sz="0" w:space="0" w:color="auto"/>
      </w:divBdr>
    </w:div>
    <w:div w:id="1996954421">
      <w:bodyDiv w:val="1"/>
      <w:marLeft w:val="0"/>
      <w:marRight w:val="0"/>
      <w:marTop w:val="0"/>
      <w:marBottom w:val="0"/>
      <w:divBdr>
        <w:top w:val="none" w:sz="0" w:space="0" w:color="auto"/>
        <w:left w:val="none" w:sz="0" w:space="0" w:color="auto"/>
        <w:bottom w:val="none" w:sz="0" w:space="0" w:color="auto"/>
        <w:right w:val="none" w:sz="0" w:space="0" w:color="auto"/>
      </w:divBdr>
    </w:div>
    <w:div w:id="2022773538">
      <w:bodyDiv w:val="1"/>
      <w:marLeft w:val="0"/>
      <w:marRight w:val="0"/>
      <w:marTop w:val="0"/>
      <w:marBottom w:val="0"/>
      <w:divBdr>
        <w:top w:val="none" w:sz="0" w:space="0" w:color="auto"/>
        <w:left w:val="none" w:sz="0" w:space="0" w:color="auto"/>
        <w:bottom w:val="none" w:sz="0" w:space="0" w:color="auto"/>
        <w:right w:val="none" w:sz="0" w:space="0" w:color="auto"/>
      </w:divBdr>
    </w:div>
    <w:div w:id="2030911730">
      <w:bodyDiv w:val="1"/>
      <w:marLeft w:val="0"/>
      <w:marRight w:val="0"/>
      <w:marTop w:val="0"/>
      <w:marBottom w:val="0"/>
      <w:divBdr>
        <w:top w:val="none" w:sz="0" w:space="0" w:color="auto"/>
        <w:left w:val="none" w:sz="0" w:space="0" w:color="auto"/>
        <w:bottom w:val="none" w:sz="0" w:space="0" w:color="auto"/>
        <w:right w:val="none" w:sz="0" w:space="0" w:color="auto"/>
      </w:divBdr>
    </w:div>
    <w:div w:id="204925338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68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legalcode"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creativecommons.org/licenses/by/3.0/au/deed.e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www.ihpa.gov.au/internet/ihpa/publishing.nsf/Content/aust-costing-standards-2014-html" TargetMode="External"/><Relationship Id="rId3" Type="http://schemas.openxmlformats.org/officeDocument/2006/relationships/hyperlink" Target="http://www.abs.gov.au/ausstats/abs@.nsf/Lookup/by%20Subject/4390.0~2016-17~Main%20Features~All%20Private%20Hospitals%20-%20summary~2" TargetMode="External"/><Relationship Id="rId7" Type="http://schemas.openxmlformats.org/officeDocument/2006/relationships/hyperlink" Target="http://www.ihpa.gov.au/internet/ihpa/publishing.nsf/Content/aust-costing-standards-2014-html" TargetMode="External"/><Relationship Id="rId2" Type="http://schemas.openxmlformats.org/officeDocument/2006/relationships/hyperlink" Target="http://www.health.gov.au/internet/main/publishing.nsf/Content/38E5E5E23C0D4336CA257BF0001E8AC3/$File/Data%20Definitions%20Manual.pdf" TargetMode="External"/><Relationship Id="rId1" Type="http://schemas.openxmlformats.org/officeDocument/2006/relationships/hyperlink" Target="http://www.health.gov.au/internet/main/publishing.nsf/Content/38E5E5E23C0D4336CA257BF0001E8AC3/$File/Data%20Definitions%20Manual.pdf" TargetMode="External"/><Relationship Id="rId6" Type="http://schemas.openxmlformats.org/officeDocument/2006/relationships/hyperlink" Target="http://www.health.gov.au/internet/main/publishing.nsf/Content/38E5E5E23C0D4336CA257BF0001E8AC3/$File/Data%20Definitions%20Manual.pdf" TargetMode="External"/><Relationship Id="rId5" Type="http://schemas.openxmlformats.org/officeDocument/2006/relationships/hyperlink" Target="http://www.health.gov.au/internet/main/publishing.nsf/Content/38E5E5E23C0D4336CA257BF0001E8AC3/$File/Data%20Definitions%20Manual.pdf" TargetMode="External"/><Relationship Id="rId10" Type="http://schemas.openxmlformats.org/officeDocument/2006/relationships/hyperlink" Target="http://www.health.gov.au/internet/main/publishing.nsf/Content/Round_13-cost-reports" TargetMode="External"/><Relationship Id="rId4" Type="http://schemas.openxmlformats.org/officeDocument/2006/relationships/hyperlink" Target="file:///\\au.aap.ad.pwcinternal.com\syd$\data\Advisory\Client%20N-R\NHCDC\Round%2018%20Collection\08.%20Public%20report\Data%20Dictionary,%20METeOR%20ID:%20270174" TargetMode="External"/><Relationship Id="rId9" Type="http://schemas.openxmlformats.org/officeDocument/2006/relationships/hyperlink" Target="https://meteor.aihw.gov.au/content/index.phtml/itemId/3272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Ilijas\Downloads\External%20publication%20(1).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178F-8DBF-437C-ABD3-280D7C7B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 (1).dotx</Template>
  <TotalTime>2</TotalTime>
  <Pages>38</Pages>
  <Words>14141</Words>
  <Characters>80607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National Hospital Cost Data Collection:</vt:lpstr>
    </vt:vector>
  </TitlesOfParts>
  <Company>Independent Hospital Pricing Authority</Company>
  <LinksUpToDate>false</LinksUpToDate>
  <CharactersWithSpaces>94559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Hospital Cost Data Collection:</dc:title>
  <dc:creator>IHPA</dc:creator>
  <cp:keywords>NHCDC Private Hospital Report Round 21 (2016-17)</cp:keywords>
  <cp:lastModifiedBy>Husband, Jessica</cp:lastModifiedBy>
  <cp:revision>2</cp:revision>
  <cp:lastPrinted>2019-02-01T04:41:00Z</cp:lastPrinted>
  <dcterms:created xsi:type="dcterms:W3CDTF">2019-05-16T01:40:00Z</dcterms:created>
  <dcterms:modified xsi:type="dcterms:W3CDTF">2019-05-16T01:40:00Z</dcterms:modified>
</cp:coreProperties>
</file>