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8CC" w:rsidRDefault="00FD48CC" w:rsidP="00320A93">
      <w:pPr>
        <w:pStyle w:val="OrganisationName"/>
        <w:rPr>
          <w:b w:val="0"/>
          <w:noProof w:val="0"/>
          <w:sz w:val="28"/>
          <w:szCs w:val="28"/>
          <w:lang w:eastAsia="en-US"/>
        </w:rPr>
      </w:pPr>
      <w:r>
        <w:drawing>
          <wp:anchor distT="0" distB="0" distL="114300" distR="114300" simplePos="0" relativeHeight="251664384" behindDoc="1" locked="0" layoutInCell="1" allowOverlap="1" wp14:anchorId="68BFEA25" wp14:editId="258675E5">
            <wp:simplePos x="0" y="0"/>
            <wp:positionH relativeFrom="column">
              <wp:posOffset>-543560</wp:posOffset>
            </wp:positionH>
            <wp:positionV relativeFrom="paragraph">
              <wp:posOffset>-467995</wp:posOffset>
            </wp:positionV>
            <wp:extent cx="7670800" cy="10851515"/>
            <wp:effectExtent l="0" t="0" r="6350" b="6985"/>
            <wp:wrapNone/>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Curv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70800" cy="10851515"/>
                    </a:xfrm>
                    <a:prstGeom prst="rect">
                      <a:avLst/>
                    </a:prstGeom>
                  </pic:spPr>
                </pic:pic>
              </a:graphicData>
            </a:graphic>
            <wp14:sizeRelH relativeFrom="page">
              <wp14:pctWidth>0</wp14:pctWidth>
            </wp14:sizeRelH>
            <wp14:sizeRelV relativeFrom="page">
              <wp14:pctHeight>0</wp14:pctHeight>
            </wp14:sizeRelV>
          </wp:anchor>
        </w:drawing>
      </w:r>
    </w:p>
    <w:sdt>
      <w:sdtPr>
        <w:rPr>
          <w:b w:val="0"/>
          <w:noProof w:val="0"/>
          <w:sz w:val="28"/>
          <w:szCs w:val="28"/>
          <w:lang w:eastAsia="en-US"/>
        </w:rPr>
        <w:id w:val="1049189734"/>
        <w:docPartObj>
          <w:docPartGallery w:val="Cover Pages"/>
          <w:docPartUnique/>
        </w:docPartObj>
      </w:sdtPr>
      <w:sdtEndPr/>
      <w:sdtContent>
        <w:p w:rsidR="00EB2D3D" w:rsidRDefault="00C63F3A" w:rsidP="00320A93">
          <w:pPr>
            <w:pStyle w:val="OrganisationName"/>
          </w:pPr>
          <w:r>
            <w:drawing>
              <wp:anchor distT="0" distB="0" distL="114300" distR="114300" simplePos="0" relativeHeight="251660288" behindDoc="0" locked="0" layoutInCell="1" allowOverlap="1" wp14:anchorId="32658D9C" wp14:editId="7CF67515">
                <wp:simplePos x="0" y="0"/>
                <wp:positionH relativeFrom="column">
                  <wp:posOffset>5840095</wp:posOffset>
                </wp:positionH>
                <wp:positionV relativeFrom="paragraph">
                  <wp:posOffset>19050</wp:posOffset>
                </wp:positionV>
                <wp:extent cx="1057275" cy="1440180"/>
                <wp:effectExtent l="0" t="0" r="0" b="0"/>
                <wp:wrapNone/>
                <wp:docPr id="1" name="Picture 1"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75" cy="1440180"/>
                        </a:xfrm>
                        <a:prstGeom prst="rect">
                          <a:avLst/>
                        </a:prstGeom>
                      </pic:spPr>
                    </pic:pic>
                  </a:graphicData>
                </a:graphic>
                <wp14:sizeRelH relativeFrom="margin">
                  <wp14:pctWidth>0</wp14:pctWidth>
                </wp14:sizeRelH>
                <wp14:sizeRelV relativeFrom="margin">
                  <wp14:pctHeight>0</wp14:pctHeight>
                </wp14:sizeRelV>
              </wp:anchor>
            </w:drawing>
          </w:r>
          <w:r w:rsidR="00EB2D3D" w:rsidRPr="00320A93">
            <w:t>Indepe</w:t>
          </w:r>
          <w:r>
            <w:t>ndent Hospital Pricing Authority</w:t>
          </w:r>
        </w:p>
        <w:p w:rsidR="00847AD0" w:rsidRDefault="00847AD0" w:rsidP="006F0A93">
          <w:pPr>
            <w:pStyle w:val="TitlePlain"/>
          </w:pPr>
          <w:r>
            <w:t xml:space="preserve">National Efficient </w:t>
          </w:r>
          <w:r w:rsidR="002B568D">
            <w:t xml:space="preserve">Cost </w:t>
          </w:r>
          <w:r>
            <w:t>Determination</w:t>
          </w:r>
        </w:p>
        <w:p w:rsidR="00EB2D3D" w:rsidRPr="006F0A93" w:rsidRDefault="00847AD0" w:rsidP="006F0A93">
          <w:pPr>
            <w:pStyle w:val="TitlePlain"/>
          </w:pPr>
          <w:r>
            <w:t>201</w:t>
          </w:r>
          <w:r w:rsidR="00AE5DC2">
            <w:t>6</w:t>
          </w:r>
          <w:r>
            <w:t>-1</w:t>
          </w:r>
          <w:r w:rsidR="00AE5DC2">
            <w:t>7</w:t>
          </w:r>
        </w:p>
        <w:p w:rsidR="00DA6C30" w:rsidRDefault="00DA6C30" w:rsidP="00DA6C30">
          <w:pPr>
            <w:pStyle w:val="SubtitlePlain"/>
          </w:pPr>
        </w:p>
        <w:p w:rsidR="00DA6C30" w:rsidRDefault="002A0164" w:rsidP="00DA6C30">
          <w:pPr>
            <w:pStyle w:val="VesionanddatePlain"/>
          </w:pPr>
          <w:r>
            <w:t>February 2016</w:t>
          </w:r>
        </w:p>
        <w:p w:rsidR="00DA6C30" w:rsidRPr="006F0A93" w:rsidRDefault="00DA6C30" w:rsidP="00DA6C30">
          <w:pPr>
            <w:pStyle w:val="VesionanddatePlain"/>
          </w:pPr>
        </w:p>
        <w:p w:rsidR="00EB2D3D" w:rsidRPr="0007116B" w:rsidRDefault="00741804" w:rsidP="004C5008">
          <w:pPr>
            <w:pStyle w:val="VersionandDatePlain"/>
            <w:sectPr w:rsidR="00EB2D3D" w:rsidRPr="0007116B" w:rsidSect="00A973FE">
              <w:headerReference w:type="default" r:id="rId11"/>
              <w:footerReference w:type="default" r:id="rId12"/>
              <w:pgSz w:w="11906" w:h="16838"/>
              <w:pgMar w:top="720" w:right="720" w:bottom="720" w:left="720" w:header="709" w:footer="709" w:gutter="0"/>
              <w:pgNumType w:start="0"/>
              <w:cols w:space="708"/>
              <w:titlePg/>
              <w:docGrid w:linePitch="360"/>
            </w:sectPr>
          </w:pPr>
        </w:p>
      </w:sdtContent>
    </w:sdt>
    <w:p w:rsidR="00136F35" w:rsidRDefault="00136F35" w:rsidP="00741804">
      <w:pPr>
        <w:spacing w:after="3200"/>
      </w:pPr>
    </w:p>
    <w:p w:rsidR="00DC16B3" w:rsidRPr="006150B7" w:rsidRDefault="00DC16B3" w:rsidP="00DC16B3">
      <w:r w:rsidRPr="00982F10">
        <w:t xml:space="preserve">© </w:t>
      </w:r>
      <w:r>
        <w:t>Independent Hospital Pricing Authority</w:t>
      </w:r>
      <w:r w:rsidRPr="006150B7">
        <w:t xml:space="preserve"> 201</w:t>
      </w:r>
      <w:r>
        <w:t>6</w:t>
      </w:r>
    </w:p>
    <w:p w:rsidR="00DC16B3" w:rsidRPr="006150B7" w:rsidRDefault="00DC16B3" w:rsidP="00DC16B3">
      <w:pPr>
        <w:tabs>
          <w:tab w:val="left" w:pos="1650"/>
        </w:tabs>
        <w:spacing w:before="100" w:beforeAutospacing="1" w:after="100" w:afterAutospacing="1"/>
        <w:jc w:val="both"/>
        <w:rPr>
          <w:rStyle w:val="A5"/>
          <w:rFonts w:ascii="Calibri" w:hAnsi="Calibri"/>
          <w:sz w:val="24"/>
        </w:rPr>
      </w:pPr>
      <w:r w:rsidRPr="006150B7">
        <w:t>This publication is available for your use under a</w:t>
      </w:r>
      <w:r w:rsidRPr="006150B7">
        <w:rPr>
          <w:rStyle w:val="A5"/>
          <w:rFonts w:ascii="Calibri" w:hAnsi="Calibri" w:cs="Calibri"/>
          <w:sz w:val="24"/>
        </w:rPr>
        <w:t xml:space="preserve"> </w:t>
      </w:r>
      <w:r w:rsidRPr="00614CBE">
        <w:t>Creative Commons BY Attribution 3.0 Australia</w:t>
      </w:r>
      <w:r w:rsidRPr="00E92213">
        <w:rPr>
          <w:rStyle w:val="A5"/>
          <w:rFonts w:ascii="Calibri" w:hAnsi="Calibri" w:cs="Calibri"/>
          <w:sz w:val="24"/>
        </w:rPr>
        <w:t xml:space="preserve"> </w:t>
      </w:r>
      <w:r w:rsidRPr="00E92213">
        <w:t xml:space="preserve">licence, with the exception of the </w:t>
      </w:r>
      <w:r>
        <w:t>Independent Hospital Pricing Authority logo,</w:t>
      </w:r>
      <w:r w:rsidRPr="00E92213">
        <w:t xml:space="preserve"> photogra</w:t>
      </w:r>
      <w:r w:rsidRPr="006150B7">
        <w:t>phs, images, signatures and where otherwise stated. The full licence terms are available from</w:t>
      </w:r>
      <w:r>
        <w:t xml:space="preserve"> </w:t>
      </w:r>
      <w:hyperlink r:id="rId13" w:history="1">
        <w:r w:rsidRPr="00810BAA">
          <w:rPr>
            <w:rStyle w:val="Hyperlink"/>
          </w:rPr>
          <w:t>the Creative Commons website</w:t>
        </w:r>
      </w:hyperlink>
      <w:r>
        <w:t>.</w:t>
      </w:r>
    </w:p>
    <w:p w:rsidR="00DC16B3" w:rsidRPr="006150B7" w:rsidRDefault="00DC16B3" w:rsidP="00DC16B3">
      <w:pPr>
        <w:tabs>
          <w:tab w:val="left" w:pos="1650"/>
        </w:tabs>
        <w:spacing w:before="100" w:beforeAutospacing="1" w:after="100" w:afterAutospacing="1"/>
        <w:jc w:val="both"/>
        <w:rPr>
          <w:rFonts w:cs="Calibri"/>
        </w:rPr>
      </w:pPr>
      <w:r w:rsidRPr="006150B7">
        <w:rPr>
          <w:rFonts w:cs="Calibri"/>
          <w:noProof/>
          <w:sz w:val="24"/>
          <w:lang w:eastAsia="en-AU"/>
        </w:rPr>
        <w:drawing>
          <wp:inline distT="0" distB="0" distL="0" distR="0" wp14:anchorId="1643393A" wp14:editId="2BF71DF8">
            <wp:extent cx="809625" cy="285750"/>
            <wp:effectExtent l="0" t="0" r="9525" b="0"/>
            <wp:docPr id="6" name="Picture 6"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DC16B3" w:rsidRPr="006150B7" w:rsidRDefault="00DC16B3" w:rsidP="00DC16B3">
      <w:pPr>
        <w:tabs>
          <w:tab w:val="left" w:pos="1650"/>
        </w:tabs>
        <w:spacing w:before="100" w:beforeAutospacing="1" w:after="100" w:afterAutospacing="1"/>
        <w:jc w:val="both"/>
      </w:pPr>
      <w:r w:rsidRPr="006150B7">
        <w:t xml:space="preserve">Use of </w:t>
      </w:r>
      <w:r>
        <w:t>Independent Hospital Pricing Authority</w:t>
      </w:r>
      <w:r w:rsidRPr="006150B7">
        <w:t xml:space="preserve"> material under </w:t>
      </w:r>
      <w:r w:rsidRPr="00E92213">
        <w:t>a</w:t>
      </w:r>
      <w:r w:rsidRPr="00E92213">
        <w:rPr>
          <w:rFonts w:cs="Calibri"/>
          <w:sz w:val="24"/>
        </w:rPr>
        <w:t xml:space="preserve"> </w:t>
      </w:r>
      <w:r w:rsidRPr="00614CBE">
        <w:t>Creative Commons BY Attribution 3.0 Australia</w:t>
      </w:r>
      <w:r>
        <w:t xml:space="preserve"> </w:t>
      </w:r>
      <w:r w:rsidRPr="00E92213">
        <w:t>licence requires you to attribute the work</w:t>
      </w:r>
      <w:r w:rsidRPr="006150B7">
        <w:t xml:space="preserve"> (but not in any way that suggests that the </w:t>
      </w:r>
      <w:r>
        <w:t xml:space="preserve">Independent Hospital Pricing Authority </w:t>
      </w:r>
      <w:r w:rsidRPr="006150B7">
        <w:t>endorse</w:t>
      </w:r>
      <w:r>
        <w:t>s you or your use of the work).</w:t>
      </w:r>
    </w:p>
    <w:p w:rsidR="00DC16B3" w:rsidRPr="00F13939" w:rsidRDefault="00DC16B3" w:rsidP="00DC16B3">
      <w:pPr>
        <w:jc w:val="both"/>
        <w:rPr>
          <w:i/>
        </w:rPr>
      </w:pPr>
      <w:proofErr w:type="gramStart"/>
      <w:r>
        <w:rPr>
          <w:i/>
        </w:rPr>
        <w:t>Independent Hospital Pricing Authority</w:t>
      </w:r>
      <w:r w:rsidRPr="00F13939">
        <w:rPr>
          <w:i/>
        </w:rPr>
        <w:t xml:space="preserve"> material used 'as supplied'.</w:t>
      </w:r>
      <w:proofErr w:type="gramEnd"/>
    </w:p>
    <w:p w:rsidR="00DC16B3" w:rsidRPr="006150B7" w:rsidRDefault="00DC16B3" w:rsidP="00DC16B3">
      <w:pPr>
        <w:jc w:val="both"/>
      </w:pPr>
      <w:r w:rsidRPr="006150B7">
        <w:t xml:space="preserve">Provided you have not modified or transformed </w:t>
      </w:r>
      <w:r>
        <w:t>Independent Hospital Pricing Authority</w:t>
      </w:r>
      <w:r w:rsidRPr="006150B7">
        <w:t xml:space="preserve"> material in any way including, for example, by changing </w:t>
      </w:r>
      <w:r>
        <w:t>Independent Hospital Pricing Authority</w:t>
      </w:r>
      <w:r w:rsidRPr="006150B7">
        <w:t xml:space="preserve"> </w:t>
      </w:r>
      <w:r>
        <w:t xml:space="preserve">text </w:t>
      </w:r>
      <w:r w:rsidRPr="006150B7">
        <w:t xml:space="preserve">– then </w:t>
      </w:r>
      <w:r>
        <w:t>the Independent Hospital Pricing Authority</w:t>
      </w:r>
      <w:r w:rsidRPr="006150B7">
        <w:t xml:space="preserve"> pre</w:t>
      </w:r>
      <w:r>
        <w:t>fers the following attribution:</w:t>
      </w:r>
    </w:p>
    <w:p w:rsidR="00DC16B3" w:rsidRPr="00003743" w:rsidRDefault="00DC16B3" w:rsidP="00DC16B3">
      <w:pPr>
        <w:ind w:firstLine="720"/>
        <w:jc w:val="both"/>
        <w:rPr>
          <w:rStyle w:val="IntenseReference"/>
          <w:b w:val="0"/>
          <w:bCs w:val="0"/>
          <w:i w:val="0"/>
          <w:smallCaps w:val="0"/>
        </w:rPr>
      </w:pPr>
      <w:r w:rsidRPr="006150B7">
        <w:rPr>
          <w:i/>
        </w:rPr>
        <w:t xml:space="preserve">Source: The </w:t>
      </w:r>
      <w:r>
        <w:rPr>
          <w:i/>
          <w:iCs/>
        </w:rPr>
        <w:t>Independent Hospital Pricing Authority</w:t>
      </w:r>
    </w:p>
    <w:p w:rsidR="000764C7" w:rsidRDefault="000764C7" w:rsidP="00233BA0">
      <w:pPr>
        <w:ind w:right="-58"/>
      </w:pPr>
    </w:p>
    <w:p w:rsidR="001A6C59" w:rsidRDefault="001A6C59" w:rsidP="001A6C59">
      <w:pPr>
        <w:pStyle w:val="Subtitle"/>
      </w:pPr>
      <w:r>
        <w:br w:type="page"/>
      </w:r>
    </w:p>
    <w:p w:rsidR="00136F35" w:rsidRPr="000306BE" w:rsidRDefault="00136F35" w:rsidP="00136F35">
      <w:pPr>
        <w:spacing w:before="360"/>
        <w:jc w:val="both"/>
        <w:rPr>
          <w:rFonts w:cs="Arial"/>
        </w:rPr>
      </w:pPr>
    </w:p>
    <w:p w:rsidR="00136F35" w:rsidRPr="000306BE" w:rsidRDefault="00136F35" w:rsidP="00136F35">
      <w:pPr>
        <w:spacing w:before="360"/>
        <w:jc w:val="both"/>
        <w:rPr>
          <w:rFonts w:cs="Arial"/>
        </w:rPr>
      </w:pPr>
      <w:r w:rsidRPr="000306BE">
        <w:rPr>
          <w:rFonts w:cs="Arial"/>
        </w:rPr>
        <w:t xml:space="preserve">This determination is made by the Independent Hospital Pricing Authority under subsection 131(1) of the </w:t>
      </w:r>
      <w:r w:rsidRPr="00512F40">
        <w:rPr>
          <w:rFonts w:cs="Arial"/>
          <w:i/>
        </w:rPr>
        <w:t>National Health Reform Act 2011</w:t>
      </w:r>
      <w:r w:rsidRPr="000306BE">
        <w:rPr>
          <w:rFonts w:cs="Arial"/>
          <w:i/>
        </w:rPr>
        <w:t xml:space="preserve"> </w:t>
      </w:r>
      <w:r w:rsidRPr="000306BE">
        <w:rPr>
          <w:rFonts w:cs="Arial"/>
        </w:rPr>
        <w:t>(</w:t>
      </w:r>
      <w:proofErr w:type="spellStart"/>
      <w:r w:rsidRPr="000306BE">
        <w:rPr>
          <w:rFonts w:cs="Arial"/>
        </w:rPr>
        <w:t>Cth</w:t>
      </w:r>
      <w:proofErr w:type="spellEnd"/>
      <w:r w:rsidRPr="000306BE">
        <w:rPr>
          <w:rFonts w:cs="Arial"/>
        </w:rPr>
        <w:t>).</w:t>
      </w:r>
    </w:p>
    <w:p w:rsidR="00136F35" w:rsidRPr="000306BE" w:rsidRDefault="00136F35" w:rsidP="00741804">
      <w:pPr>
        <w:tabs>
          <w:tab w:val="left" w:pos="3119"/>
        </w:tabs>
        <w:spacing w:after="1920" w:line="300" w:lineRule="atLeast"/>
        <w:rPr>
          <w:rFonts w:cs="Arial"/>
        </w:rPr>
      </w:pPr>
      <w:r w:rsidRPr="000306BE">
        <w:rPr>
          <w:rFonts w:cs="Arial"/>
        </w:rPr>
        <w:t xml:space="preserve">Dated                                                                            </w:t>
      </w:r>
      <w:r w:rsidR="00D64413">
        <w:rPr>
          <w:rFonts w:cs="Arial"/>
        </w:rPr>
        <w:t>201</w:t>
      </w:r>
      <w:r w:rsidR="00B131EC">
        <w:rPr>
          <w:rFonts w:cs="Arial"/>
        </w:rPr>
        <w:t>6</w:t>
      </w:r>
    </w:p>
    <w:tbl>
      <w:tblPr>
        <w:tblW w:w="0" w:type="auto"/>
        <w:tblLook w:val="01E0" w:firstRow="1" w:lastRow="1" w:firstColumn="1" w:lastColumn="1" w:noHBand="0" w:noVBand="0"/>
      </w:tblPr>
      <w:tblGrid>
        <w:gridCol w:w="4264"/>
        <w:gridCol w:w="4265"/>
      </w:tblGrid>
      <w:tr w:rsidR="00136F35" w:rsidRPr="000306BE" w:rsidTr="00136F35">
        <w:tc>
          <w:tcPr>
            <w:tcW w:w="4264" w:type="dxa"/>
          </w:tcPr>
          <w:p w:rsidR="00136F35" w:rsidRPr="000306BE" w:rsidRDefault="00136F35" w:rsidP="00741804">
            <w:pPr>
              <w:tabs>
                <w:tab w:val="left" w:pos="3119"/>
              </w:tabs>
              <w:spacing w:after="5160" w:line="300" w:lineRule="atLeast"/>
              <w:rPr>
                <w:rFonts w:cs="Arial"/>
              </w:rPr>
            </w:pPr>
          </w:p>
          <w:p w:rsidR="00136F35" w:rsidRPr="000306BE" w:rsidRDefault="00136F35" w:rsidP="00136F35">
            <w:pPr>
              <w:tabs>
                <w:tab w:val="left" w:pos="3119"/>
              </w:tabs>
              <w:spacing w:after="240" w:line="300" w:lineRule="atLeast"/>
              <w:rPr>
                <w:rFonts w:cs="Arial"/>
              </w:rPr>
            </w:pPr>
            <w:r w:rsidRPr="000306BE">
              <w:rPr>
                <w:rFonts w:cs="Arial"/>
              </w:rPr>
              <w:t xml:space="preserve">SEAL OF </w:t>
            </w:r>
            <w:smartTag w:uri="urn:schemas-microsoft-com:office:smarttags" w:element="place">
              <w:smartTag w:uri="urn:schemas-microsoft-com:office:smarttags" w:element="PlaceName">
                <w:r w:rsidRPr="000306BE">
                  <w:rPr>
                    <w:rFonts w:cs="Arial"/>
                  </w:rPr>
                  <w:t>INDEPENDENT</w:t>
                </w:r>
              </w:smartTag>
              <w:r w:rsidRPr="000306BE">
                <w:rPr>
                  <w:rFonts w:cs="Arial"/>
                </w:rPr>
                <w:t xml:space="preserve"> </w:t>
              </w:r>
              <w:smartTag w:uri="urn:schemas-microsoft-com:office:smarttags" w:element="PlaceType">
                <w:r w:rsidRPr="000306BE">
                  <w:rPr>
                    <w:rFonts w:cs="Arial"/>
                  </w:rPr>
                  <w:t>HOSPITAL</w:t>
                </w:r>
              </w:smartTag>
            </w:smartTag>
            <w:r w:rsidRPr="000306BE">
              <w:rPr>
                <w:rFonts w:cs="Arial"/>
              </w:rPr>
              <w:t xml:space="preserve"> PRICING AUTHORITY</w:t>
            </w:r>
          </w:p>
        </w:tc>
        <w:tc>
          <w:tcPr>
            <w:tcW w:w="4265" w:type="dxa"/>
          </w:tcPr>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p>
          <w:p w:rsidR="00136F35" w:rsidRPr="000306BE" w:rsidRDefault="00136F35" w:rsidP="00136F35">
            <w:pPr>
              <w:tabs>
                <w:tab w:val="left" w:pos="3119"/>
              </w:tabs>
              <w:spacing w:after="240" w:line="300" w:lineRule="atLeast"/>
              <w:rPr>
                <w:rFonts w:cs="Arial"/>
              </w:rPr>
            </w:pPr>
            <w:r w:rsidRPr="000306BE">
              <w:rPr>
                <w:rFonts w:cs="Arial"/>
              </w:rPr>
              <w:t>_________________________________</w:t>
            </w:r>
          </w:p>
          <w:p w:rsidR="00136F35" w:rsidRPr="000306BE" w:rsidRDefault="00136F35" w:rsidP="00136F35">
            <w:pPr>
              <w:tabs>
                <w:tab w:val="left" w:pos="3119"/>
              </w:tabs>
              <w:spacing w:after="240" w:line="300" w:lineRule="atLeast"/>
              <w:rPr>
                <w:rFonts w:cs="Arial"/>
              </w:rPr>
            </w:pPr>
            <w:r w:rsidRPr="000306BE">
              <w:rPr>
                <w:rFonts w:cs="Arial"/>
              </w:rPr>
              <w:t>Mr Shane Solomon</w:t>
            </w:r>
            <w:r w:rsidRPr="000306BE">
              <w:rPr>
                <w:rFonts w:cs="Arial"/>
              </w:rPr>
              <w:br/>
              <w:t>Chair</w:t>
            </w:r>
          </w:p>
          <w:p w:rsidR="00136F35" w:rsidRPr="000306BE" w:rsidRDefault="00136F35" w:rsidP="00136F35">
            <w:pPr>
              <w:tabs>
                <w:tab w:val="left" w:pos="3119"/>
              </w:tabs>
              <w:spacing w:after="240" w:line="300" w:lineRule="atLeast"/>
              <w:rPr>
                <w:rFonts w:cs="Arial"/>
                <w:b/>
                <w:i/>
              </w:rPr>
            </w:pPr>
          </w:p>
          <w:p w:rsidR="00136F35" w:rsidRPr="000306BE" w:rsidRDefault="00136F35" w:rsidP="00136F35">
            <w:pPr>
              <w:tabs>
                <w:tab w:val="left" w:pos="3119"/>
              </w:tabs>
              <w:spacing w:after="240" w:line="300" w:lineRule="atLeast"/>
              <w:rPr>
                <w:rFonts w:cs="Arial"/>
                <w:b/>
                <w:i/>
              </w:rPr>
            </w:pPr>
          </w:p>
          <w:p w:rsidR="00136F35" w:rsidRPr="000306BE" w:rsidRDefault="00136F35" w:rsidP="00136F35">
            <w:pPr>
              <w:tabs>
                <w:tab w:val="left" w:pos="3119"/>
              </w:tabs>
              <w:spacing w:after="240" w:line="300" w:lineRule="atLeast"/>
              <w:rPr>
                <w:rFonts w:cs="Arial"/>
              </w:rPr>
            </w:pPr>
            <w:r w:rsidRPr="000306BE">
              <w:rPr>
                <w:rFonts w:cs="Arial"/>
              </w:rPr>
              <w:t>_________________________________</w:t>
            </w:r>
          </w:p>
          <w:p w:rsidR="00136F35" w:rsidRPr="000306BE" w:rsidRDefault="00B131EC" w:rsidP="00136F35">
            <w:pPr>
              <w:tabs>
                <w:tab w:val="left" w:pos="3119"/>
              </w:tabs>
              <w:spacing w:after="240" w:line="300" w:lineRule="atLeast"/>
              <w:rPr>
                <w:rFonts w:cs="Arial"/>
              </w:rPr>
            </w:pPr>
            <w:r>
              <w:rPr>
                <w:rFonts w:cs="Arial"/>
              </w:rPr>
              <w:t>Mr James Downie</w:t>
            </w:r>
            <w:r w:rsidR="00136F35" w:rsidRPr="000306BE">
              <w:rPr>
                <w:rFonts w:cs="Arial"/>
              </w:rPr>
              <w:br/>
            </w:r>
            <w:r>
              <w:rPr>
                <w:rFonts w:cs="Arial"/>
              </w:rPr>
              <w:t xml:space="preserve">Acting </w:t>
            </w:r>
            <w:r w:rsidR="00136F35" w:rsidRPr="000306BE">
              <w:rPr>
                <w:rFonts w:cs="Arial"/>
              </w:rPr>
              <w:t>Chief Executive Officer</w:t>
            </w:r>
          </w:p>
          <w:p w:rsidR="00136F35" w:rsidRPr="000306BE" w:rsidRDefault="00136F35" w:rsidP="00136F35">
            <w:pPr>
              <w:tabs>
                <w:tab w:val="left" w:pos="3119"/>
              </w:tabs>
              <w:spacing w:after="240" w:line="300" w:lineRule="atLeast"/>
              <w:rPr>
                <w:rFonts w:cs="Arial"/>
                <w:b/>
                <w:i/>
              </w:rPr>
            </w:pPr>
          </w:p>
        </w:tc>
      </w:tr>
    </w:tbl>
    <w:p w:rsidR="00223F52" w:rsidRPr="00136F35" w:rsidRDefault="00223F52" w:rsidP="00223F52">
      <w:pPr>
        <w:pStyle w:val="Subtitle"/>
      </w:pPr>
    </w:p>
    <w:p w:rsidR="00F06398" w:rsidRDefault="009B1502" w:rsidP="00136F35">
      <w:pPr>
        <w:pStyle w:val="TOCHeading"/>
        <w:spacing w:after="240"/>
      </w:pPr>
      <w:r>
        <w:br w:type="column"/>
      </w:r>
      <w:r w:rsidR="00136F35">
        <w:lastRenderedPageBreak/>
        <w:t>Table of content</w:t>
      </w:r>
      <w:r w:rsidR="00801720">
        <w:t>s</w:t>
      </w:r>
    </w:p>
    <w:p w:rsidR="007F6F22" w:rsidRDefault="00DA6C30">
      <w:pPr>
        <w:pStyle w:val="TOC1"/>
        <w:tabs>
          <w:tab w:val="left" w:pos="1200"/>
        </w:tabs>
        <w:rPr>
          <w:rFonts w:eastAsiaTheme="minorEastAsia"/>
          <w:b w:val="0"/>
          <w:color w:val="auto"/>
          <w:lang w:eastAsia="en-AU"/>
        </w:rPr>
      </w:pPr>
      <w:r>
        <w:rPr>
          <w:rFonts w:cs="Arial"/>
          <w:b w:val="0"/>
        </w:rPr>
        <w:fldChar w:fldCharType="begin"/>
      </w:r>
      <w:r>
        <w:rPr>
          <w:rFonts w:cs="Arial"/>
          <w:b w:val="0"/>
        </w:rPr>
        <w:instrText xml:space="preserve"> TOC \o "1-2" \h \z \u </w:instrText>
      </w:r>
      <w:r>
        <w:rPr>
          <w:rFonts w:cs="Arial"/>
          <w:b w:val="0"/>
        </w:rPr>
        <w:fldChar w:fldCharType="separate"/>
      </w:r>
      <w:hyperlink w:anchor="_Toc443404511" w:history="1">
        <w:r w:rsidR="007F6F22" w:rsidRPr="000C339A">
          <w:rPr>
            <w:rStyle w:val="Hyperlink"/>
          </w:rPr>
          <w:t>Chapter 1</w:t>
        </w:r>
        <w:r w:rsidR="007F6F22">
          <w:rPr>
            <w:rFonts w:eastAsiaTheme="minorEastAsia"/>
            <w:b w:val="0"/>
            <w:color w:val="auto"/>
            <w:lang w:eastAsia="en-AU"/>
          </w:rPr>
          <w:tab/>
        </w:r>
        <w:r w:rsidR="007F6F22" w:rsidRPr="000C339A">
          <w:rPr>
            <w:rStyle w:val="Hyperlink"/>
          </w:rPr>
          <w:t>Overview</w:t>
        </w:r>
        <w:r w:rsidR="007F6F22">
          <w:rPr>
            <w:webHidden/>
          </w:rPr>
          <w:tab/>
        </w:r>
        <w:r w:rsidR="007F6F22">
          <w:rPr>
            <w:webHidden/>
          </w:rPr>
          <w:fldChar w:fldCharType="begin"/>
        </w:r>
        <w:r w:rsidR="007F6F22">
          <w:rPr>
            <w:webHidden/>
          </w:rPr>
          <w:instrText xml:space="preserve"> PAGEREF _Toc443404511 \h </w:instrText>
        </w:r>
        <w:r w:rsidR="007F6F22">
          <w:rPr>
            <w:webHidden/>
          </w:rPr>
        </w:r>
        <w:r w:rsidR="007F6F22">
          <w:rPr>
            <w:webHidden/>
          </w:rPr>
          <w:fldChar w:fldCharType="separate"/>
        </w:r>
        <w:r w:rsidR="00D77D5D">
          <w:rPr>
            <w:webHidden/>
          </w:rPr>
          <w:t>3</w:t>
        </w:r>
        <w:r w:rsidR="007F6F22">
          <w:rPr>
            <w:webHidden/>
          </w:rPr>
          <w:fldChar w:fldCharType="end"/>
        </w:r>
      </w:hyperlink>
    </w:p>
    <w:p w:rsidR="007F6F22" w:rsidRDefault="00741804">
      <w:pPr>
        <w:pStyle w:val="TOC2"/>
        <w:rPr>
          <w:rFonts w:eastAsiaTheme="minorEastAsia"/>
          <w:color w:val="auto"/>
          <w:lang w:eastAsia="en-AU"/>
        </w:rPr>
      </w:pPr>
      <w:hyperlink w:anchor="_Toc443404512" w:history="1">
        <w:r w:rsidR="007F6F22" w:rsidRPr="000C339A">
          <w:rPr>
            <w:rStyle w:val="Hyperlink"/>
          </w:rPr>
          <w:t>1.1</w:t>
        </w:r>
        <w:r w:rsidR="007F6F22">
          <w:rPr>
            <w:rFonts w:eastAsiaTheme="minorEastAsia"/>
            <w:color w:val="auto"/>
            <w:lang w:eastAsia="en-AU"/>
          </w:rPr>
          <w:tab/>
        </w:r>
        <w:r w:rsidR="007F6F22" w:rsidRPr="000C339A">
          <w:rPr>
            <w:rStyle w:val="Hyperlink"/>
          </w:rPr>
          <w:t>Independent Hospital Pricing Authority</w:t>
        </w:r>
        <w:r w:rsidR="007F6F22">
          <w:rPr>
            <w:webHidden/>
          </w:rPr>
          <w:tab/>
        </w:r>
        <w:r w:rsidR="007F6F22">
          <w:rPr>
            <w:webHidden/>
          </w:rPr>
          <w:fldChar w:fldCharType="begin"/>
        </w:r>
        <w:r w:rsidR="007F6F22">
          <w:rPr>
            <w:webHidden/>
          </w:rPr>
          <w:instrText xml:space="preserve"> PAGEREF _Toc443404512 \h </w:instrText>
        </w:r>
        <w:r w:rsidR="007F6F22">
          <w:rPr>
            <w:webHidden/>
          </w:rPr>
        </w:r>
        <w:r w:rsidR="007F6F22">
          <w:rPr>
            <w:webHidden/>
          </w:rPr>
          <w:fldChar w:fldCharType="separate"/>
        </w:r>
        <w:r w:rsidR="00D77D5D">
          <w:rPr>
            <w:webHidden/>
          </w:rPr>
          <w:t>3</w:t>
        </w:r>
        <w:r w:rsidR="007F6F22">
          <w:rPr>
            <w:webHidden/>
          </w:rPr>
          <w:fldChar w:fldCharType="end"/>
        </w:r>
      </w:hyperlink>
    </w:p>
    <w:p w:rsidR="007F6F22" w:rsidRDefault="00741804">
      <w:pPr>
        <w:pStyle w:val="TOC2"/>
        <w:rPr>
          <w:rFonts w:eastAsiaTheme="minorEastAsia"/>
          <w:color w:val="auto"/>
          <w:lang w:eastAsia="en-AU"/>
        </w:rPr>
      </w:pPr>
      <w:hyperlink w:anchor="_Toc443404513" w:history="1">
        <w:r w:rsidR="007F6F22" w:rsidRPr="000C339A">
          <w:rPr>
            <w:rStyle w:val="Hyperlink"/>
          </w:rPr>
          <w:t>1.2</w:t>
        </w:r>
        <w:r w:rsidR="007F6F22">
          <w:rPr>
            <w:rFonts w:eastAsiaTheme="minorEastAsia"/>
            <w:color w:val="auto"/>
            <w:lang w:eastAsia="en-AU"/>
          </w:rPr>
          <w:tab/>
        </w:r>
        <w:r w:rsidR="007F6F22" w:rsidRPr="000C339A">
          <w:rPr>
            <w:rStyle w:val="Hyperlink"/>
          </w:rPr>
          <w:t>Data quality</w:t>
        </w:r>
        <w:r w:rsidR="007F6F22">
          <w:rPr>
            <w:webHidden/>
          </w:rPr>
          <w:tab/>
        </w:r>
        <w:r w:rsidR="007F6F22">
          <w:rPr>
            <w:webHidden/>
          </w:rPr>
          <w:fldChar w:fldCharType="begin"/>
        </w:r>
        <w:r w:rsidR="007F6F22">
          <w:rPr>
            <w:webHidden/>
          </w:rPr>
          <w:instrText xml:space="preserve"> PAGEREF _Toc443404513 \h </w:instrText>
        </w:r>
        <w:r w:rsidR="007F6F22">
          <w:rPr>
            <w:webHidden/>
          </w:rPr>
        </w:r>
        <w:r w:rsidR="007F6F22">
          <w:rPr>
            <w:webHidden/>
          </w:rPr>
          <w:fldChar w:fldCharType="separate"/>
        </w:r>
        <w:r w:rsidR="00D77D5D">
          <w:rPr>
            <w:webHidden/>
          </w:rPr>
          <w:t>3</w:t>
        </w:r>
        <w:r w:rsidR="007F6F22">
          <w:rPr>
            <w:webHidden/>
          </w:rPr>
          <w:fldChar w:fldCharType="end"/>
        </w:r>
      </w:hyperlink>
    </w:p>
    <w:p w:rsidR="007F6F22" w:rsidRDefault="00741804">
      <w:pPr>
        <w:pStyle w:val="TOC2"/>
        <w:rPr>
          <w:rFonts w:eastAsiaTheme="minorEastAsia"/>
          <w:color w:val="auto"/>
          <w:lang w:eastAsia="en-AU"/>
        </w:rPr>
      </w:pPr>
      <w:hyperlink w:anchor="_Toc443404514" w:history="1">
        <w:r w:rsidR="007F6F22" w:rsidRPr="000C339A">
          <w:rPr>
            <w:rStyle w:val="Hyperlink"/>
          </w:rPr>
          <w:t>1.3</w:t>
        </w:r>
        <w:r w:rsidR="007F6F22">
          <w:rPr>
            <w:rFonts w:eastAsiaTheme="minorEastAsia"/>
            <w:color w:val="auto"/>
            <w:lang w:eastAsia="en-AU"/>
          </w:rPr>
          <w:tab/>
        </w:r>
        <w:r w:rsidR="007F6F22" w:rsidRPr="000C339A">
          <w:rPr>
            <w:rStyle w:val="Hyperlink"/>
          </w:rPr>
          <w:t>Terminology</w:t>
        </w:r>
        <w:r w:rsidR="007F6F22">
          <w:rPr>
            <w:webHidden/>
          </w:rPr>
          <w:tab/>
        </w:r>
        <w:r w:rsidR="007F6F22">
          <w:rPr>
            <w:webHidden/>
          </w:rPr>
          <w:fldChar w:fldCharType="begin"/>
        </w:r>
        <w:r w:rsidR="007F6F22">
          <w:rPr>
            <w:webHidden/>
          </w:rPr>
          <w:instrText xml:space="preserve"> PAGEREF _Toc443404514 \h </w:instrText>
        </w:r>
        <w:r w:rsidR="007F6F22">
          <w:rPr>
            <w:webHidden/>
          </w:rPr>
        </w:r>
        <w:r w:rsidR="007F6F22">
          <w:rPr>
            <w:webHidden/>
          </w:rPr>
          <w:fldChar w:fldCharType="separate"/>
        </w:r>
        <w:r w:rsidR="00D77D5D">
          <w:rPr>
            <w:webHidden/>
          </w:rPr>
          <w:t>3</w:t>
        </w:r>
        <w:r w:rsidR="007F6F22">
          <w:rPr>
            <w:webHidden/>
          </w:rPr>
          <w:fldChar w:fldCharType="end"/>
        </w:r>
      </w:hyperlink>
    </w:p>
    <w:p w:rsidR="007F6F22" w:rsidRDefault="00741804">
      <w:pPr>
        <w:pStyle w:val="TOC1"/>
        <w:tabs>
          <w:tab w:val="left" w:pos="1200"/>
        </w:tabs>
        <w:rPr>
          <w:rFonts w:eastAsiaTheme="minorEastAsia"/>
          <w:b w:val="0"/>
          <w:color w:val="auto"/>
          <w:lang w:eastAsia="en-AU"/>
        </w:rPr>
      </w:pPr>
      <w:hyperlink w:anchor="_Toc443404515" w:history="1">
        <w:r w:rsidR="007F6F22" w:rsidRPr="000C339A">
          <w:rPr>
            <w:rStyle w:val="Hyperlink"/>
          </w:rPr>
          <w:t>Chapter 2</w:t>
        </w:r>
        <w:r w:rsidR="007F6F22">
          <w:rPr>
            <w:rFonts w:eastAsiaTheme="minorEastAsia"/>
            <w:b w:val="0"/>
            <w:color w:val="auto"/>
            <w:lang w:eastAsia="en-AU"/>
          </w:rPr>
          <w:tab/>
        </w:r>
        <w:r w:rsidR="007F6F22" w:rsidRPr="000C339A">
          <w:rPr>
            <w:rStyle w:val="Hyperlink"/>
          </w:rPr>
          <w:t>Block Funding Criteria</w:t>
        </w:r>
        <w:r w:rsidR="007F6F22">
          <w:rPr>
            <w:webHidden/>
          </w:rPr>
          <w:tab/>
        </w:r>
        <w:r w:rsidR="007F6F22">
          <w:rPr>
            <w:webHidden/>
          </w:rPr>
          <w:fldChar w:fldCharType="begin"/>
        </w:r>
        <w:r w:rsidR="007F6F22">
          <w:rPr>
            <w:webHidden/>
          </w:rPr>
          <w:instrText xml:space="preserve"> PAGEREF _Toc443404515 \h </w:instrText>
        </w:r>
        <w:r w:rsidR="007F6F22">
          <w:rPr>
            <w:webHidden/>
          </w:rPr>
        </w:r>
        <w:r w:rsidR="007F6F22">
          <w:rPr>
            <w:webHidden/>
          </w:rPr>
          <w:fldChar w:fldCharType="separate"/>
        </w:r>
        <w:r w:rsidR="00D77D5D">
          <w:rPr>
            <w:webHidden/>
          </w:rPr>
          <w:t>4</w:t>
        </w:r>
        <w:r w:rsidR="007F6F22">
          <w:rPr>
            <w:webHidden/>
          </w:rPr>
          <w:fldChar w:fldCharType="end"/>
        </w:r>
      </w:hyperlink>
    </w:p>
    <w:p w:rsidR="007F6F22" w:rsidRDefault="00741804">
      <w:pPr>
        <w:pStyle w:val="TOC1"/>
        <w:tabs>
          <w:tab w:val="left" w:pos="1200"/>
        </w:tabs>
        <w:rPr>
          <w:rFonts w:eastAsiaTheme="minorEastAsia"/>
          <w:b w:val="0"/>
          <w:color w:val="auto"/>
          <w:lang w:eastAsia="en-AU"/>
        </w:rPr>
      </w:pPr>
      <w:hyperlink w:anchor="_Toc443404516" w:history="1">
        <w:r w:rsidR="007F6F22" w:rsidRPr="000C339A">
          <w:rPr>
            <w:rStyle w:val="Hyperlink"/>
          </w:rPr>
          <w:t>Chapter 3</w:t>
        </w:r>
        <w:r w:rsidR="007F6F22">
          <w:rPr>
            <w:rFonts w:eastAsiaTheme="minorEastAsia"/>
            <w:b w:val="0"/>
            <w:color w:val="auto"/>
            <w:lang w:eastAsia="en-AU"/>
          </w:rPr>
          <w:tab/>
        </w:r>
        <w:r w:rsidR="007F6F22" w:rsidRPr="000C339A">
          <w:rPr>
            <w:rStyle w:val="Hyperlink"/>
          </w:rPr>
          <w:t>National Efficient Cost for Hospitals</w:t>
        </w:r>
        <w:r w:rsidR="007F6F22">
          <w:rPr>
            <w:webHidden/>
          </w:rPr>
          <w:tab/>
        </w:r>
        <w:r w:rsidR="007F6F22">
          <w:rPr>
            <w:webHidden/>
          </w:rPr>
          <w:fldChar w:fldCharType="begin"/>
        </w:r>
        <w:r w:rsidR="007F6F22">
          <w:rPr>
            <w:webHidden/>
          </w:rPr>
          <w:instrText xml:space="preserve"> PAGEREF _Toc443404516 \h </w:instrText>
        </w:r>
        <w:r w:rsidR="007F6F22">
          <w:rPr>
            <w:webHidden/>
          </w:rPr>
        </w:r>
        <w:r w:rsidR="007F6F22">
          <w:rPr>
            <w:webHidden/>
          </w:rPr>
          <w:fldChar w:fldCharType="separate"/>
        </w:r>
        <w:r w:rsidR="00D77D5D">
          <w:rPr>
            <w:webHidden/>
          </w:rPr>
          <w:t>5</w:t>
        </w:r>
        <w:r w:rsidR="007F6F22">
          <w:rPr>
            <w:webHidden/>
          </w:rPr>
          <w:fldChar w:fldCharType="end"/>
        </w:r>
      </w:hyperlink>
    </w:p>
    <w:p w:rsidR="007F6F22" w:rsidRDefault="00741804">
      <w:pPr>
        <w:pStyle w:val="TOC2"/>
        <w:rPr>
          <w:rFonts w:eastAsiaTheme="minorEastAsia"/>
          <w:color w:val="auto"/>
          <w:lang w:eastAsia="en-AU"/>
        </w:rPr>
      </w:pPr>
      <w:hyperlink w:anchor="_Toc443404517" w:history="1">
        <w:r w:rsidR="007F6F22" w:rsidRPr="000C339A">
          <w:rPr>
            <w:rStyle w:val="Hyperlink"/>
          </w:rPr>
          <w:t>3.1</w:t>
        </w:r>
        <w:r w:rsidR="007F6F22">
          <w:rPr>
            <w:rFonts w:eastAsiaTheme="minorEastAsia"/>
            <w:color w:val="auto"/>
            <w:lang w:eastAsia="en-AU"/>
          </w:rPr>
          <w:tab/>
        </w:r>
        <w:r w:rsidR="007F6F22" w:rsidRPr="000C339A">
          <w:rPr>
            <w:rStyle w:val="Hyperlink"/>
          </w:rPr>
          <w:t>National Efficient Cost</w:t>
        </w:r>
        <w:r w:rsidR="007F6F22">
          <w:rPr>
            <w:webHidden/>
          </w:rPr>
          <w:tab/>
        </w:r>
        <w:r w:rsidR="007F6F22">
          <w:rPr>
            <w:webHidden/>
          </w:rPr>
          <w:fldChar w:fldCharType="begin"/>
        </w:r>
        <w:r w:rsidR="007F6F22">
          <w:rPr>
            <w:webHidden/>
          </w:rPr>
          <w:instrText xml:space="preserve"> PAGEREF _Toc443404517 \h </w:instrText>
        </w:r>
        <w:r w:rsidR="007F6F22">
          <w:rPr>
            <w:webHidden/>
          </w:rPr>
        </w:r>
        <w:r w:rsidR="007F6F22">
          <w:rPr>
            <w:webHidden/>
          </w:rPr>
          <w:fldChar w:fldCharType="separate"/>
        </w:r>
        <w:r w:rsidR="00D77D5D">
          <w:rPr>
            <w:webHidden/>
          </w:rPr>
          <w:t>5</w:t>
        </w:r>
        <w:r w:rsidR="007F6F22">
          <w:rPr>
            <w:webHidden/>
          </w:rPr>
          <w:fldChar w:fldCharType="end"/>
        </w:r>
      </w:hyperlink>
    </w:p>
    <w:p w:rsidR="007F6F22" w:rsidRDefault="00741804">
      <w:pPr>
        <w:pStyle w:val="TOC2"/>
        <w:rPr>
          <w:rFonts w:eastAsiaTheme="minorEastAsia"/>
          <w:color w:val="auto"/>
          <w:lang w:eastAsia="en-AU"/>
        </w:rPr>
      </w:pPr>
      <w:hyperlink w:anchor="_Toc443404518" w:history="1">
        <w:r w:rsidR="007F6F22" w:rsidRPr="000C339A">
          <w:rPr>
            <w:rStyle w:val="Hyperlink"/>
          </w:rPr>
          <w:t>3.2</w:t>
        </w:r>
        <w:r w:rsidR="007F6F22">
          <w:rPr>
            <w:rFonts w:eastAsiaTheme="minorEastAsia"/>
            <w:color w:val="auto"/>
            <w:lang w:eastAsia="en-AU"/>
          </w:rPr>
          <w:tab/>
        </w:r>
        <w:r w:rsidR="007F6F22" w:rsidRPr="000C339A">
          <w:rPr>
            <w:rStyle w:val="Hyperlink"/>
          </w:rPr>
          <w:t>Calculation of the NEC for Small Rural Hospitals</w:t>
        </w:r>
        <w:r w:rsidR="007F6F22">
          <w:rPr>
            <w:webHidden/>
          </w:rPr>
          <w:tab/>
        </w:r>
        <w:r w:rsidR="007F6F22">
          <w:rPr>
            <w:webHidden/>
          </w:rPr>
          <w:fldChar w:fldCharType="begin"/>
        </w:r>
        <w:r w:rsidR="007F6F22">
          <w:rPr>
            <w:webHidden/>
          </w:rPr>
          <w:instrText xml:space="preserve"> PAGEREF _Toc443404518 \h </w:instrText>
        </w:r>
        <w:r w:rsidR="007F6F22">
          <w:rPr>
            <w:webHidden/>
          </w:rPr>
        </w:r>
        <w:r w:rsidR="007F6F22">
          <w:rPr>
            <w:webHidden/>
          </w:rPr>
          <w:fldChar w:fldCharType="separate"/>
        </w:r>
        <w:r w:rsidR="00D77D5D">
          <w:rPr>
            <w:webHidden/>
          </w:rPr>
          <w:t>5</w:t>
        </w:r>
        <w:r w:rsidR="007F6F22">
          <w:rPr>
            <w:webHidden/>
          </w:rPr>
          <w:fldChar w:fldCharType="end"/>
        </w:r>
      </w:hyperlink>
    </w:p>
    <w:p w:rsidR="007F6F22" w:rsidRDefault="00741804">
      <w:pPr>
        <w:pStyle w:val="TOC2"/>
        <w:rPr>
          <w:rFonts w:eastAsiaTheme="minorEastAsia"/>
          <w:color w:val="auto"/>
          <w:lang w:eastAsia="en-AU"/>
        </w:rPr>
      </w:pPr>
      <w:hyperlink w:anchor="_Toc443404519" w:history="1">
        <w:r w:rsidR="007F6F22" w:rsidRPr="000C339A">
          <w:rPr>
            <w:rStyle w:val="Hyperlink"/>
          </w:rPr>
          <w:t>3.3</w:t>
        </w:r>
        <w:r w:rsidR="007F6F22">
          <w:rPr>
            <w:rFonts w:eastAsiaTheme="minorEastAsia"/>
            <w:color w:val="auto"/>
            <w:lang w:eastAsia="en-AU"/>
          </w:rPr>
          <w:tab/>
        </w:r>
        <w:r w:rsidR="007F6F22" w:rsidRPr="000C339A">
          <w:rPr>
            <w:rStyle w:val="Hyperlink"/>
          </w:rPr>
          <w:t>Efficient Cost for Other Hospitals</w:t>
        </w:r>
        <w:r w:rsidR="007F6F22">
          <w:rPr>
            <w:webHidden/>
          </w:rPr>
          <w:tab/>
        </w:r>
        <w:r w:rsidR="007F6F22">
          <w:rPr>
            <w:webHidden/>
          </w:rPr>
          <w:fldChar w:fldCharType="begin"/>
        </w:r>
        <w:r w:rsidR="007F6F22">
          <w:rPr>
            <w:webHidden/>
          </w:rPr>
          <w:instrText xml:space="preserve"> PAGEREF _Toc443404519 \h </w:instrText>
        </w:r>
        <w:r w:rsidR="007F6F22">
          <w:rPr>
            <w:webHidden/>
          </w:rPr>
        </w:r>
        <w:r w:rsidR="007F6F22">
          <w:rPr>
            <w:webHidden/>
          </w:rPr>
          <w:fldChar w:fldCharType="separate"/>
        </w:r>
        <w:r w:rsidR="00D77D5D">
          <w:rPr>
            <w:webHidden/>
          </w:rPr>
          <w:t>6</w:t>
        </w:r>
        <w:r w:rsidR="007F6F22">
          <w:rPr>
            <w:webHidden/>
          </w:rPr>
          <w:fldChar w:fldCharType="end"/>
        </w:r>
      </w:hyperlink>
    </w:p>
    <w:p w:rsidR="007F6F22" w:rsidRDefault="00741804">
      <w:pPr>
        <w:pStyle w:val="TOC1"/>
        <w:tabs>
          <w:tab w:val="left" w:pos="1200"/>
        </w:tabs>
        <w:rPr>
          <w:rFonts w:eastAsiaTheme="minorEastAsia"/>
          <w:b w:val="0"/>
          <w:color w:val="auto"/>
          <w:lang w:eastAsia="en-AU"/>
        </w:rPr>
      </w:pPr>
      <w:hyperlink w:anchor="_Toc443404520" w:history="1">
        <w:r w:rsidR="007F6F22" w:rsidRPr="000C339A">
          <w:rPr>
            <w:rStyle w:val="Hyperlink"/>
          </w:rPr>
          <w:t>Chapter 4</w:t>
        </w:r>
        <w:r w:rsidR="007F6F22">
          <w:rPr>
            <w:rFonts w:eastAsiaTheme="minorEastAsia"/>
            <w:b w:val="0"/>
            <w:color w:val="auto"/>
            <w:lang w:eastAsia="en-AU"/>
          </w:rPr>
          <w:tab/>
        </w:r>
        <w:r w:rsidR="007F6F22" w:rsidRPr="000C339A">
          <w:rPr>
            <w:rStyle w:val="Hyperlink"/>
          </w:rPr>
          <w:t>Block Funded Services</w:t>
        </w:r>
        <w:r w:rsidR="007F6F22">
          <w:rPr>
            <w:webHidden/>
          </w:rPr>
          <w:tab/>
        </w:r>
        <w:r w:rsidR="007F6F22">
          <w:rPr>
            <w:webHidden/>
          </w:rPr>
          <w:fldChar w:fldCharType="begin"/>
        </w:r>
        <w:r w:rsidR="007F6F22">
          <w:rPr>
            <w:webHidden/>
          </w:rPr>
          <w:instrText xml:space="preserve"> PAGEREF _Toc443404520 \h </w:instrText>
        </w:r>
        <w:r w:rsidR="007F6F22">
          <w:rPr>
            <w:webHidden/>
          </w:rPr>
        </w:r>
        <w:r w:rsidR="007F6F22">
          <w:rPr>
            <w:webHidden/>
          </w:rPr>
          <w:fldChar w:fldCharType="separate"/>
        </w:r>
        <w:r w:rsidR="00D77D5D">
          <w:rPr>
            <w:webHidden/>
          </w:rPr>
          <w:t>7</w:t>
        </w:r>
        <w:r w:rsidR="007F6F22">
          <w:rPr>
            <w:webHidden/>
          </w:rPr>
          <w:fldChar w:fldCharType="end"/>
        </w:r>
      </w:hyperlink>
    </w:p>
    <w:p w:rsidR="007F6F22" w:rsidRDefault="00741804">
      <w:pPr>
        <w:pStyle w:val="TOC1"/>
        <w:tabs>
          <w:tab w:val="left" w:pos="1200"/>
        </w:tabs>
        <w:rPr>
          <w:rFonts w:eastAsiaTheme="minorEastAsia"/>
          <w:b w:val="0"/>
          <w:color w:val="auto"/>
          <w:lang w:eastAsia="en-AU"/>
        </w:rPr>
      </w:pPr>
      <w:hyperlink w:anchor="_Toc443404521" w:history="1">
        <w:r w:rsidR="007F6F22" w:rsidRPr="000C339A">
          <w:rPr>
            <w:rStyle w:val="Hyperlink"/>
          </w:rPr>
          <w:t>Chapter 5</w:t>
        </w:r>
        <w:r w:rsidR="007F6F22">
          <w:rPr>
            <w:rFonts w:eastAsiaTheme="minorEastAsia"/>
            <w:b w:val="0"/>
            <w:color w:val="auto"/>
            <w:lang w:eastAsia="en-AU"/>
          </w:rPr>
          <w:tab/>
        </w:r>
        <w:r w:rsidR="007F6F22" w:rsidRPr="000C339A">
          <w:rPr>
            <w:rStyle w:val="Hyperlink"/>
          </w:rPr>
          <w:t>Back-casting</w:t>
        </w:r>
        <w:r w:rsidR="007F6F22">
          <w:rPr>
            <w:webHidden/>
          </w:rPr>
          <w:tab/>
        </w:r>
        <w:r w:rsidR="007F6F22">
          <w:rPr>
            <w:webHidden/>
          </w:rPr>
          <w:fldChar w:fldCharType="begin"/>
        </w:r>
        <w:r w:rsidR="007F6F22">
          <w:rPr>
            <w:webHidden/>
          </w:rPr>
          <w:instrText xml:space="preserve"> PAGEREF _Toc443404521 \h </w:instrText>
        </w:r>
        <w:r w:rsidR="007F6F22">
          <w:rPr>
            <w:webHidden/>
          </w:rPr>
        </w:r>
        <w:r w:rsidR="007F6F22">
          <w:rPr>
            <w:webHidden/>
          </w:rPr>
          <w:fldChar w:fldCharType="separate"/>
        </w:r>
        <w:r w:rsidR="00D77D5D">
          <w:rPr>
            <w:webHidden/>
          </w:rPr>
          <w:t>8</w:t>
        </w:r>
        <w:r w:rsidR="007F6F22">
          <w:rPr>
            <w:webHidden/>
          </w:rPr>
          <w:fldChar w:fldCharType="end"/>
        </w:r>
      </w:hyperlink>
    </w:p>
    <w:p w:rsidR="007F6F22" w:rsidRDefault="007F6F22" w:rsidP="007F6F22">
      <w:pPr>
        <w:pStyle w:val="TOCHeading"/>
        <w:spacing w:after="120"/>
        <w:rPr>
          <w:noProof/>
        </w:rPr>
      </w:pPr>
      <w:r>
        <w:rPr>
          <w:noProof/>
        </w:rPr>
        <w:t>Appendices</w:t>
      </w:r>
    </w:p>
    <w:p w:rsidR="007F6F22" w:rsidRDefault="00741804">
      <w:pPr>
        <w:pStyle w:val="TOC1"/>
        <w:tabs>
          <w:tab w:val="left" w:pos="1440"/>
        </w:tabs>
        <w:rPr>
          <w:rFonts w:eastAsiaTheme="minorEastAsia"/>
          <w:b w:val="0"/>
          <w:color w:val="auto"/>
          <w:lang w:eastAsia="en-AU"/>
        </w:rPr>
      </w:pPr>
      <w:hyperlink w:anchor="_Toc443404522" w:history="1">
        <w:r w:rsidR="007F6F22" w:rsidRPr="000C339A">
          <w:rPr>
            <w:rStyle w:val="Hyperlink"/>
          </w:rPr>
          <w:t>Appendix A</w:t>
        </w:r>
        <w:r w:rsidR="007F6F22">
          <w:rPr>
            <w:rFonts w:eastAsiaTheme="minorEastAsia"/>
            <w:b w:val="0"/>
            <w:color w:val="auto"/>
            <w:lang w:eastAsia="en-AU"/>
          </w:rPr>
          <w:tab/>
        </w:r>
        <w:r w:rsidR="007F6F22" w:rsidRPr="000C339A">
          <w:rPr>
            <w:rStyle w:val="Hyperlink"/>
          </w:rPr>
          <w:t>Block Funded Small Rural Hospitals</w:t>
        </w:r>
        <w:r w:rsidR="007F6F22">
          <w:rPr>
            <w:webHidden/>
          </w:rPr>
          <w:tab/>
        </w:r>
        <w:r w:rsidR="007F6F22">
          <w:rPr>
            <w:webHidden/>
          </w:rPr>
          <w:fldChar w:fldCharType="begin"/>
        </w:r>
        <w:r w:rsidR="007F6F22">
          <w:rPr>
            <w:webHidden/>
          </w:rPr>
          <w:instrText xml:space="preserve"> PAGEREF _Toc443404522 \h </w:instrText>
        </w:r>
        <w:r w:rsidR="007F6F22">
          <w:rPr>
            <w:webHidden/>
          </w:rPr>
        </w:r>
        <w:r w:rsidR="007F6F22">
          <w:rPr>
            <w:webHidden/>
          </w:rPr>
          <w:fldChar w:fldCharType="separate"/>
        </w:r>
        <w:r w:rsidR="00D77D5D">
          <w:rPr>
            <w:webHidden/>
          </w:rPr>
          <w:t>9</w:t>
        </w:r>
        <w:r w:rsidR="007F6F22">
          <w:rPr>
            <w:webHidden/>
          </w:rPr>
          <w:fldChar w:fldCharType="end"/>
        </w:r>
      </w:hyperlink>
    </w:p>
    <w:p w:rsidR="007F6F22" w:rsidRDefault="00741804">
      <w:pPr>
        <w:pStyle w:val="TOC1"/>
        <w:tabs>
          <w:tab w:val="left" w:pos="1440"/>
        </w:tabs>
        <w:rPr>
          <w:rFonts w:eastAsiaTheme="minorEastAsia"/>
          <w:b w:val="0"/>
          <w:color w:val="auto"/>
          <w:lang w:eastAsia="en-AU"/>
        </w:rPr>
      </w:pPr>
      <w:hyperlink w:anchor="_Toc443404523" w:history="1">
        <w:r w:rsidR="007F6F22" w:rsidRPr="000C339A">
          <w:rPr>
            <w:rStyle w:val="Hyperlink"/>
          </w:rPr>
          <w:t>Appendix B</w:t>
        </w:r>
        <w:r w:rsidR="007F6F22">
          <w:rPr>
            <w:rFonts w:eastAsiaTheme="minorEastAsia"/>
            <w:b w:val="0"/>
            <w:color w:val="auto"/>
            <w:lang w:eastAsia="en-AU"/>
          </w:rPr>
          <w:tab/>
        </w:r>
        <w:r w:rsidR="007F6F22" w:rsidRPr="000C339A">
          <w:rPr>
            <w:rStyle w:val="Hyperlink"/>
          </w:rPr>
          <w:t>Standalone Hospitals Providing Specialist Mental Health Services</w:t>
        </w:r>
        <w:r w:rsidR="007F6F22">
          <w:rPr>
            <w:webHidden/>
          </w:rPr>
          <w:tab/>
        </w:r>
        <w:r w:rsidR="007F6F22">
          <w:rPr>
            <w:webHidden/>
          </w:rPr>
          <w:fldChar w:fldCharType="begin"/>
        </w:r>
        <w:r w:rsidR="007F6F22">
          <w:rPr>
            <w:webHidden/>
          </w:rPr>
          <w:instrText xml:space="preserve"> PAGEREF _Toc443404523 \h </w:instrText>
        </w:r>
        <w:r w:rsidR="007F6F22">
          <w:rPr>
            <w:webHidden/>
          </w:rPr>
        </w:r>
        <w:r w:rsidR="007F6F22">
          <w:rPr>
            <w:webHidden/>
          </w:rPr>
          <w:fldChar w:fldCharType="separate"/>
        </w:r>
        <w:r w:rsidR="00D77D5D">
          <w:rPr>
            <w:webHidden/>
          </w:rPr>
          <w:t>29</w:t>
        </w:r>
        <w:r w:rsidR="007F6F22">
          <w:rPr>
            <w:webHidden/>
          </w:rPr>
          <w:fldChar w:fldCharType="end"/>
        </w:r>
      </w:hyperlink>
    </w:p>
    <w:p w:rsidR="007F6F22" w:rsidRDefault="00741804">
      <w:pPr>
        <w:pStyle w:val="TOC1"/>
        <w:tabs>
          <w:tab w:val="left" w:pos="1440"/>
        </w:tabs>
        <w:rPr>
          <w:rFonts w:eastAsiaTheme="minorEastAsia"/>
          <w:b w:val="0"/>
          <w:color w:val="auto"/>
          <w:lang w:eastAsia="en-AU"/>
        </w:rPr>
      </w:pPr>
      <w:hyperlink w:anchor="_Toc443404524" w:history="1">
        <w:r w:rsidR="007F6F22" w:rsidRPr="000C339A">
          <w:rPr>
            <w:rStyle w:val="Hyperlink"/>
          </w:rPr>
          <w:t>Appendix C</w:t>
        </w:r>
        <w:r w:rsidR="007F6F22">
          <w:rPr>
            <w:rFonts w:eastAsiaTheme="minorEastAsia"/>
            <w:b w:val="0"/>
            <w:color w:val="auto"/>
            <w:lang w:eastAsia="en-AU"/>
          </w:rPr>
          <w:tab/>
        </w:r>
        <w:r w:rsidR="007F6F22" w:rsidRPr="000C339A">
          <w:rPr>
            <w:rStyle w:val="Hyperlink"/>
          </w:rPr>
          <w:t>Standalone Major City Hospitals Providing Specialist Services</w:t>
        </w:r>
        <w:r w:rsidR="007F6F22">
          <w:rPr>
            <w:webHidden/>
          </w:rPr>
          <w:tab/>
        </w:r>
        <w:r w:rsidR="007F6F22">
          <w:rPr>
            <w:webHidden/>
          </w:rPr>
          <w:fldChar w:fldCharType="begin"/>
        </w:r>
        <w:r w:rsidR="007F6F22">
          <w:rPr>
            <w:webHidden/>
          </w:rPr>
          <w:instrText xml:space="preserve"> PAGEREF _Toc443404524 \h </w:instrText>
        </w:r>
        <w:r w:rsidR="007F6F22">
          <w:rPr>
            <w:webHidden/>
          </w:rPr>
        </w:r>
        <w:r w:rsidR="007F6F22">
          <w:rPr>
            <w:webHidden/>
          </w:rPr>
          <w:fldChar w:fldCharType="separate"/>
        </w:r>
        <w:r w:rsidR="00D77D5D">
          <w:rPr>
            <w:webHidden/>
          </w:rPr>
          <w:t>30</w:t>
        </w:r>
        <w:r w:rsidR="007F6F22">
          <w:rPr>
            <w:webHidden/>
          </w:rPr>
          <w:fldChar w:fldCharType="end"/>
        </w:r>
      </w:hyperlink>
    </w:p>
    <w:p w:rsidR="00136F35" w:rsidRDefault="00DA6C30" w:rsidP="00136F35">
      <w:pPr>
        <w:rPr>
          <w:lang w:val="en-US" w:eastAsia="ja-JP"/>
        </w:rPr>
      </w:pPr>
      <w:r>
        <w:rPr>
          <w:rFonts w:cs="Arial"/>
          <w:b/>
        </w:rPr>
        <w:fldChar w:fldCharType="end"/>
      </w:r>
    </w:p>
    <w:p w:rsidR="00136F35" w:rsidRDefault="00136F35">
      <w:pPr>
        <w:spacing w:line="276" w:lineRule="auto"/>
        <w:rPr>
          <w:lang w:val="en-US" w:eastAsia="ja-JP"/>
        </w:rPr>
      </w:pPr>
      <w:r>
        <w:rPr>
          <w:lang w:val="en-US" w:eastAsia="ja-JP"/>
        </w:rPr>
        <w:br w:type="page"/>
      </w:r>
    </w:p>
    <w:p w:rsidR="00136F35" w:rsidRPr="000306BE" w:rsidRDefault="00136F35" w:rsidP="00136F35">
      <w:pPr>
        <w:pStyle w:val="Heading1"/>
        <w:tabs>
          <w:tab w:val="left" w:pos="2280"/>
        </w:tabs>
        <w:spacing w:after="240"/>
      </w:pPr>
      <w:bookmarkStart w:id="0" w:name="_Toc443404511"/>
      <w:r w:rsidRPr="000306BE">
        <w:lastRenderedPageBreak/>
        <w:t>Chapter 1</w:t>
      </w:r>
      <w:r w:rsidRPr="000306BE">
        <w:tab/>
        <w:t>Overview</w:t>
      </w:r>
      <w:bookmarkEnd w:id="0"/>
    </w:p>
    <w:p w:rsidR="00136F35" w:rsidRPr="000306BE" w:rsidRDefault="00136F35" w:rsidP="00136F35">
      <w:pPr>
        <w:pStyle w:val="Heading2"/>
        <w:spacing w:after="240"/>
      </w:pPr>
      <w:bookmarkStart w:id="1" w:name="_Toc443404512"/>
      <w:r>
        <w:t>1</w:t>
      </w:r>
      <w:r w:rsidRPr="000306BE">
        <w:t>.1</w:t>
      </w:r>
      <w:r w:rsidRPr="000306BE">
        <w:tab/>
      </w:r>
      <w:smartTag w:uri="urn:schemas-microsoft-com:office:smarttags" w:element="place">
        <w:smartTag w:uri="urn:schemas-microsoft-com:office:smarttags" w:element="PlaceName">
          <w:r w:rsidRPr="000306BE">
            <w:t>Independent</w:t>
          </w:r>
        </w:smartTag>
        <w:r w:rsidRPr="000306BE">
          <w:t xml:space="preserve"> </w:t>
        </w:r>
        <w:smartTag w:uri="urn:schemas-microsoft-com:office:smarttags" w:element="PlaceType">
          <w:r w:rsidRPr="000306BE">
            <w:t>Hospital</w:t>
          </w:r>
        </w:smartTag>
      </w:smartTag>
      <w:r w:rsidRPr="000306BE">
        <w:t xml:space="preserve"> Pricing Authority</w:t>
      </w:r>
      <w:bookmarkEnd w:id="1"/>
    </w:p>
    <w:p w:rsidR="002B568D" w:rsidRPr="0092298D" w:rsidRDefault="002B568D" w:rsidP="002B568D">
      <w:pPr>
        <w:spacing w:before="240"/>
        <w:rPr>
          <w:rFonts w:cs="Arial"/>
        </w:rPr>
      </w:pPr>
      <w:r w:rsidRPr="0092298D">
        <w:rPr>
          <w:rFonts w:cs="Arial"/>
        </w:rPr>
        <w:t>The Independent Hospital Pricing Authority (</w:t>
      </w:r>
      <w:r w:rsidR="00512F40">
        <w:rPr>
          <w:rFonts w:cs="Arial"/>
          <w:i/>
        </w:rPr>
        <w:t>Pricing Authority</w:t>
      </w:r>
      <w:r w:rsidRPr="0092298D">
        <w:rPr>
          <w:rFonts w:cs="Arial"/>
        </w:rPr>
        <w:t xml:space="preserve">) is established under the </w:t>
      </w:r>
      <w:r w:rsidRPr="00512F40">
        <w:rPr>
          <w:rFonts w:cs="Arial"/>
          <w:i/>
        </w:rPr>
        <w:t>National Health Reform Act 2011</w:t>
      </w:r>
      <w:r w:rsidRPr="0092298D">
        <w:rPr>
          <w:rFonts w:cs="Arial"/>
        </w:rPr>
        <w:t xml:space="preserve"> (</w:t>
      </w:r>
      <w:proofErr w:type="spellStart"/>
      <w:r w:rsidRPr="0092298D">
        <w:rPr>
          <w:rFonts w:cs="Arial"/>
        </w:rPr>
        <w:t>Cth</w:t>
      </w:r>
      <w:proofErr w:type="spellEnd"/>
      <w:r w:rsidRPr="0092298D">
        <w:rPr>
          <w:rFonts w:cs="Arial"/>
        </w:rPr>
        <w:t>) (</w:t>
      </w:r>
      <w:r w:rsidRPr="00512F40">
        <w:rPr>
          <w:rFonts w:cs="Arial"/>
          <w:i/>
        </w:rPr>
        <w:t>Act</w:t>
      </w:r>
      <w:r w:rsidRPr="0092298D">
        <w:rPr>
          <w:rFonts w:cs="Arial"/>
        </w:rPr>
        <w:t xml:space="preserve">), and by virtue of section 131(1) of the Act is invested with the following functions relevant to this </w:t>
      </w:r>
      <w:r w:rsidR="00AE5DC2">
        <w:rPr>
          <w:rFonts w:cs="Arial"/>
        </w:rPr>
        <w:t>2016</w:t>
      </w:r>
      <w:r w:rsidR="000A51AD">
        <w:rPr>
          <w:rFonts w:cs="Arial"/>
        </w:rPr>
        <w:t>-1</w:t>
      </w:r>
      <w:r w:rsidR="00AE5DC2">
        <w:rPr>
          <w:rFonts w:cs="Arial"/>
        </w:rPr>
        <w:t>7</w:t>
      </w:r>
      <w:r w:rsidR="00801720">
        <w:rPr>
          <w:rFonts w:cs="Arial"/>
        </w:rPr>
        <w:t xml:space="preserve"> </w:t>
      </w:r>
      <w:r w:rsidRPr="0092298D">
        <w:rPr>
          <w:rFonts w:cs="Arial"/>
        </w:rPr>
        <w:t xml:space="preserve">National Efficient Cost </w:t>
      </w:r>
      <w:r w:rsidR="00DD3DD0">
        <w:rPr>
          <w:rFonts w:cs="Arial"/>
        </w:rPr>
        <w:t xml:space="preserve">(NEC) </w:t>
      </w:r>
      <w:r w:rsidRPr="0092298D">
        <w:rPr>
          <w:rFonts w:cs="Arial"/>
        </w:rPr>
        <w:t>Determination (</w:t>
      </w:r>
      <w:r w:rsidRPr="00543AC0">
        <w:rPr>
          <w:rFonts w:cs="Arial"/>
          <w:i/>
        </w:rPr>
        <w:t>Determination</w:t>
      </w:r>
      <w:r w:rsidRPr="0092298D">
        <w:rPr>
          <w:rFonts w:cs="Arial"/>
        </w:rPr>
        <w:t>):</w:t>
      </w:r>
    </w:p>
    <w:p w:rsidR="002B568D" w:rsidRPr="0092298D" w:rsidRDefault="002B568D" w:rsidP="00543AC0">
      <w:pPr>
        <w:numPr>
          <w:ilvl w:val="0"/>
          <w:numId w:val="3"/>
        </w:numPr>
        <w:spacing w:before="120" w:after="0"/>
        <w:ind w:hanging="573"/>
        <w:rPr>
          <w:rFonts w:cs="Arial"/>
        </w:rPr>
      </w:pPr>
      <w:r w:rsidRPr="0092298D">
        <w:rPr>
          <w:rFonts w:cs="Arial"/>
        </w:rPr>
        <w:t xml:space="preserve">to determine the national efficient </w:t>
      </w:r>
      <w:r>
        <w:rPr>
          <w:rFonts w:cs="Arial"/>
        </w:rPr>
        <w:t xml:space="preserve">cost </w:t>
      </w:r>
      <w:r w:rsidRPr="0092298D">
        <w:rPr>
          <w:rFonts w:cs="Arial"/>
        </w:rPr>
        <w:t>for health care services provided by public hospitals where the services are block funded;</w:t>
      </w:r>
    </w:p>
    <w:p w:rsidR="002B568D" w:rsidRPr="0092298D" w:rsidRDefault="002B568D" w:rsidP="00543AC0">
      <w:pPr>
        <w:numPr>
          <w:ilvl w:val="0"/>
          <w:numId w:val="3"/>
        </w:numPr>
        <w:spacing w:before="120" w:after="0"/>
        <w:ind w:hanging="573"/>
        <w:rPr>
          <w:rFonts w:cs="Arial"/>
        </w:rPr>
      </w:pPr>
      <w:r w:rsidRPr="0092298D">
        <w:rPr>
          <w:rFonts w:cs="Arial"/>
        </w:rPr>
        <w:t>to develop and specify classification systems for health care and other services provided by public hospitals;</w:t>
      </w:r>
    </w:p>
    <w:p w:rsidR="002B568D" w:rsidRPr="0092298D" w:rsidRDefault="002B568D" w:rsidP="00543AC0">
      <w:pPr>
        <w:numPr>
          <w:ilvl w:val="0"/>
          <w:numId w:val="3"/>
        </w:numPr>
        <w:spacing w:before="120" w:after="0"/>
        <w:ind w:hanging="573"/>
        <w:rPr>
          <w:rFonts w:cs="Arial"/>
        </w:rPr>
      </w:pPr>
      <w:r w:rsidRPr="0092298D">
        <w:rPr>
          <w:rFonts w:cs="Arial"/>
        </w:rPr>
        <w:t xml:space="preserve">except where otherwise agreed between the </w:t>
      </w:r>
      <w:r w:rsidRPr="00543AC0">
        <w:rPr>
          <w:rFonts w:cs="Arial"/>
        </w:rPr>
        <w:t>Commonwealth</w:t>
      </w:r>
      <w:r w:rsidRPr="0092298D">
        <w:rPr>
          <w:rFonts w:cs="Arial"/>
        </w:rPr>
        <w:t xml:space="preserve"> and a </w:t>
      </w:r>
      <w:r w:rsidRPr="00543AC0">
        <w:rPr>
          <w:rFonts w:cs="Arial"/>
        </w:rPr>
        <w:t>State</w:t>
      </w:r>
      <w:r w:rsidRPr="0092298D">
        <w:rPr>
          <w:rFonts w:cs="Arial"/>
        </w:rPr>
        <w:t xml:space="preserve"> – to determine the public hospital functions that are to be funded in the state by the Commonwealth</w:t>
      </w:r>
      <w:r>
        <w:rPr>
          <w:rFonts w:cs="Arial"/>
        </w:rPr>
        <w:t>.</w:t>
      </w:r>
    </w:p>
    <w:p w:rsidR="002B568D" w:rsidRPr="000F22FB" w:rsidRDefault="002B568D" w:rsidP="002B568D">
      <w:pPr>
        <w:spacing w:before="240"/>
        <w:rPr>
          <w:rFonts w:cs="Arial"/>
        </w:rPr>
      </w:pPr>
      <w:r w:rsidRPr="0092298D">
        <w:rPr>
          <w:rFonts w:cs="Arial"/>
        </w:rPr>
        <w:t xml:space="preserve">In </w:t>
      </w:r>
      <w:r w:rsidRPr="00512F40">
        <w:rPr>
          <w:rFonts w:cs="Arial"/>
        </w:rPr>
        <w:t xml:space="preserve">this </w:t>
      </w:r>
      <w:r w:rsidRPr="000F22FB">
        <w:rPr>
          <w:rFonts w:cs="Arial"/>
        </w:rPr>
        <w:t>document, ‘Pricing Authority’ refers to the governing members and ‘IHPA’ refers to the</w:t>
      </w:r>
      <w:r w:rsidR="00392468">
        <w:rPr>
          <w:rFonts w:cs="Arial"/>
        </w:rPr>
        <w:t xml:space="preserve"> </w:t>
      </w:r>
      <w:r w:rsidR="00085C55">
        <w:rPr>
          <w:rFonts w:cs="Arial"/>
        </w:rPr>
        <w:t>a</w:t>
      </w:r>
      <w:r w:rsidRPr="000F22FB">
        <w:rPr>
          <w:rFonts w:cs="Arial"/>
        </w:rPr>
        <w:t>gency.</w:t>
      </w:r>
    </w:p>
    <w:p w:rsidR="002B568D" w:rsidRPr="000F22FB" w:rsidRDefault="002B568D" w:rsidP="002B568D">
      <w:pPr>
        <w:pStyle w:val="Heading2"/>
      </w:pPr>
      <w:bookmarkStart w:id="2" w:name="_Toc349574774"/>
      <w:bookmarkStart w:id="3" w:name="_Toc443404513"/>
      <w:r w:rsidRPr="000F22FB">
        <w:t>1.2</w:t>
      </w:r>
      <w:r w:rsidRPr="000F22FB">
        <w:tab/>
        <w:t>Data quality</w:t>
      </w:r>
      <w:bookmarkEnd w:id="2"/>
      <w:bookmarkEnd w:id="3"/>
    </w:p>
    <w:p w:rsidR="002B568D" w:rsidRPr="000F22FB" w:rsidRDefault="002B568D" w:rsidP="002B568D">
      <w:pPr>
        <w:spacing w:before="240"/>
        <w:rPr>
          <w:rFonts w:cs="Arial"/>
        </w:rPr>
      </w:pPr>
      <w:r w:rsidRPr="000F22FB">
        <w:rPr>
          <w:rFonts w:cs="Arial"/>
        </w:rPr>
        <w:t xml:space="preserve">In making this Determination, the Pricing Authority has relied on </w:t>
      </w:r>
      <w:r w:rsidR="00D64413" w:rsidRPr="000F22FB">
        <w:rPr>
          <w:rFonts w:cs="Arial"/>
        </w:rPr>
        <w:t xml:space="preserve">the </w:t>
      </w:r>
      <w:r w:rsidRPr="000F22FB">
        <w:rPr>
          <w:rFonts w:cs="Arial"/>
        </w:rPr>
        <w:t xml:space="preserve">National Public Hospital Establishments Database (NPHED) </w:t>
      </w:r>
      <w:r w:rsidR="00D64413" w:rsidRPr="000F22FB">
        <w:rPr>
          <w:rFonts w:cs="Arial"/>
        </w:rPr>
        <w:t xml:space="preserve">and the National Hospital Cost Data Collection (NHCDC) </w:t>
      </w:r>
      <w:r w:rsidRPr="000F22FB">
        <w:rPr>
          <w:rFonts w:cs="Arial"/>
        </w:rPr>
        <w:t>to determine the key parameters of the model.</w:t>
      </w:r>
    </w:p>
    <w:p w:rsidR="002B568D" w:rsidRPr="000F22FB" w:rsidRDefault="008E7EA2" w:rsidP="002B568D">
      <w:pPr>
        <w:spacing w:before="240"/>
        <w:rPr>
          <w:rFonts w:cs="Arial"/>
        </w:rPr>
      </w:pPr>
      <w:r>
        <w:rPr>
          <w:rFonts w:cs="Arial"/>
        </w:rPr>
        <w:t xml:space="preserve">There have been significant improvements in the completeness and accuracy of data reported to the NPHED over the past </w:t>
      </w:r>
      <w:r w:rsidR="00847319">
        <w:rPr>
          <w:rFonts w:cs="Arial"/>
        </w:rPr>
        <w:t>three</w:t>
      </w:r>
      <w:r>
        <w:rPr>
          <w:rFonts w:cs="Arial"/>
        </w:rPr>
        <w:t xml:space="preserve"> years and further improvements are expected in future years.</w:t>
      </w:r>
    </w:p>
    <w:p w:rsidR="002B568D" w:rsidRPr="0092298D" w:rsidRDefault="008E7EA2" w:rsidP="002B568D">
      <w:pPr>
        <w:spacing w:before="240"/>
        <w:rPr>
          <w:rFonts w:cs="Arial"/>
        </w:rPr>
      </w:pPr>
      <w:r>
        <w:rPr>
          <w:rFonts w:cs="Arial"/>
        </w:rPr>
        <w:t>T</w:t>
      </w:r>
      <w:r w:rsidR="002B568D" w:rsidRPr="0092298D">
        <w:rPr>
          <w:rFonts w:cs="Arial"/>
        </w:rPr>
        <w:t xml:space="preserve">he Pricing Authority </w:t>
      </w:r>
      <w:r>
        <w:rPr>
          <w:rFonts w:cs="Arial"/>
        </w:rPr>
        <w:t xml:space="preserve">remains </w:t>
      </w:r>
      <w:r w:rsidR="002B568D" w:rsidRPr="0092298D">
        <w:rPr>
          <w:rFonts w:cs="Arial"/>
        </w:rPr>
        <w:t xml:space="preserve">satisfied that the data </w:t>
      </w:r>
      <w:r w:rsidR="00917A25">
        <w:rPr>
          <w:rFonts w:cs="Arial"/>
        </w:rPr>
        <w:t>are</w:t>
      </w:r>
      <w:r w:rsidR="002B568D" w:rsidRPr="0092298D">
        <w:rPr>
          <w:rFonts w:cs="Arial"/>
        </w:rPr>
        <w:t xml:space="preserve"> adequate for the Pricing Authority to carry out its functions under the Act in </w:t>
      </w:r>
      <w:r w:rsidR="00AE5DC2">
        <w:rPr>
          <w:rFonts w:cs="Arial"/>
        </w:rPr>
        <w:t>2016</w:t>
      </w:r>
      <w:r w:rsidR="00801720">
        <w:rPr>
          <w:rFonts w:cs="Arial"/>
        </w:rPr>
        <w:t>-1</w:t>
      </w:r>
      <w:r w:rsidR="00AE5DC2">
        <w:rPr>
          <w:rFonts w:cs="Arial"/>
        </w:rPr>
        <w:t>7</w:t>
      </w:r>
      <w:r w:rsidR="002B568D" w:rsidRPr="0092298D">
        <w:rPr>
          <w:rFonts w:cs="Arial"/>
        </w:rPr>
        <w:t>.</w:t>
      </w:r>
    </w:p>
    <w:p w:rsidR="002B568D" w:rsidRPr="0092298D" w:rsidRDefault="002B568D" w:rsidP="002B568D">
      <w:pPr>
        <w:pStyle w:val="Heading2"/>
      </w:pPr>
      <w:bookmarkStart w:id="4" w:name="_Toc349574775"/>
      <w:bookmarkStart w:id="5" w:name="_Toc443404514"/>
      <w:r w:rsidRPr="0092298D">
        <w:t>1.</w:t>
      </w:r>
      <w:r>
        <w:t>3</w:t>
      </w:r>
      <w:r w:rsidRPr="0092298D">
        <w:tab/>
        <w:t>Terminology</w:t>
      </w:r>
      <w:bookmarkEnd w:id="4"/>
      <w:bookmarkEnd w:id="5"/>
    </w:p>
    <w:p w:rsidR="002B568D" w:rsidRPr="00DD3DD0" w:rsidRDefault="002B568D" w:rsidP="00DD3DD0">
      <w:pPr>
        <w:spacing w:before="240"/>
        <w:rPr>
          <w:rFonts w:cs="Arial"/>
          <w:b/>
          <w:i/>
        </w:rPr>
      </w:pPr>
      <w:r w:rsidRPr="00FE49D6">
        <w:rPr>
          <w:rFonts w:cs="Arial"/>
        </w:rPr>
        <w:t xml:space="preserve">Although the Pricing Authority aims to use plain English to make its documents accessible to a wide audience, the subject matter of this Determination requires the use of some specialist terms. For ease of reference, the meaning of those terms is set out in an </w:t>
      </w:r>
      <w:hyperlink r:id="rId15" w:history="1">
        <w:r w:rsidRPr="00FE49D6">
          <w:rPr>
            <w:rStyle w:val="Hyperlink"/>
            <w:rFonts w:cs="Arial"/>
          </w:rPr>
          <w:t>electronic glossary</w:t>
        </w:r>
      </w:hyperlink>
      <w:r w:rsidRPr="00FE49D6">
        <w:rPr>
          <w:rFonts w:cs="Arial"/>
        </w:rPr>
        <w:t xml:space="preserve"> available </w:t>
      </w:r>
      <w:r w:rsidR="00C17A88" w:rsidRPr="00FE49D6">
        <w:rPr>
          <w:rFonts w:cs="Arial"/>
        </w:rPr>
        <w:t xml:space="preserve">on the IHPA website. </w:t>
      </w:r>
      <w:r w:rsidRPr="00FE49D6">
        <w:rPr>
          <w:rFonts w:cs="Arial"/>
          <w:b/>
        </w:rPr>
        <w:t xml:space="preserve"> </w:t>
      </w:r>
      <w:r w:rsidRPr="0092298D">
        <w:br w:type="page"/>
      </w:r>
    </w:p>
    <w:p w:rsidR="002B568D" w:rsidRPr="0092298D" w:rsidRDefault="002B568D" w:rsidP="002B568D">
      <w:pPr>
        <w:pStyle w:val="Heading1"/>
      </w:pPr>
      <w:bookmarkStart w:id="6" w:name="_Toc349574776"/>
      <w:bookmarkStart w:id="7" w:name="_Toc443404515"/>
      <w:r w:rsidRPr="0092298D">
        <w:lastRenderedPageBreak/>
        <w:t>Chapter 2</w:t>
      </w:r>
      <w:r w:rsidRPr="0092298D">
        <w:tab/>
        <w:t>Block Funding Criteria</w:t>
      </w:r>
      <w:bookmarkEnd w:id="6"/>
      <w:bookmarkEnd w:id="7"/>
    </w:p>
    <w:p w:rsidR="002B568D" w:rsidRPr="0092298D" w:rsidRDefault="002B568D" w:rsidP="002B568D">
      <w:pPr>
        <w:spacing w:before="240"/>
      </w:pPr>
      <w:r w:rsidRPr="0092298D">
        <w:t>Clause</w:t>
      </w:r>
      <w:r w:rsidR="00543AC0">
        <w:t>s</w:t>
      </w:r>
      <w:r w:rsidRPr="0092298D">
        <w:t xml:space="preserve"> A27 and A28 of the </w:t>
      </w:r>
      <w:r w:rsidR="009940F2">
        <w:t xml:space="preserve">National Health Reform </w:t>
      </w:r>
      <w:r w:rsidRPr="0092298D">
        <w:t xml:space="preserve">Agreement </w:t>
      </w:r>
      <w:r w:rsidR="002226DC">
        <w:t>(</w:t>
      </w:r>
      <w:r w:rsidR="00C113C5">
        <w:rPr>
          <w:i/>
        </w:rPr>
        <w:t>NHRA</w:t>
      </w:r>
      <w:r w:rsidR="002226DC">
        <w:t xml:space="preserve">) </w:t>
      </w:r>
      <w:r w:rsidRPr="0092298D">
        <w:t>detail the process that the Pricing Authority is required to follow to determine the criteria for block funded hospitals</w:t>
      </w:r>
      <w:r w:rsidR="00543AC0">
        <w:t>:</w:t>
      </w:r>
    </w:p>
    <w:p w:rsidR="002B568D" w:rsidRPr="0092298D" w:rsidRDefault="002B568D" w:rsidP="002B568D">
      <w:pPr>
        <w:tabs>
          <w:tab w:val="left" w:pos="851"/>
        </w:tabs>
        <w:spacing w:before="120"/>
        <w:ind w:left="851" w:hanging="425"/>
      </w:pPr>
      <w:r w:rsidRPr="0092298D">
        <w:t xml:space="preserve">a. </w:t>
      </w:r>
      <w:r>
        <w:tab/>
      </w:r>
      <w:r w:rsidRPr="0092298D">
        <w:t>IHPA, in consultation with jurisdictions, develops Block Funding Criteria and identifies whether hospital services and functions are eligible for block funding only or mixed A</w:t>
      </w:r>
      <w:r w:rsidR="00142DC6">
        <w:t xml:space="preserve">ctivity </w:t>
      </w:r>
      <w:r w:rsidRPr="0092298D">
        <w:t>B</w:t>
      </w:r>
      <w:r w:rsidR="00142DC6">
        <w:t xml:space="preserve">ased </w:t>
      </w:r>
      <w:r w:rsidRPr="0092298D">
        <w:t>F</w:t>
      </w:r>
      <w:r w:rsidR="00142DC6">
        <w:t>unding (</w:t>
      </w:r>
      <w:r w:rsidR="00142DC6" w:rsidRPr="00DD3DD0">
        <w:rPr>
          <w:i/>
        </w:rPr>
        <w:t>ABF</w:t>
      </w:r>
      <w:r w:rsidR="00142DC6">
        <w:t>)</w:t>
      </w:r>
      <w:r w:rsidRPr="0092298D">
        <w:t xml:space="preserve"> and block funding; </w:t>
      </w:r>
    </w:p>
    <w:p w:rsidR="002B568D" w:rsidRPr="0092298D" w:rsidRDefault="002B568D" w:rsidP="002B568D">
      <w:pPr>
        <w:tabs>
          <w:tab w:val="left" w:pos="851"/>
        </w:tabs>
        <w:spacing w:before="120"/>
        <w:ind w:left="851" w:hanging="425"/>
      </w:pPr>
      <w:r w:rsidRPr="0092298D">
        <w:t xml:space="preserve">b. </w:t>
      </w:r>
      <w:r>
        <w:tab/>
      </w:r>
      <w:r w:rsidRPr="0092298D">
        <w:t>States</w:t>
      </w:r>
      <w:r w:rsidR="002226DC">
        <w:t xml:space="preserve"> and territories</w:t>
      </w:r>
      <w:r w:rsidRPr="0092298D">
        <w:t xml:space="preserve">, during the consultation period, assess their hospital functions and services against the Block Funding Criteria and, if necessary, provide advice to IHPA on the potential impact of the criteria; </w:t>
      </w:r>
    </w:p>
    <w:p w:rsidR="002B568D" w:rsidRPr="0092298D" w:rsidRDefault="002B568D" w:rsidP="002B568D">
      <w:pPr>
        <w:tabs>
          <w:tab w:val="left" w:pos="851"/>
        </w:tabs>
        <w:spacing w:before="120"/>
        <w:ind w:left="851" w:hanging="425"/>
      </w:pPr>
      <w:r w:rsidRPr="0092298D">
        <w:t xml:space="preserve">c. </w:t>
      </w:r>
      <w:r>
        <w:tab/>
      </w:r>
      <w:r w:rsidRPr="0092298D">
        <w:t xml:space="preserve">IHPA provides the Block Funding Criteria to </w:t>
      </w:r>
      <w:r w:rsidR="00AF1A5E">
        <w:t xml:space="preserve">the </w:t>
      </w:r>
      <w:r w:rsidRPr="0092298D">
        <w:t>C</w:t>
      </w:r>
      <w:r w:rsidR="00AF1A5E">
        <w:t xml:space="preserve">ouncil of </w:t>
      </w:r>
      <w:r w:rsidRPr="0092298D">
        <w:t>A</w:t>
      </w:r>
      <w:r w:rsidR="00AF1A5E">
        <w:t xml:space="preserve">ustralian </w:t>
      </w:r>
      <w:r w:rsidRPr="0092298D">
        <w:t>G</w:t>
      </w:r>
      <w:r w:rsidR="00AF1A5E">
        <w:t>overnments (</w:t>
      </w:r>
      <w:r w:rsidR="00AF1A5E" w:rsidRPr="00DD3DD0">
        <w:rPr>
          <w:i/>
        </w:rPr>
        <w:t>COAG</w:t>
      </w:r>
      <w:r w:rsidR="00AF1A5E">
        <w:t>)</w:t>
      </w:r>
      <w:r w:rsidRPr="0092298D">
        <w:t xml:space="preserve"> for endorsement; and </w:t>
      </w:r>
    </w:p>
    <w:p w:rsidR="002B568D" w:rsidRPr="0092298D" w:rsidRDefault="002B568D" w:rsidP="00AF1A5E">
      <w:pPr>
        <w:tabs>
          <w:tab w:val="left" w:pos="851"/>
        </w:tabs>
        <w:spacing w:before="120" w:after="120"/>
        <w:ind w:left="851" w:hanging="425"/>
      </w:pPr>
      <w:r w:rsidRPr="0092298D">
        <w:t xml:space="preserve">d. </w:t>
      </w:r>
      <w:r>
        <w:tab/>
      </w:r>
      <w:r w:rsidRPr="0092298D">
        <w:t xml:space="preserve">COAG considers the Block Funding Criteria proposed by IHPA and either: </w:t>
      </w:r>
    </w:p>
    <w:p w:rsidR="002B568D" w:rsidRPr="0092298D" w:rsidRDefault="002B568D" w:rsidP="00AF1A5E">
      <w:pPr>
        <w:tabs>
          <w:tab w:val="left" w:pos="1418"/>
        </w:tabs>
        <w:spacing w:before="120" w:after="120"/>
        <w:ind w:left="1418" w:hanging="284"/>
      </w:pPr>
      <w:proofErr w:type="spellStart"/>
      <w:r w:rsidRPr="0092298D">
        <w:t>i</w:t>
      </w:r>
      <w:proofErr w:type="spellEnd"/>
      <w:r w:rsidRPr="0092298D">
        <w:t xml:space="preserve">. endorses the recommendation; or </w:t>
      </w:r>
    </w:p>
    <w:p w:rsidR="002B568D" w:rsidRPr="0092298D" w:rsidRDefault="002B568D" w:rsidP="002B568D">
      <w:pPr>
        <w:tabs>
          <w:tab w:val="left" w:pos="1418"/>
        </w:tabs>
        <w:spacing w:before="120"/>
        <w:ind w:left="1418" w:hanging="284"/>
      </w:pPr>
      <w:r w:rsidRPr="0092298D">
        <w:t xml:space="preserve">ii. requests IHPA to refine the Block Funding Criteria and bring it back to COAG. </w:t>
      </w:r>
    </w:p>
    <w:p w:rsidR="002B568D" w:rsidRPr="0092298D" w:rsidRDefault="002B568D" w:rsidP="002B568D">
      <w:pPr>
        <w:spacing w:before="240"/>
      </w:pPr>
      <w:r w:rsidRPr="0092298D">
        <w:t>States</w:t>
      </w:r>
      <w:r w:rsidR="002226DC">
        <w:t xml:space="preserve"> and territories</w:t>
      </w:r>
      <w:r w:rsidRPr="0092298D">
        <w:t xml:space="preserve"> provide advice to IHPA on how their hospital services and functions meet the Block Funding Criteria on an annual basis. For small rural and small regional hospitals, this advice can be </w:t>
      </w:r>
      <w:r w:rsidRPr="00512F40">
        <w:t>provided once every six years,</w:t>
      </w:r>
      <w:r w:rsidRPr="0092298D">
        <w:t xml:space="preserve"> or more frequently at the discretion of the </w:t>
      </w:r>
      <w:r w:rsidR="00543AC0">
        <w:t>s</w:t>
      </w:r>
      <w:r w:rsidRPr="0092298D">
        <w:t>tate</w:t>
      </w:r>
      <w:r w:rsidR="002226DC">
        <w:t xml:space="preserve"> or territory</w:t>
      </w:r>
      <w:r w:rsidRPr="0092298D">
        <w:t xml:space="preserve">. </w:t>
      </w:r>
    </w:p>
    <w:p w:rsidR="002B568D" w:rsidRPr="0092298D" w:rsidRDefault="00B131EC" w:rsidP="002B568D">
      <w:pPr>
        <w:spacing w:before="240"/>
      </w:pPr>
      <w:r>
        <w:t xml:space="preserve">The Pricing Authority </w:t>
      </w:r>
      <w:r w:rsidR="002B568D" w:rsidRPr="00B92773">
        <w:t>provided the following draft Block Funding Criteria to COAG for consideration</w:t>
      </w:r>
      <w:r w:rsidR="002226DC" w:rsidRPr="000B2F1C">
        <w:t>.</w:t>
      </w:r>
    </w:p>
    <w:p w:rsidR="002B568D" w:rsidRPr="0092298D" w:rsidRDefault="002B568D" w:rsidP="00AF1A5E">
      <w:pPr>
        <w:spacing w:before="240" w:after="120"/>
      </w:pPr>
      <w:r w:rsidRPr="0092298D">
        <w:t>Public hospitals, or public hospital services, will be eligible for block grant funding if:</w:t>
      </w:r>
    </w:p>
    <w:p w:rsidR="002B568D" w:rsidRPr="0092298D" w:rsidRDefault="00543AC0" w:rsidP="00AF1A5E">
      <w:pPr>
        <w:pStyle w:val="ListParagraph"/>
        <w:numPr>
          <w:ilvl w:val="0"/>
          <w:numId w:val="39"/>
        </w:numPr>
        <w:spacing w:before="240" w:after="120"/>
        <w:ind w:left="850" w:hanging="425"/>
        <w:contextualSpacing w:val="0"/>
      </w:pPr>
      <w:r>
        <w:t>t</w:t>
      </w:r>
      <w:r w:rsidR="002B568D" w:rsidRPr="0092298D">
        <w:t>he technical requirements for applying ABF are not able to be satisfied.</w:t>
      </w:r>
    </w:p>
    <w:p w:rsidR="002B568D" w:rsidRPr="0092298D" w:rsidRDefault="00543AC0" w:rsidP="00AF1A5E">
      <w:pPr>
        <w:pStyle w:val="ListParagraph"/>
        <w:numPr>
          <w:ilvl w:val="0"/>
          <w:numId w:val="39"/>
        </w:numPr>
        <w:spacing w:before="120" w:after="120"/>
        <w:ind w:left="850" w:hanging="425"/>
        <w:contextualSpacing w:val="0"/>
      </w:pPr>
      <w:r>
        <w:t>t</w:t>
      </w:r>
      <w:r w:rsidR="002B568D" w:rsidRPr="0092298D">
        <w:t xml:space="preserve">here is an absence of economies of scale that mean some services would not be financially viable under ABF. </w:t>
      </w:r>
    </w:p>
    <w:p w:rsidR="002B568D" w:rsidRPr="00711BFF" w:rsidRDefault="002B568D" w:rsidP="00AF1A5E">
      <w:pPr>
        <w:spacing w:before="240" w:after="120"/>
      </w:pPr>
      <w:r w:rsidRPr="00711BFF">
        <w:t>IHPA has also determined ‘low volume’ thresholds that form part of</w:t>
      </w:r>
      <w:r w:rsidR="00543AC0" w:rsidRPr="00711BFF">
        <w:t xml:space="preserve"> the</w:t>
      </w:r>
      <w:r w:rsidRPr="00711BFF">
        <w:t xml:space="preserve"> draft Block Funding Criteria for use in </w:t>
      </w:r>
      <w:r w:rsidR="00AE5DC2">
        <w:t>2016</w:t>
      </w:r>
      <w:r w:rsidR="00543AC0" w:rsidRPr="00711BFF">
        <w:t>-</w:t>
      </w:r>
      <w:r w:rsidR="000A51AD" w:rsidRPr="00711BFF">
        <w:t>1</w:t>
      </w:r>
      <w:r w:rsidR="00AE5DC2">
        <w:t>7</w:t>
      </w:r>
      <w:r w:rsidRPr="00711BFF">
        <w:t>. Under these thresholds, hospitals are eligible for block funding if:</w:t>
      </w:r>
    </w:p>
    <w:p w:rsidR="002B568D" w:rsidRPr="00711BFF" w:rsidRDefault="00543AC0" w:rsidP="00AF1A5E">
      <w:pPr>
        <w:pStyle w:val="ListParagraph"/>
        <w:numPr>
          <w:ilvl w:val="0"/>
          <w:numId w:val="40"/>
        </w:numPr>
        <w:spacing w:before="240" w:after="120"/>
        <w:ind w:left="850" w:hanging="425"/>
        <w:contextualSpacing w:val="0"/>
      </w:pPr>
      <w:r w:rsidRPr="00711BFF">
        <w:t>t</w:t>
      </w:r>
      <w:r w:rsidR="002B568D" w:rsidRPr="00711BFF">
        <w:t xml:space="preserve">hey are in a metropolitan area (defined as ‘major city’ in the </w:t>
      </w:r>
      <w:r w:rsidR="001D349D" w:rsidRPr="00711BFF">
        <w:t>Australian Statistical Geography Standard (</w:t>
      </w:r>
      <w:r w:rsidR="001D349D" w:rsidRPr="00DD3DD0">
        <w:rPr>
          <w:i/>
        </w:rPr>
        <w:t>ASGS</w:t>
      </w:r>
      <w:r w:rsidR="001D349D" w:rsidRPr="00711BFF">
        <w:t>))</w:t>
      </w:r>
      <w:r w:rsidR="002B568D" w:rsidRPr="00711BFF">
        <w:t xml:space="preserve"> and they provide ≤ 1,800 acute inpatient N</w:t>
      </w:r>
      <w:r w:rsidR="00292425">
        <w:t xml:space="preserve">ational </w:t>
      </w:r>
      <w:r w:rsidR="002B568D" w:rsidRPr="00711BFF">
        <w:t>W</w:t>
      </w:r>
      <w:r w:rsidR="00292425">
        <w:t xml:space="preserve">eighted </w:t>
      </w:r>
      <w:r w:rsidR="002B568D" w:rsidRPr="00711BFF">
        <w:t>A</w:t>
      </w:r>
      <w:r w:rsidR="00292425">
        <w:t xml:space="preserve">ctivity </w:t>
      </w:r>
      <w:r w:rsidR="002B568D" w:rsidRPr="00711BFF">
        <w:t>U</w:t>
      </w:r>
      <w:r w:rsidR="00292425">
        <w:t>nits (</w:t>
      </w:r>
      <w:r w:rsidR="00292425" w:rsidRPr="00DD3DD0">
        <w:rPr>
          <w:i/>
        </w:rPr>
        <w:t>NWAU</w:t>
      </w:r>
      <w:r w:rsidR="00292425">
        <w:t>)</w:t>
      </w:r>
      <w:r w:rsidR="002B568D" w:rsidRPr="00711BFF">
        <w:t xml:space="preserve"> per annum; or</w:t>
      </w:r>
    </w:p>
    <w:p w:rsidR="002B568D" w:rsidRPr="00711BFF" w:rsidRDefault="00543AC0" w:rsidP="00AF1A5E">
      <w:pPr>
        <w:pStyle w:val="ListParagraph"/>
        <w:numPr>
          <w:ilvl w:val="0"/>
          <w:numId w:val="40"/>
        </w:numPr>
        <w:spacing w:before="120" w:after="120"/>
        <w:ind w:left="850" w:hanging="425"/>
        <w:contextualSpacing w:val="0"/>
      </w:pPr>
      <w:r w:rsidRPr="00711BFF">
        <w:t>t</w:t>
      </w:r>
      <w:r w:rsidR="002B568D" w:rsidRPr="00711BFF">
        <w:t>hey are in a rural area (defined as all remaining areas, including ‘inner regional’, ‘outer regional’, ‘remote’ and ‘very remote’ in the A</w:t>
      </w:r>
      <w:r w:rsidR="001D349D" w:rsidRPr="00711BFF">
        <w:t>SGS</w:t>
      </w:r>
      <w:r w:rsidR="00251EA0">
        <w:t>)</w:t>
      </w:r>
      <w:r w:rsidR="002B568D" w:rsidRPr="00711BFF">
        <w:t xml:space="preserve"> and they provide ≤ 3,500 </w:t>
      </w:r>
      <w:r w:rsidR="00711BFF" w:rsidRPr="00711BFF">
        <w:t>total</w:t>
      </w:r>
      <w:r w:rsidR="002B568D" w:rsidRPr="00711BFF">
        <w:t xml:space="preserve"> NWAU per annum.</w:t>
      </w:r>
    </w:p>
    <w:p w:rsidR="002B568D" w:rsidRPr="0092298D" w:rsidRDefault="002B568D" w:rsidP="002B568D">
      <w:pPr>
        <w:spacing w:before="240"/>
      </w:pPr>
      <w:r w:rsidRPr="0092298D">
        <w:t>Without pre-empting the decision of COAG, IHPA has applied these criteria in making this Determination.</w:t>
      </w:r>
    </w:p>
    <w:p w:rsidR="002B568D" w:rsidRDefault="002B568D" w:rsidP="002B568D">
      <w:pPr>
        <w:spacing w:before="240"/>
      </w:pPr>
      <w:r w:rsidRPr="00A71268">
        <w:t xml:space="preserve">States and territories have provided </w:t>
      </w:r>
      <w:r w:rsidRPr="00B92773">
        <w:t>IHPA with hospitals</w:t>
      </w:r>
      <w:r w:rsidRPr="00A71268">
        <w:t xml:space="preserve"> they consider eligible for block funding in </w:t>
      </w:r>
      <w:r w:rsidR="00AE5DC2">
        <w:t>2016</w:t>
      </w:r>
      <w:r w:rsidRPr="00A71268">
        <w:t>-</w:t>
      </w:r>
      <w:r w:rsidR="000A51AD">
        <w:t>1</w:t>
      </w:r>
      <w:r w:rsidR="00AE5DC2">
        <w:t>7</w:t>
      </w:r>
      <w:r w:rsidRPr="00A71268">
        <w:t>.</w:t>
      </w:r>
    </w:p>
    <w:p w:rsidR="002B568D" w:rsidRPr="00512F40" w:rsidRDefault="002B568D" w:rsidP="00F71D2D">
      <w:pPr>
        <w:spacing w:before="240"/>
      </w:pPr>
      <w:r w:rsidRPr="007604F2">
        <w:t xml:space="preserve">IHPA has determined their eligibility by applying the </w:t>
      </w:r>
      <w:r w:rsidR="00D25C8D">
        <w:t xml:space="preserve">three </w:t>
      </w:r>
      <w:r w:rsidR="00D421B4">
        <w:t xml:space="preserve">year average annual total </w:t>
      </w:r>
      <w:r w:rsidRPr="007604F2">
        <w:t xml:space="preserve">NWAU, calculated using the </w:t>
      </w:r>
      <w:r w:rsidR="00AF685C">
        <w:t>IHPA data set specifications in successive IHPA Three Year Data Plans</w:t>
      </w:r>
      <w:r w:rsidRPr="007604F2">
        <w:t>. These hospitals are</w:t>
      </w:r>
      <w:r>
        <w:t xml:space="preserve"> listed </w:t>
      </w:r>
      <w:r w:rsidR="004F2FAF">
        <w:t>at</w:t>
      </w:r>
      <w:r>
        <w:t xml:space="preserve"> </w:t>
      </w:r>
      <w:r w:rsidRPr="009A413D">
        <w:rPr>
          <w:b/>
        </w:rPr>
        <w:t>Appendix A</w:t>
      </w:r>
      <w:r w:rsidR="00166BFD">
        <w:t>.</w:t>
      </w:r>
      <w:r w:rsidRPr="0092298D">
        <w:br w:type="page"/>
      </w:r>
    </w:p>
    <w:p w:rsidR="002B568D" w:rsidRPr="0092298D" w:rsidRDefault="002B568D" w:rsidP="002B568D">
      <w:pPr>
        <w:pStyle w:val="Heading1"/>
      </w:pPr>
      <w:bookmarkStart w:id="8" w:name="_Toc349574777"/>
      <w:bookmarkStart w:id="9" w:name="_Toc443404516"/>
      <w:r w:rsidRPr="0092298D">
        <w:lastRenderedPageBreak/>
        <w:t>Chapter 3</w:t>
      </w:r>
      <w:r w:rsidRPr="0092298D">
        <w:tab/>
        <w:t>National Efficient Cost for Hospitals</w:t>
      </w:r>
      <w:bookmarkEnd w:id="8"/>
      <w:bookmarkEnd w:id="9"/>
      <w:r w:rsidRPr="0092298D">
        <w:t xml:space="preserve"> </w:t>
      </w:r>
    </w:p>
    <w:p w:rsidR="002B568D" w:rsidRPr="0092298D" w:rsidRDefault="002B568D" w:rsidP="002B568D">
      <w:pPr>
        <w:pStyle w:val="Heading2"/>
      </w:pPr>
      <w:bookmarkStart w:id="10" w:name="_Toc349574778"/>
      <w:bookmarkStart w:id="11" w:name="_Toc443404517"/>
      <w:bookmarkStart w:id="12" w:name="_Toc319406612"/>
      <w:r w:rsidRPr="0092298D">
        <w:t>3.1</w:t>
      </w:r>
      <w:r w:rsidRPr="0092298D">
        <w:tab/>
        <w:t>National Efficient Cost</w:t>
      </w:r>
      <w:bookmarkEnd w:id="10"/>
      <w:bookmarkEnd w:id="11"/>
      <w:r w:rsidRPr="0092298D">
        <w:t xml:space="preserve"> </w:t>
      </w:r>
    </w:p>
    <w:p w:rsidR="002B568D" w:rsidRPr="0092298D" w:rsidRDefault="002B568D" w:rsidP="00B6536B">
      <w:pPr>
        <w:spacing w:before="200"/>
      </w:pPr>
      <w:r w:rsidRPr="0092298D">
        <w:t xml:space="preserve">The </w:t>
      </w:r>
      <w:r w:rsidR="00A80466">
        <w:t xml:space="preserve">NEC </w:t>
      </w:r>
      <w:r w:rsidRPr="0092298D">
        <w:t xml:space="preserve">in </w:t>
      </w:r>
      <w:r w:rsidR="000A51AD">
        <w:t>201</w:t>
      </w:r>
      <w:r w:rsidR="00AE5DC2">
        <w:t>6</w:t>
      </w:r>
      <w:r w:rsidRPr="0092298D">
        <w:t>-</w:t>
      </w:r>
      <w:r w:rsidR="000A51AD">
        <w:t>1</w:t>
      </w:r>
      <w:r w:rsidR="00AE5DC2">
        <w:t>7</w:t>
      </w:r>
      <w:r w:rsidRPr="0092298D">
        <w:t xml:space="preserve"> is </w:t>
      </w:r>
      <w:r w:rsidRPr="002A4777">
        <w:t>$</w:t>
      </w:r>
      <w:r w:rsidR="00E60606">
        <w:t>5.020</w:t>
      </w:r>
      <w:r w:rsidR="004F2FAF">
        <w:t xml:space="preserve"> </w:t>
      </w:r>
      <w:r w:rsidR="00F2134A">
        <w:t>million</w:t>
      </w:r>
      <w:r w:rsidRPr="00A93EDF">
        <w:t>.</w:t>
      </w:r>
      <w:r w:rsidRPr="0092298D">
        <w:t xml:space="preserve"> This represents the average cost of a block funded</w:t>
      </w:r>
      <w:r w:rsidR="009A413D">
        <w:t xml:space="preserve"> small</w:t>
      </w:r>
      <w:r w:rsidR="00292425">
        <w:t xml:space="preserve"> rural</w:t>
      </w:r>
      <w:r w:rsidRPr="0092298D">
        <w:t xml:space="preserve"> hospital.</w:t>
      </w:r>
    </w:p>
    <w:p w:rsidR="002B568D" w:rsidRPr="0092298D" w:rsidRDefault="002B568D" w:rsidP="00B6536B">
      <w:pPr>
        <w:spacing w:before="160"/>
      </w:pPr>
      <w:r w:rsidRPr="0092298D">
        <w:t xml:space="preserve">The NEC was determined using the average </w:t>
      </w:r>
      <w:r>
        <w:t xml:space="preserve">in-scope </w:t>
      </w:r>
      <w:r w:rsidRPr="0092298D">
        <w:t>expenditure data for 201</w:t>
      </w:r>
      <w:r w:rsidR="00AE5DC2">
        <w:t>3</w:t>
      </w:r>
      <w:r w:rsidR="00543AC0">
        <w:t>-1</w:t>
      </w:r>
      <w:r w:rsidR="00AE5DC2">
        <w:t>4</w:t>
      </w:r>
      <w:r>
        <w:t xml:space="preserve"> </w:t>
      </w:r>
      <w:r w:rsidR="009F4D16">
        <w:t>reported to</w:t>
      </w:r>
      <w:r>
        <w:t xml:space="preserve"> the NPHED of </w:t>
      </w:r>
      <w:r w:rsidR="00A93EDF">
        <w:t>$</w:t>
      </w:r>
      <w:r w:rsidR="0080754E">
        <w:t>4.324</w:t>
      </w:r>
      <w:r w:rsidR="00F2134A" w:rsidRPr="009A413D">
        <w:rPr>
          <w:color w:val="FF0000"/>
        </w:rPr>
        <w:t xml:space="preserve"> </w:t>
      </w:r>
      <w:r w:rsidR="00F2134A">
        <w:t>million</w:t>
      </w:r>
      <w:r w:rsidR="00FF64DF" w:rsidRPr="00166BFD">
        <w:t xml:space="preserve"> </w:t>
      </w:r>
      <w:r w:rsidRPr="00166BFD">
        <w:t xml:space="preserve">indexed </w:t>
      </w:r>
      <w:r w:rsidRPr="00A93EDF">
        <w:t>at</w:t>
      </w:r>
      <w:r w:rsidR="0080754E">
        <w:t xml:space="preserve"> 5.1</w:t>
      </w:r>
      <w:r w:rsidR="009A413D" w:rsidRPr="009A413D">
        <w:rPr>
          <w:color w:val="FF0000"/>
        </w:rPr>
        <w:t xml:space="preserve"> </w:t>
      </w:r>
      <w:r w:rsidRPr="00A93EDF">
        <w:t>per cent per annum</w:t>
      </w:r>
      <w:r w:rsidR="00792C89" w:rsidRPr="00A93EDF">
        <w:t xml:space="preserve"> to account</w:t>
      </w:r>
      <w:r w:rsidR="00792C89">
        <w:t xml:space="preserve"> for price and activity growth over the three years</w:t>
      </w:r>
      <w:r w:rsidRPr="0092298D">
        <w:t>.</w:t>
      </w:r>
    </w:p>
    <w:p w:rsidR="002B568D" w:rsidRPr="0092298D" w:rsidRDefault="002B568D" w:rsidP="002B568D">
      <w:pPr>
        <w:pStyle w:val="Heading2"/>
      </w:pPr>
      <w:bookmarkStart w:id="13" w:name="_Toc349574779"/>
      <w:bookmarkStart w:id="14" w:name="_Toc443404518"/>
      <w:r w:rsidRPr="0092298D">
        <w:t>3.2</w:t>
      </w:r>
      <w:r w:rsidRPr="0092298D">
        <w:tab/>
        <w:t>Calculation of the NE</w:t>
      </w:r>
      <w:bookmarkEnd w:id="12"/>
      <w:r w:rsidRPr="0092298D">
        <w:t>C for Small Rural Hospitals</w:t>
      </w:r>
      <w:bookmarkEnd w:id="13"/>
      <w:bookmarkEnd w:id="14"/>
    </w:p>
    <w:p w:rsidR="002B568D" w:rsidRDefault="002B568D" w:rsidP="00B6536B">
      <w:pPr>
        <w:spacing w:before="200" w:after="160"/>
        <w:rPr>
          <w:rFonts w:cs="Arial"/>
        </w:rPr>
      </w:pPr>
      <w:r w:rsidRPr="007F0474">
        <w:rPr>
          <w:rFonts w:cs="Arial"/>
        </w:rPr>
        <w:t xml:space="preserve">The Pricing Authority recognises that block funded hospitals have significant fixed costs. </w:t>
      </w:r>
    </w:p>
    <w:p w:rsidR="00C13526" w:rsidRDefault="005F0234" w:rsidP="00B6536B">
      <w:pPr>
        <w:spacing w:before="160" w:after="80"/>
        <w:rPr>
          <w:rFonts w:cs="Arial"/>
        </w:rPr>
      </w:pPr>
      <w:r>
        <w:rPr>
          <w:rFonts w:cs="Arial"/>
        </w:rPr>
        <w:t xml:space="preserve">As detailed in </w:t>
      </w:r>
      <w:r w:rsidRPr="00115221">
        <w:rPr>
          <w:rFonts w:cs="Arial"/>
          <w:b/>
        </w:rPr>
        <w:t>Table 1</w:t>
      </w:r>
      <w:r>
        <w:rPr>
          <w:rFonts w:cs="Arial"/>
        </w:rPr>
        <w:t>, t</w:t>
      </w:r>
      <w:r w:rsidR="00C13526">
        <w:rPr>
          <w:rFonts w:cs="Arial"/>
        </w:rPr>
        <w:t xml:space="preserve">he Pricing Authority has determined </w:t>
      </w:r>
      <w:r w:rsidR="00A80466">
        <w:rPr>
          <w:rFonts w:cs="Arial"/>
        </w:rPr>
        <w:t>eight</w:t>
      </w:r>
      <w:r w:rsidR="00C13526">
        <w:rPr>
          <w:rFonts w:cs="Arial"/>
        </w:rPr>
        <w:t xml:space="preserve"> different groupings for small rural block funded hospitals:</w:t>
      </w:r>
    </w:p>
    <w:p w:rsidR="00C13526" w:rsidRDefault="00C13526" w:rsidP="0068063D">
      <w:pPr>
        <w:pStyle w:val="ListParagraph"/>
        <w:numPr>
          <w:ilvl w:val="0"/>
          <w:numId w:val="43"/>
        </w:numPr>
        <w:spacing w:before="80" w:after="80"/>
        <w:ind w:left="714" w:hanging="357"/>
        <w:contextualSpacing w:val="0"/>
        <w:rPr>
          <w:rFonts w:cs="Arial"/>
        </w:rPr>
      </w:pPr>
      <w:r>
        <w:rPr>
          <w:rFonts w:cs="Arial"/>
        </w:rPr>
        <w:t>‘Group 0’ is for small rural block funded hospitals with in-scope expenditure which is below $0.5 million. The group is determined on the basis of in-scope expenditure.</w:t>
      </w:r>
    </w:p>
    <w:p w:rsidR="00C13526" w:rsidRDefault="00C13526" w:rsidP="0068063D">
      <w:pPr>
        <w:pStyle w:val="ListParagraph"/>
        <w:numPr>
          <w:ilvl w:val="0"/>
          <w:numId w:val="43"/>
        </w:numPr>
        <w:spacing w:before="80" w:after="80"/>
        <w:ind w:left="714" w:hanging="357"/>
        <w:contextualSpacing w:val="0"/>
        <w:rPr>
          <w:rFonts w:cs="Arial"/>
        </w:rPr>
      </w:pPr>
      <w:r>
        <w:rPr>
          <w:rFonts w:cs="Arial"/>
        </w:rPr>
        <w:t>‘Group A’ to ‘Group G’ are determined on the basis of total reported NWAU activity.</w:t>
      </w:r>
    </w:p>
    <w:p w:rsidR="00C13526" w:rsidRDefault="00C13526" w:rsidP="00B6536B">
      <w:pPr>
        <w:spacing w:before="200" w:after="80"/>
        <w:rPr>
          <w:rFonts w:cs="Arial"/>
        </w:rPr>
      </w:pPr>
      <w:r>
        <w:rPr>
          <w:rFonts w:cs="Arial"/>
        </w:rPr>
        <w:t>Groups are</w:t>
      </w:r>
      <w:r w:rsidRPr="008013CD">
        <w:rPr>
          <w:rFonts w:cs="Arial"/>
        </w:rPr>
        <w:t xml:space="preserve"> further divided by hospital location on the bas</w:t>
      </w:r>
      <w:r w:rsidR="005F0234">
        <w:rPr>
          <w:rFonts w:cs="Arial"/>
        </w:rPr>
        <w:t>is of ASGS Region:</w:t>
      </w:r>
    </w:p>
    <w:p w:rsidR="00C13526" w:rsidRDefault="00450171" w:rsidP="0068063D">
      <w:pPr>
        <w:pStyle w:val="ListParagraph"/>
        <w:numPr>
          <w:ilvl w:val="0"/>
          <w:numId w:val="43"/>
        </w:numPr>
        <w:spacing w:before="80" w:after="80"/>
        <w:ind w:left="714" w:hanging="357"/>
        <w:contextualSpacing w:val="0"/>
        <w:rPr>
          <w:rFonts w:cs="Arial"/>
        </w:rPr>
      </w:pPr>
      <w:r w:rsidRPr="00C13526">
        <w:rPr>
          <w:rFonts w:cs="Arial"/>
        </w:rPr>
        <w:t>‘Region</w:t>
      </w:r>
      <w:r w:rsidR="006158E7" w:rsidRPr="00C13526">
        <w:rPr>
          <w:rFonts w:cs="Arial"/>
        </w:rPr>
        <w:t xml:space="preserve"> 1’ </w:t>
      </w:r>
      <w:r w:rsidR="00AF72C7" w:rsidRPr="00C13526">
        <w:rPr>
          <w:rFonts w:cs="Arial"/>
        </w:rPr>
        <w:t xml:space="preserve">is </w:t>
      </w:r>
      <w:r w:rsidR="006158E7" w:rsidRPr="00C13526">
        <w:rPr>
          <w:rFonts w:cs="Arial"/>
        </w:rPr>
        <w:t>for inner regional, outer regional and remote areas</w:t>
      </w:r>
      <w:r w:rsidR="00C13526">
        <w:rPr>
          <w:rFonts w:cs="Arial"/>
        </w:rPr>
        <w:t xml:space="preserve">. These hospitals are sub-divided into </w:t>
      </w:r>
      <w:r w:rsidR="00B92773">
        <w:rPr>
          <w:rFonts w:cs="Arial"/>
        </w:rPr>
        <w:t>three</w:t>
      </w:r>
      <w:r w:rsidR="00C13526">
        <w:rPr>
          <w:rFonts w:cs="Arial"/>
        </w:rPr>
        <w:t xml:space="preserve"> types which reflect the services they provide.</w:t>
      </w:r>
    </w:p>
    <w:p w:rsidR="00C13526" w:rsidRDefault="00C13526" w:rsidP="0068063D">
      <w:pPr>
        <w:pStyle w:val="ListParagraph"/>
        <w:numPr>
          <w:ilvl w:val="0"/>
          <w:numId w:val="47"/>
        </w:numPr>
        <w:spacing w:before="80" w:after="80"/>
        <w:contextualSpacing w:val="0"/>
        <w:rPr>
          <w:rFonts w:cs="Arial"/>
        </w:rPr>
      </w:pPr>
      <w:r>
        <w:rPr>
          <w:rFonts w:cs="Arial"/>
        </w:rPr>
        <w:t>‘Type A’ is for hospitals reporting more than 30 NWAUs of either surgical or obstetric episodes.</w:t>
      </w:r>
    </w:p>
    <w:p w:rsidR="00C13526" w:rsidRDefault="00C13526" w:rsidP="00A02F4F">
      <w:pPr>
        <w:pStyle w:val="ListParagraph"/>
        <w:numPr>
          <w:ilvl w:val="0"/>
          <w:numId w:val="47"/>
        </w:numPr>
        <w:spacing w:before="80" w:after="80"/>
        <w:contextualSpacing w:val="0"/>
        <w:rPr>
          <w:rFonts w:cs="Arial"/>
        </w:rPr>
      </w:pPr>
      <w:r>
        <w:rPr>
          <w:rFonts w:cs="Arial"/>
        </w:rPr>
        <w:t>‘Type B’ is for hospitals</w:t>
      </w:r>
      <w:r w:rsidR="00A02F4F" w:rsidRPr="00A02F4F">
        <w:rPr>
          <w:rFonts w:cs="Arial"/>
        </w:rPr>
        <w:t xml:space="preserve"> that do not fall into the above </w:t>
      </w:r>
      <w:r w:rsidR="00A02F4F">
        <w:rPr>
          <w:rFonts w:cs="Arial"/>
        </w:rPr>
        <w:t xml:space="preserve">category, but have more than </w:t>
      </w:r>
      <w:r w:rsidR="00847319">
        <w:rPr>
          <w:rFonts w:cs="Arial"/>
        </w:rPr>
        <w:t>4</w:t>
      </w:r>
      <w:r w:rsidR="00A02F4F">
        <w:rPr>
          <w:rFonts w:cs="Arial"/>
        </w:rPr>
        <w:t>0 per cent</w:t>
      </w:r>
      <w:r w:rsidR="00A02F4F" w:rsidRPr="00A02F4F">
        <w:rPr>
          <w:rFonts w:cs="Arial"/>
        </w:rPr>
        <w:t xml:space="preserve"> of their total NWAU </w:t>
      </w:r>
      <w:r w:rsidR="00A02F4F">
        <w:rPr>
          <w:rFonts w:cs="Arial"/>
        </w:rPr>
        <w:t xml:space="preserve">reported </w:t>
      </w:r>
      <w:r w:rsidR="00A02F4F" w:rsidRPr="00A02F4F">
        <w:rPr>
          <w:rFonts w:cs="Arial"/>
        </w:rPr>
        <w:t xml:space="preserve">as </w:t>
      </w:r>
      <w:r w:rsidR="00C17A88">
        <w:rPr>
          <w:rFonts w:cs="Arial"/>
        </w:rPr>
        <w:t>admitted</w:t>
      </w:r>
      <w:r w:rsidR="00A02F4F" w:rsidRPr="00A02F4F">
        <w:rPr>
          <w:rFonts w:cs="Arial"/>
        </w:rPr>
        <w:t xml:space="preserve"> activity</w:t>
      </w:r>
      <w:r>
        <w:rPr>
          <w:rFonts w:cs="Arial"/>
        </w:rPr>
        <w:t>.</w:t>
      </w:r>
    </w:p>
    <w:p w:rsidR="00C13526" w:rsidRDefault="00C13526" w:rsidP="0068063D">
      <w:pPr>
        <w:pStyle w:val="ListParagraph"/>
        <w:numPr>
          <w:ilvl w:val="0"/>
          <w:numId w:val="47"/>
        </w:numPr>
        <w:spacing w:before="80" w:after="80"/>
        <w:contextualSpacing w:val="0"/>
        <w:rPr>
          <w:rFonts w:cs="Arial"/>
        </w:rPr>
      </w:pPr>
      <w:r>
        <w:rPr>
          <w:rFonts w:cs="Arial"/>
        </w:rPr>
        <w:t>‘Type C’ is for the remaining ‘Region 1’ block funded small rural hospitals that do not meet the</w:t>
      </w:r>
      <w:r w:rsidR="00A02F4F">
        <w:rPr>
          <w:rFonts w:cs="Arial"/>
        </w:rPr>
        <w:t xml:space="preserve"> above two criteria</w:t>
      </w:r>
      <w:r>
        <w:rPr>
          <w:rFonts w:cs="Arial"/>
        </w:rPr>
        <w:t>.</w:t>
      </w:r>
    </w:p>
    <w:p w:rsidR="00782AAB" w:rsidRDefault="00450171" w:rsidP="0068063D">
      <w:pPr>
        <w:pStyle w:val="ListParagraph"/>
        <w:numPr>
          <w:ilvl w:val="0"/>
          <w:numId w:val="43"/>
        </w:numPr>
        <w:spacing w:before="80" w:after="80"/>
        <w:ind w:left="714" w:hanging="357"/>
        <w:contextualSpacing w:val="0"/>
        <w:rPr>
          <w:rFonts w:cs="Arial"/>
        </w:rPr>
      </w:pPr>
      <w:r w:rsidRPr="00C13526">
        <w:rPr>
          <w:rFonts w:cs="Arial"/>
        </w:rPr>
        <w:t>‘Region</w:t>
      </w:r>
      <w:r w:rsidR="006158E7" w:rsidRPr="00C13526">
        <w:rPr>
          <w:rFonts w:cs="Arial"/>
        </w:rPr>
        <w:t xml:space="preserve"> 2’ </w:t>
      </w:r>
      <w:r w:rsidR="00AF72C7" w:rsidRPr="00C13526">
        <w:rPr>
          <w:rFonts w:cs="Arial"/>
        </w:rPr>
        <w:t xml:space="preserve">is </w:t>
      </w:r>
      <w:r w:rsidR="006158E7" w:rsidRPr="00C13526">
        <w:rPr>
          <w:rFonts w:cs="Arial"/>
        </w:rPr>
        <w:t xml:space="preserve">for </w:t>
      </w:r>
      <w:r w:rsidR="0068063D">
        <w:rPr>
          <w:rFonts w:cs="Arial"/>
        </w:rPr>
        <w:t>small</w:t>
      </w:r>
      <w:r w:rsidR="002B769B">
        <w:rPr>
          <w:rFonts w:cs="Arial"/>
        </w:rPr>
        <w:t xml:space="preserve"> rural</w:t>
      </w:r>
      <w:r w:rsidR="0068063D">
        <w:rPr>
          <w:rFonts w:cs="Arial"/>
        </w:rPr>
        <w:t xml:space="preserve"> block funded hospitals in </w:t>
      </w:r>
      <w:r w:rsidR="006158E7" w:rsidRPr="00C13526">
        <w:rPr>
          <w:rFonts w:cs="Arial"/>
        </w:rPr>
        <w:t>very remote areas.</w:t>
      </w:r>
      <w:r w:rsidR="009F4D16" w:rsidRPr="00C13526">
        <w:rPr>
          <w:rFonts w:cs="Arial"/>
        </w:rPr>
        <w:t xml:space="preserve"> </w:t>
      </w:r>
    </w:p>
    <w:p w:rsidR="00A02F4F" w:rsidRPr="00A02F4F" w:rsidRDefault="00A02F4F" w:rsidP="00A02F4F">
      <w:pPr>
        <w:spacing w:before="240"/>
        <w:ind w:left="360"/>
        <w:rPr>
          <w:rFonts w:cs="Arial"/>
        </w:rPr>
      </w:pPr>
      <w:r w:rsidRPr="00A02F4F">
        <w:rPr>
          <w:rFonts w:cs="Arial"/>
        </w:rPr>
        <w:t xml:space="preserve">The efficient cost of a hospital is determined by multiplying the cost weight of the relevant cell </w:t>
      </w:r>
      <w:r w:rsidR="00482608">
        <w:rPr>
          <w:rFonts w:cs="Arial"/>
        </w:rPr>
        <w:t>in</w:t>
      </w:r>
      <w:r w:rsidRPr="00A02F4F">
        <w:rPr>
          <w:rFonts w:cs="Arial"/>
        </w:rPr>
        <w:t xml:space="preserve"> </w:t>
      </w:r>
      <w:r w:rsidRPr="00A02F4F">
        <w:rPr>
          <w:rFonts w:cs="Arial"/>
          <w:b/>
        </w:rPr>
        <w:t>Table 1</w:t>
      </w:r>
      <w:r w:rsidRPr="00A02F4F">
        <w:rPr>
          <w:rFonts w:cs="Arial"/>
        </w:rPr>
        <w:t xml:space="preserve"> by the </w:t>
      </w:r>
      <w:r w:rsidR="00C77262">
        <w:rPr>
          <w:rFonts w:cs="Arial"/>
        </w:rPr>
        <w:t>NEC</w:t>
      </w:r>
      <w:r w:rsidRPr="00A02F4F">
        <w:rPr>
          <w:rFonts w:cs="Arial"/>
        </w:rPr>
        <w:t>.</w:t>
      </w:r>
    </w:p>
    <w:p w:rsidR="00D6030D" w:rsidRDefault="00D6030D" w:rsidP="00252786">
      <w:pPr>
        <w:keepNext/>
        <w:spacing w:before="360"/>
        <w:rPr>
          <w:b/>
        </w:rPr>
      </w:pPr>
      <w:r w:rsidRPr="008013CD">
        <w:rPr>
          <w:b/>
        </w:rPr>
        <w:lastRenderedPageBreak/>
        <w:t xml:space="preserve">Table </w:t>
      </w:r>
      <w:r w:rsidRPr="008013CD">
        <w:rPr>
          <w:b/>
        </w:rPr>
        <w:fldChar w:fldCharType="begin"/>
      </w:r>
      <w:r w:rsidRPr="008013CD">
        <w:rPr>
          <w:b/>
        </w:rPr>
        <w:instrText xml:space="preserve"> SEQ Table \* ARABIC </w:instrText>
      </w:r>
      <w:r w:rsidRPr="008013CD">
        <w:rPr>
          <w:b/>
        </w:rPr>
        <w:fldChar w:fldCharType="separate"/>
      </w:r>
      <w:r w:rsidR="00D77D5D">
        <w:rPr>
          <w:b/>
          <w:noProof/>
        </w:rPr>
        <w:t>1</w:t>
      </w:r>
      <w:r w:rsidRPr="008013CD">
        <w:rPr>
          <w:b/>
          <w:noProof/>
        </w:rPr>
        <w:fldChar w:fldCharType="end"/>
      </w:r>
      <w:r w:rsidRPr="008013CD">
        <w:rPr>
          <w:b/>
        </w:rPr>
        <w:t xml:space="preserve">: </w:t>
      </w:r>
      <w:r w:rsidR="006158E7" w:rsidRPr="008013CD">
        <w:rPr>
          <w:b/>
        </w:rPr>
        <w:t>Groupings for</w:t>
      </w:r>
      <w:r w:rsidRPr="008013CD">
        <w:rPr>
          <w:b/>
        </w:rPr>
        <w:t xml:space="preserve"> Small Rural Hospitals by </w:t>
      </w:r>
      <w:r w:rsidR="00172224">
        <w:rPr>
          <w:b/>
        </w:rPr>
        <w:t xml:space="preserve">service volume, </w:t>
      </w:r>
      <w:r w:rsidR="000B2F1C">
        <w:rPr>
          <w:b/>
        </w:rPr>
        <w:t>ASGS region and type</w:t>
      </w:r>
      <w:r w:rsidR="00A93EDF">
        <w:rPr>
          <w:b/>
        </w:rPr>
        <w:t xml:space="preserve"> </w:t>
      </w:r>
      <w:r w:rsidR="000B4FEB" w:rsidRPr="008013CD">
        <w:rPr>
          <w:b/>
        </w:rPr>
        <w:t xml:space="preserve">– </w:t>
      </w:r>
      <w:r w:rsidR="000A51AD" w:rsidRPr="008013CD">
        <w:rPr>
          <w:b/>
        </w:rPr>
        <w:t>201</w:t>
      </w:r>
      <w:r w:rsidR="00AE5DC2">
        <w:rPr>
          <w:b/>
        </w:rPr>
        <w:t>6</w:t>
      </w:r>
      <w:r w:rsidR="000B4FEB" w:rsidRPr="008013CD">
        <w:rPr>
          <w:b/>
        </w:rPr>
        <w:t>-</w:t>
      </w:r>
      <w:r w:rsidR="000A51AD" w:rsidRPr="008013CD">
        <w:rPr>
          <w:b/>
        </w:rPr>
        <w:t>1</w:t>
      </w:r>
      <w:r w:rsidR="00AE5DC2">
        <w:rPr>
          <w:b/>
        </w:rPr>
        <w:t>7</w:t>
      </w:r>
    </w:p>
    <w:tbl>
      <w:tblPr>
        <w:tblW w:w="9786" w:type="dxa"/>
        <w:tblInd w:w="103" w:type="dxa"/>
        <w:tblLayout w:type="fixed"/>
        <w:tblLook w:val="04A0" w:firstRow="1" w:lastRow="0" w:firstColumn="1" w:lastColumn="0" w:noHBand="0" w:noVBand="1"/>
      </w:tblPr>
      <w:tblGrid>
        <w:gridCol w:w="1139"/>
        <w:gridCol w:w="1134"/>
        <w:gridCol w:w="939"/>
        <w:gridCol w:w="939"/>
        <w:gridCol w:w="939"/>
        <w:gridCol w:w="939"/>
        <w:gridCol w:w="939"/>
        <w:gridCol w:w="939"/>
        <w:gridCol w:w="939"/>
        <w:gridCol w:w="940"/>
      </w:tblGrid>
      <w:tr w:rsidR="00B276B4" w:rsidRPr="008013CD" w:rsidTr="0045083E">
        <w:trPr>
          <w:trHeight w:val="445"/>
        </w:trPr>
        <w:tc>
          <w:tcPr>
            <w:tcW w:w="9786" w:type="dxa"/>
            <w:gridSpan w:val="10"/>
            <w:tcBorders>
              <w:top w:val="single" w:sz="4" w:space="0" w:color="auto"/>
              <w:left w:val="single" w:sz="4" w:space="0" w:color="auto"/>
              <w:bottom w:val="single" w:sz="4" w:space="0" w:color="auto"/>
              <w:right w:val="single" w:sz="4" w:space="0" w:color="000000"/>
            </w:tcBorders>
            <w:shd w:val="clear" w:color="auto" w:fill="C4D79B"/>
            <w:vAlign w:val="center"/>
          </w:tcPr>
          <w:p w:rsidR="00B276B4" w:rsidRPr="008013CD" w:rsidRDefault="00B276B4" w:rsidP="00A02F4F">
            <w:pPr>
              <w:keepNext/>
              <w:spacing w:after="0"/>
              <w:jc w:val="center"/>
              <w:rPr>
                <w:rFonts w:cstheme="minorHAnsi"/>
                <w:b/>
                <w:color w:val="000000"/>
              </w:rPr>
            </w:pPr>
            <w:r w:rsidRPr="003671E2">
              <w:rPr>
                <w:rFonts w:ascii="Arial" w:hAnsi="Arial" w:cs="Arial"/>
                <w:b/>
                <w:bCs/>
                <w:color w:val="000000"/>
              </w:rPr>
              <w:t>Service Volume Grouping (Total NWAU)</w:t>
            </w:r>
          </w:p>
        </w:tc>
      </w:tr>
      <w:tr w:rsidR="00BE24DC" w:rsidRPr="008013CD" w:rsidTr="001D7EAC">
        <w:trPr>
          <w:trHeight w:val="1273"/>
        </w:trPr>
        <w:tc>
          <w:tcPr>
            <w:tcW w:w="1139" w:type="dxa"/>
            <w:tcBorders>
              <w:top w:val="single" w:sz="4" w:space="0" w:color="auto"/>
              <w:left w:val="single" w:sz="4" w:space="0" w:color="auto"/>
              <w:bottom w:val="single" w:sz="4" w:space="0" w:color="000000"/>
              <w:right w:val="single" w:sz="4" w:space="0" w:color="auto"/>
            </w:tcBorders>
            <w:shd w:val="clear" w:color="auto" w:fill="C4D79B"/>
            <w:vAlign w:val="center"/>
          </w:tcPr>
          <w:p w:rsidR="00BE24DC" w:rsidRPr="00BE24DC" w:rsidRDefault="00B92773" w:rsidP="00A02F4F">
            <w:pPr>
              <w:keepNext/>
              <w:spacing w:after="0"/>
              <w:jc w:val="center"/>
              <w:rPr>
                <w:rFonts w:ascii="Arial" w:hAnsi="Arial" w:cs="Arial"/>
                <w:b/>
                <w:bCs/>
                <w:color w:val="000000"/>
                <w:sz w:val="20"/>
                <w:szCs w:val="20"/>
              </w:rPr>
            </w:pPr>
            <w:r>
              <w:rPr>
                <w:rFonts w:ascii="Arial" w:hAnsi="Arial" w:cs="Arial"/>
                <w:b/>
                <w:bCs/>
                <w:color w:val="000000"/>
                <w:sz w:val="20"/>
                <w:szCs w:val="20"/>
              </w:rPr>
              <w:t xml:space="preserve">ASGS </w:t>
            </w:r>
            <w:r w:rsidR="00BE24DC" w:rsidRPr="00BE24DC">
              <w:rPr>
                <w:rFonts w:ascii="Arial" w:hAnsi="Arial" w:cs="Arial"/>
                <w:b/>
                <w:bCs/>
                <w:color w:val="000000"/>
                <w:sz w:val="20"/>
                <w:szCs w:val="20"/>
              </w:rPr>
              <w:t>Region</w:t>
            </w:r>
          </w:p>
        </w:tc>
        <w:tc>
          <w:tcPr>
            <w:tcW w:w="1134" w:type="dxa"/>
            <w:tcBorders>
              <w:top w:val="single" w:sz="4" w:space="0" w:color="auto"/>
              <w:left w:val="single" w:sz="4" w:space="0" w:color="auto"/>
              <w:bottom w:val="single" w:sz="4" w:space="0" w:color="000000"/>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sidRPr="00BE24DC">
              <w:rPr>
                <w:rFonts w:ascii="Arial" w:hAnsi="Arial" w:cs="Arial"/>
                <w:b/>
                <w:bCs/>
                <w:color w:val="000000"/>
                <w:sz w:val="20"/>
                <w:szCs w:val="20"/>
              </w:rPr>
              <w:t>Type</w:t>
            </w:r>
          </w:p>
        </w:tc>
        <w:tc>
          <w:tcPr>
            <w:tcW w:w="939" w:type="dxa"/>
            <w:tcBorders>
              <w:top w:val="nil"/>
              <w:left w:val="nil"/>
              <w:bottom w:val="single" w:sz="4" w:space="0" w:color="auto"/>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Pr>
                <w:rFonts w:ascii="Arial" w:hAnsi="Arial" w:cs="Arial"/>
                <w:b/>
                <w:bCs/>
                <w:color w:val="000000"/>
                <w:sz w:val="20"/>
                <w:szCs w:val="20"/>
              </w:rPr>
              <w:t>Group 0</w:t>
            </w:r>
            <w:r>
              <w:rPr>
                <w:rFonts w:ascii="Arial" w:hAnsi="Arial" w:cs="Arial"/>
                <w:b/>
                <w:bCs/>
                <w:color w:val="000000"/>
                <w:sz w:val="20"/>
                <w:szCs w:val="20"/>
              </w:rPr>
              <w:br/>
              <w:t>&lt;</w:t>
            </w:r>
            <w:r w:rsidR="001D7EAC">
              <w:rPr>
                <w:rFonts w:ascii="Arial" w:hAnsi="Arial" w:cs="Arial"/>
                <w:b/>
                <w:bCs/>
                <w:color w:val="000000"/>
                <w:sz w:val="20"/>
                <w:szCs w:val="20"/>
              </w:rPr>
              <w:t>$0.5 million</w:t>
            </w:r>
          </w:p>
        </w:tc>
        <w:tc>
          <w:tcPr>
            <w:tcW w:w="939" w:type="dxa"/>
            <w:tcBorders>
              <w:top w:val="nil"/>
              <w:left w:val="nil"/>
              <w:bottom w:val="single" w:sz="4" w:space="0" w:color="auto"/>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sidRPr="00BE24DC">
              <w:rPr>
                <w:rFonts w:ascii="Arial" w:hAnsi="Arial" w:cs="Arial"/>
                <w:b/>
                <w:bCs/>
                <w:color w:val="000000"/>
                <w:sz w:val="20"/>
                <w:szCs w:val="20"/>
              </w:rPr>
              <w:t>Group A</w:t>
            </w:r>
            <w:r w:rsidRPr="00BE24DC">
              <w:rPr>
                <w:rFonts w:ascii="Arial" w:hAnsi="Arial" w:cs="Arial"/>
                <w:b/>
                <w:bCs/>
                <w:color w:val="000000"/>
                <w:sz w:val="20"/>
                <w:szCs w:val="20"/>
              </w:rPr>
              <w:br/>
              <w:t>0 - 259.9</w:t>
            </w:r>
            <w:r w:rsidRPr="00BE24DC">
              <w:rPr>
                <w:rFonts w:ascii="Arial" w:hAnsi="Arial" w:cs="Arial"/>
                <w:b/>
                <w:bCs/>
                <w:color w:val="000000"/>
                <w:sz w:val="20"/>
                <w:szCs w:val="20"/>
              </w:rPr>
              <w:br/>
              <w:t xml:space="preserve">NWAU </w:t>
            </w:r>
          </w:p>
        </w:tc>
        <w:tc>
          <w:tcPr>
            <w:tcW w:w="939" w:type="dxa"/>
            <w:tcBorders>
              <w:top w:val="nil"/>
              <w:left w:val="nil"/>
              <w:bottom w:val="single" w:sz="4" w:space="0" w:color="auto"/>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sidRPr="00BE24DC">
              <w:rPr>
                <w:rFonts w:ascii="Arial" w:hAnsi="Arial" w:cs="Arial"/>
                <w:b/>
                <w:bCs/>
                <w:color w:val="000000"/>
                <w:sz w:val="20"/>
                <w:szCs w:val="20"/>
              </w:rPr>
              <w:t>Group B</w:t>
            </w:r>
            <w:r w:rsidRPr="00BE24DC">
              <w:rPr>
                <w:rFonts w:ascii="Arial" w:hAnsi="Arial" w:cs="Arial"/>
                <w:b/>
                <w:bCs/>
                <w:color w:val="000000"/>
                <w:sz w:val="20"/>
                <w:szCs w:val="20"/>
              </w:rPr>
              <w:br/>
              <w:t>260 - 459.9</w:t>
            </w:r>
            <w:r w:rsidRPr="00BE24DC">
              <w:rPr>
                <w:rFonts w:ascii="Arial" w:hAnsi="Arial" w:cs="Arial"/>
                <w:b/>
                <w:bCs/>
                <w:color w:val="000000"/>
                <w:sz w:val="20"/>
                <w:szCs w:val="20"/>
              </w:rPr>
              <w:br/>
              <w:t>NWAU</w:t>
            </w:r>
          </w:p>
        </w:tc>
        <w:tc>
          <w:tcPr>
            <w:tcW w:w="939" w:type="dxa"/>
            <w:tcBorders>
              <w:top w:val="nil"/>
              <w:left w:val="nil"/>
              <w:bottom w:val="single" w:sz="4" w:space="0" w:color="auto"/>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sidRPr="00BE24DC">
              <w:rPr>
                <w:rFonts w:ascii="Arial" w:hAnsi="Arial" w:cs="Arial"/>
                <w:b/>
                <w:bCs/>
                <w:color w:val="000000"/>
                <w:sz w:val="20"/>
                <w:szCs w:val="20"/>
              </w:rPr>
              <w:t>Group C</w:t>
            </w:r>
            <w:r w:rsidRPr="00BE24DC">
              <w:rPr>
                <w:rFonts w:ascii="Arial" w:hAnsi="Arial" w:cs="Arial"/>
                <w:b/>
                <w:bCs/>
                <w:color w:val="000000"/>
                <w:sz w:val="20"/>
                <w:szCs w:val="20"/>
              </w:rPr>
              <w:br/>
              <w:t>460 - 659.9</w:t>
            </w:r>
            <w:r w:rsidRPr="00BE24DC">
              <w:rPr>
                <w:rFonts w:ascii="Arial" w:hAnsi="Arial" w:cs="Arial"/>
                <w:b/>
                <w:bCs/>
                <w:color w:val="000000"/>
                <w:sz w:val="20"/>
                <w:szCs w:val="20"/>
              </w:rPr>
              <w:br/>
              <w:t>NWAU</w:t>
            </w:r>
          </w:p>
        </w:tc>
        <w:tc>
          <w:tcPr>
            <w:tcW w:w="939" w:type="dxa"/>
            <w:tcBorders>
              <w:top w:val="nil"/>
              <w:left w:val="nil"/>
              <w:bottom w:val="single" w:sz="4" w:space="0" w:color="auto"/>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sidRPr="00BE24DC">
              <w:rPr>
                <w:rFonts w:ascii="Arial" w:hAnsi="Arial" w:cs="Arial"/>
                <w:b/>
                <w:bCs/>
                <w:color w:val="000000"/>
                <w:sz w:val="20"/>
                <w:szCs w:val="20"/>
              </w:rPr>
              <w:t>Group D</w:t>
            </w:r>
            <w:r w:rsidRPr="00BE24DC">
              <w:rPr>
                <w:rFonts w:ascii="Arial" w:hAnsi="Arial" w:cs="Arial"/>
                <w:b/>
                <w:bCs/>
                <w:color w:val="000000"/>
                <w:sz w:val="20"/>
                <w:szCs w:val="20"/>
              </w:rPr>
              <w:br/>
              <w:t>660 - 1049.9</w:t>
            </w:r>
            <w:r w:rsidRPr="00BE24DC">
              <w:rPr>
                <w:rFonts w:ascii="Arial" w:hAnsi="Arial" w:cs="Arial"/>
                <w:b/>
                <w:bCs/>
                <w:color w:val="000000"/>
                <w:sz w:val="20"/>
                <w:szCs w:val="20"/>
              </w:rPr>
              <w:br/>
              <w:t>NWAU</w:t>
            </w:r>
          </w:p>
        </w:tc>
        <w:tc>
          <w:tcPr>
            <w:tcW w:w="939" w:type="dxa"/>
            <w:tcBorders>
              <w:top w:val="nil"/>
              <w:left w:val="nil"/>
              <w:bottom w:val="single" w:sz="4" w:space="0" w:color="auto"/>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sidRPr="00BE24DC">
              <w:rPr>
                <w:rFonts w:ascii="Arial" w:hAnsi="Arial" w:cs="Arial"/>
                <w:b/>
                <w:bCs/>
                <w:color w:val="000000"/>
                <w:sz w:val="20"/>
                <w:szCs w:val="20"/>
              </w:rPr>
              <w:t>Group E</w:t>
            </w:r>
            <w:r w:rsidRPr="00BE24DC">
              <w:rPr>
                <w:rFonts w:ascii="Arial" w:hAnsi="Arial" w:cs="Arial"/>
                <w:b/>
                <w:bCs/>
                <w:color w:val="000000"/>
                <w:sz w:val="20"/>
                <w:szCs w:val="20"/>
              </w:rPr>
              <w:br/>
              <w:t>1050 - 1699.9</w:t>
            </w:r>
            <w:r w:rsidRPr="00BE24DC">
              <w:rPr>
                <w:rFonts w:ascii="Arial" w:hAnsi="Arial" w:cs="Arial"/>
                <w:b/>
                <w:bCs/>
                <w:color w:val="000000"/>
                <w:sz w:val="20"/>
                <w:szCs w:val="20"/>
              </w:rPr>
              <w:br/>
              <w:t>NWAU</w:t>
            </w:r>
          </w:p>
        </w:tc>
        <w:tc>
          <w:tcPr>
            <w:tcW w:w="939" w:type="dxa"/>
            <w:tcBorders>
              <w:top w:val="nil"/>
              <w:left w:val="nil"/>
              <w:bottom w:val="single" w:sz="4" w:space="0" w:color="auto"/>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sidRPr="00BE24DC">
              <w:rPr>
                <w:rFonts w:ascii="Arial" w:hAnsi="Arial" w:cs="Arial"/>
                <w:b/>
                <w:bCs/>
                <w:color w:val="000000"/>
                <w:sz w:val="20"/>
                <w:szCs w:val="20"/>
              </w:rPr>
              <w:t>Group F</w:t>
            </w:r>
            <w:r w:rsidRPr="00BE24DC">
              <w:rPr>
                <w:rFonts w:ascii="Arial" w:hAnsi="Arial" w:cs="Arial"/>
                <w:b/>
                <w:bCs/>
                <w:color w:val="000000"/>
                <w:sz w:val="20"/>
                <w:szCs w:val="20"/>
              </w:rPr>
              <w:br/>
              <w:t>1700 - 2499.9</w:t>
            </w:r>
            <w:r w:rsidRPr="00BE24DC">
              <w:rPr>
                <w:rFonts w:ascii="Arial" w:hAnsi="Arial" w:cs="Arial"/>
                <w:b/>
                <w:bCs/>
                <w:color w:val="000000"/>
                <w:sz w:val="20"/>
                <w:szCs w:val="20"/>
              </w:rPr>
              <w:br/>
              <w:t>NWAU</w:t>
            </w:r>
          </w:p>
        </w:tc>
        <w:tc>
          <w:tcPr>
            <w:tcW w:w="940" w:type="dxa"/>
            <w:tcBorders>
              <w:top w:val="nil"/>
              <w:left w:val="single" w:sz="4" w:space="0" w:color="auto"/>
              <w:bottom w:val="single" w:sz="4" w:space="0" w:color="auto"/>
              <w:right w:val="single" w:sz="4" w:space="0" w:color="auto"/>
            </w:tcBorders>
            <w:shd w:val="clear" w:color="auto" w:fill="C4D79B"/>
            <w:vAlign w:val="center"/>
          </w:tcPr>
          <w:p w:rsidR="00BE24DC" w:rsidRPr="00BE24DC" w:rsidRDefault="00BE24DC" w:rsidP="00A02F4F">
            <w:pPr>
              <w:keepNext/>
              <w:spacing w:after="0"/>
              <w:jc w:val="center"/>
              <w:rPr>
                <w:rFonts w:ascii="Arial" w:hAnsi="Arial" w:cs="Arial"/>
                <w:b/>
                <w:bCs/>
                <w:color w:val="000000"/>
                <w:sz w:val="20"/>
                <w:szCs w:val="20"/>
              </w:rPr>
            </w:pPr>
            <w:r w:rsidRPr="00BE24DC">
              <w:rPr>
                <w:rFonts w:ascii="Arial" w:hAnsi="Arial" w:cs="Arial"/>
                <w:b/>
                <w:bCs/>
                <w:color w:val="000000"/>
                <w:sz w:val="20"/>
                <w:szCs w:val="20"/>
              </w:rPr>
              <w:t>Group G</w:t>
            </w:r>
            <w:r w:rsidRPr="00BE24DC">
              <w:rPr>
                <w:rFonts w:ascii="Arial" w:hAnsi="Arial" w:cs="Arial"/>
                <w:b/>
                <w:bCs/>
                <w:color w:val="000000"/>
                <w:sz w:val="20"/>
                <w:szCs w:val="20"/>
              </w:rPr>
              <w:br/>
              <w:t>2500</w:t>
            </w:r>
            <w:r w:rsidR="001D3F13">
              <w:rPr>
                <w:rFonts w:ascii="Arial" w:hAnsi="Arial" w:cs="Arial"/>
                <w:b/>
                <w:bCs/>
                <w:color w:val="000000"/>
                <w:sz w:val="20"/>
                <w:szCs w:val="20"/>
              </w:rPr>
              <w:t xml:space="preserve"> - 3500</w:t>
            </w:r>
            <w:r w:rsidRPr="00BE24DC">
              <w:rPr>
                <w:rFonts w:ascii="Arial" w:hAnsi="Arial" w:cs="Arial"/>
                <w:b/>
                <w:bCs/>
                <w:color w:val="000000"/>
                <w:sz w:val="20"/>
                <w:szCs w:val="20"/>
              </w:rPr>
              <w:br/>
              <w:t>NWAU</w:t>
            </w:r>
          </w:p>
        </w:tc>
      </w:tr>
      <w:tr w:rsidR="006173C7" w:rsidRPr="008013CD" w:rsidTr="006173C7">
        <w:trPr>
          <w:trHeight w:val="552"/>
        </w:trPr>
        <w:tc>
          <w:tcPr>
            <w:tcW w:w="1139" w:type="dxa"/>
            <w:vMerge w:val="restart"/>
            <w:tcBorders>
              <w:top w:val="single" w:sz="4" w:space="0" w:color="000000"/>
              <w:left w:val="single" w:sz="4" w:space="0" w:color="auto"/>
              <w:right w:val="single" w:sz="4" w:space="0" w:color="auto"/>
            </w:tcBorders>
            <w:shd w:val="clear" w:color="auto" w:fill="C4D79B"/>
            <w:noWrap/>
            <w:vAlign w:val="center"/>
          </w:tcPr>
          <w:p w:rsidR="006173C7" w:rsidRPr="00BE24DC" w:rsidRDefault="006173C7" w:rsidP="00A02F4F">
            <w:pPr>
              <w:keepNext/>
              <w:spacing w:after="0"/>
              <w:jc w:val="center"/>
              <w:rPr>
                <w:rFonts w:ascii="Arial" w:hAnsi="Arial" w:cs="Arial"/>
                <w:b/>
                <w:bCs/>
                <w:color w:val="000000"/>
                <w:sz w:val="20"/>
                <w:szCs w:val="20"/>
              </w:rPr>
            </w:pPr>
            <w:r>
              <w:rPr>
                <w:rFonts w:ascii="Arial" w:hAnsi="Arial" w:cs="Arial"/>
                <w:b/>
                <w:bCs/>
                <w:color w:val="000000"/>
                <w:sz w:val="20"/>
                <w:szCs w:val="20"/>
              </w:rPr>
              <w:t>Region 1</w:t>
            </w:r>
          </w:p>
        </w:tc>
        <w:tc>
          <w:tcPr>
            <w:tcW w:w="1134" w:type="dxa"/>
            <w:tcBorders>
              <w:top w:val="single" w:sz="4" w:space="0" w:color="000000"/>
              <w:left w:val="single" w:sz="4" w:space="0" w:color="auto"/>
              <w:bottom w:val="single" w:sz="4" w:space="0" w:color="auto"/>
              <w:right w:val="single" w:sz="4" w:space="0" w:color="auto"/>
            </w:tcBorders>
            <w:shd w:val="clear" w:color="auto" w:fill="C4D79B"/>
            <w:vAlign w:val="bottom"/>
          </w:tcPr>
          <w:p w:rsidR="006173C7" w:rsidRPr="00BE24DC" w:rsidRDefault="006173C7" w:rsidP="00936E59">
            <w:pPr>
              <w:keepNext/>
              <w:spacing w:after="60"/>
              <w:jc w:val="center"/>
              <w:rPr>
                <w:rFonts w:ascii="Arial" w:hAnsi="Arial" w:cs="Arial"/>
                <w:b/>
                <w:bCs/>
                <w:color w:val="000000"/>
                <w:sz w:val="20"/>
                <w:szCs w:val="20"/>
              </w:rPr>
            </w:pPr>
            <w:r>
              <w:rPr>
                <w:rFonts w:ascii="Arial" w:hAnsi="Arial" w:cs="Arial"/>
                <w:b/>
                <w:bCs/>
                <w:color w:val="000000"/>
                <w:sz w:val="20"/>
                <w:szCs w:val="20"/>
              </w:rPr>
              <w:t xml:space="preserve">Type </w:t>
            </w:r>
            <w:r w:rsidRPr="00BE24DC">
              <w:rPr>
                <w:rFonts w:ascii="Arial" w:hAnsi="Arial" w:cs="Arial"/>
                <w:b/>
                <w:bCs/>
                <w:color w:val="000000"/>
                <w:sz w:val="20"/>
                <w:szCs w:val="20"/>
              </w:rPr>
              <w:t>A</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t>N/A</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t>N/A</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t>N/A</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0.858</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1.163</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1.615</w:t>
            </w:r>
          </w:p>
        </w:tc>
        <w:tc>
          <w:tcPr>
            <w:tcW w:w="939" w:type="dxa"/>
            <w:tcBorders>
              <w:top w:val="nil"/>
              <w:left w:val="nil"/>
              <w:bottom w:val="single" w:sz="4" w:space="0" w:color="auto"/>
              <w:right w:val="single" w:sz="4" w:space="0" w:color="auto"/>
            </w:tcBorders>
            <w:shd w:val="clear" w:color="000000" w:fill="FFFFFF"/>
            <w:vAlign w:val="center"/>
          </w:tcPr>
          <w:p w:rsidR="006173C7" w:rsidRPr="00B63F00" w:rsidRDefault="006173C7" w:rsidP="006173C7">
            <w:pPr>
              <w:spacing w:after="0"/>
              <w:jc w:val="center"/>
            </w:pPr>
            <w:r w:rsidRPr="00B63F00">
              <w:t>2.210</w:t>
            </w:r>
          </w:p>
        </w:tc>
        <w:tc>
          <w:tcPr>
            <w:tcW w:w="940" w:type="dxa"/>
            <w:tcBorders>
              <w:top w:val="nil"/>
              <w:left w:val="single" w:sz="4" w:space="0" w:color="auto"/>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3.494</w:t>
            </w:r>
          </w:p>
        </w:tc>
      </w:tr>
      <w:tr w:rsidR="006173C7" w:rsidRPr="008013CD" w:rsidTr="006173C7">
        <w:trPr>
          <w:trHeight w:val="552"/>
        </w:trPr>
        <w:tc>
          <w:tcPr>
            <w:tcW w:w="1139" w:type="dxa"/>
            <w:vMerge/>
            <w:tcBorders>
              <w:left w:val="single" w:sz="4" w:space="0" w:color="auto"/>
              <w:right w:val="single" w:sz="4" w:space="0" w:color="auto"/>
            </w:tcBorders>
            <w:shd w:val="clear" w:color="auto" w:fill="C4D79B"/>
            <w:noWrap/>
            <w:vAlign w:val="center"/>
          </w:tcPr>
          <w:p w:rsidR="006173C7" w:rsidRPr="00BE24DC" w:rsidRDefault="006173C7" w:rsidP="00A02F4F">
            <w:pPr>
              <w:keepNext/>
              <w:spacing w:after="0"/>
              <w:rPr>
                <w:rFonts w:cstheme="minorHAnsi"/>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C4D79B"/>
            <w:vAlign w:val="bottom"/>
          </w:tcPr>
          <w:p w:rsidR="006173C7" w:rsidRPr="00BE24DC" w:rsidRDefault="006173C7" w:rsidP="00936E59">
            <w:pPr>
              <w:keepNext/>
              <w:spacing w:after="60"/>
              <w:jc w:val="center"/>
              <w:rPr>
                <w:rFonts w:cstheme="minorHAnsi"/>
                <w:b/>
                <w:color w:val="000000"/>
                <w:sz w:val="20"/>
                <w:szCs w:val="20"/>
              </w:rPr>
            </w:pPr>
            <w:r>
              <w:rPr>
                <w:rFonts w:ascii="Arial" w:hAnsi="Arial" w:cs="Arial"/>
                <w:b/>
                <w:bCs/>
                <w:color w:val="000000"/>
                <w:sz w:val="20"/>
                <w:szCs w:val="20"/>
              </w:rPr>
              <w:t>Type</w:t>
            </w:r>
            <w:r w:rsidRPr="00BE24DC">
              <w:rPr>
                <w:rFonts w:ascii="Arial" w:hAnsi="Arial" w:cs="Arial"/>
                <w:b/>
                <w:bCs/>
                <w:color w:val="000000"/>
                <w:sz w:val="20"/>
                <w:szCs w:val="20"/>
              </w:rPr>
              <w:t xml:space="preserve"> B</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t>N/A</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t>N/A</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0.536</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0.756</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1.025</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1.423</w:t>
            </w:r>
          </w:p>
        </w:tc>
        <w:tc>
          <w:tcPr>
            <w:tcW w:w="939" w:type="dxa"/>
            <w:tcBorders>
              <w:top w:val="nil"/>
              <w:left w:val="nil"/>
              <w:bottom w:val="single" w:sz="4" w:space="0" w:color="auto"/>
              <w:right w:val="single" w:sz="4" w:space="0" w:color="auto"/>
            </w:tcBorders>
            <w:shd w:val="clear" w:color="000000" w:fill="FFFFFF"/>
            <w:vAlign w:val="center"/>
          </w:tcPr>
          <w:p w:rsidR="006173C7" w:rsidRPr="00B63F00" w:rsidRDefault="006173C7" w:rsidP="006173C7">
            <w:pPr>
              <w:spacing w:after="0"/>
              <w:jc w:val="center"/>
            </w:pPr>
            <w:r w:rsidRPr="00B63F00">
              <w:t>1.948</w:t>
            </w:r>
          </w:p>
        </w:tc>
        <w:tc>
          <w:tcPr>
            <w:tcW w:w="940" w:type="dxa"/>
            <w:tcBorders>
              <w:top w:val="nil"/>
              <w:left w:val="single" w:sz="4" w:space="0" w:color="auto"/>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3.080</w:t>
            </w:r>
          </w:p>
        </w:tc>
      </w:tr>
      <w:tr w:rsidR="006173C7" w:rsidRPr="008013CD" w:rsidTr="006173C7">
        <w:trPr>
          <w:trHeight w:val="552"/>
        </w:trPr>
        <w:tc>
          <w:tcPr>
            <w:tcW w:w="1139" w:type="dxa"/>
            <w:vMerge/>
            <w:tcBorders>
              <w:left w:val="single" w:sz="4" w:space="0" w:color="auto"/>
              <w:bottom w:val="single" w:sz="4" w:space="0" w:color="auto"/>
              <w:right w:val="single" w:sz="4" w:space="0" w:color="auto"/>
            </w:tcBorders>
            <w:shd w:val="clear" w:color="auto" w:fill="C4D79B"/>
            <w:noWrap/>
            <w:vAlign w:val="center"/>
          </w:tcPr>
          <w:p w:rsidR="006173C7" w:rsidRPr="00BE24DC" w:rsidRDefault="006173C7" w:rsidP="00A02F4F">
            <w:pPr>
              <w:keepNext/>
              <w:spacing w:after="0"/>
              <w:rPr>
                <w:rFonts w:cstheme="minorHAnsi"/>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C4D79B"/>
            <w:vAlign w:val="bottom"/>
          </w:tcPr>
          <w:p w:rsidR="006173C7" w:rsidRPr="00BE24DC" w:rsidRDefault="006173C7" w:rsidP="00936E59">
            <w:pPr>
              <w:keepNext/>
              <w:spacing w:after="60"/>
              <w:jc w:val="center"/>
              <w:rPr>
                <w:rFonts w:cstheme="minorHAnsi"/>
                <w:b/>
                <w:color w:val="000000"/>
                <w:sz w:val="20"/>
                <w:szCs w:val="20"/>
              </w:rPr>
            </w:pPr>
            <w:r>
              <w:rPr>
                <w:rFonts w:ascii="Arial" w:hAnsi="Arial" w:cs="Arial"/>
                <w:b/>
                <w:bCs/>
                <w:color w:val="000000"/>
                <w:sz w:val="20"/>
                <w:szCs w:val="20"/>
              </w:rPr>
              <w:t>Type C</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0.028</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0.352</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0.467</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0.659</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0.894</w:t>
            </w:r>
          </w:p>
        </w:tc>
        <w:tc>
          <w:tcPr>
            <w:tcW w:w="939" w:type="dxa"/>
            <w:tcBorders>
              <w:top w:val="nil"/>
              <w:left w:val="nil"/>
              <w:bottom w:val="single" w:sz="4" w:space="0" w:color="auto"/>
              <w:right w:val="single" w:sz="4" w:space="0" w:color="auto"/>
            </w:tcBorders>
            <w:shd w:val="clear" w:color="000000" w:fill="FFFFFF"/>
            <w:noWrap/>
            <w:vAlign w:val="center"/>
          </w:tcPr>
          <w:p w:rsidR="006173C7" w:rsidRPr="00B63F00" w:rsidRDefault="006173C7" w:rsidP="006173C7">
            <w:pPr>
              <w:spacing w:after="0"/>
              <w:jc w:val="center"/>
            </w:pPr>
            <w:r w:rsidRPr="00B63F00">
              <w:t>1.241</w:t>
            </w:r>
          </w:p>
        </w:tc>
        <w:tc>
          <w:tcPr>
            <w:tcW w:w="939" w:type="dxa"/>
            <w:tcBorders>
              <w:top w:val="nil"/>
              <w:left w:val="nil"/>
              <w:bottom w:val="single" w:sz="4" w:space="0" w:color="auto"/>
              <w:right w:val="single" w:sz="4" w:space="0" w:color="auto"/>
            </w:tcBorders>
            <w:shd w:val="clear" w:color="000000" w:fill="FFFFFF"/>
            <w:vAlign w:val="center"/>
          </w:tcPr>
          <w:p w:rsidR="006173C7" w:rsidRPr="00B63F00" w:rsidRDefault="006173C7" w:rsidP="006173C7">
            <w:pPr>
              <w:spacing w:after="0"/>
              <w:jc w:val="center"/>
            </w:pPr>
            <w:r w:rsidRPr="00B63F00">
              <w:t>1.699</w:t>
            </w:r>
          </w:p>
        </w:tc>
        <w:tc>
          <w:tcPr>
            <w:tcW w:w="940" w:type="dxa"/>
            <w:tcBorders>
              <w:top w:val="nil"/>
              <w:left w:val="single" w:sz="4" w:space="0" w:color="auto"/>
              <w:bottom w:val="single" w:sz="4" w:space="0" w:color="auto"/>
              <w:right w:val="single" w:sz="4" w:space="0" w:color="auto"/>
            </w:tcBorders>
            <w:shd w:val="clear" w:color="000000" w:fill="FFFFFF"/>
            <w:noWrap/>
            <w:vAlign w:val="center"/>
          </w:tcPr>
          <w:p w:rsidR="006173C7" w:rsidRDefault="006173C7" w:rsidP="006173C7">
            <w:pPr>
              <w:spacing w:after="0"/>
              <w:jc w:val="center"/>
            </w:pPr>
            <w:r>
              <w:t>N/A</w:t>
            </w:r>
          </w:p>
        </w:tc>
      </w:tr>
      <w:tr w:rsidR="006173C7" w:rsidRPr="008013CD" w:rsidTr="006173C7">
        <w:trPr>
          <w:trHeight w:val="668"/>
        </w:trPr>
        <w:tc>
          <w:tcPr>
            <w:tcW w:w="2273" w:type="dxa"/>
            <w:gridSpan w:val="2"/>
            <w:tcBorders>
              <w:top w:val="single" w:sz="4" w:space="0" w:color="auto"/>
              <w:left w:val="single" w:sz="4" w:space="0" w:color="auto"/>
              <w:bottom w:val="single" w:sz="4" w:space="0" w:color="auto"/>
              <w:right w:val="single" w:sz="4" w:space="0" w:color="auto"/>
            </w:tcBorders>
            <w:shd w:val="clear" w:color="auto" w:fill="C4D79B"/>
            <w:noWrap/>
            <w:vAlign w:val="center"/>
          </w:tcPr>
          <w:p w:rsidR="006173C7" w:rsidRPr="00BE24DC" w:rsidRDefault="006173C7" w:rsidP="00A02F4F">
            <w:pPr>
              <w:keepNext/>
              <w:spacing w:after="0"/>
              <w:jc w:val="center"/>
              <w:rPr>
                <w:rFonts w:ascii="Arial" w:hAnsi="Arial" w:cs="Arial"/>
                <w:b/>
                <w:bCs/>
                <w:color w:val="000000"/>
                <w:sz w:val="20"/>
                <w:szCs w:val="20"/>
              </w:rPr>
            </w:pPr>
            <w:r>
              <w:rPr>
                <w:rFonts w:ascii="Arial" w:hAnsi="Arial" w:cs="Arial"/>
                <w:b/>
                <w:bCs/>
                <w:color w:val="000000"/>
                <w:sz w:val="20"/>
                <w:szCs w:val="20"/>
              </w:rPr>
              <w:t>Region 2</w:t>
            </w:r>
          </w:p>
        </w:tc>
        <w:tc>
          <w:tcPr>
            <w:tcW w:w="939" w:type="dxa"/>
            <w:tcBorders>
              <w:top w:val="nil"/>
              <w:left w:val="nil"/>
              <w:bottom w:val="single" w:sz="4" w:space="0" w:color="auto"/>
              <w:right w:val="single" w:sz="4" w:space="0" w:color="auto"/>
            </w:tcBorders>
            <w:shd w:val="clear" w:color="000000" w:fill="FFFFFF"/>
            <w:noWrap/>
            <w:vAlign w:val="center"/>
          </w:tcPr>
          <w:p w:rsidR="006173C7" w:rsidRPr="001509D9" w:rsidRDefault="006173C7" w:rsidP="006173C7">
            <w:pPr>
              <w:spacing w:after="0"/>
              <w:jc w:val="center"/>
            </w:pPr>
            <w:r w:rsidRPr="001509D9">
              <w:t>0.078</w:t>
            </w:r>
          </w:p>
        </w:tc>
        <w:tc>
          <w:tcPr>
            <w:tcW w:w="939" w:type="dxa"/>
            <w:tcBorders>
              <w:top w:val="nil"/>
              <w:left w:val="nil"/>
              <w:bottom w:val="single" w:sz="4" w:space="0" w:color="auto"/>
              <w:right w:val="single" w:sz="4" w:space="0" w:color="auto"/>
            </w:tcBorders>
            <w:shd w:val="clear" w:color="000000" w:fill="FFFFFF"/>
            <w:noWrap/>
            <w:vAlign w:val="center"/>
          </w:tcPr>
          <w:p w:rsidR="006173C7" w:rsidRPr="001509D9" w:rsidRDefault="006173C7" w:rsidP="006173C7">
            <w:pPr>
              <w:spacing w:after="0"/>
              <w:jc w:val="center"/>
            </w:pPr>
            <w:r w:rsidRPr="001509D9">
              <w:t>0.232</w:t>
            </w:r>
          </w:p>
        </w:tc>
        <w:tc>
          <w:tcPr>
            <w:tcW w:w="939" w:type="dxa"/>
            <w:tcBorders>
              <w:top w:val="nil"/>
              <w:left w:val="nil"/>
              <w:bottom w:val="single" w:sz="4" w:space="0" w:color="auto"/>
              <w:right w:val="single" w:sz="4" w:space="0" w:color="auto"/>
            </w:tcBorders>
            <w:shd w:val="clear" w:color="000000" w:fill="FFFFFF"/>
            <w:noWrap/>
            <w:vAlign w:val="center"/>
          </w:tcPr>
          <w:p w:rsidR="006173C7" w:rsidRPr="001509D9" w:rsidRDefault="006173C7" w:rsidP="006173C7">
            <w:pPr>
              <w:spacing w:after="0"/>
              <w:jc w:val="center"/>
            </w:pPr>
            <w:r w:rsidRPr="001509D9">
              <w:t>0.624</w:t>
            </w:r>
          </w:p>
        </w:tc>
        <w:tc>
          <w:tcPr>
            <w:tcW w:w="939" w:type="dxa"/>
            <w:tcBorders>
              <w:top w:val="nil"/>
              <w:left w:val="nil"/>
              <w:bottom w:val="single" w:sz="4" w:space="0" w:color="auto"/>
              <w:right w:val="single" w:sz="4" w:space="0" w:color="auto"/>
            </w:tcBorders>
            <w:shd w:val="clear" w:color="000000" w:fill="FFFFFF"/>
            <w:noWrap/>
            <w:vAlign w:val="center"/>
          </w:tcPr>
          <w:p w:rsidR="006173C7" w:rsidRPr="001509D9" w:rsidRDefault="006173C7" w:rsidP="006173C7">
            <w:pPr>
              <w:spacing w:after="0"/>
              <w:jc w:val="center"/>
            </w:pPr>
            <w:r w:rsidRPr="001509D9">
              <w:t>0.914</w:t>
            </w:r>
          </w:p>
        </w:tc>
        <w:tc>
          <w:tcPr>
            <w:tcW w:w="939" w:type="dxa"/>
            <w:tcBorders>
              <w:top w:val="nil"/>
              <w:left w:val="nil"/>
              <w:bottom w:val="single" w:sz="4" w:space="0" w:color="auto"/>
              <w:right w:val="single" w:sz="4" w:space="0" w:color="auto"/>
            </w:tcBorders>
            <w:shd w:val="clear" w:color="000000" w:fill="FFFFFF"/>
            <w:noWrap/>
            <w:vAlign w:val="center"/>
          </w:tcPr>
          <w:p w:rsidR="006173C7" w:rsidRPr="001509D9" w:rsidRDefault="006173C7" w:rsidP="006173C7">
            <w:pPr>
              <w:spacing w:after="0"/>
              <w:jc w:val="center"/>
            </w:pPr>
            <w:r w:rsidRPr="001509D9">
              <w:t>1.132</w:t>
            </w:r>
          </w:p>
        </w:tc>
        <w:tc>
          <w:tcPr>
            <w:tcW w:w="939" w:type="dxa"/>
            <w:tcBorders>
              <w:top w:val="nil"/>
              <w:left w:val="nil"/>
              <w:bottom w:val="single" w:sz="4" w:space="0" w:color="auto"/>
              <w:right w:val="single" w:sz="4" w:space="0" w:color="auto"/>
            </w:tcBorders>
            <w:shd w:val="clear" w:color="000000" w:fill="FFFFFF"/>
            <w:noWrap/>
            <w:vAlign w:val="center"/>
          </w:tcPr>
          <w:p w:rsidR="006173C7" w:rsidRPr="001509D9" w:rsidRDefault="006173C7" w:rsidP="006173C7">
            <w:pPr>
              <w:spacing w:after="0"/>
              <w:jc w:val="center"/>
            </w:pPr>
            <w:r w:rsidRPr="001509D9">
              <w:t>1.815</w:t>
            </w:r>
          </w:p>
        </w:tc>
        <w:tc>
          <w:tcPr>
            <w:tcW w:w="939" w:type="dxa"/>
            <w:tcBorders>
              <w:top w:val="nil"/>
              <w:left w:val="nil"/>
              <w:bottom w:val="single" w:sz="4" w:space="0" w:color="auto"/>
              <w:right w:val="single" w:sz="4" w:space="0" w:color="auto"/>
            </w:tcBorders>
            <w:shd w:val="clear" w:color="000000" w:fill="FFFFFF"/>
            <w:vAlign w:val="center"/>
          </w:tcPr>
          <w:p w:rsidR="006173C7" w:rsidRPr="001509D9" w:rsidRDefault="006173C7" w:rsidP="006173C7">
            <w:pPr>
              <w:spacing w:after="0"/>
              <w:jc w:val="center"/>
            </w:pPr>
            <w:r w:rsidRPr="001509D9">
              <w:t>2.818</w:t>
            </w:r>
          </w:p>
        </w:tc>
        <w:tc>
          <w:tcPr>
            <w:tcW w:w="940" w:type="dxa"/>
            <w:tcBorders>
              <w:top w:val="nil"/>
              <w:left w:val="single" w:sz="4" w:space="0" w:color="auto"/>
              <w:bottom w:val="single" w:sz="4" w:space="0" w:color="auto"/>
              <w:right w:val="single" w:sz="4" w:space="0" w:color="auto"/>
            </w:tcBorders>
            <w:shd w:val="clear" w:color="000000" w:fill="FFFFFF"/>
            <w:noWrap/>
            <w:vAlign w:val="center"/>
          </w:tcPr>
          <w:p w:rsidR="006173C7" w:rsidRDefault="006173C7" w:rsidP="006173C7">
            <w:pPr>
              <w:spacing w:after="0"/>
              <w:jc w:val="center"/>
            </w:pPr>
            <w:r w:rsidRPr="001509D9">
              <w:t>7.062</w:t>
            </w:r>
          </w:p>
        </w:tc>
      </w:tr>
    </w:tbl>
    <w:p w:rsidR="002B568D" w:rsidRDefault="002B568D" w:rsidP="00A02F4F">
      <w:pPr>
        <w:keepNext/>
        <w:spacing w:before="200"/>
        <w:rPr>
          <w:rFonts w:cs="Arial"/>
          <w:sz w:val="20"/>
        </w:rPr>
      </w:pPr>
      <w:r w:rsidRPr="008013CD">
        <w:rPr>
          <w:rFonts w:cs="Arial"/>
          <w:sz w:val="20"/>
        </w:rPr>
        <w:t>N/A = no hospitals are pres</w:t>
      </w:r>
      <w:r w:rsidR="00C13526">
        <w:rPr>
          <w:rFonts w:cs="Arial"/>
          <w:sz w:val="20"/>
        </w:rPr>
        <w:t xml:space="preserve">ent in that combination of </w:t>
      </w:r>
      <w:r w:rsidR="00C17A88">
        <w:rPr>
          <w:rFonts w:cs="Arial"/>
          <w:sz w:val="20"/>
        </w:rPr>
        <w:t>service volume, ASGS region</w:t>
      </w:r>
      <w:r w:rsidR="00C13526">
        <w:rPr>
          <w:rFonts w:cs="Arial"/>
          <w:sz w:val="20"/>
        </w:rPr>
        <w:t xml:space="preserve"> and type.</w:t>
      </w:r>
      <w:r w:rsidR="00920E98" w:rsidRPr="00920E98">
        <w:rPr>
          <w:rFonts w:ascii="Times New Roman" w:hAnsi="Times New Roman" w:cs="Times New Roman"/>
          <w:sz w:val="24"/>
          <w:szCs w:val="24"/>
        </w:rPr>
        <w:t xml:space="preserve"> </w:t>
      </w:r>
    </w:p>
    <w:p w:rsidR="002B568D" w:rsidRPr="0092298D" w:rsidRDefault="002B568D" w:rsidP="002B568D">
      <w:pPr>
        <w:pStyle w:val="Heading2"/>
      </w:pPr>
      <w:bookmarkStart w:id="15" w:name="_Toc349574780"/>
      <w:bookmarkStart w:id="16" w:name="_Toc443404519"/>
      <w:r w:rsidRPr="0092298D">
        <w:t>3.3</w:t>
      </w:r>
      <w:r w:rsidRPr="0092298D">
        <w:tab/>
        <w:t>Efficient Cost for Other Hospitals</w:t>
      </w:r>
      <w:bookmarkEnd w:id="15"/>
      <w:bookmarkEnd w:id="16"/>
    </w:p>
    <w:p w:rsidR="002B568D" w:rsidRPr="0092298D" w:rsidRDefault="002B568D" w:rsidP="002B568D">
      <w:pPr>
        <w:spacing w:before="240"/>
      </w:pPr>
      <w:r w:rsidRPr="0092298D">
        <w:t xml:space="preserve">Other </w:t>
      </w:r>
      <w:r w:rsidR="00C845A5">
        <w:t>block</w:t>
      </w:r>
      <w:r w:rsidR="00814FBC">
        <w:t xml:space="preserve"> </w:t>
      </w:r>
      <w:r w:rsidR="00C845A5">
        <w:t xml:space="preserve">funded </w:t>
      </w:r>
      <w:r w:rsidRPr="0092298D">
        <w:t>hospitals</w:t>
      </w:r>
      <w:r w:rsidR="00C845A5">
        <w:t>,</w:t>
      </w:r>
      <w:r w:rsidRPr="0092298D">
        <w:t xml:space="preserve"> </w:t>
      </w:r>
      <w:r w:rsidR="00C845A5">
        <w:t xml:space="preserve">treated separately from the cost model, </w:t>
      </w:r>
      <w:r w:rsidRPr="0092298D">
        <w:t>are defined as:</w:t>
      </w:r>
    </w:p>
    <w:p w:rsidR="002B568D" w:rsidRDefault="002B568D" w:rsidP="007F0474">
      <w:pPr>
        <w:pStyle w:val="ListParagraph"/>
        <w:numPr>
          <w:ilvl w:val="0"/>
          <w:numId w:val="40"/>
        </w:numPr>
        <w:spacing w:before="240" w:after="120"/>
        <w:ind w:left="850" w:hanging="425"/>
        <w:contextualSpacing w:val="0"/>
      </w:pPr>
      <w:r w:rsidRPr="0092298D">
        <w:t xml:space="preserve">Standalone </w:t>
      </w:r>
      <w:r>
        <w:t xml:space="preserve">hospitals providing specialist </w:t>
      </w:r>
      <w:r w:rsidR="00C845A5">
        <w:t xml:space="preserve">mental health </w:t>
      </w:r>
      <w:r>
        <w:t xml:space="preserve">services (e.g. </w:t>
      </w:r>
      <w:r w:rsidRPr="0092298D">
        <w:t>Psychiatric Hospitals</w:t>
      </w:r>
      <w:r>
        <w:t>)</w:t>
      </w:r>
      <w:r w:rsidR="00C113C5">
        <w:t>; and</w:t>
      </w:r>
    </w:p>
    <w:p w:rsidR="00C113C5" w:rsidRDefault="00C113C5" w:rsidP="00C113C5">
      <w:pPr>
        <w:pStyle w:val="ListParagraph"/>
        <w:numPr>
          <w:ilvl w:val="0"/>
          <w:numId w:val="40"/>
        </w:numPr>
        <w:spacing w:before="240" w:after="120"/>
        <w:ind w:left="850" w:hanging="425"/>
        <w:contextualSpacing w:val="0"/>
      </w:pPr>
      <w:r>
        <w:t xml:space="preserve">Standalone </w:t>
      </w:r>
      <w:r w:rsidR="00BB3F7F">
        <w:t>major city</w:t>
      </w:r>
      <w:r>
        <w:t xml:space="preserve"> hospitals providing specialist services (e.g. mothercraft, dental and dialysis).</w:t>
      </w:r>
    </w:p>
    <w:p w:rsidR="002B568D" w:rsidRPr="0092298D" w:rsidRDefault="002B568D" w:rsidP="002B568D">
      <w:pPr>
        <w:spacing w:before="240"/>
      </w:pPr>
      <w:r w:rsidRPr="0092298D">
        <w:t xml:space="preserve">In </w:t>
      </w:r>
      <w:r w:rsidR="000A51AD">
        <w:t>201</w:t>
      </w:r>
      <w:r w:rsidR="00AE5DC2">
        <w:t>6</w:t>
      </w:r>
      <w:r w:rsidRPr="0092298D">
        <w:t>-</w:t>
      </w:r>
      <w:r w:rsidR="000A51AD">
        <w:t>1</w:t>
      </w:r>
      <w:r w:rsidR="00AE5DC2">
        <w:t>7</w:t>
      </w:r>
      <w:r w:rsidRPr="0092298D">
        <w:t xml:space="preserve">, the Pricing Authority has determined the efficient cost </w:t>
      </w:r>
      <w:r>
        <w:t xml:space="preserve">of these hospitals </w:t>
      </w:r>
      <w:r w:rsidRPr="0092298D">
        <w:t xml:space="preserve">will be determined in </w:t>
      </w:r>
      <w:r>
        <w:t xml:space="preserve">consultation </w:t>
      </w:r>
      <w:r w:rsidRPr="0092298D">
        <w:t xml:space="preserve">with the relevant state or territory, with reference to their total </w:t>
      </w:r>
      <w:r w:rsidR="00AE7501">
        <w:br/>
      </w:r>
      <w:r>
        <w:t xml:space="preserve">in-scope </w:t>
      </w:r>
      <w:r w:rsidRPr="0092298D">
        <w:t>reported expenditure in the NPHED in 201</w:t>
      </w:r>
      <w:r w:rsidR="00AE5DC2">
        <w:t>3-</w:t>
      </w:r>
      <w:r w:rsidR="00C845A5">
        <w:t>1</w:t>
      </w:r>
      <w:r w:rsidR="00AE5DC2">
        <w:t>4</w:t>
      </w:r>
      <w:r w:rsidRPr="0092298D">
        <w:t>.</w:t>
      </w:r>
    </w:p>
    <w:p w:rsidR="002B568D" w:rsidRPr="0092298D" w:rsidRDefault="002B568D" w:rsidP="002B568D"/>
    <w:p w:rsidR="002B568D" w:rsidRPr="0092298D" w:rsidRDefault="002B568D" w:rsidP="002B568D"/>
    <w:p w:rsidR="002B568D" w:rsidRPr="0092298D" w:rsidRDefault="002B568D" w:rsidP="002B568D">
      <w:pPr>
        <w:rPr>
          <w:rFonts w:cs="Arial"/>
          <w:b/>
          <w:bCs/>
          <w:kern w:val="32"/>
          <w:sz w:val="32"/>
          <w:szCs w:val="32"/>
        </w:rPr>
      </w:pPr>
      <w:r w:rsidRPr="0092298D">
        <w:br w:type="page"/>
      </w:r>
    </w:p>
    <w:p w:rsidR="002B568D" w:rsidRPr="0092298D" w:rsidRDefault="002B568D" w:rsidP="002B568D">
      <w:pPr>
        <w:pStyle w:val="Heading1"/>
      </w:pPr>
      <w:bookmarkStart w:id="17" w:name="_Toc349574781"/>
      <w:bookmarkStart w:id="18" w:name="_Toc443404520"/>
      <w:r w:rsidRPr="0092298D">
        <w:lastRenderedPageBreak/>
        <w:t>Chapter 4</w:t>
      </w:r>
      <w:r w:rsidRPr="0092298D">
        <w:tab/>
        <w:t>Block Funded Services</w:t>
      </w:r>
      <w:bookmarkEnd w:id="17"/>
      <w:bookmarkEnd w:id="18"/>
      <w:r w:rsidRPr="0092298D">
        <w:t xml:space="preserve"> </w:t>
      </w:r>
    </w:p>
    <w:p w:rsidR="002B568D" w:rsidRPr="0092298D" w:rsidRDefault="002B568D" w:rsidP="002B568D">
      <w:pPr>
        <w:spacing w:before="240"/>
      </w:pPr>
      <w:r w:rsidRPr="0092298D">
        <w:t xml:space="preserve">In </w:t>
      </w:r>
      <w:r w:rsidR="00AE5DC2">
        <w:t>2016</w:t>
      </w:r>
      <w:r w:rsidRPr="0092298D">
        <w:t>-</w:t>
      </w:r>
      <w:r w:rsidR="000A51AD">
        <w:t>1</w:t>
      </w:r>
      <w:r w:rsidR="00AE5DC2">
        <w:t>7</w:t>
      </w:r>
      <w:r w:rsidRPr="0092298D">
        <w:t xml:space="preserve">, the Pricing Authority has determined that the following services </w:t>
      </w:r>
      <w:r w:rsidR="008013CD">
        <w:t xml:space="preserve">in ABF hospitals </w:t>
      </w:r>
      <w:r w:rsidRPr="0092298D">
        <w:t>are eligible for block funding as the technical requirements for applying ABF are not able to be satisfied:</w:t>
      </w:r>
    </w:p>
    <w:p w:rsidR="00C17A88" w:rsidRDefault="00C17A88">
      <w:pPr>
        <w:pStyle w:val="ListParagraph"/>
        <w:numPr>
          <w:ilvl w:val="0"/>
          <w:numId w:val="40"/>
        </w:numPr>
        <w:spacing w:before="240" w:after="120"/>
        <w:ind w:left="850" w:hanging="425"/>
        <w:contextualSpacing w:val="0"/>
      </w:pPr>
      <w:r w:rsidRPr="0092298D">
        <w:t>Teaching, Training and Research</w:t>
      </w:r>
      <w:r w:rsidR="00F777FF">
        <w:t>;</w:t>
      </w:r>
    </w:p>
    <w:p w:rsidR="0095419C" w:rsidRDefault="002B568D">
      <w:pPr>
        <w:pStyle w:val="ListParagraph"/>
        <w:numPr>
          <w:ilvl w:val="0"/>
          <w:numId w:val="40"/>
        </w:numPr>
        <w:spacing w:before="240" w:after="120"/>
        <w:ind w:left="850" w:hanging="425"/>
        <w:contextualSpacing w:val="0"/>
      </w:pPr>
      <w:r w:rsidRPr="0092298D">
        <w:t>Non-admitted Mental Health Services</w:t>
      </w:r>
      <w:r w:rsidR="00142DC6">
        <w:t>; and</w:t>
      </w:r>
    </w:p>
    <w:p w:rsidR="008E4625" w:rsidRDefault="008E4625" w:rsidP="0095419C">
      <w:pPr>
        <w:pStyle w:val="ListParagraph"/>
        <w:numPr>
          <w:ilvl w:val="0"/>
          <w:numId w:val="40"/>
        </w:numPr>
        <w:spacing w:before="240" w:after="120"/>
        <w:ind w:left="850" w:hanging="425"/>
        <w:contextualSpacing w:val="0"/>
      </w:pPr>
      <w:r>
        <w:t>A17 List</w:t>
      </w:r>
      <w:r>
        <w:rPr>
          <w:rStyle w:val="FootnoteReference"/>
          <w:b/>
        </w:rPr>
        <w:footnoteReference w:id="1"/>
      </w:r>
      <w:r>
        <w:t xml:space="preserve"> services not otherwise priced.</w:t>
      </w:r>
    </w:p>
    <w:p w:rsidR="002B568D" w:rsidRPr="003170C3" w:rsidRDefault="002B568D" w:rsidP="003170C3">
      <w:pPr>
        <w:spacing w:before="240"/>
      </w:pPr>
      <w:r w:rsidRPr="003170C3">
        <w:t xml:space="preserve">The efficient cost of these services has been determined for </w:t>
      </w:r>
      <w:r w:rsidR="000A51AD">
        <w:t>201</w:t>
      </w:r>
      <w:r w:rsidR="00AE5DC2">
        <w:t>6</w:t>
      </w:r>
      <w:r w:rsidRPr="003170C3">
        <w:t>-</w:t>
      </w:r>
      <w:r w:rsidR="000A51AD">
        <w:t>1</w:t>
      </w:r>
      <w:r w:rsidR="00AE5DC2">
        <w:t>7</w:t>
      </w:r>
      <w:r w:rsidRPr="003170C3">
        <w:t xml:space="preserve"> on the advice of states and territories, and is detailed in </w:t>
      </w:r>
      <w:bookmarkStart w:id="19" w:name="_Ref340783668"/>
      <w:r w:rsidR="003170C3">
        <w:fldChar w:fldCharType="begin"/>
      </w:r>
      <w:r w:rsidR="003170C3">
        <w:instrText xml:space="preserve"> REF _Ref371067103 \h </w:instrText>
      </w:r>
      <w:r w:rsidR="003170C3">
        <w:fldChar w:fldCharType="separate"/>
      </w:r>
      <w:r w:rsidR="00D77D5D" w:rsidRPr="00172224">
        <w:rPr>
          <w:b/>
        </w:rPr>
        <w:t xml:space="preserve">Table </w:t>
      </w:r>
      <w:r w:rsidR="00D77D5D">
        <w:rPr>
          <w:b/>
          <w:noProof/>
        </w:rPr>
        <w:t>2</w:t>
      </w:r>
      <w:r w:rsidR="003170C3">
        <w:fldChar w:fldCharType="end"/>
      </w:r>
      <w:r w:rsidR="003170C3">
        <w:t>.</w:t>
      </w:r>
    </w:p>
    <w:p w:rsidR="00172224" w:rsidRPr="00172224" w:rsidRDefault="00172224" w:rsidP="00172224">
      <w:pPr>
        <w:pStyle w:val="Caption"/>
        <w:spacing w:before="240" w:after="120"/>
        <w:rPr>
          <w:b/>
          <w:color w:val="auto"/>
          <w:szCs w:val="22"/>
        </w:rPr>
      </w:pPr>
      <w:bookmarkStart w:id="20" w:name="_Ref371067103"/>
      <w:bookmarkEnd w:id="19"/>
      <w:r w:rsidRPr="00172224">
        <w:rPr>
          <w:b/>
          <w:color w:val="auto"/>
          <w:szCs w:val="22"/>
        </w:rPr>
        <w:t xml:space="preserve">Table </w:t>
      </w:r>
      <w:r w:rsidRPr="00172224">
        <w:rPr>
          <w:b/>
          <w:color w:val="auto"/>
          <w:szCs w:val="22"/>
        </w:rPr>
        <w:fldChar w:fldCharType="begin"/>
      </w:r>
      <w:r w:rsidRPr="00172224">
        <w:rPr>
          <w:b/>
          <w:color w:val="auto"/>
          <w:szCs w:val="22"/>
        </w:rPr>
        <w:instrText xml:space="preserve"> SEQ Table \* ARABIC </w:instrText>
      </w:r>
      <w:r w:rsidRPr="00172224">
        <w:rPr>
          <w:b/>
          <w:color w:val="auto"/>
          <w:szCs w:val="22"/>
        </w:rPr>
        <w:fldChar w:fldCharType="separate"/>
      </w:r>
      <w:r w:rsidR="00D77D5D">
        <w:rPr>
          <w:b/>
          <w:noProof/>
          <w:color w:val="auto"/>
          <w:szCs w:val="22"/>
        </w:rPr>
        <w:t>2</w:t>
      </w:r>
      <w:r w:rsidRPr="00172224">
        <w:rPr>
          <w:b/>
          <w:color w:val="auto"/>
          <w:szCs w:val="22"/>
        </w:rPr>
        <w:fldChar w:fldCharType="end"/>
      </w:r>
      <w:bookmarkEnd w:id="20"/>
      <w:r w:rsidRPr="00172224">
        <w:rPr>
          <w:b/>
          <w:color w:val="auto"/>
          <w:szCs w:val="22"/>
        </w:rPr>
        <w:t>: Block Funded Services</w:t>
      </w:r>
    </w:p>
    <w:tbl>
      <w:tblPr>
        <w:tblStyle w:val="TableGrid"/>
        <w:tblW w:w="0" w:type="auto"/>
        <w:tblLayout w:type="fixed"/>
        <w:tblLook w:val="04A0" w:firstRow="1" w:lastRow="0" w:firstColumn="1" w:lastColumn="0" w:noHBand="0" w:noVBand="1"/>
        <w:tblDescription w:val="The efficient cost of these services has been determined for 2016-17 on the advice of states and territories, and is detailed in Table 2"/>
      </w:tblPr>
      <w:tblGrid>
        <w:gridCol w:w="2321"/>
        <w:gridCol w:w="2307"/>
        <w:gridCol w:w="2307"/>
        <w:gridCol w:w="2307"/>
      </w:tblGrid>
      <w:tr w:rsidR="00CC1D06" w:rsidRPr="00ED0DEB" w:rsidTr="00741804">
        <w:trPr>
          <w:tblHeader/>
        </w:trPr>
        <w:tc>
          <w:tcPr>
            <w:tcW w:w="2321" w:type="dxa"/>
            <w:shd w:val="clear" w:color="auto" w:fill="C4D79B"/>
            <w:vAlign w:val="center"/>
          </w:tcPr>
          <w:p w:rsidR="00CC1D06" w:rsidRPr="000B4D74" w:rsidRDefault="00CC1D06" w:rsidP="00B93D8E">
            <w:pPr>
              <w:spacing w:before="60" w:after="60"/>
              <w:jc w:val="center"/>
              <w:rPr>
                <w:rFonts w:cstheme="minorHAnsi"/>
                <w:b/>
                <w:bCs/>
                <w:color w:val="000000"/>
              </w:rPr>
            </w:pPr>
            <w:r w:rsidRPr="000B4D74">
              <w:rPr>
                <w:rFonts w:cstheme="minorHAnsi"/>
                <w:b/>
                <w:bCs/>
                <w:color w:val="000000"/>
              </w:rPr>
              <w:t>State</w:t>
            </w:r>
            <w:r w:rsidR="00B93D8E">
              <w:rPr>
                <w:rFonts w:cstheme="minorHAnsi"/>
                <w:b/>
                <w:bCs/>
                <w:color w:val="000000"/>
              </w:rPr>
              <w:t xml:space="preserve"> </w:t>
            </w:r>
            <w:r w:rsidRPr="000B4D74">
              <w:rPr>
                <w:rFonts w:cstheme="minorHAnsi"/>
                <w:b/>
                <w:bCs/>
                <w:color w:val="000000"/>
              </w:rPr>
              <w:t>/</w:t>
            </w:r>
            <w:r w:rsidR="00B93D8E">
              <w:rPr>
                <w:rFonts w:cstheme="minorHAnsi"/>
                <w:b/>
                <w:bCs/>
                <w:color w:val="000000"/>
              </w:rPr>
              <w:t xml:space="preserve"> T</w:t>
            </w:r>
            <w:r w:rsidRPr="000B4D74">
              <w:rPr>
                <w:rFonts w:cstheme="minorHAnsi"/>
                <w:b/>
                <w:bCs/>
                <w:color w:val="000000"/>
              </w:rPr>
              <w:t>erritory</w:t>
            </w:r>
          </w:p>
        </w:tc>
        <w:tc>
          <w:tcPr>
            <w:tcW w:w="2307" w:type="dxa"/>
            <w:shd w:val="clear" w:color="auto" w:fill="C4D79B"/>
            <w:vAlign w:val="center"/>
          </w:tcPr>
          <w:p w:rsidR="00CC1D06" w:rsidRPr="00ED0DEB" w:rsidRDefault="00CC1D06" w:rsidP="000B4D74">
            <w:pPr>
              <w:spacing w:before="60" w:after="60"/>
              <w:jc w:val="center"/>
              <w:rPr>
                <w:b/>
                <w:lang w:eastAsia="en-AU"/>
              </w:rPr>
            </w:pPr>
            <w:r w:rsidRPr="00ED0DEB">
              <w:rPr>
                <w:b/>
              </w:rPr>
              <w:t>Teaching, Training and Research</w:t>
            </w:r>
          </w:p>
        </w:tc>
        <w:tc>
          <w:tcPr>
            <w:tcW w:w="2307" w:type="dxa"/>
            <w:shd w:val="clear" w:color="auto" w:fill="C4D79B"/>
            <w:vAlign w:val="center"/>
          </w:tcPr>
          <w:p w:rsidR="00CC1D06" w:rsidRPr="00ED0DEB" w:rsidRDefault="00CC1D06" w:rsidP="000B4D74">
            <w:pPr>
              <w:spacing w:before="60" w:after="60"/>
              <w:jc w:val="center"/>
              <w:rPr>
                <w:b/>
                <w:lang w:eastAsia="en-AU"/>
              </w:rPr>
            </w:pPr>
            <w:r w:rsidRPr="00ED0DEB">
              <w:rPr>
                <w:b/>
              </w:rPr>
              <w:t>Non-admitted Mental Health</w:t>
            </w:r>
          </w:p>
        </w:tc>
        <w:tc>
          <w:tcPr>
            <w:tcW w:w="2307" w:type="dxa"/>
            <w:shd w:val="clear" w:color="auto" w:fill="C4D79B"/>
            <w:vAlign w:val="center"/>
          </w:tcPr>
          <w:p w:rsidR="00CC1D06" w:rsidRPr="00ED0DEB" w:rsidRDefault="0095419C">
            <w:pPr>
              <w:spacing w:before="60" w:after="60"/>
              <w:jc w:val="center"/>
              <w:rPr>
                <w:b/>
              </w:rPr>
            </w:pPr>
            <w:r>
              <w:rPr>
                <w:b/>
              </w:rPr>
              <w:t>A17 List</w:t>
            </w:r>
          </w:p>
        </w:tc>
      </w:tr>
      <w:tr w:rsidR="006E4FD3" w:rsidRPr="00ED0DEB" w:rsidTr="00D36D0C">
        <w:trPr>
          <w:trHeight w:val="371"/>
        </w:trPr>
        <w:tc>
          <w:tcPr>
            <w:tcW w:w="2321" w:type="dxa"/>
            <w:vAlign w:val="center"/>
          </w:tcPr>
          <w:p w:rsidR="006E4FD3" w:rsidRPr="006E4FD3" w:rsidRDefault="006E4FD3" w:rsidP="006E4FD3">
            <w:pPr>
              <w:jc w:val="center"/>
              <w:rPr>
                <w:b/>
              </w:rPr>
            </w:pPr>
            <w:r w:rsidRPr="006E4FD3">
              <w:rPr>
                <w:b/>
              </w:rPr>
              <w:t>NSW</w:t>
            </w:r>
          </w:p>
        </w:tc>
        <w:tc>
          <w:tcPr>
            <w:tcW w:w="2307" w:type="dxa"/>
          </w:tcPr>
          <w:p w:rsidR="006E4FD3" w:rsidRPr="00ED0DEB" w:rsidRDefault="00296DB8" w:rsidP="006E4FD3">
            <w:pPr>
              <w:spacing w:before="80"/>
              <w:jc w:val="center"/>
            </w:pPr>
            <w:r w:rsidRPr="00296DB8">
              <w:t>$440,776,971</w:t>
            </w:r>
          </w:p>
        </w:tc>
        <w:tc>
          <w:tcPr>
            <w:tcW w:w="2307" w:type="dxa"/>
          </w:tcPr>
          <w:p w:rsidR="006E4FD3" w:rsidRPr="00ED0DEB" w:rsidRDefault="006302D7" w:rsidP="008F3A7C">
            <w:pPr>
              <w:spacing w:before="80"/>
              <w:jc w:val="center"/>
            </w:pPr>
            <w:r>
              <w:t>$504,000,000</w:t>
            </w:r>
          </w:p>
        </w:tc>
        <w:tc>
          <w:tcPr>
            <w:tcW w:w="2307" w:type="dxa"/>
          </w:tcPr>
          <w:p w:rsidR="006E4FD3" w:rsidRPr="00ED0DEB" w:rsidRDefault="00FF1077" w:rsidP="006E4FD3">
            <w:pPr>
              <w:spacing w:before="80"/>
              <w:jc w:val="center"/>
            </w:pPr>
            <w:r>
              <w:t>N/A</w:t>
            </w:r>
          </w:p>
        </w:tc>
      </w:tr>
      <w:tr w:rsidR="006E4FD3" w:rsidRPr="00ED0DEB" w:rsidTr="00D36D0C">
        <w:trPr>
          <w:trHeight w:val="371"/>
        </w:trPr>
        <w:tc>
          <w:tcPr>
            <w:tcW w:w="2321" w:type="dxa"/>
            <w:vAlign w:val="center"/>
          </w:tcPr>
          <w:p w:rsidR="006E4FD3" w:rsidRPr="006E4FD3" w:rsidRDefault="006E4FD3" w:rsidP="006E4FD3">
            <w:pPr>
              <w:jc w:val="center"/>
              <w:rPr>
                <w:b/>
              </w:rPr>
            </w:pPr>
            <w:r w:rsidRPr="006E4FD3">
              <w:rPr>
                <w:b/>
              </w:rPr>
              <w:t>Vic</w:t>
            </w:r>
          </w:p>
        </w:tc>
        <w:tc>
          <w:tcPr>
            <w:tcW w:w="2307" w:type="dxa"/>
          </w:tcPr>
          <w:p w:rsidR="006E4FD3" w:rsidRPr="00ED0DEB" w:rsidRDefault="00802342" w:rsidP="006E4FD3">
            <w:pPr>
              <w:spacing w:before="80"/>
              <w:jc w:val="center"/>
            </w:pPr>
            <w:r w:rsidRPr="00802342">
              <w:t>$293,283,000</w:t>
            </w:r>
          </w:p>
        </w:tc>
        <w:tc>
          <w:tcPr>
            <w:tcW w:w="2307" w:type="dxa"/>
          </w:tcPr>
          <w:p w:rsidR="006E4FD3" w:rsidRPr="00ED0DEB" w:rsidRDefault="00802342" w:rsidP="006E4FD3">
            <w:pPr>
              <w:spacing w:before="80"/>
              <w:jc w:val="center"/>
            </w:pPr>
            <w:r w:rsidRPr="00802342">
              <w:t>$602,735,000</w:t>
            </w:r>
          </w:p>
        </w:tc>
        <w:tc>
          <w:tcPr>
            <w:tcW w:w="2307" w:type="dxa"/>
          </w:tcPr>
          <w:p w:rsidR="006E4FD3" w:rsidRPr="00ED0DEB" w:rsidRDefault="00802342" w:rsidP="006E4FD3">
            <w:pPr>
              <w:spacing w:before="80"/>
              <w:jc w:val="center"/>
            </w:pPr>
            <w:r w:rsidRPr="00802342">
              <w:t>$66,000</w:t>
            </w:r>
          </w:p>
        </w:tc>
      </w:tr>
      <w:tr w:rsidR="006E4FD3" w:rsidRPr="00ED0DEB" w:rsidTr="00D36D0C">
        <w:trPr>
          <w:trHeight w:val="371"/>
        </w:trPr>
        <w:tc>
          <w:tcPr>
            <w:tcW w:w="2321" w:type="dxa"/>
            <w:vAlign w:val="center"/>
          </w:tcPr>
          <w:p w:rsidR="006E4FD3" w:rsidRPr="006E4FD3" w:rsidRDefault="006E4FD3" w:rsidP="006E4FD3">
            <w:pPr>
              <w:jc w:val="center"/>
              <w:rPr>
                <w:b/>
              </w:rPr>
            </w:pPr>
            <w:r w:rsidRPr="006E4FD3">
              <w:rPr>
                <w:b/>
              </w:rPr>
              <w:t>Qld</w:t>
            </w:r>
          </w:p>
        </w:tc>
        <w:tc>
          <w:tcPr>
            <w:tcW w:w="2307" w:type="dxa"/>
          </w:tcPr>
          <w:p w:rsidR="006E4FD3" w:rsidRPr="00ED0DEB" w:rsidRDefault="00802342" w:rsidP="006E4FD3">
            <w:pPr>
              <w:spacing w:before="80"/>
              <w:jc w:val="center"/>
            </w:pPr>
            <w:r w:rsidRPr="00802342">
              <w:t>$300,666,025</w:t>
            </w:r>
          </w:p>
        </w:tc>
        <w:tc>
          <w:tcPr>
            <w:tcW w:w="2307" w:type="dxa"/>
          </w:tcPr>
          <w:p w:rsidR="006E4FD3" w:rsidRPr="00ED0DEB" w:rsidRDefault="00802342" w:rsidP="006E4FD3">
            <w:pPr>
              <w:spacing w:before="80"/>
              <w:jc w:val="center"/>
            </w:pPr>
            <w:r w:rsidRPr="00802342">
              <w:t>$350,130,100</w:t>
            </w:r>
          </w:p>
        </w:tc>
        <w:tc>
          <w:tcPr>
            <w:tcW w:w="2307" w:type="dxa"/>
          </w:tcPr>
          <w:p w:rsidR="006E4FD3" w:rsidRPr="00ED0DEB" w:rsidRDefault="00802342" w:rsidP="006E4FD3">
            <w:pPr>
              <w:spacing w:before="80"/>
              <w:jc w:val="center"/>
            </w:pPr>
            <w:r w:rsidRPr="00802342">
              <w:t>$7,010,586</w:t>
            </w:r>
          </w:p>
        </w:tc>
      </w:tr>
      <w:tr w:rsidR="006E4FD3" w:rsidRPr="00ED0DEB" w:rsidTr="00D36D0C">
        <w:trPr>
          <w:trHeight w:val="371"/>
        </w:trPr>
        <w:tc>
          <w:tcPr>
            <w:tcW w:w="2321" w:type="dxa"/>
            <w:vAlign w:val="center"/>
          </w:tcPr>
          <w:p w:rsidR="006E4FD3" w:rsidRPr="006E4FD3" w:rsidRDefault="006E4FD3" w:rsidP="006E4FD3">
            <w:pPr>
              <w:jc w:val="center"/>
              <w:rPr>
                <w:b/>
              </w:rPr>
            </w:pPr>
            <w:r w:rsidRPr="006E4FD3">
              <w:rPr>
                <w:b/>
              </w:rPr>
              <w:t>SA</w:t>
            </w:r>
          </w:p>
        </w:tc>
        <w:tc>
          <w:tcPr>
            <w:tcW w:w="2307" w:type="dxa"/>
          </w:tcPr>
          <w:p w:rsidR="006E4FD3" w:rsidRPr="00ED0DEB" w:rsidRDefault="00802342" w:rsidP="006E4FD3">
            <w:pPr>
              <w:spacing w:before="80"/>
              <w:jc w:val="center"/>
            </w:pPr>
            <w:r w:rsidRPr="00802342">
              <w:t>$101,009,877</w:t>
            </w:r>
          </w:p>
        </w:tc>
        <w:tc>
          <w:tcPr>
            <w:tcW w:w="2307" w:type="dxa"/>
          </w:tcPr>
          <w:p w:rsidR="006E4FD3" w:rsidRPr="00ED0DEB" w:rsidRDefault="00802342" w:rsidP="006E4FD3">
            <w:pPr>
              <w:spacing w:before="80"/>
              <w:jc w:val="center"/>
            </w:pPr>
            <w:r w:rsidRPr="00802342">
              <w:t>$112,432,146</w:t>
            </w:r>
          </w:p>
        </w:tc>
        <w:tc>
          <w:tcPr>
            <w:tcW w:w="2307" w:type="dxa"/>
          </w:tcPr>
          <w:p w:rsidR="006E4FD3" w:rsidRPr="00ED0DEB" w:rsidRDefault="00802342" w:rsidP="006E4FD3">
            <w:pPr>
              <w:spacing w:before="80"/>
              <w:jc w:val="center"/>
            </w:pPr>
            <w:r w:rsidRPr="00802342">
              <w:t>$6,095,624</w:t>
            </w:r>
          </w:p>
        </w:tc>
      </w:tr>
      <w:tr w:rsidR="006E4FD3" w:rsidRPr="00ED0DEB" w:rsidTr="00D36D0C">
        <w:trPr>
          <w:trHeight w:val="371"/>
        </w:trPr>
        <w:tc>
          <w:tcPr>
            <w:tcW w:w="2321" w:type="dxa"/>
            <w:vAlign w:val="center"/>
          </w:tcPr>
          <w:p w:rsidR="006E4FD3" w:rsidRPr="006E4FD3" w:rsidRDefault="006E4FD3" w:rsidP="006E4FD3">
            <w:pPr>
              <w:jc w:val="center"/>
              <w:rPr>
                <w:b/>
              </w:rPr>
            </w:pPr>
            <w:r w:rsidRPr="006E4FD3">
              <w:rPr>
                <w:b/>
              </w:rPr>
              <w:t>WA</w:t>
            </w:r>
          </w:p>
        </w:tc>
        <w:tc>
          <w:tcPr>
            <w:tcW w:w="2307" w:type="dxa"/>
          </w:tcPr>
          <w:p w:rsidR="006E4FD3" w:rsidRPr="00ED0DEB" w:rsidRDefault="00802342" w:rsidP="006E4FD3">
            <w:pPr>
              <w:spacing w:before="80"/>
              <w:jc w:val="center"/>
            </w:pPr>
            <w:r w:rsidRPr="00802342">
              <w:t>$253,894,762</w:t>
            </w:r>
          </w:p>
        </w:tc>
        <w:tc>
          <w:tcPr>
            <w:tcW w:w="2307" w:type="dxa"/>
          </w:tcPr>
          <w:p w:rsidR="006E4FD3" w:rsidRPr="00ED0DEB" w:rsidRDefault="00802342" w:rsidP="006E4FD3">
            <w:pPr>
              <w:spacing w:before="80"/>
              <w:jc w:val="center"/>
            </w:pPr>
            <w:r w:rsidRPr="00802342">
              <w:t>$234,592,839</w:t>
            </w:r>
          </w:p>
        </w:tc>
        <w:tc>
          <w:tcPr>
            <w:tcW w:w="2307" w:type="dxa"/>
          </w:tcPr>
          <w:p w:rsidR="006E4FD3" w:rsidRPr="00ED0DEB" w:rsidRDefault="00D620CA" w:rsidP="006E4FD3">
            <w:pPr>
              <w:spacing w:before="80"/>
              <w:jc w:val="center"/>
            </w:pPr>
            <w:r>
              <w:t>N/A</w:t>
            </w:r>
          </w:p>
        </w:tc>
      </w:tr>
      <w:tr w:rsidR="006E4FD3" w:rsidRPr="00ED0DEB" w:rsidTr="00D36D0C">
        <w:trPr>
          <w:trHeight w:val="371"/>
        </w:trPr>
        <w:tc>
          <w:tcPr>
            <w:tcW w:w="2321" w:type="dxa"/>
            <w:vAlign w:val="center"/>
          </w:tcPr>
          <w:p w:rsidR="006E4FD3" w:rsidRPr="006E4FD3" w:rsidRDefault="006E4FD3" w:rsidP="006E4FD3">
            <w:pPr>
              <w:jc w:val="center"/>
              <w:rPr>
                <w:b/>
              </w:rPr>
            </w:pPr>
            <w:proofErr w:type="spellStart"/>
            <w:r w:rsidRPr="006E4FD3">
              <w:rPr>
                <w:b/>
              </w:rPr>
              <w:t>Tas</w:t>
            </w:r>
            <w:proofErr w:type="spellEnd"/>
          </w:p>
        </w:tc>
        <w:tc>
          <w:tcPr>
            <w:tcW w:w="2307" w:type="dxa"/>
          </w:tcPr>
          <w:p w:rsidR="006E4FD3" w:rsidRPr="00ED0DEB" w:rsidRDefault="00296DB8" w:rsidP="00D253BE">
            <w:pPr>
              <w:spacing w:before="80"/>
              <w:jc w:val="center"/>
            </w:pPr>
            <w:r w:rsidRPr="00296DB8">
              <w:t>$40,944,413</w:t>
            </w:r>
          </w:p>
        </w:tc>
        <w:tc>
          <w:tcPr>
            <w:tcW w:w="2307" w:type="dxa"/>
          </w:tcPr>
          <w:p w:rsidR="006E4FD3" w:rsidRPr="00ED0DEB" w:rsidRDefault="00296DB8" w:rsidP="00D253BE">
            <w:pPr>
              <w:spacing w:before="80"/>
              <w:jc w:val="center"/>
            </w:pPr>
            <w:r w:rsidRPr="00296DB8">
              <w:t>$31,599,585</w:t>
            </w:r>
          </w:p>
        </w:tc>
        <w:tc>
          <w:tcPr>
            <w:tcW w:w="2307" w:type="dxa"/>
          </w:tcPr>
          <w:p w:rsidR="006E4FD3" w:rsidRPr="00ED0DEB" w:rsidRDefault="00D620CA" w:rsidP="006E4FD3">
            <w:pPr>
              <w:spacing w:before="80"/>
              <w:jc w:val="center"/>
            </w:pPr>
            <w:r>
              <w:t>N/A</w:t>
            </w:r>
          </w:p>
        </w:tc>
      </w:tr>
      <w:tr w:rsidR="006E4FD3" w:rsidRPr="00ED0DEB" w:rsidTr="00D36D0C">
        <w:trPr>
          <w:trHeight w:val="371"/>
        </w:trPr>
        <w:tc>
          <w:tcPr>
            <w:tcW w:w="2321" w:type="dxa"/>
            <w:vAlign w:val="center"/>
          </w:tcPr>
          <w:p w:rsidR="006E4FD3" w:rsidRPr="006E4FD3" w:rsidRDefault="006E4FD3" w:rsidP="006E4FD3">
            <w:pPr>
              <w:jc w:val="center"/>
              <w:rPr>
                <w:b/>
              </w:rPr>
            </w:pPr>
            <w:r w:rsidRPr="006E4FD3">
              <w:rPr>
                <w:b/>
              </w:rPr>
              <w:t>NT</w:t>
            </w:r>
          </w:p>
        </w:tc>
        <w:tc>
          <w:tcPr>
            <w:tcW w:w="2307" w:type="dxa"/>
          </w:tcPr>
          <w:p w:rsidR="006E4FD3" w:rsidRPr="00ED0DEB" w:rsidRDefault="00802342" w:rsidP="006E4FD3">
            <w:pPr>
              <w:spacing w:before="80"/>
              <w:jc w:val="center"/>
            </w:pPr>
            <w:r w:rsidRPr="00802342">
              <w:t>$22,568,835</w:t>
            </w:r>
          </w:p>
        </w:tc>
        <w:tc>
          <w:tcPr>
            <w:tcW w:w="2307" w:type="dxa"/>
          </w:tcPr>
          <w:p w:rsidR="006E4FD3" w:rsidRPr="00ED0DEB" w:rsidRDefault="00802342" w:rsidP="006E4FD3">
            <w:pPr>
              <w:spacing w:before="80"/>
              <w:jc w:val="center"/>
            </w:pPr>
            <w:r w:rsidRPr="00802342">
              <w:t>$19,854,327</w:t>
            </w:r>
          </w:p>
        </w:tc>
        <w:tc>
          <w:tcPr>
            <w:tcW w:w="2307" w:type="dxa"/>
          </w:tcPr>
          <w:p w:rsidR="006E4FD3" w:rsidRPr="00ED0DEB" w:rsidRDefault="00D620CA" w:rsidP="006E4FD3">
            <w:pPr>
              <w:spacing w:before="80"/>
              <w:jc w:val="center"/>
            </w:pPr>
            <w:r>
              <w:t>N/A</w:t>
            </w:r>
          </w:p>
        </w:tc>
      </w:tr>
      <w:tr w:rsidR="006E4FD3" w:rsidRPr="0092298D" w:rsidTr="00D36D0C">
        <w:trPr>
          <w:trHeight w:val="371"/>
        </w:trPr>
        <w:tc>
          <w:tcPr>
            <w:tcW w:w="2321" w:type="dxa"/>
            <w:tcBorders>
              <w:bottom w:val="single" w:sz="4" w:space="0" w:color="auto"/>
            </w:tcBorders>
            <w:vAlign w:val="center"/>
          </w:tcPr>
          <w:p w:rsidR="006E4FD3" w:rsidRPr="006E4FD3" w:rsidRDefault="006E4FD3" w:rsidP="006E4FD3">
            <w:pPr>
              <w:jc w:val="center"/>
              <w:rPr>
                <w:b/>
              </w:rPr>
            </w:pPr>
            <w:r w:rsidRPr="006E4FD3">
              <w:rPr>
                <w:b/>
              </w:rPr>
              <w:t>ACT</w:t>
            </w:r>
          </w:p>
        </w:tc>
        <w:tc>
          <w:tcPr>
            <w:tcW w:w="2307" w:type="dxa"/>
            <w:tcBorders>
              <w:bottom w:val="single" w:sz="4" w:space="0" w:color="auto"/>
            </w:tcBorders>
          </w:tcPr>
          <w:p w:rsidR="006E4FD3" w:rsidRPr="00ED0DEB" w:rsidRDefault="00802342" w:rsidP="006E4FD3">
            <w:pPr>
              <w:spacing w:before="80"/>
              <w:jc w:val="center"/>
            </w:pPr>
            <w:r w:rsidRPr="00802342">
              <w:t>$22,373,999</w:t>
            </w:r>
          </w:p>
        </w:tc>
        <w:tc>
          <w:tcPr>
            <w:tcW w:w="2307" w:type="dxa"/>
            <w:tcBorders>
              <w:bottom w:val="single" w:sz="4" w:space="0" w:color="auto"/>
            </w:tcBorders>
          </w:tcPr>
          <w:p w:rsidR="006E4FD3" w:rsidRPr="00ED0DEB" w:rsidRDefault="00802342" w:rsidP="006E4FD3">
            <w:pPr>
              <w:spacing w:before="80"/>
              <w:jc w:val="center"/>
            </w:pPr>
            <w:r w:rsidRPr="00802342">
              <w:t>$37,376,963</w:t>
            </w:r>
          </w:p>
        </w:tc>
        <w:tc>
          <w:tcPr>
            <w:tcW w:w="2307" w:type="dxa"/>
            <w:tcBorders>
              <w:bottom w:val="single" w:sz="4" w:space="0" w:color="auto"/>
            </w:tcBorders>
          </w:tcPr>
          <w:p w:rsidR="006E4FD3" w:rsidRPr="00ED0DEB" w:rsidRDefault="00D620CA" w:rsidP="006E4FD3">
            <w:pPr>
              <w:spacing w:before="80"/>
              <w:jc w:val="center"/>
            </w:pPr>
            <w:r>
              <w:t>N/A</w:t>
            </w:r>
          </w:p>
        </w:tc>
      </w:tr>
    </w:tbl>
    <w:p w:rsidR="002B568D" w:rsidRDefault="002B568D" w:rsidP="002B568D">
      <w:pPr>
        <w:pStyle w:val="Caption"/>
      </w:pPr>
    </w:p>
    <w:p w:rsidR="00423910" w:rsidRDefault="00423910">
      <w:pPr>
        <w:spacing w:line="276" w:lineRule="auto"/>
      </w:pPr>
      <w:r>
        <w:br w:type="page"/>
      </w:r>
    </w:p>
    <w:p w:rsidR="00423910" w:rsidRDefault="00423910" w:rsidP="00423910">
      <w:pPr>
        <w:pStyle w:val="Heading1"/>
      </w:pPr>
      <w:bookmarkStart w:id="21" w:name="_Toc443404521"/>
      <w:r w:rsidRPr="0092298D">
        <w:lastRenderedPageBreak/>
        <w:t xml:space="preserve">Chapter </w:t>
      </w:r>
      <w:r>
        <w:t>5</w:t>
      </w:r>
      <w:r w:rsidRPr="0092298D">
        <w:tab/>
        <w:t>B</w:t>
      </w:r>
      <w:r>
        <w:t>ack-casting</w:t>
      </w:r>
      <w:bookmarkEnd w:id="21"/>
    </w:p>
    <w:p w:rsidR="00423910" w:rsidRDefault="00423910" w:rsidP="00424CD9">
      <w:pPr>
        <w:spacing w:before="240"/>
      </w:pPr>
      <w:r w:rsidRPr="00B71318">
        <w:t xml:space="preserve">The following </w:t>
      </w:r>
      <w:r w:rsidR="004B5A59">
        <w:t>back-cast figures</w:t>
      </w:r>
      <w:r w:rsidRPr="00B71318">
        <w:t xml:space="preserve"> are for use by the </w:t>
      </w:r>
      <w:r w:rsidR="00D23361" w:rsidRPr="00B71318">
        <w:t xml:space="preserve">Administrator of the </w:t>
      </w:r>
      <w:r>
        <w:t>National Health F</w:t>
      </w:r>
      <w:r w:rsidR="00D23361">
        <w:t>unding Pool</w:t>
      </w:r>
      <w:r>
        <w:t xml:space="preserve"> as the base for calculating the</w:t>
      </w:r>
      <w:r w:rsidR="001F2F36">
        <w:t xml:space="preserve"> growth in Commonwealth funding under the </w:t>
      </w:r>
      <w:r>
        <w:t xml:space="preserve">NHRA </w:t>
      </w:r>
      <w:r w:rsidR="001F2F36">
        <w:t xml:space="preserve">in </w:t>
      </w:r>
      <w:r w:rsidR="00C121EF">
        <w:br/>
      </w:r>
      <w:r w:rsidR="000A51AD">
        <w:t>201</w:t>
      </w:r>
      <w:r w:rsidR="00AE5DC2">
        <w:t>6</w:t>
      </w:r>
      <w:r>
        <w:t>-</w:t>
      </w:r>
      <w:r w:rsidR="000A51AD">
        <w:t>1</w:t>
      </w:r>
      <w:r w:rsidR="00AE5DC2">
        <w:t>7</w:t>
      </w:r>
      <w:r w:rsidR="000B4FEB">
        <w:t xml:space="preserve"> from 201</w:t>
      </w:r>
      <w:r w:rsidR="00AE5DC2">
        <w:t>5</w:t>
      </w:r>
      <w:r w:rsidR="000B4FEB">
        <w:t>-1</w:t>
      </w:r>
      <w:r w:rsidR="00AE5DC2">
        <w:t>6</w:t>
      </w:r>
      <w:r>
        <w:t>.</w:t>
      </w:r>
      <w:r w:rsidR="0043203E" w:rsidRPr="0043203E">
        <w:rPr>
          <w:rFonts w:cs="Arial"/>
          <w:noProof/>
          <w:lang w:eastAsia="en-AU"/>
        </w:rPr>
        <w:t xml:space="preserve"> </w:t>
      </w:r>
    </w:p>
    <w:p w:rsidR="008F77E9" w:rsidRDefault="008F77E9" w:rsidP="00424CD9">
      <w:pPr>
        <w:spacing w:before="240"/>
      </w:pPr>
      <w:r>
        <w:t>The</w:t>
      </w:r>
      <w:r w:rsidR="004B5A59">
        <w:t>se</w:t>
      </w:r>
      <w:r>
        <w:t xml:space="preserve"> </w:t>
      </w:r>
      <w:r w:rsidR="008E3763">
        <w:t>figures</w:t>
      </w:r>
      <w:r>
        <w:t xml:space="preserve"> take account of changes in </w:t>
      </w:r>
      <w:r w:rsidR="00A02F4F">
        <w:t xml:space="preserve">the </w:t>
      </w:r>
      <w:r>
        <w:t xml:space="preserve">methodology </w:t>
      </w:r>
      <w:r w:rsidR="00A02F4F">
        <w:t xml:space="preserve">used to determine the NEC </w:t>
      </w:r>
      <w:r w:rsidR="008E3763">
        <w:t xml:space="preserve">between years </w:t>
      </w:r>
      <w:r>
        <w:t>and</w:t>
      </w:r>
      <w:r w:rsidR="008E3763">
        <w:t xml:space="preserve"> to account for</w:t>
      </w:r>
      <w:r>
        <w:t xml:space="preserve"> the addition and removal of block</w:t>
      </w:r>
      <w:r w:rsidR="00C17A88">
        <w:t xml:space="preserve"> funded</w:t>
      </w:r>
      <w:r>
        <w:t xml:space="preserve"> services as required by the </w:t>
      </w:r>
      <w:r w:rsidR="00C113C5">
        <w:t>NHRA</w:t>
      </w:r>
      <w:r>
        <w:t>.</w:t>
      </w:r>
      <w:r w:rsidR="00290356" w:rsidRPr="00290356">
        <w:rPr>
          <w:rFonts w:cs="Arial"/>
          <w:noProof/>
          <w:lang w:eastAsia="en-AU"/>
        </w:rPr>
        <w:t xml:space="preserve"> </w:t>
      </w:r>
    </w:p>
    <w:p w:rsidR="004B5A59" w:rsidRDefault="004B5A59" w:rsidP="00424CD9">
      <w:pPr>
        <w:spacing w:before="240"/>
      </w:pPr>
      <w:r>
        <w:t>The Pricing Authority has determined the back-cast NEC15</w:t>
      </w:r>
      <w:r w:rsidR="0053238E">
        <w:t xml:space="preserve"> is </w:t>
      </w:r>
      <w:r w:rsidR="00EF44A0">
        <w:t>$</w:t>
      </w:r>
      <w:r w:rsidR="00290356">
        <w:t>4.826 million</w:t>
      </w:r>
      <w:r w:rsidR="00E12FB7">
        <w:t xml:space="preserve"> for the purpose</w:t>
      </w:r>
      <w:r>
        <w:t xml:space="preserve"> of determining Commonwealth growth funding estimated between 2015-16 and 2016-17.</w:t>
      </w:r>
    </w:p>
    <w:p w:rsidR="00423910" w:rsidRPr="004A6B66" w:rsidRDefault="007960FF" w:rsidP="00423910">
      <w:pPr>
        <w:spacing w:before="240"/>
        <w:rPr>
          <w:rFonts w:cs="Arial"/>
          <w:b/>
        </w:rPr>
      </w:pPr>
      <w:r w:rsidRPr="007960FF">
        <w:rPr>
          <w:b/>
        </w:rPr>
        <w:t xml:space="preserve">Table </w:t>
      </w:r>
      <w:r w:rsidRPr="007960FF">
        <w:rPr>
          <w:b/>
        </w:rPr>
        <w:fldChar w:fldCharType="begin"/>
      </w:r>
      <w:r w:rsidRPr="007960FF">
        <w:rPr>
          <w:b/>
        </w:rPr>
        <w:instrText xml:space="preserve"> SEQ Table \* ARABIC </w:instrText>
      </w:r>
      <w:r w:rsidRPr="007960FF">
        <w:rPr>
          <w:b/>
        </w:rPr>
        <w:fldChar w:fldCharType="separate"/>
      </w:r>
      <w:r w:rsidR="00D77D5D">
        <w:rPr>
          <w:b/>
          <w:noProof/>
        </w:rPr>
        <w:t>3</w:t>
      </w:r>
      <w:r w:rsidRPr="007960FF">
        <w:rPr>
          <w:b/>
        </w:rPr>
        <w:fldChar w:fldCharType="end"/>
      </w:r>
      <w:r w:rsidRPr="007960FF">
        <w:rPr>
          <w:b/>
        </w:rPr>
        <w:t xml:space="preserve">: </w:t>
      </w:r>
      <w:r w:rsidR="00423910" w:rsidRPr="007960FF">
        <w:rPr>
          <w:rFonts w:cs="Arial"/>
          <w:b/>
        </w:rPr>
        <w:t>Block funded back-cas</w:t>
      </w:r>
      <w:r w:rsidR="002C3D79">
        <w:rPr>
          <w:rFonts w:cs="Arial"/>
          <w:b/>
        </w:rPr>
        <w:t>ting multiplier by jurisdiction</w:t>
      </w:r>
      <w:r w:rsidR="00423910" w:rsidRPr="007960FF">
        <w:rPr>
          <w:rFonts w:cs="Arial"/>
          <w:b/>
        </w:rPr>
        <w:t xml:space="preserve"> in </w:t>
      </w:r>
      <w:r w:rsidR="000A51AD">
        <w:rPr>
          <w:rFonts w:cs="Arial"/>
          <w:b/>
        </w:rPr>
        <w:t>201</w:t>
      </w:r>
      <w:r w:rsidR="000D6B00">
        <w:rPr>
          <w:rFonts w:cs="Arial"/>
          <w:b/>
        </w:rPr>
        <w:t>6</w:t>
      </w:r>
      <w:r w:rsidR="00423910" w:rsidRPr="007960FF">
        <w:rPr>
          <w:rFonts w:cs="Arial"/>
          <w:b/>
        </w:rPr>
        <w:t>-</w:t>
      </w:r>
      <w:r w:rsidR="000A51AD">
        <w:rPr>
          <w:rFonts w:cs="Arial"/>
          <w:b/>
        </w:rPr>
        <w:t>1</w:t>
      </w:r>
      <w:r w:rsidR="000D6B00">
        <w:rPr>
          <w:rFonts w:cs="Arial"/>
          <w:b/>
        </w:rPr>
        <w:t>7</w:t>
      </w:r>
    </w:p>
    <w:tbl>
      <w:tblPr>
        <w:tblW w:w="942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87"/>
        <w:gridCol w:w="1967"/>
        <w:gridCol w:w="2024"/>
        <w:gridCol w:w="1892"/>
        <w:gridCol w:w="1751"/>
      </w:tblGrid>
      <w:tr w:rsidR="00EE40EF" w:rsidRPr="000B4D74" w:rsidTr="00EE40EF">
        <w:trPr>
          <w:trHeight w:val="330"/>
        </w:trPr>
        <w:tc>
          <w:tcPr>
            <w:tcW w:w="1787" w:type="dxa"/>
            <w:shd w:val="clear" w:color="auto" w:fill="C4D79B"/>
            <w:vAlign w:val="center"/>
          </w:tcPr>
          <w:p w:rsidR="00EE40EF" w:rsidRPr="000B4D74" w:rsidRDefault="00EE40EF" w:rsidP="00B93D8E">
            <w:pPr>
              <w:spacing w:before="60" w:after="60"/>
              <w:jc w:val="center"/>
              <w:rPr>
                <w:rFonts w:cstheme="minorHAnsi"/>
                <w:b/>
                <w:bCs/>
                <w:color w:val="000000"/>
              </w:rPr>
            </w:pPr>
            <w:r w:rsidRPr="000B4D74">
              <w:rPr>
                <w:rFonts w:cstheme="minorHAnsi"/>
                <w:b/>
                <w:bCs/>
                <w:color w:val="000000"/>
              </w:rPr>
              <w:t>State</w:t>
            </w:r>
            <w:r w:rsidR="00B93D8E">
              <w:rPr>
                <w:rFonts w:cstheme="minorHAnsi"/>
                <w:b/>
                <w:bCs/>
                <w:color w:val="000000"/>
              </w:rPr>
              <w:t xml:space="preserve"> </w:t>
            </w:r>
            <w:r w:rsidRPr="000B4D74">
              <w:rPr>
                <w:rFonts w:cstheme="minorHAnsi"/>
                <w:b/>
                <w:bCs/>
                <w:color w:val="000000"/>
              </w:rPr>
              <w:t>/</w:t>
            </w:r>
            <w:r w:rsidR="00B93D8E">
              <w:rPr>
                <w:rFonts w:cstheme="minorHAnsi"/>
                <w:b/>
                <w:bCs/>
                <w:color w:val="000000"/>
              </w:rPr>
              <w:t xml:space="preserve"> T</w:t>
            </w:r>
            <w:r w:rsidRPr="000B4D74">
              <w:rPr>
                <w:rFonts w:cstheme="minorHAnsi"/>
                <w:b/>
                <w:bCs/>
                <w:color w:val="000000"/>
              </w:rPr>
              <w:t>erritory</w:t>
            </w:r>
          </w:p>
        </w:tc>
        <w:tc>
          <w:tcPr>
            <w:tcW w:w="1967" w:type="dxa"/>
            <w:shd w:val="clear" w:color="auto" w:fill="C4D79B"/>
            <w:vAlign w:val="center"/>
          </w:tcPr>
          <w:p w:rsidR="00EE40EF" w:rsidRPr="000B4D74" w:rsidRDefault="00EE40EF" w:rsidP="000B4D74">
            <w:pPr>
              <w:spacing w:before="60" w:after="60"/>
              <w:jc w:val="center"/>
              <w:rPr>
                <w:rFonts w:cstheme="minorHAnsi"/>
                <w:b/>
                <w:bCs/>
                <w:color w:val="000000"/>
              </w:rPr>
            </w:pPr>
            <w:r w:rsidRPr="000B4D74">
              <w:rPr>
                <w:rFonts w:cstheme="minorHAnsi"/>
                <w:b/>
                <w:bCs/>
                <w:color w:val="000000"/>
              </w:rPr>
              <w:t>Small Rural Hospital</w:t>
            </w:r>
          </w:p>
        </w:tc>
        <w:tc>
          <w:tcPr>
            <w:tcW w:w="2024" w:type="dxa"/>
            <w:shd w:val="clear" w:color="auto" w:fill="C4D79B"/>
            <w:vAlign w:val="center"/>
          </w:tcPr>
          <w:p w:rsidR="00EE40EF" w:rsidRPr="000B4D74" w:rsidRDefault="00EE40EF" w:rsidP="000B4D74">
            <w:pPr>
              <w:spacing w:before="60" w:after="60"/>
              <w:jc w:val="center"/>
              <w:rPr>
                <w:rFonts w:cstheme="minorHAnsi"/>
                <w:b/>
                <w:bCs/>
                <w:color w:val="000000"/>
              </w:rPr>
            </w:pPr>
            <w:r w:rsidRPr="000B4D74">
              <w:rPr>
                <w:rFonts w:cstheme="minorHAnsi"/>
                <w:b/>
                <w:bCs/>
                <w:color w:val="000000"/>
              </w:rPr>
              <w:t>Teaching</w:t>
            </w:r>
            <w:r>
              <w:rPr>
                <w:rFonts w:cstheme="minorHAnsi"/>
                <w:b/>
                <w:bCs/>
                <w:color w:val="000000"/>
              </w:rPr>
              <w:t>,</w:t>
            </w:r>
            <w:r w:rsidRPr="000B4D74">
              <w:rPr>
                <w:rFonts w:cstheme="minorHAnsi"/>
                <w:b/>
                <w:bCs/>
                <w:color w:val="000000"/>
              </w:rPr>
              <w:t xml:space="preserve"> Training and Research</w:t>
            </w:r>
          </w:p>
        </w:tc>
        <w:tc>
          <w:tcPr>
            <w:tcW w:w="1892" w:type="dxa"/>
            <w:shd w:val="clear" w:color="auto" w:fill="C4D79B"/>
            <w:vAlign w:val="center"/>
          </w:tcPr>
          <w:p w:rsidR="00EE40EF" w:rsidRPr="000B4D74" w:rsidRDefault="00EE40EF">
            <w:pPr>
              <w:spacing w:before="60" w:after="60"/>
              <w:jc w:val="center"/>
              <w:rPr>
                <w:rFonts w:cstheme="minorHAnsi"/>
                <w:b/>
                <w:bCs/>
                <w:color w:val="000000"/>
              </w:rPr>
            </w:pPr>
            <w:r w:rsidRPr="000B4D74">
              <w:rPr>
                <w:rFonts w:cstheme="minorHAnsi"/>
                <w:b/>
                <w:bCs/>
                <w:color w:val="000000"/>
              </w:rPr>
              <w:t>Non</w:t>
            </w:r>
            <w:r>
              <w:rPr>
                <w:rFonts w:cstheme="minorHAnsi"/>
                <w:b/>
                <w:bCs/>
                <w:color w:val="000000"/>
              </w:rPr>
              <w:t>-a</w:t>
            </w:r>
            <w:r w:rsidRPr="000B4D74">
              <w:rPr>
                <w:rFonts w:cstheme="minorHAnsi"/>
                <w:b/>
                <w:bCs/>
                <w:color w:val="000000"/>
              </w:rPr>
              <w:t>dmitted Mental Health</w:t>
            </w:r>
          </w:p>
        </w:tc>
        <w:tc>
          <w:tcPr>
            <w:tcW w:w="1751" w:type="dxa"/>
            <w:shd w:val="clear" w:color="auto" w:fill="C4D79B"/>
            <w:vAlign w:val="center"/>
          </w:tcPr>
          <w:p w:rsidR="00EE40EF" w:rsidRPr="00ED0DEB" w:rsidRDefault="00EE40EF" w:rsidP="0043203E">
            <w:pPr>
              <w:spacing w:before="60" w:after="60"/>
              <w:jc w:val="center"/>
              <w:rPr>
                <w:b/>
              </w:rPr>
            </w:pPr>
            <w:r>
              <w:rPr>
                <w:b/>
              </w:rPr>
              <w:t>A17 List</w:t>
            </w:r>
          </w:p>
        </w:tc>
      </w:tr>
      <w:tr w:rsidR="006E4FD3" w:rsidRPr="000B4D74" w:rsidTr="009D7036">
        <w:trPr>
          <w:trHeight w:val="373"/>
        </w:trPr>
        <w:tc>
          <w:tcPr>
            <w:tcW w:w="1787" w:type="dxa"/>
            <w:vAlign w:val="center"/>
          </w:tcPr>
          <w:p w:rsidR="006E4FD3" w:rsidRPr="006E4FD3" w:rsidRDefault="006E4FD3" w:rsidP="006E4FD3">
            <w:pPr>
              <w:spacing w:after="0"/>
              <w:jc w:val="center"/>
              <w:rPr>
                <w:b/>
              </w:rPr>
            </w:pPr>
            <w:r w:rsidRPr="006E4FD3">
              <w:rPr>
                <w:b/>
              </w:rPr>
              <w:t>NSW</w:t>
            </w:r>
          </w:p>
        </w:tc>
        <w:tc>
          <w:tcPr>
            <w:tcW w:w="1967" w:type="dxa"/>
            <w:vAlign w:val="center"/>
          </w:tcPr>
          <w:p w:rsidR="006E4FD3" w:rsidRPr="006A61D5" w:rsidRDefault="006E4FD3" w:rsidP="006E4FD3">
            <w:pPr>
              <w:spacing w:after="0"/>
              <w:jc w:val="center"/>
            </w:pPr>
            <w:r w:rsidRPr="006A61D5">
              <w:t>0.9818</w:t>
            </w:r>
          </w:p>
        </w:tc>
        <w:tc>
          <w:tcPr>
            <w:tcW w:w="2024" w:type="dxa"/>
          </w:tcPr>
          <w:p w:rsidR="006E4FD3" w:rsidRPr="00ED0DEB" w:rsidRDefault="00D253BE" w:rsidP="006E4FD3">
            <w:pPr>
              <w:spacing w:before="80" w:after="0"/>
              <w:jc w:val="center"/>
            </w:pPr>
            <w:r w:rsidRPr="000E5B63">
              <w:t>1.0000</w:t>
            </w:r>
          </w:p>
        </w:tc>
        <w:tc>
          <w:tcPr>
            <w:tcW w:w="1892" w:type="dxa"/>
          </w:tcPr>
          <w:p w:rsidR="006E4FD3" w:rsidRPr="00ED0DEB" w:rsidRDefault="00802342" w:rsidP="006E4FD3">
            <w:pPr>
              <w:spacing w:before="80" w:after="0"/>
              <w:jc w:val="center"/>
            </w:pPr>
            <w:r>
              <w:t>1.0000</w:t>
            </w:r>
          </w:p>
        </w:tc>
        <w:tc>
          <w:tcPr>
            <w:tcW w:w="1751" w:type="dxa"/>
          </w:tcPr>
          <w:p w:rsidR="006E4FD3" w:rsidRPr="00ED0DEB" w:rsidRDefault="00FF1077" w:rsidP="006E4FD3">
            <w:pPr>
              <w:spacing w:before="80" w:after="0"/>
              <w:jc w:val="center"/>
            </w:pPr>
            <w:r>
              <w:t>N/A</w:t>
            </w:r>
          </w:p>
        </w:tc>
      </w:tr>
      <w:tr w:rsidR="00BC7996" w:rsidRPr="000B4D74" w:rsidTr="009D7036">
        <w:trPr>
          <w:trHeight w:val="373"/>
        </w:trPr>
        <w:tc>
          <w:tcPr>
            <w:tcW w:w="1787" w:type="dxa"/>
            <w:vAlign w:val="center"/>
          </w:tcPr>
          <w:p w:rsidR="00BC7996" w:rsidRPr="006E4FD3" w:rsidRDefault="00BC7996" w:rsidP="006E4FD3">
            <w:pPr>
              <w:spacing w:after="0"/>
              <w:jc w:val="center"/>
              <w:rPr>
                <w:b/>
              </w:rPr>
            </w:pPr>
            <w:r w:rsidRPr="006E4FD3">
              <w:rPr>
                <w:b/>
              </w:rPr>
              <w:t>Vic</w:t>
            </w:r>
          </w:p>
        </w:tc>
        <w:tc>
          <w:tcPr>
            <w:tcW w:w="1967" w:type="dxa"/>
            <w:vAlign w:val="center"/>
          </w:tcPr>
          <w:p w:rsidR="00BC7996" w:rsidRPr="006A61D5" w:rsidRDefault="00BC7996" w:rsidP="006E4FD3">
            <w:pPr>
              <w:spacing w:after="0"/>
              <w:jc w:val="center"/>
            </w:pPr>
            <w:r w:rsidRPr="006A61D5">
              <w:t>1.0014</w:t>
            </w:r>
          </w:p>
        </w:tc>
        <w:tc>
          <w:tcPr>
            <w:tcW w:w="2024" w:type="dxa"/>
            <w:vAlign w:val="center"/>
          </w:tcPr>
          <w:p w:rsidR="00BC7996" w:rsidRDefault="00BC7996" w:rsidP="00802342">
            <w:pPr>
              <w:spacing w:after="0"/>
              <w:jc w:val="center"/>
            </w:pPr>
            <w:r w:rsidRPr="000E5B63">
              <w:t>1.0000</w:t>
            </w:r>
          </w:p>
        </w:tc>
        <w:tc>
          <w:tcPr>
            <w:tcW w:w="1892" w:type="dxa"/>
            <w:vAlign w:val="center"/>
          </w:tcPr>
          <w:p w:rsidR="00BC7996" w:rsidRDefault="00BC7996" w:rsidP="00802342">
            <w:pPr>
              <w:spacing w:after="0"/>
              <w:jc w:val="center"/>
            </w:pPr>
            <w:r w:rsidRPr="000E5B63">
              <w:t>1.0000</w:t>
            </w:r>
          </w:p>
        </w:tc>
        <w:tc>
          <w:tcPr>
            <w:tcW w:w="1751" w:type="dxa"/>
            <w:vAlign w:val="center"/>
          </w:tcPr>
          <w:p w:rsidR="00BC7996" w:rsidRDefault="00BC7996" w:rsidP="009D7036">
            <w:pPr>
              <w:spacing w:after="0"/>
              <w:jc w:val="center"/>
            </w:pPr>
            <w:r w:rsidRPr="000E5B63">
              <w:t>1.0000</w:t>
            </w:r>
          </w:p>
        </w:tc>
      </w:tr>
      <w:tr w:rsidR="00BC7996" w:rsidRPr="000B4D74" w:rsidTr="009D7036">
        <w:trPr>
          <w:trHeight w:val="373"/>
        </w:trPr>
        <w:tc>
          <w:tcPr>
            <w:tcW w:w="1787" w:type="dxa"/>
            <w:vAlign w:val="center"/>
          </w:tcPr>
          <w:p w:rsidR="00BC7996" w:rsidRPr="006E4FD3" w:rsidRDefault="00BC7996" w:rsidP="006E4FD3">
            <w:pPr>
              <w:spacing w:after="0"/>
              <w:jc w:val="center"/>
              <w:rPr>
                <w:b/>
              </w:rPr>
            </w:pPr>
            <w:r w:rsidRPr="006E4FD3">
              <w:rPr>
                <w:b/>
              </w:rPr>
              <w:t>Qld</w:t>
            </w:r>
          </w:p>
        </w:tc>
        <w:tc>
          <w:tcPr>
            <w:tcW w:w="1967" w:type="dxa"/>
            <w:vAlign w:val="center"/>
          </w:tcPr>
          <w:p w:rsidR="00BC7996" w:rsidRPr="006A61D5" w:rsidRDefault="00BC7996" w:rsidP="006E4FD3">
            <w:pPr>
              <w:spacing w:after="0"/>
              <w:jc w:val="center"/>
            </w:pPr>
            <w:r w:rsidRPr="006A61D5">
              <w:t>1.0076</w:t>
            </w:r>
          </w:p>
        </w:tc>
        <w:tc>
          <w:tcPr>
            <w:tcW w:w="2024" w:type="dxa"/>
            <w:vAlign w:val="center"/>
          </w:tcPr>
          <w:p w:rsidR="00BC7996" w:rsidRDefault="00BC7996" w:rsidP="00802342">
            <w:pPr>
              <w:spacing w:after="0"/>
              <w:jc w:val="center"/>
            </w:pPr>
            <w:r w:rsidRPr="000E5B63">
              <w:t>1.0000</w:t>
            </w:r>
          </w:p>
        </w:tc>
        <w:tc>
          <w:tcPr>
            <w:tcW w:w="1892" w:type="dxa"/>
            <w:vAlign w:val="center"/>
          </w:tcPr>
          <w:p w:rsidR="00BC7996" w:rsidRDefault="00BC7996" w:rsidP="00802342">
            <w:pPr>
              <w:spacing w:after="0"/>
              <w:jc w:val="center"/>
            </w:pPr>
            <w:r w:rsidRPr="000E5B63">
              <w:t>1.0000</w:t>
            </w:r>
          </w:p>
        </w:tc>
        <w:tc>
          <w:tcPr>
            <w:tcW w:w="1751" w:type="dxa"/>
            <w:vAlign w:val="center"/>
          </w:tcPr>
          <w:p w:rsidR="00BC7996" w:rsidRDefault="00BC7996" w:rsidP="009D7036">
            <w:pPr>
              <w:spacing w:after="0"/>
              <w:jc w:val="center"/>
            </w:pPr>
            <w:r w:rsidRPr="000E5B63">
              <w:t>1.0000</w:t>
            </w:r>
          </w:p>
        </w:tc>
      </w:tr>
      <w:tr w:rsidR="00BC7996" w:rsidRPr="000B4D74" w:rsidTr="009D7036">
        <w:trPr>
          <w:trHeight w:val="373"/>
        </w:trPr>
        <w:tc>
          <w:tcPr>
            <w:tcW w:w="1787" w:type="dxa"/>
            <w:vAlign w:val="center"/>
          </w:tcPr>
          <w:p w:rsidR="00BC7996" w:rsidRPr="006E4FD3" w:rsidRDefault="00BC7996" w:rsidP="006E4FD3">
            <w:pPr>
              <w:spacing w:after="0"/>
              <w:jc w:val="center"/>
              <w:rPr>
                <w:b/>
              </w:rPr>
            </w:pPr>
            <w:r w:rsidRPr="006E4FD3">
              <w:rPr>
                <w:b/>
              </w:rPr>
              <w:t>SA</w:t>
            </w:r>
          </w:p>
        </w:tc>
        <w:tc>
          <w:tcPr>
            <w:tcW w:w="1967" w:type="dxa"/>
            <w:vAlign w:val="center"/>
          </w:tcPr>
          <w:p w:rsidR="00BC7996" w:rsidRPr="006A61D5" w:rsidRDefault="00BC7996" w:rsidP="006E4FD3">
            <w:pPr>
              <w:spacing w:after="0"/>
              <w:jc w:val="center"/>
            </w:pPr>
            <w:r w:rsidRPr="006A61D5">
              <w:t>1.0326</w:t>
            </w:r>
          </w:p>
        </w:tc>
        <w:tc>
          <w:tcPr>
            <w:tcW w:w="2024" w:type="dxa"/>
            <w:vAlign w:val="center"/>
          </w:tcPr>
          <w:p w:rsidR="00BC7996" w:rsidRDefault="00BC7996" w:rsidP="00802342">
            <w:pPr>
              <w:spacing w:after="0"/>
              <w:jc w:val="center"/>
            </w:pPr>
            <w:r w:rsidRPr="000E5B63">
              <w:t>1.0000</w:t>
            </w:r>
          </w:p>
        </w:tc>
        <w:tc>
          <w:tcPr>
            <w:tcW w:w="1892" w:type="dxa"/>
            <w:vAlign w:val="center"/>
          </w:tcPr>
          <w:p w:rsidR="00BC7996" w:rsidRDefault="00BC7996" w:rsidP="00802342">
            <w:pPr>
              <w:spacing w:after="0"/>
              <w:jc w:val="center"/>
            </w:pPr>
            <w:r w:rsidRPr="000E5B63">
              <w:t>1.0000</w:t>
            </w:r>
          </w:p>
        </w:tc>
        <w:tc>
          <w:tcPr>
            <w:tcW w:w="1751" w:type="dxa"/>
            <w:vAlign w:val="center"/>
          </w:tcPr>
          <w:p w:rsidR="00BC7996" w:rsidRDefault="00BC7996" w:rsidP="009D7036">
            <w:pPr>
              <w:spacing w:after="0"/>
              <w:jc w:val="center"/>
            </w:pPr>
            <w:r w:rsidRPr="000E5B63">
              <w:t>1.0000</w:t>
            </w:r>
          </w:p>
        </w:tc>
      </w:tr>
      <w:tr w:rsidR="00BC7996" w:rsidRPr="000B4D74" w:rsidTr="009D7036">
        <w:trPr>
          <w:trHeight w:val="373"/>
        </w:trPr>
        <w:tc>
          <w:tcPr>
            <w:tcW w:w="1787" w:type="dxa"/>
            <w:vAlign w:val="center"/>
          </w:tcPr>
          <w:p w:rsidR="00BC7996" w:rsidRPr="006E4FD3" w:rsidRDefault="00BC7996" w:rsidP="006E4FD3">
            <w:pPr>
              <w:spacing w:after="0"/>
              <w:jc w:val="center"/>
              <w:rPr>
                <w:b/>
              </w:rPr>
            </w:pPr>
            <w:r w:rsidRPr="006E4FD3">
              <w:rPr>
                <w:b/>
              </w:rPr>
              <w:t>WA</w:t>
            </w:r>
          </w:p>
        </w:tc>
        <w:tc>
          <w:tcPr>
            <w:tcW w:w="1967" w:type="dxa"/>
            <w:vAlign w:val="center"/>
          </w:tcPr>
          <w:p w:rsidR="00BC7996" w:rsidRPr="006A61D5" w:rsidRDefault="00BC7996" w:rsidP="006E4FD3">
            <w:pPr>
              <w:spacing w:after="0"/>
              <w:jc w:val="center"/>
            </w:pPr>
            <w:r w:rsidRPr="006A61D5">
              <w:t>0.9911</w:t>
            </w:r>
          </w:p>
        </w:tc>
        <w:tc>
          <w:tcPr>
            <w:tcW w:w="2024" w:type="dxa"/>
            <w:vAlign w:val="center"/>
          </w:tcPr>
          <w:p w:rsidR="00BC7996" w:rsidRDefault="00BC7996" w:rsidP="00802342">
            <w:pPr>
              <w:spacing w:after="0"/>
              <w:jc w:val="center"/>
            </w:pPr>
            <w:r w:rsidRPr="000E5B63">
              <w:t>1.0000</w:t>
            </w:r>
          </w:p>
        </w:tc>
        <w:tc>
          <w:tcPr>
            <w:tcW w:w="1892" w:type="dxa"/>
            <w:vAlign w:val="center"/>
          </w:tcPr>
          <w:p w:rsidR="00BC7996" w:rsidRDefault="00BC7996" w:rsidP="00802342">
            <w:pPr>
              <w:spacing w:after="0"/>
              <w:jc w:val="center"/>
            </w:pPr>
            <w:r w:rsidRPr="000E5B63">
              <w:t>1.0000</w:t>
            </w:r>
          </w:p>
        </w:tc>
        <w:tc>
          <w:tcPr>
            <w:tcW w:w="1751" w:type="dxa"/>
            <w:vAlign w:val="center"/>
          </w:tcPr>
          <w:p w:rsidR="00BC7996" w:rsidRDefault="00BC7996" w:rsidP="00BC7996">
            <w:pPr>
              <w:spacing w:after="0"/>
              <w:jc w:val="center"/>
            </w:pPr>
            <w:r>
              <w:t>N/A</w:t>
            </w:r>
          </w:p>
        </w:tc>
      </w:tr>
      <w:tr w:rsidR="00BC7996" w:rsidRPr="000B4D74" w:rsidTr="009D7036">
        <w:trPr>
          <w:trHeight w:val="373"/>
        </w:trPr>
        <w:tc>
          <w:tcPr>
            <w:tcW w:w="1787" w:type="dxa"/>
            <w:vAlign w:val="center"/>
          </w:tcPr>
          <w:p w:rsidR="00BC7996" w:rsidRPr="006E4FD3" w:rsidRDefault="00BC7996" w:rsidP="006E4FD3">
            <w:pPr>
              <w:spacing w:after="0"/>
              <w:jc w:val="center"/>
              <w:rPr>
                <w:b/>
              </w:rPr>
            </w:pPr>
            <w:proofErr w:type="spellStart"/>
            <w:r w:rsidRPr="006E4FD3">
              <w:rPr>
                <w:b/>
              </w:rPr>
              <w:t>Tas</w:t>
            </w:r>
            <w:proofErr w:type="spellEnd"/>
          </w:p>
        </w:tc>
        <w:tc>
          <w:tcPr>
            <w:tcW w:w="1967" w:type="dxa"/>
            <w:vAlign w:val="center"/>
          </w:tcPr>
          <w:p w:rsidR="00BC7996" w:rsidRPr="006A61D5" w:rsidRDefault="00BC7996" w:rsidP="006E4FD3">
            <w:pPr>
              <w:spacing w:after="0"/>
              <w:jc w:val="center"/>
            </w:pPr>
            <w:r w:rsidRPr="006A61D5">
              <w:t>1.0130</w:t>
            </w:r>
          </w:p>
        </w:tc>
        <w:tc>
          <w:tcPr>
            <w:tcW w:w="2024" w:type="dxa"/>
            <w:vAlign w:val="center"/>
          </w:tcPr>
          <w:p w:rsidR="00BC7996" w:rsidRDefault="00BC7996" w:rsidP="00802342">
            <w:pPr>
              <w:spacing w:after="0"/>
              <w:jc w:val="center"/>
            </w:pPr>
            <w:r w:rsidRPr="000E5B63">
              <w:t>1.0000</w:t>
            </w:r>
          </w:p>
        </w:tc>
        <w:tc>
          <w:tcPr>
            <w:tcW w:w="1892" w:type="dxa"/>
            <w:vAlign w:val="center"/>
          </w:tcPr>
          <w:p w:rsidR="00BC7996" w:rsidRDefault="00BC7996" w:rsidP="00802342">
            <w:pPr>
              <w:spacing w:after="0"/>
              <w:jc w:val="center"/>
            </w:pPr>
            <w:r w:rsidRPr="000E5B63">
              <w:t>1.0000</w:t>
            </w:r>
          </w:p>
        </w:tc>
        <w:tc>
          <w:tcPr>
            <w:tcW w:w="1751" w:type="dxa"/>
            <w:vAlign w:val="center"/>
          </w:tcPr>
          <w:p w:rsidR="00BC7996" w:rsidRDefault="00BC7996" w:rsidP="009D7036">
            <w:pPr>
              <w:spacing w:after="0"/>
              <w:jc w:val="center"/>
            </w:pPr>
            <w:r>
              <w:t>N/A</w:t>
            </w:r>
          </w:p>
        </w:tc>
      </w:tr>
      <w:tr w:rsidR="00BC7996" w:rsidRPr="000B4D74" w:rsidTr="009D7036">
        <w:trPr>
          <w:trHeight w:val="373"/>
        </w:trPr>
        <w:tc>
          <w:tcPr>
            <w:tcW w:w="1787" w:type="dxa"/>
            <w:vAlign w:val="center"/>
          </w:tcPr>
          <w:p w:rsidR="00BC7996" w:rsidRPr="006E4FD3" w:rsidRDefault="00BC7996" w:rsidP="006E4FD3">
            <w:pPr>
              <w:spacing w:after="0"/>
              <w:jc w:val="center"/>
              <w:rPr>
                <w:b/>
              </w:rPr>
            </w:pPr>
            <w:r w:rsidRPr="006E4FD3">
              <w:rPr>
                <w:b/>
              </w:rPr>
              <w:t>NT</w:t>
            </w:r>
          </w:p>
        </w:tc>
        <w:tc>
          <w:tcPr>
            <w:tcW w:w="1967" w:type="dxa"/>
            <w:vAlign w:val="center"/>
          </w:tcPr>
          <w:p w:rsidR="00BC7996" w:rsidRPr="006A61D5" w:rsidRDefault="00BC7996" w:rsidP="006E4FD3">
            <w:pPr>
              <w:spacing w:after="0"/>
              <w:jc w:val="center"/>
            </w:pPr>
            <w:r w:rsidRPr="006A61D5">
              <w:t>1.0023</w:t>
            </w:r>
          </w:p>
        </w:tc>
        <w:tc>
          <w:tcPr>
            <w:tcW w:w="2024" w:type="dxa"/>
            <w:vAlign w:val="center"/>
          </w:tcPr>
          <w:p w:rsidR="00BC7996" w:rsidRDefault="00BC7996" w:rsidP="00802342">
            <w:pPr>
              <w:spacing w:after="0"/>
              <w:jc w:val="center"/>
            </w:pPr>
            <w:r w:rsidRPr="000E5B63">
              <w:t>1.0000</w:t>
            </w:r>
          </w:p>
        </w:tc>
        <w:tc>
          <w:tcPr>
            <w:tcW w:w="1892" w:type="dxa"/>
            <w:vAlign w:val="center"/>
          </w:tcPr>
          <w:p w:rsidR="00BC7996" w:rsidRDefault="00BC7996" w:rsidP="00802342">
            <w:pPr>
              <w:spacing w:after="0"/>
              <w:jc w:val="center"/>
            </w:pPr>
            <w:r w:rsidRPr="000E5B63">
              <w:t>1.0000</w:t>
            </w:r>
          </w:p>
        </w:tc>
        <w:tc>
          <w:tcPr>
            <w:tcW w:w="1751" w:type="dxa"/>
            <w:vAlign w:val="center"/>
          </w:tcPr>
          <w:p w:rsidR="00BC7996" w:rsidRDefault="00BC7996" w:rsidP="009D7036">
            <w:pPr>
              <w:spacing w:after="0"/>
              <w:jc w:val="center"/>
            </w:pPr>
            <w:r>
              <w:t>N/A</w:t>
            </w:r>
          </w:p>
        </w:tc>
      </w:tr>
      <w:tr w:rsidR="00BC7996" w:rsidRPr="000B4D74" w:rsidTr="009D7036">
        <w:trPr>
          <w:trHeight w:val="373"/>
        </w:trPr>
        <w:tc>
          <w:tcPr>
            <w:tcW w:w="1787" w:type="dxa"/>
            <w:tcBorders>
              <w:bottom w:val="single" w:sz="8" w:space="0" w:color="auto"/>
            </w:tcBorders>
            <w:vAlign w:val="center"/>
          </w:tcPr>
          <w:p w:rsidR="00BC7996" w:rsidRPr="006E4FD3" w:rsidRDefault="00BC7996" w:rsidP="006E4FD3">
            <w:pPr>
              <w:spacing w:after="0"/>
              <w:jc w:val="center"/>
              <w:rPr>
                <w:b/>
              </w:rPr>
            </w:pPr>
            <w:r w:rsidRPr="006E4FD3">
              <w:rPr>
                <w:b/>
              </w:rPr>
              <w:t>ACT</w:t>
            </w:r>
          </w:p>
        </w:tc>
        <w:tc>
          <w:tcPr>
            <w:tcW w:w="1967" w:type="dxa"/>
            <w:tcBorders>
              <w:bottom w:val="single" w:sz="8" w:space="0" w:color="auto"/>
            </w:tcBorders>
            <w:vAlign w:val="center"/>
          </w:tcPr>
          <w:p w:rsidR="00BC7996" w:rsidRDefault="00BC7996" w:rsidP="006E4FD3">
            <w:pPr>
              <w:spacing w:after="0"/>
              <w:jc w:val="center"/>
            </w:pPr>
            <w:r w:rsidRPr="006A61D5">
              <w:t>N/A</w:t>
            </w:r>
          </w:p>
        </w:tc>
        <w:tc>
          <w:tcPr>
            <w:tcW w:w="2024" w:type="dxa"/>
            <w:tcBorders>
              <w:bottom w:val="single" w:sz="8" w:space="0" w:color="auto"/>
            </w:tcBorders>
          </w:tcPr>
          <w:p w:rsidR="00BC7996" w:rsidRPr="00ED0DEB" w:rsidRDefault="00BC7996" w:rsidP="006E4FD3">
            <w:pPr>
              <w:spacing w:before="80" w:after="0"/>
              <w:jc w:val="center"/>
            </w:pPr>
            <w:r>
              <w:t>1.0000</w:t>
            </w:r>
          </w:p>
        </w:tc>
        <w:tc>
          <w:tcPr>
            <w:tcW w:w="1892" w:type="dxa"/>
            <w:tcBorders>
              <w:bottom w:val="single" w:sz="8" w:space="0" w:color="auto"/>
            </w:tcBorders>
          </w:tcPr>
          <w:p w:rsidR="00BC7996" w:rsidRPr="00ED0DEB" w:rsidRDefault="00BC7996" w:rsidP="006E4FD3">
            <w:pPr>
              <w:spacing w:before="80" w:after="0"/>
              <w:jc w:val="center"/>
            </w:pPr>
            <w:r>
              <w:t>0.8051</w:t>
            </w:r>
          </w:p>
        </w:tc>
        <w:tc>
          <w:tcPr>
            <w:tcW w:w="1751" w:type="dxa"/>
            <w:tcBorders>
              <w:bottom w:val="single" w:sz="8" w:space="0" w:color="auto"/>
            </w:tcBorders>
            <w:vAlign w:val="center"/>
          </w:tcPr>
          <w:p w:rsidR="00BC7996" w:rsidRDefault="00BC7996" w:rsidP="009D7036">
            <w:pPr>
              <w:spacing w:after="0"/>
              <w:jc w:val="center"/>
            </w:pPr>
            <w:r>
              <w:t>N/A</w:t>
            </w:r>
          </w:p>
        </w:tc>
      </w:tr>
    </w:tbl>
    <w:p w:rsidR="00423910" w:rsidRDefault="00423910" w:rsidP="00F71D2D">
      <w:pPr>
        <w:spacing w:line="276" w:lineRule="auto"/>
      </w:pPr>
    </w:p>
    <w:p w:rsidR="003A3AD7" w:rsidRDefault="003A3AD7" w:rsidP="00F71D2D">
      <w:pPr>
        <w:spacing w:line="276" w:lineRule="auto"/>
        <w:sectPr w:rsidR="003A3AD7" w:rsidSect="006D0BA9">
          <w:footerReference w:type="default" r:id="rId16"/>
          <w:pgSz w:w="11906" w:h="16838" w:code="9"/>
          <w:pgMar w:top="1418" w:right="1304" w:bottom="1304" w:left="1304" w:header="720" w:footer="720" w:gutter="0"/>
          <w:pgNumType w:start="0"/>
          <w:cols w:space="720"/>
          <w:titlePg/>
          <w:docGrid w:linePitch="326"/>
        </w:sectPr>
      </w:pPr>
    </w:p>
    <w:p w:rsidR="002B568D" w:rsidRDefault="002B568D" w:rsidP="002B568D">
      <w:pPr>
        <w:pStyle w:val="Heading1"/>
      </w:pPr>
      <w:bookmarkStart w:id="22" w:name="_Toc349574782"/>
      <w:bookmarkStart w:id="23" w:name="_Toc443404522"/>
      <w:r>
        <w:lastRenderedPageBreak/>
        <w:t>Appendix A</w:t>
      </w:r>
      <w:r w:rsidRPr="0092298D">
        <w:tab/>
        <w:t xml:space="preserve">Block Funded </w:t>
      </w:r>
      <w:r w:rsidR="00B276B4">
        <w:t xml:space="preserve">Small </w:t>
      </w:r>
      <w:r w:rsidR="008C6B6B">
        <w:t xml:space="preserve">Rural </w:t>
      </w:r>
      <w:r>
        <w:t>Hospitals</w:t>
      </w:r>
      <w:bookmarkEnd w:id="22"/>
      <w:bookmarkEnd w:id="23"/>
    </w:p>
    <w:p w:rsidR="00A01C87" w:rsidRDefault="00DD0C5D" w:rsidP="00BB26D4">
      <w:pPr>
        <w:spacing w:before="240"/>
        <w:rPr>
          <w:b/>
        </w:rPr>
      </w:pPr>
      <w:r w:rsidRPr="00DD0C5D">
        <w:rPr>
          <w:b/>
        </w:rPr>
        <w:t xml:space="preserve">Table 4: </w:t>
      </w:r>
      <w:r w:rsidR="00201F45">
        <w:rPr>
          <w:b/>
        </w:rPr>
        <w:t xml:space="preserve">Block funded </w:t>
      </w:r>
      <w:r w:rsidR="00B276B4">
        <w:rPr>
          <w:b/>
        </w:rPr>
        <w:t xml:space="preserve">small </w:t>
      </w:r>
      <w:r w:rsidR="008C6B6B">
        <w:rPr>
          <w:b/>
        </w:rPr>
        <w:t xml:space="preserve">rural </w:t>
      </w:r>
      <w:r w:rsidR="00201F45">
        <w:rPr>
          <w:b/>
        </w:rPr>
        <w:t>h</w:t>
      </w:r>
      <w:r w:rsidR="00DB5D9F" w:rsidRPr="00DD0C5D">
        <w:rPr>
          <w:b/>
        </w:rPr>
        <w:t>ospitals</w:t>
      </w:r>
      <w:r>
        <w:rPr>
          <w:b/>
        </w:rPr>
        <w:t xml:space="preserve"> in</w:t>
      </w:r>
      <w:r w:rsidR="00DB5D9F" w:rsidRPr="00DD0C5D">
        <w:rPr>
          <w:b/>
        </w:rPr>
        <w:t xml:space="preserve"> </w:t>
      </w:r>
      <w:r w:rsidR="000D6B00">
        <w:rPr>
          <w:b/>
        </w:rPr>
        <w:t>2016</w:t>
      </w:r>
      <w:r w:rsidR="00DB5D9F" w:rsidRPr="00DD0C5D">
        <w:rPr>
          <w:b/>
        </w:rPr>
        <w:t>-</w:t>
      </w:r>
      <w:r w:rsidR="000A51AD">
        <w:rPr>
          <w:b/>
        </w:rPr>
        <w:t>1</w:t>
      </w:r>
      <w:r w:rsidR="000D6B00">
        <w:rPr>
          <w:b/>
        </w:rPr>
        <w:t>7</w:t>
      </w:r>
    </w:p>
    <w:tbl>
      <w:tblPr>
        <w:tblW w:w="13945" w:type="dxa"/>
        <w:tblInd w:w="81" w:type="dxa"/>
        <w:tblLook w:val="04A0" w:firstRow="1" w:lastRow="0" w:firstColumn="1" w:lastColumn="0" w:noHBand="0" w:noVBand="1"/>
      </w:tblPr>
      <w:tblGrid>
        <w:gridCol w:w="1147"/>
        <w:gridCol w:w="1289"/>
        <w:gridCol w:w="6663"/>
        <w:gridCol w:w="1993"/>
        <w:gridCol w:w="946"/>
        <w:gridCol w:w="1030"/>
        <w:gridCol w:w="877"/>
      </w:tblGrid>
      <w:tr w:rsidR="0028235F" w:rsidRPr="00CF3C03" w:rsidTr="000F7DC2">
        <w:trPr>
          <w:cantSplit/>
          <w:trHeight w:val="600"/>
          <w:tblHeader/>
        </w:trPr>
        <w:tc>
          <w:tcPr>
            <w:tcW w:w="1147"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F3C03" w:rsidRPr="0028235F" w:rsidRDefault="00CF3C03" w:rsidP="000F7DC2">
            <w:pPr>
              <w:spacing w:before="120" w:after="120"/>
              <w:rPr>
                <w:rFonts w:cstheme="minorHAnsi"/>
                <w:b/>
                <w:bCs/>
              </w:rPr>
            </w:pPr>
            <w:r w:rsidRPr="0028235F">
              <w:rPr>
                <w:rFonts w:cstheme="minorHAnsi"/>
                <w:b/>
                <w:bCs/>
              </w:rPr>
              <w:t>Hospital Number</w:t>
            </w:r>
          </w:p>
        </w:tc>
        <w:tc>
          <w:tcPr>
            <w:tcW w:w="1289" w:type="dxa"/>
            <w:tcBorders>
              <w:top w:val="single" w:sz="4" w:space="0" w:color="auto"/>
              <w:left w:val="nil"/>
              <w:bottom w:val="single" w:sz="4" w:space="0" w:color="auto"/>
              <w:right w:val="single" w:sz="4" w:space="0" w:color="auto"/>
            </w:tcBorders>
            <w:shd w:val="clear" w:color="000000" w:fill="C4D79B"/>
            <w:vAlign w:val="center"/>
            <w:hideMark/>
          </w:tcPr>
          <w:p w:rsidR="00CF3C03" w:rsidRPr="0028235F" w:rsidRDefault="00CF3C03" w:rsidP="000F7DC2">
            <w:pPr>
              <w:spacing w:before="120" w:after="120"/>
              <w:rPr>
                <w:rFonts w:cstheme="minorHAnsi"/>
                <w:b/>
                <w:bCs/>
              </w:rPr>
            </w:pPr>
            <w:r w:rsidRPr="0028235F">
              <w:rPr>
                <w:rFonts w:cstheme="minorHAnsi"/>
                <w:b/>
                <w:bCs/>
              </w:rPr>
              <w:t>State</w:t>
            </w:r>
            <w:r w:rsidR="0028235F">
              <w:rPr>
                <w:rFonts w:cstheme="minorHAnsi"/>
                <w:b/>
                <w:bCs/>
              </w:rPr>
              <w:t xml:space="preserve"> / Territory</w:t>
            </w:r>
          </w:p>
        </w:tc>
        <w:tc>
          <w:tcPr>
            <w:tcW w:w="6663" w:type="dxa"/>
            <w:tcBorders>
              <w:top w:val="single" w:sz="4" w:space="0" w:color="auto"/>
              <w:left w:val="nil"/>
              <w:bottom w:val="single" w:sz="4" w:space="0" w:color="auto"/>
              <w:right w:val="single" w:sz="4" w:space="0" w:color="auto"/>
            </w:tcBorders>
            <w:shd w:val="clear" w:color="000000" w:fill="C4D79B"/>
            <w:vAlign w:val="center"/>
            <w:hideMark/>
          </w:tcPr>
          <w:p w:rsidR="00CF3C03" w:rsidRPr="0028235F" w:rsidRDefault="00CF3C03" w:rsidP="000F7DC2">
            <w:pPr>
              <w:spacing w:before="120" w:after="120"/>
              <w:rPr>
                <w:rFonts w:cstheme="minorHAnsi"/>
                <w:b/>
                <w:bCs/>
              </w:rPr>
            </w:pPr>
            <w:r w:rsidRPr="0028235F">
              <w:rPr>
                <w:rFonts w:cstheme="minorHAnsi"/>
                <w:b/>
                <w:bCs/>
              </w:rPr>
              <w:t>Name</w:t>
            </w:r>
          </w:p>
        </w:tc>
        <w:tc>
          <w:tcPr>
            <w:tcW w:w="1993" w:type="dxa"/>
            <w:tcBorders>
              <w:top w:val="single" w:sz="4" w:space="0" w:color="auto"/>
              <w:left w:val="nil"/>
              <w:bottom w:val="single" w:sz="4" w:space="0" w:color="auto"/>
              <w:right w:val="single" w:sz="4" w:space="0" w:color="auto"/>
            </w:tcBorders>
            <w:shd w:val="clear" w:color="000000" w:fill="C4D79B"/>
            <w:vAlign w:val="center"/>
            <w:hideMark/>
          </w:tcPr>
          <w:p w:rsidR="00CF3C03" w:rsidRPr="0028235F" w:rsidRDefault="00CF3C03" w:rsidP="000F7DC2">
            <w:pPr>
              <w:spacing w:before="120" w:after="120"/>
              <w:rPr>
                <w:rFonts w:cstheme="minorHAnsi"/>
                <w:b/>
                <w:bCs/>
              </w:rPr>
            </w:pPr>
            <w:r w:rsidRPr="0028235F">
              <w:rPr>
                <w:rFonts w:cstheme="minorHAnsi"/>
                <w:b/>
                <w:bCs/>
              </w:rPr>
              <w:t>ASGS Region</w:t>
            </w:r>
          </w:p>
        </w:tc>
        <w:tc>
          <w:tcPr>
            <w:tcW w:w="946" w:type="dxa"/>
            <w:tcBorders>
              <w:top w:val="single" w:sz="4" w:space="0" w:color="auto"/>
              <w:left w:val="nil"/>
              <w:bottom w:val="single" w:sz="4" w:space="0" w:color="auto"/>
              <w:right w:val="single" w:sz="4" w:space="0" w:color="auto"/>
            </w:tcBorders>
            <w:shd w:val="clear" w:color="000000" w:fill="C4D79B"/>
            <w:vAlign w:val="center"/>
            <w:hideMark/>
          </w:tcPr>
          <w:p w:rsidR="00CF3C03" w:rsidRPr="0028235F" w:rsidRDefault="0028235F" w:rsidP="000F7DC2">
            <w:pPr>
              <w:spacing w:before="120" w:after="120"/>
              <w:rPr>
                <w:rFonts w:cstheme="minorHAnsi"/>
                <w:b/>
                <w:bCs/>
              </w:rPr>
            </w:pPr>
            <w:r>
              <w:rPr>
                <w:rFonts w:cstheme="minorHAnsi"/>
                <w:b/>
                <w:bCs/>
              </w:rPr>
              <w:t>Group</w:t>
            </w:r>
          </w:p>
        </w:tc>
        <w:tc>
          <w:tcPr>
            <w:tcW w:w="1030" w:type="dxa"/>
            <w:tcBorders>
              <w:top w:val="single" w:sz="4" w:space="0" w:color="auto"/>
              <w:left w:val="nil"/>
              <w:bottom w:val="single" w:sz="4" w:space="0" w:color="auto"/>
              <w:right w:val="single" w:sz="4" w:space="0" w:color="auto"/>
            </w:tcBorders>
            <w:shd w:val="clear" w:color="000000" w:fill="C4D79B"/>
            <w:vAlign w:val="center"/>
            <w:hideMark/>
          </w:tcPr>
          <w:p w:rsidR="00CF3C03" w:rsidRPr="0028235F" w:rsidRDefault="00CF3C03" w:rsidP="000F7DC2">
            <w:pPr>
              <w:spacing w:before="120" w:after="120"/>
              <w:rPr>
                <w:rFonts w:cstheme="minorHAnsi"/>
                <w:b/>
                <w:bCs/>
              </w:rPr>
            </w:pPr>
            <w:r w:rsidRPr="0028235F">
              <w:rPr>
                <w:rFonts w:cstheme="minorHAnsi"/>
                <w:b/>
                <w:bCs/>
              </w:rPr>
              <w:t>Region</w:t>
            </w:r>
          </w:p>
        </w:tc>
        <w:tc>
          <w:tcPr>
            <w:tcW w:w="877" w:type="dxa"/>
            <w:tcBorders>
              <w:top w:val="single" w:sz="4" w:space="0" w:color="auto"/>
              <w:left w:val="nil"/>
              <w:bottom w:val="single" w:sz="4" w:space="0" w:color="auto"/>
              <w:right w:val="single" w:sz="4" w:space="0" w:color="auto"/>
            </w:tcBorders>
            <w:shd w:val="clear" w:color="000000" w:fill="C4D79B"/>
            <w:vAlign w:val="center"/>
            <w:hideMark/>
          </w:tcPr>
          <w:p w:rsidR="00CF3C03" w:rsidRPr="0028235F" w:rsidRDefault="00CF3C03" w:rsidP="000F7DC2">
            <w:pPr>
              <w:spacing w:before="120" w:after="120"/>
              <w:rPr>
                <w:rFonts w:cstheme="minorHAnsi"/>
                <w:b/>
                <w:bCs/>
              </w:rPr>
            </w:pPr>
            <w:r w:rsidRPr="0028235F">
              <w:rPr>
                <w:rFonts w:cstheme="minorHAnsi"/>
                <w:b/>
                <w:bCs/>
              </w:rPr>
              <w:t>Type</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Balranald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Baradine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Barham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Barraba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Batlow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Bellinger River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Berrigan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Bingara Multipurpose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1.009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Blayney Multipurpose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Boggabri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Bombala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Bonalbo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Boorowa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Bourke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Braidwood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Brewarrina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Bulahdelah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1.018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Byron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1.019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Canowindra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Cobar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Collarenebri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Condobolin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Coolah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Coolamon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Coonabarabran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Coonamble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Cootamundra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Corowa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1.029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Crookwell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Culcairn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Delegate (MPS)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Denman Muswellbrook (MPS)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Dorrigo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Dunedoo War Memorial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Dungog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Emmaville </w:t>
            </w:r>
            <w:proofErr w:type="spellStart"/>
            <w:r w:rsidRPr="001D41FB">
              <w:t>Mulit</w:t>
            </w:r>
            <w:proofErr w:type="spellEnd"/>
            <w:r w:rsidRPr="001D41FB">
              <w:t xml:space="preserve"> Purpose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Eugowra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1.038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Finley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1.039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Gilgandra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Glen Innes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Gloucester Soldiers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Goodooga</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Gower Wilson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Grenfell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Gulargambone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Gulgong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Gundagai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Gunnedah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1.049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Guyra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Harden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Hay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Henty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Hillston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Holbrook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Inverell Tingha</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Ivanhoe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Jerilderie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1.058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Junee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1.059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Kiama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Kyogle Memorial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Lake Cargelligo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Leeton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Lightning Ridge Multipurpose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Lismore Base Hospital - </w:t>
            </w:r>
            <w:proofErr w:type="spellStart"/>
            <w:r w:rsidRPr="001D41FB">
              <w:t>Riverlands</w:t>
            </w:r>
            <w:proofErr w:type="spellEnd"/>
            <w:r w:rsidRPr="001D41FB">
              <w:t xml:space="preserve"> Drug &amp; Alcohol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Lockhart &amp;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Manilla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Menindee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Merriwa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1.069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Milton Ulladulla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Molong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Mullumbimby &amp; District War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Muswellbrook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Narrabri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Narrandera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Narromine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Nimbin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Nyngan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1.078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Oberon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1.079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Pambula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Peak Hill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Portland Tabulam Health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Prince Albert Memorial Tenterfield</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Quirindi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Rylstone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Scone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Temora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The Campbell Hospital, Coraki</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1.089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Tibooburra</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Tocumwal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proofErr w:type="spellStart"/>
            <w:r w:rsidRPr="001D41FB">
              <w:t>Tomaree</w:t>
            </w:r>
            <w:proofErr w:type="spellEnd"/>
            <w:r w:rsidRPr="001D41FB">
              <w:t xml:space="preserve">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Tottenham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Trangie </w:t>
            </w:r>
            <w:proofErr w:type="spellStart"/>
            <w:r w:rsidRPr="001D41FB">
              <w:t>Multi Purpose</w:t>
            </w:r>
            <w:proofErr w:type="spellEnd"/>
            <w:r w:rsidRPr="001D41FB">
              <w:t xml:space="preserv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Trundle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Tullamore </w:t>
            </w:r>
            <w:proofErr w:type="spellStart"/>
            <w:r w:rsidRPr="001D41FB">
              <w:t>Multi Purpose</w:t>
            </w:r>
            <w:proofErr w:type="spellEnd"/>
            <w:r w:rsidRPr="001D41FB">
              <w:t xml:space="preserv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Tumbarumba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Tumut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Urana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1.099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Urbenville </w:t>
            </w:r>
            <w:proofErr w:type="spellStart"/>
            <w:r w:rsidRPr="001D41FB">
              <w:t>Multi Purpose</w:t>
            </w:r>
            <w:proofErr w:type="spellEnd"/>
            <w:r w:rsidRPr="001D41FB">
              <w:t xml:space="preserv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1.100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Walcha Multipurpose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Walgett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Warialda Multipurpose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Warren </w:t>
            </w:r>
            <w:proofErr w:type="spellStart"/>
            <w:r w:rsidRPr="001D41FB">
              <w:t>Multi Purpose</w:t>
            </w:r>
            <w:proofErr w:type="spellEnd"/>
            <w:r w:rsidRPr="001D41FB">
              <w:t xml:space="preserv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Wauchope District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Wee Waa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Wellington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Wentworth District Hospital and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Werris Creek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1.109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West Wyalong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1.110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Wilcannia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1.111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Wilson Memorial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1.112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Wingham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1.113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Yass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1.114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NSW</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Young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2.001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Alexandra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2.002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Alpine Health (Bright)</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2.003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Alpine Health (Mount Beauty)</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2.004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Alpine Health (Myrtleford)</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2.005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Beaufort &amp; Skipton Health Services - Beaufort Campus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2.006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Beaufort &amp; Skipton Health Services - Skipton Campus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2.007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Beechworth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2.008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Boort District Health</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2.009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Casterton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Cobram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Cohuna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proofErr w:type="spellStart"/>
            <w:r w:rsidRPr="001D41FB">
              <w:t>Dunmunkle</w:t>
            </w:r>
            <w:proofErr w:type="spellEnd"/>
            <w:r w:rsidRPr="001D41FB">
              <w:t xml:space="preserve">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East Wimmera Health Service (Birchip)</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East Wimmera Health Service (Charlton)</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East Wimmera Health Service (Donald)</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East Wimmera Health Service (St Arnaud)</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East Wimmera Health Service (Wycheproof)</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Edenhope and District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2.019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Heathcote Health</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Hepburn Health Service (Creswick)</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Hepburn Health Service (Daylesford)</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Hesse Rural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Heywood Rural Health</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Inglewood and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Kerang District Health</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2.026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Kilmore and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Kooweerup Regional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Kyneton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2.029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Lorne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Maldon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Mallee Track Health and Community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Manangatang and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Mansfield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Moyne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Nathalia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Numurkah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Omeo District Health</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Orbost Regional Health</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2.039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Otway Health and Community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Robinvale District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Rochester and Elmore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Rural Northwest Health - Hopetoun Campus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Rural Northwest Health - Warracknabeal Campus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Seymour District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South Gippsland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2.046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Tallangatta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Terang &amp; Mortlake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Timboon &amp; District Healthcare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2.049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Upper Murray Health and Community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2.050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West Wimmera Health Service (Jeparit)</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2.051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West Wimmera Health Service (Kaniva)</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2.052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West Wimmera Health Service (Nhill)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2.053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West Wimmera Health Service (Rainbow)</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2.054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Western District Health Service - Coleraine and District Health Service Campus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2.055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Yarram &amp;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2.056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Yarrawonga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2.057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Vic</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Yea and District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3.001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Alpha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3.002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Augathella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3.003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Ayr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3.004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Babinda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3.005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Bamaga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3.006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Baralaba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3.007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Barcaldine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3.008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Beaudesert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3.009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Biggenden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Biloela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Blackall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Blackwater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Boonah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Bowen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Charleville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Charters Towers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Charters Towers Rehabilitation Unit</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Cherbourg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3.019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Childers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Chinchilla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Clermont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Cloncurry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Collinsville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Cooktown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Cunnamulla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Dirranbandi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Doomadgee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3.028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Dysart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3.029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Eidsvold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proofErr w:type="spellStart"/>
            <w:r w:rsidRPr="001D41FB">
              <w:t>Esk</w:t>
            </w:r>
            <w:proofErr w:type="spellEnd"/>
            <w:r w:rsidRPr="001D41FB">
              <w:t xml:space="preserv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Gatton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Gayndah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Gin </w:t>
            </w:r>
            <w:proofErr w:type="spellStart"/>
            <w:r w:rsidRPr="001D41FB">
              <w:t>Gin</w:t>
            </w:r>
            <w:proofErr w:type="spellEnd"/>
            <w:r w:rsidRPr="001D41FB">
              <w:t xml:space="preserv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Goondiwindi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Gordonvale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Herberton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Home Hill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Hughenden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3.039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Ingham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Inglewood Multipurpose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Injune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Jandowae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Joyce Palmer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Julia Creek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Kilcoy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Laidley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Longreach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3.048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Maleny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3.049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Miles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Millmerran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Mitchell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Monto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Moranbah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Mornington Island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Mossman Hospital (Douglas Shire </w:t>
            </w:r>
            <w:proofErr w:type="spellStart"/>
            <w:r w:rsidRPr="001D41FB">
              <w:t>Multi Purpose</w:t>
            </w:r>
            <w:proofErr w:type="spellEnd"/>
            <w:r w:rsidRPr="001D41FB">
              <w:t xml:space="preserv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Mount Morgan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Moura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Mundubbera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3.059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Mungindi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Murgon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Nanango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Normanton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Oakey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Quilpie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Richmond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Roma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Sarina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3.068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Springsure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3.069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St George Hospital (Qld)</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Stanthorpe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Surat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Tara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Taroom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Texas Hospital Multipurpose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Theodore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Thursday Island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Tully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Weipa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3.079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Winton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3.080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Wondai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3.081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Woorabinda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3.082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Qld</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Yeppoon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4.001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Angaston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4.002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Balaklava Soldiers Memorial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4.003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proofErr w:type="spellStart"/>
            <w:r w:rsidRPr="001D41FB">
              <w:t>Booleroo</w:t>
            </w:r>
            <w:proofErr w:type="spellEnd"/>
            <w:r w:rsidRPr="001D41FB">
              <w:t xml:space="preserve"> Centre District Hospital and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4.004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Bordertown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4.005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Burra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4.006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Ceduna District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4.007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Clare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4.008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Cleve District and Aged Care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4.009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Coober Pedy Hospital &amp;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Cowell Community Health and Aged Care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Crystal Brook &amp;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Cummins &amp; District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Elliston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Eudunda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Gumeracha District Soldiers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Hawker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Jamestown Hospital and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Kangaroo Island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4.019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Kapunda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Karoonda and District Soldiers'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Kimba District Health and Aged Care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Kingston Soldiers'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Lameroo District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Laura and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Leigh Creek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Loxton Hospital Complex</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4.027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Maitland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Meningie and Districts Memorial Hospital and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4.029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Millicent and District Hospital and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Mount Pleasant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Naracoorte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Northern </w:t>
            </w:r>
            <w:proofErr w:type="spellStart"/>
            <w:r w:rsidRPr="001D41FB">
              <w:t>Yorke</w:t>
            </w:r>
            <w:proofErr w:type="spellEnd"/>
            <w:r w:rsidRPr="001D41FB">
              <w:t xml:space="preserve"> Peninsula Health Service (Wallaroo)</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Orroroo and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Penola War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Peterborough Soldiers' Memorial Hospital and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Pinnaroo Soldiers'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Port Broughton District Hospital and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Quorn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4.039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Renmark Paringa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Riverland Regional Health Service </w:t>
            </w:r>
            <w:proofErr w:type="spellStart"/>
            <w:r w:rsidRPr="001D41FB">
              <w:t>Inc</w:t>
            </w:r>
            <w:proofErr w:type="spellEnd"/>
            <w:r w:rsidRPr="001D41FB">
              <w:t xml:space="preserve"> - Barmera Campus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Riverton District Soldiers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Roxby Downs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Snowtown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Strathalbyn and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Streaky Bay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Tailem Bend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4.047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Tanunda War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The Mannum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4.049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Tumby Bay Hospital &amp;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4.050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Waikerie Health Services</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4.051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Woomera Community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4.052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Wudinna Hospital (Mid-West Health Service - Central Eyre Peninsula)</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4.053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SA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 xml:space="preserve">Yorketown Hospital (Southern </w:t>
            </w:r>
            <w:proofErr w:type="spellStart"/>
            <w:r w:rsidRPr="001D41FB">
              <w:t>Yorke</w:t>
            </w:r>
            <w:proofErr w:type="spellEnd"/>
            <w:r w:rsidRPr="001D41FB">
              <w:t xml:space="preserve"> Peninsula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Augusta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Beverley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Boddington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proofErr w:type="spellStart"/>
            <w:r w:rsidRPr="001D41FB">
              <w:t>Boyup</w:t>
            </w:r>
            <w:proofErr w:type="spellEnd"/>
            <w:r w:rsidRPr="001D41FB">
              <w:t xml:space="preserve"> Brook Soldiers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Bridgetown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Bruce Rock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Carnarvon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Collie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5.009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Corrigin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Cunderdin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Dalwallinu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Denmark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Dongara Multi-Purpose Health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5.014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Donnybrook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Dumbleyung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Exmouth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Fitzroy Crossing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Gnowangerup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5.019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Goomalling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Halls Creek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Harvey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Kalbarri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Katanning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F</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Kellerberrin Memorial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Kojonup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Kondinin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Kununoppin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Lake Grace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5.029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Laverton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Leonora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Margaret River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Meekatharra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Merredin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5.034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Moora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Morawa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Mullewa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Nannup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Narembeen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5.039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Narrogin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Newman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Norseman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North Midlands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Northam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Northampton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Onslow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Paraburdoo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Pemberton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Pingelly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5.049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Plantagenet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Quairading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Ravensthorpe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Roebourne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Southern Cross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5.054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Tom Price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Wagin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Warren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E</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proofErr w:type="spellStart"/>
            <w:r w:rsidRPr="001D41FB">
              <w:t>Wongan</w:t>
            </w:r>
            <w:proofErr w:type="spellEnd"/>
            <w:r w:rsidRPr="001D41FB">
              <w:t xml:space="preserve"> Hills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Wyalkatchem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5.059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Wyndham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5.060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WA</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York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Beaconsfield District Health Service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Campbell Town Multipurpose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Deloraine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Esperance Multipurpose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Flinders Island Multipurpose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George Town Hospital and Community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Huon Eldercare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King Island District Hospital and Health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6.009</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May Shaw Health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6.010</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Midlands Multipurpose Health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6.011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New Norfolk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6.012</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North East Soldiers Memorial Hospital and Community Services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6.013</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Smithton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lastRenderedPageBreak/>
              <w:t>6.014</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St Helens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D</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6.015</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St Marys Health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6.016</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Tasman Multipurpose Centre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Outer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A</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6.017</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proofErr w:type="spellStart"/>
            <w:r w:rsidRPr="001D41FB">
              <w:t>Toosey</w:t>
            </w:r>
            <w:proofErr w:type="spellEnd"/>
            <w:r w:rsidRPr="001D41FB">
              <w:t xml:space="preserve"> Aged and Community Care</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Inner Regional</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0</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6.018</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proofErr w:type="spellStart"/>
            <w:r w:rsidRPr="001D41FB">
              <w:t>Tas</w:t>
            </w:r>
            <w:proofErr w:type="spellEnd"/>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West Coast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C</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1</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B</w:t>
            </w:r>
          </w:p>
        </w:tc>
      </w:tr>
      <w:tr w:rsidR="001D41FB" w:rsidRPr="001D41FB" w:rsidTr="001D41FB">
        <w:trPr>
          <w:cantSplit/>
          <w:trHeight w:val="300"/>
        </w:trPr>
        <w:tc>
          <w:tcPr>
            <w:tcW w:w="1147" w:type="dxa"/>
            <w:tcBorders>
              <w:top w:val="nil"/>
              <w:left w:val="single" w:sz="4" w:space="0" w:color="auto"/>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7.001</w:t>
            </w:r>
          </w:p>
        </w:tc>
        <w:tc>
          <w:tcPr>
            <w:tcW w:w="1289"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NT</w:t>
            </w:r>
          </w:p>
        </w:tc>
        <w:tc>
          <w:tcPr>
            <w:tcW w:w="666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pPr>
            <w:r w:rsidRPr="001D41FB">
              <w:t>Gove District Hospital</w:t>
            </w:r>
          </w:p>
        </w:tc>
        <w:tc>
          <w:tcPr>
            <w:tcW w:w="1993"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Very Remote</w:t>
            </w:r>
          </w:p>
        </w:tc>
        <w:tc>
          <w:tcPr>
            <w:tcW w:w="946"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G</w:t>
            </w:r>
          </w:p>
        </w:tc>
        <w:tc>
          <w:tcPr>
            <w:tcW w:w="1030"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2</w:t>
            </w:r>
          </w:p>
        </w:tc>
        <w:tc>
          <w:tcPr>
            <w:tcW w:w="877" w:type="dxa"/>
            <w:tcBorders>
              <w:top w:val="nil"/>
              <w:left w:val="nil"/>
              <w:bottom w:val="single" w:sz="4" w:space="0" w:color="auto"/>
              <w:right w:val="single" w:sz="4" w:space="0" w:color="auto"/>
            </w:tcBorders>
            <w:shd w:val="clear" w:color="000000" w:fill="FFFFFF"/>
            <w:noWrap/>
          </w:tcPr>
          <w:p w:rsidR="001D41FB" w:rsidRPr="001D41FB" w:rsidRDefault="001D41FB" w:rsidP="001D41FB">
            <w:pPr>
              <w:spacing w:before="80" w:after="40"/>
              <w:jc w:val="center"/>
            </w:pPr>
            <w:r w:rsidRPr="001D41FB">
              <w:t>N/A</w:t>
            </w:r>
          </w:p>
        </w:tc>
      </w:tr>
    </w:tbl>
    <w:p w:rsidR="008D3158" w:rsidRDefault="008D3158">
      <w:pPr>
        <w:spacing w:line="276" w:lineRule="auto"/>
        <w:sectPr w:rsidR="008D3158" w:rsidSect="008D3158">
          <w:headerReference w:type="default" r:id="rId17"/>
          <w:footerReference w:type="default" r:id="rId18"/>
          <w:pgSz w:w="16838" w:h="11906" w:orient="landscape"/>
          <w:pgMar w:top="1440" w:right="1588" w:bottom="1440" w:left="1440" w:header="709" w:footer="709" w:gutter="0"/>
          <w:cols w:space="708"/>
          <w:docGrid w:linePitch="360"/>
        </w:sectPr>
      </w:pPr>
    </w:p>
    <w:p w:rsidR="00201F45" w:rsidRDefault="00201F45" w:rsidP="00201F45">
      <w:pPr>
        <w:pStyle w:val="Heading1"/>
      </w:pPr>
      <w:bookmarkStart w:id="24" w:name="_Toc443404523"/>
      <w:r>
        <w:lastRenderedPageBreak/>
        <w:t>Appendix B</w:t>
      </w:r>
      <w:r w:rsidRPr="0092298D">
        <w:tab/>
      </w:r>
      <w:r>
        <w:t>Standalone Hospitals Providing Specialist Mental Health Services</w:t>
      </w:r>
      <w:bookmarkEnd w:id="24"/>
    </w:p>
    <w:p w:rsidR="008D3158" w:rsidRDefault="00201F45" w:rsidP="00E6074F">
      <w:pPr>
        <w:spacing w:before="240"/>
        <w:rPr>
          <w:b/>
        </w:rPr>
      </w:pPr>
      <w:r>
        <w:rPr>
          <w:b/>
        </w:rPr>
        <w:t>Table 5</w:t>
      </w:r>
      <w:r w:rsidRPr="00DD0C5D">
        <w:rPr>
          <w:b/>
        </w:rPr>
        <w:t xml:space="preserve">: </w:t>
      </w:r>
      <w:r>
        <w:rPr>
          <w:b/>
        </w:rPr>
        <w:t>Standalone hospitals providing specialist mental health services in</w:t>
      </w:r>
      <w:r w:rsidRPr="00DD0C5D">
        <w:rPr>
          <w:b/>
        </w:rPr>
        <w:t xml:space="preserve"> </w:t>
      </w:r>
      <w:r>
        <w:rPr>
          <w:b/>
        </w:rPr>
        <w:t>201</w:t>
      </w:r>
      <w:r w:rsidR="00B131EC">
        <w:rPr>
          <w:b/>
        </w:rPr>
        <w:t>6</w:t>
      </w:r>
      <w:r w:rsidRPr="00DD0C5D">
        <w:rPr>
          <w:b/>
        </w:rPr>
        <w:t>-</w:t>
      </w:r>
      <w:r w:rsidR="00B131EC">
        <w:rPr>
          <w:b/>
        </w:rPr>
        <w:t>17</w:t>
      </w:r>
    </w:p>
    <w:tbl>
      <w:tblPr>
        <w:tblW w:w="9513" w:type="dxa"/>
        <w:tblInd w:w="93" w:type="dxa"/>
        <w:tblLook w:val="04A0" w:firstRow="1" w:lastRow="0" w:firstColumn="1" w:lastColumn="0" w:noHBand="0" w:noVBand="1"/>
      </w:tblPr>
      <w:tblGrid>
        <w:gridCol w:w="1136"/>
        <w:gridCol w:w="1121"/>
        <w:gridCol w:w="5555"/>
        <w:gridCol w:w="1701"/>
      </w:tblGrid>
      <w:tr w:rsidR="004D524E" w:rsidRPr="00A973FE" w:rsidTr="002E47E8">
        <w:trPr>
          <w:cantSplit/>
          <w:trHeight w:hRule="exact" w:val="601"/>
          <w:tblHeader/>
        </w:trPr>
        <w:tc>
          <w:tcPr>
            <w:tcW w:w="1136" w:type="dxa"/>
            <w:tcBorders>
              <w:top w:val="single" w:sz="4" w:space="0" w:color="auto"/>
              <w:left w:val="single" w:sz="4" w:space="0" w:color="auto"/>
              <w:bottom w:val="single" w:sz="4" w:space="0" w:color="auto"/>
              <w:right w:val="single" w:sz="4" w:space="0" w:color="auto"/>
            </w:tcBorders>
            <w:shd w:val="clear" w:color="auto" w:fill="C4D79B"/>
            <w:vAlign w:val="center"/>
          </w:tcPr>
          <w:p w:rsidR="004D524E" w:rsidRPr="004A5754" w:rsidRDefault="004D524E" w:rsidP="00936E59">
            <w:pPr>
              <w:spacing w:after="0"/>
              <w:jc w:val="center"/>
              <w:rPr>
                <w:rFonts w:eastAsia="Times New Roman" w:cstheme="minorHAnsi"/>
                <w:b/>
                <w:lang w:eastAsia="en-AU"/>
              </w:rPr>
            </w:pPr>
            <w:r>
              <w:rPr>
                <w:rFonts w:eastAsia="Times New Roman" w:cstheme="minorHAnsi"/>
                <w:b/>
                <w:lang w:eastAsia="en-AU"/>
              </w:rPr>
              <w:t>Hospital Number</w:t>
            </w:r>
          </w:p>
        </w:tc>
        <w:tc>
          <w:tcPr>
            <w:tcW w:w="1121" w:type="dxa"/>
            <w:tcBorders>
              <w:top w:val="single" w:sz="4" w:space="0" w:color="auto"/>
              <w:left w:val="single" w:sz="4" w:space="0" w:color="auto"/>
              <w:bottom w:val="single" w:sz="4" w:space="0" w:color="auto"/>
              <w:right w:val="single" w:sz="4" w:space="0" w:color="auto"/>
            </w:tcBorders>
            <w:shd w:val="clear" w:color="auto" w:fill="C4D79B"/>
            <w:noWrap/>
            <w:vAlign w:val="center"/>
          </w:tcPr>
          <w:p w:rsidR="004D524E" w:rsidRPr="004A5754" w:rsidRDefault="004D524E" w:rsidP="00936E59">
            <w:pPr>
              <w:spacing w:after="0"/>
              <w:jc w:val="center"/>
              <w:rPr>
                <w:rFonts w:eastAsia="Times New Roman" w:cstheme="minorHAnsi"/>
                <w:b/>
                <w:lang w:eastAsia="en-AU"/>
              </w:rPr>
            </w:pPr>
            <w:r w:rsidRPr="004A5754">
              <w:rPr>
                <w:rFonts w:eastAsia="Times New Roman" w:cstheme="minorHAnsi"/>
                <w:b/>
                <w:lang w:eastAsia="en-AU"/>
              </w:rPr>
              <w:t>State</w:t>
            </w:r>
            <w:r w:rsidR="00CA5B58">
              <w:rPr>
                <w:rFonts w:eastAsia="Times New Roman" w:cstheme="minorHAnsi"/>
                <w:b/>
                <w:lang w:eastAsia="en-AU"/>
              </w:rPr>
              <w:t xml:space="preserve"> / Territory</w:t>
            </w:r>
          </w:p>
        </w:tc>
        <w:tc>
          <w:tcPr>
            <w:tcW w:w="5555" w:type="dxa"/>
            <w:tcBorders>
              <w:top w:val="single" w:sz="4" w:space="0" w:color="auto"/>
              <w:left w:val="nil"/>
              <w:bottom w:val="single" w:sz="4" w:space="0" w:color="auto"/>
              <w:right w:val="single" w:sz="4" w:space="0" w:color="auto"/>
            </w:tcBorders>
            <w:shd w:val="clear" w:color="auto" w:fill="C4D79B"/>
            <w:vAlign w:val="center"/>
          </w:tcPr>
          <w:p w:rsidR="004D524E" w:rsidRPr="004A5754" w:rsidRDefault="004D524E">
            <w:pPr>
              <w:spacing w:after="0"/>
              <w:rPr>
                <w:rFonts w:eastAsia="Times New Roman" w:cstheme="minorHAnsi"/>
                <w:b/>
                <w:lang w:eastAsia="en-AU"/>
              </w:rPr>
            </w:pPr>
            <w:r w:rsidRPr="004A5754">
              <w:rPr>
                <w:rFonts w:eastAsia="Times New Roman" w:cstheme="minorHAnsi"/>
                <w:b/>
                <w:lang w:eastAsia="en-AU"/>
              </w:rPr>
              <w:t>Hospital Name</w:t>
            </w:r>
          </w:p>
        </w:tc>
        <w:tc>
          <w:tcPr>
            <w:tcW w:w="1701" w:type="dxa"/>
            <w:tcBorders>
              <w:top w:val="single" w:sz="4" w:space="0" w:color="auto"/>
              <w:left w:val="nil"/>
              <w:bottom w:val="single" w:sz="4" w:space="0" w:color="auto"/>
              <w:right w:val="single" w:sz="4" w:space="0" w:color="auto"/>
            </w:tcBorders>
            <w:shd w:val="clear" w:color="auto" w:fill="C4D79B"/>
            <w:vAlign w:val="center"/>
          </w:tcPr>
          <w:p w:rsidR="004D524E" w:rsidRPr="004A5754" w:rsidRDefault="004D524E">
            <w:pPr>
              <w:spacing w:after="0"/>
              <w:rPr>
                <w:rFonts w:eastAsia="Times New Roman" w:cstheme="minorHAnsi"/>
                <w:b/>
                <w:lang w:eastAsia="en-AU"/>
              </w:rPr>
            </w:pPr>
            <w:r w:rsidRPr="004A5754">
              <w:rPr>
                <w:rFonts w:eastAsia="Times New Roman" w:cstheme="minorHAnsi"/>
                <w:b/>
                <w:lang w:eastAsia="en-AU"/>
              </w:rPr>
              <w:t>ASGS Region</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1.115</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NSW</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Coral Tree Family Centre</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Major City</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1.116</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NSW</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Forensic Hospital</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Major City</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1.117</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NSW</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Illawarra Mental Health Services</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Major City</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1.118</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NSW</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James Fletcher - Morisset</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Major City</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1.119</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NSW</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Kenmore Hospital</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Inner Regional</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1.120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NSW</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Nolan House at Albury Base Hospital</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Inner Regional</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1.121</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NSW</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Thomas Walker</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Major City</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1.122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NSW</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Wentworth Psychiatric Services</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Major City</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3.083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QLD</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Baillie Henderson Hospital</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Inner Regional</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3.084</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QLD</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Kirwan Rehabilitation Unit</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Outer Regional</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3.085</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QLD</w:t>
            </w:r>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The Park - Centre For Mental Health</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Major City</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6.019</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1D41FB" w:rsidP="002E47E8">
            <w:pPr>
              <w:spacing w:after="0"/>
              <w:jc w:val="center"/>
              <w:rPr>
                <w:rFonts w:eastAsia="Times New Roman" w:cstheme="minorHAnsi"/>
                <w:lang w:eastAsia="en-AU"/>
              </w:rPr>
            </w:pPr>
            <w:proofErr w:type="spellStart"/>
            <w:r>
              <w:rPr>
                <w:rFonts w:eastAsia="Times New Roman" w:cstheme="minorHAnsi"/>
                <w:lang w:eastAsia="en-AU"/>
              </w:rPr>
              <w:t>Tas</w:t>
            </w:r>
            <w:proofErr w:type="spellEnd"/>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Alcohol and Drug Services Detoxification Unit (SMHS)</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Inner Regional</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6.020</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1D41FB" w:rsidP="002E47E8">
            <w:pPr>
              <w:spacing w:after="0"/>
              <w:jc w:val="center"/>
              <w:rPr>
                <w:rFonts w:eastAsia="Times New Roman" w:cstheme="minorHAnsi"/>
                <w:lang w:eastAsia="en-AU"/>
              </w:rPr>
            </w:pPr>
            <w:proofErr w:type="spellStart"/>
            <w:r>
              <w:rPr>
                <w:rFonts w:eastAsia="Times New Roman" w:cstheme="minorHAnsi"/>
                <w:lang w:eastAsia="en-AU"/>
              </w:rPr>
              <w:t>Tas</w:t>
            </w:r>
            <w:proofErr w:type="spellEnd"/>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Millbrook Rise (SMHS)</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Inner Regional</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6.021</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1D41FB" w:rsidP="002E47E8">
            <w:pPr>
              <w:spacing w:after="0"/>
              <w:jc w:val="center"/>
              <w:rPr>
                <w:rFonts w:eastAsia="Times New Roman" w:cstheme="minorHAnsi"/>
                <w:lang w:eastAsia="en-AU"/>
              </w:rPr>
            </w:pPr>
            <w:proofErr w:type="spellStart"/>
            <w:r>
              <w:rPr>
                <w:rFonts w:eastAsia="Times New Roman" w:cstheme="minorHAnsi"/>
                <w:lang w:eastAsia="en-AU"/>
              </w:rPr>
              <w:t>Tas</w:t>
            </w:r>
            <w:proofErr w:type="spellEnd"/>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Mistral Place</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Inner Regional</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6.022</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1D41FB" w:rsidP="002E47E8">
            <w:pPr>
              <w:spacing w:after="0"/>
              <w:jc w:val="center"/>
              <w:rPr>
                <w:rFonts w:eastAsia="Times New Roman" w:cstheme="minorHAnsi"/>
                <w:lang w:eastAsia="en-AU"/>
              </w:rPr>
            </w:pPr>
            <w:proofErr w:type="spellStart"/>
            <w:r>
              <w:rPr>
                <w:rFonts w:eastAsia="Times New Roman" w:cstheme="minorHAnsi"/>
                <w:lang w:eastAsia="en-AU"/>
              </w:rPr>
              <w:t>Tas</w:t>
            </w:r>
            <w:proofErr w:type="spellEnd"/>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Roy Fagan Centre (SMHS)</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Inner Regional</w:t>
            </w:r>
          </w:p>
        </w:tc>
      </w:tr>
      <w:tr w:rsidR="002E47E8" w:rsidRPr="002E47E8" w:rsidTr="002E47E8">
        <w:trPr>
          <w:cantSplit/>
          <w:trHeight w:hRule="exact" w:val="397"/>
          <w:tblHead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E47E8" w:rsidRPr="002E47E8" w:rsidRDefault="002E47E8" w:rsidP="002E47E8">
            <w:pPr>
              <w:spacing w:after="0"/>
              <w:jc w:val="center"/>
              <w:rPr>
                <w:rFonts w:eastAsia="Times New Roman" w:cstheme="minorHAnsi"/>
                <w:lang w:eastAsia="en-AU"/>
              </w:rPr>
            </w:pPr>
            <w:r w:rsidRPr="002E47E8">
              <w:rPr>
                <w:rFonts w:eastAsia="Times New Roman" w:cstheme="minorHAnsi"/>
                <w:lang w:eastAsia="en-AU"/>
              </w:rPr>
              <w:t>6.023</w:t>
            </w: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47E8" w:rsidRPr="002E47E8" w:rsidRDefault="001D41FB" w:rsidP="002E47E8">
            <w:pPr>
              <w:spacing w:after="0"/>
              <w:jc w:val="center"/>
              <w:rPr>
                <w:rFonts w:eastAsia="Times New Roman" w:cstheme="minorHAnsi"/>
                <w:lang w:eastAsia="en-AU"/>
              </w:rPr>
            </w:pPr>
            <w:proofErr w:type="spellStart"/>
            <w:r>
              <w:rPr>
                <w:rFonts w:eastAsia="Times New Roman" w:cstheme="minorHAnsi"/>
                <w:lang w:eastAsia="en-AU"/>
              </w:rPr>
              <w:t>Tas</w:t>
            </w:r>
            <w:proofErr w:type="spellEnd"/>
          </w:p>
        </w:tc>
        <w:tc>
          <w:tcPr>
            <w:tcW w:w="5555"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proofErr w:type="spellStart"/>
            <w:r w:rsidRPr="002E47E8">
              <w:rPr>
                <w:rFonts w:eastAsia="Times New Roman" w:cstheme="minorHAnsi"/>
                <w:lang w:eastAsia="en-AU"/>
              </w:rPr>
              <w:t>Tolosa</w:t>
            </w:r>
            <w:proofErr w:type="spellEnd"/>
            <w:r w:rsidRPr="002E47E8">
              <w:rPr>
                <w:rFonts w:eastAsia="Times New Roman" w:cstheme="minorHAnsi"/>
                <w:lang w:eastAsia="en-AU"/>
              </w:rPr>
              <w:t xml:space="preserve"> Street</w:t>
            </w:r>
          </w:p>
        </w:tc>
        <w:tc>
          <w:tcPr>
            <w:tcW w:w="1701" w:type="dxa"/>
            <w:tcBorders>
              <w:top w:val="single" w:sz="4" w:space="0" w:color="auto"/>
              <w:left w:val="nil"/>
              <w:bottom w:val="single" w:sz="4" w:space="0" w:color="auto"/>
              <w:right w:val="single" w:sz="4" w:space="0" w:color="auto"/>
            </w:tcBorders>
            <w:shd w:val="clear" w:color="auto" w:fill="auto"/>
            <w:vAlign w:val="center"/>
          </w:tcPr>
          <w:p w:rsidR="002E47E8" w:rsidRPr="002E47E8" w:rsidRDefault="002E47E8" w:rsidP="002E47E8">
            <w:pPr>
              <w:spacing w:after="0"/>
              <w:rPr>
                <w:rFonts w:eastAsia="Times New Roman" w:cstheme="minorHAnsi"/>
                <w:lang w:eastAsia="en-AU"/>
              </w:rPr>
            </w:pPr>
            <w:r w:rsidRPr="002E47E8">
              <w:rPr>
                <w:rFonts w:eastAsia="Times New Roman" w:cstheme="minorHAnsi"/>
                <w:lang w:eastAsia="en-AU"/>
              </w:rPr>
              <w:t>Inner Regional</w:t>
            </w:r>
          </w:p>
        </w:tc>
      </w:tr>
    </w:tbl>
    <w:p w:rsidR="008D3158" w:rsidRPr="008D3158" w:rsidRDefault="008D3158" w:rsidP="00126C98">
      <w:pPr>
        <w:rPr>
          <w:b/>
        </w:rPr>
        <w:sectPr w:rsidR="008D3158" w:rsidRPr="008D3158" w:rsidSect="008D3158">
          <w:pgSz w:w="11906" w:h="16838"/>
          <w:pgMar w:top="1588" w:right="1440" w:bottom="1440" w:left="1440" w:header="709" w:footer="709" w:gutter="0"/>
          <w:cols w:space="708"/>
          <w:docGrid w:linePitch="360"/>
        </w:sectPr>
      </w:pPr>
    </w:p>
    <w:p w:rsidR="00201F45" w:rsidRDefault="00201F45" w:rsidP="00201F45">
      <w:pPr>
        <w:pStyle w:val="Heading1"/>
      </w:pPr>
      <w:bookmarkStart w:id="25" w:name="_Toc443404524"/>
      <w:r>
        <w:lastRenderedPageBreak/>
        <w:t>Appendix C</w:t>
      </w:r>
      <w:r w:rsidRPr="0092298D">
        <w:tab/>
      </w:r>
      <w:r>
        <w:t>Standalone Major City Hospitals Providing Specialist Services</w:t>
      </w:r>
      <w:bookmarkEnd w:id="25"/>
    </w:p>
    <w:p w:rsidR="00201F45" w:rsidRDefault="00201F45" w:rsidP="00E6074F">
      <w:pPr>
        <w:spacing w:before="240"/>
        <w:rPr>
          <w:b/>
        </w:rPr>
      </w:pPr>
      <w:r>
        <w:rPr>
          <w:b/>
        </w:rPr>
        <w:t>Table 6</w:t>
      </w:r>
      <w:r w:rsidRPr="00DD0C5D">
        <w:rPr>
          <w:b/>
        </w:rPr>
        <w:t xml:space="preserve">: </w:t>
      </w:r>
      <w:r>
        <w:rPr>
          <w:b/>
        </w:rPr>
        <w:t>Standalone major city hospitals providing specialist services</w:t>
      </w:r>
      <w:r w:rsidR="00B131EC">
        <w:rPr>
          <w:b/>
        </w:rPr>
        <w:t xml:space="preserve"> in 2016-17</w:t>
      </w:r>
    </w:p>
    <w:tbl>
      <w:tblPr>
        <w:tblW w:w="8946" w:type="dxa"/>
        <w:tblInd w:w="93" w:type="dxa"/>
        <w:tblLook w:val="04A0" w:firstRow="1" w:lastRow="0" w:firstColumn="1" w:lastColumn="0" w:noHBand="0" w:noVBand="1"/>
      </w:tblPr>
      <w:tblGrid>
        <w:gridCol w:w="1138"/>
        <w:gridCol w:w="1121"/>
        <w:gridCol w:w="6687"/>
      </w:tblGrid>
      <w:tr w:rsidR="008B48D6" w:rsidRPr="004A5754" w:rsidTr="002E47E8">
        <w:trPr>
          <w:cantSplit/>
          <w:trHeight w:hRule="exact" w:val="601"/>
          <w:tblHeader/>
        </w:trPr>
        <w:tc>
          <w:tcPr>
            <w:tcW w:w="1138" w:type="dxa"/>
            <w:tcBorders>
              <w:top w:val="single" w:sz="4" w:space="0" w:color="auto"/>
              <w:left w:val="single" w:sz="4" w:space="0" w:color="auto"/>
              <w:bottom w:val="single" w:sz="4" w:space="0" w:color="auto"/>
              <w:right w:val="single" w:sz="4" w:space="0" w:color="auto"/>
            </w:tcBorders>
            <w:shd w:val="clear" w:color="auto" w:fill="C4D79B"/>
            <w:vAlign w:val="center"/>
          </w:tcPr>
          <w:p w:rsidR="008B48D6" w:rsidRPr="004A5754" w:rsidRDefault="008B48D6" w:rsidP="00936E59">
            <w:pPr>
              <w:spacing w:after="0"/>
              <w:jc w:val="center"/>
              <w:rPr>
                <w:rFonts w:eastAsia="Times New Roman" w:cstheme="minorHAnsi"/>
                <w:b/>
                <w:lang w:eastAsia="en-AU"/>
              </w:rPr>
            </w:pPr>
            <w:r>
              <w:rPr>
                <w:rFonts w:eastAsia="Times New Roman" w:cstheme="minorHAnsi"/>
                <w:b/>
                <w:lang w:eastAsia="en-AU"/>
              </w:rPr>
              <w:t>Hospital Number</w:t>
            </w:r>
          </w:p>
        </w:tc>
        <w:tc>
          <w:tcPr>
            <w:tcW w:w="1121" w:type="dxa"/>
            <w:tcBorders>
              <w:top w:val="single" w:sz="4" w:space="0" w:color="auto"/>
              <w:left w:val="single" w:sz="4" w:space="0" w:color="auto"/>
              <w:bottom w:val="single" w:sz="4" w:space="0" w:color="auto"/>
              <w:right w:val="single" w:sz="4" w:space="0" w:color="auto"/>
            </w:tcBorders>
            <w:shd w:val="clear" w:color="auto" w:fill="C4D79B"/>
            <w:noWrap/>
            <w:vAlign w:val="center"/>
          </w:tcPr>
          <w:p w:rsidR="008B48D6" w:rsidRPr="004A5754" w:rsidRDefault="008B48D6" w:rsidP="00936E59">
            <w:pPr>
              <w:spacing w:after="0"/>
              <w:jc w:val="center"/>
              <w:rPr>
                <w:rFonts w:eastAsia="Times New Roman" w:cstheme="minorHAnsi"/>
                <w:b/>
                <w:lang w:eastAsia="en-AU"/>
              </w:rPr>
            </w:pPr>
            <w:r w:rsidRPr="004A5754">
              <w:rPr>
                <w:rFonts w:eastAsia="Times New Roman" w:cstheme="minorHAnsi"/>
                <w:b/>
                <w:lang w:eastAsia="en-AU"/>
              </w:rPr>
              <w:t>State</w:t>
            </w:r>
            <w:r w:rsidR="00CA5B58">
              <w:rPr>
                <w:rFonts w:eastAsia="Times New Roman" w:cstheme="minorHAnsi"/>
                <w:b/>
                <w:lang w:eastAsia="en-AU"/>
              </w:rPr>
              <w:t xml:space="preserve"> / Territory</w:t>
            </w:r>
          </w:p>
        </w:tc>
        <w:tc>
          <w:tcPr>
            <w:tcW w:w="6687" w:type="dxa"/>
            <w:tcBorders>
              <w:top w:val="single" w:sz="4" w:space="0" w:color="auto"/>
              <w:left w:val="nil"/>
              <w:bottom w:val="single" w:sz="4" w:space="0" w:color="auto"/>
              <w:right w:val="single" w:sz="4" w:space="0" w:color="auto"/>
            </w:tcBorders>
            <w:shd w:val="clear" w:color="auto" w:fill="C4D79B"/>
            <w:vAlign w:val="center"/>
          </w:tcPr>
          <w:p w:rsidR="008B48D6" w:rsidRPr="004A5754" w:rsidRDefault="008B48D6">
            <w:pPr>
              <w:spacing w:after="0"/>
              <w:rPr>
                <w:rFonts w:eastAsia="Times New Roman" w:cstheme="minorHAnsi"/>
                <w:b/>
                <w:lang w:eastAsia="en-AU"/>
              </w:rPr>
            </w:pPr>
            <w:r w:rsidRPr="004A5754">
              <w:rPr>
                <w:rFonts w:eastAsia="Times New Roman" w:cstheme="minorHAnsi"/>
                <w:b/>
                <w:lang w:eastAsia="en-AU"/>
              </w:rPr>
              <w:t>Hospital Name</w:t>
            </w:r>
          </w:p>
        </w:tc>
      </w:tr>
      <w:tr w:rsidR="002E47E8" w:rsidRPr="002E47E8" w:rsidTr="002E47E8">
        <w:trPr>
          <w:trHeight w:val="402"/>
        </w:trPr>
        <w:tc>
          <w:tcPr>
            <w:tcW w:w="11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1.123</w:t>
            </w:r>
          </w:p>
        </w:tc>
        <w:tc>
          <w:tcPr>
            <w:tcW w:w="1121" w:type="dxa"/>
            <w:tcBorders>
              <w:top w:val="single" w:sz="4" w:space="0" w:color="auto"/>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NSW</w:t>
            </w:r>
          </w:p>
        </w:tc>
        <w:tc>
          <w:tcPr>
            <w:tcW w:w="6687" w:type="dxa"/>
            <w:tcBorders>
              <w:top w:val="single" w:sz="4" w:space="0" w:color="auto"/>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Bulli Hospital</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1.124</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NSW</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Karitane</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1.125</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NSW</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NSCCAHS Acute and Post-Acute Centre</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1.126</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NSW</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RNS - Sydney Dialysis Centre</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1.127</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NSW</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Sydney Dental</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1.128</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NSW</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Tresillian Family Care Centre - Belmore</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1.129</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NSW</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Tresillian Nepean (Kingswood)</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1.130</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NSW</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Westmead Centre for Oral Health</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3.086</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QLD</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Ellen Barron Family Centre</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3.087</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QLD</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Wynnum Hospital</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5.061</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WA</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Central Drug Unit (Next Step)</w:t>
            </w:r>
          </w:p>
        </w:tc>
      </w:tr>
      <w:tr w:rsidR="002E47E8" w:rsidRPr="002E47E8" w:rsidTr="002E47E8">
        <w:trPr>
          <w:trHeight w:val="402"/>
        </w:trPr>
        <w:tc>
          <w:tcPr>
            <w:tcW w:w="1138" w:type="dxa"/>
            <w:tcBorders>
              <w:top w:val="nil"/>
              <w:left w:val="single" w:sz="4" w:space="0" w:color="auto"/>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8.001</w:t>
            </w:r>
          </w:p>
        </w:tc>
        <w:tc>
          <w:tcPr>
            <w:tcW w:w="1121"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jc w:val="center"/>
              <w:rPr>
                <w:rFonts w:ascii="Arial" w:eastAsia="Times New Roman" w:hAnsi="Arial" w:cs="Arial"/>
                <w:color w:val="000000"/>
                <w:lang w:eastAsia="en-AU"/>
              </w:rPr>
            </w:pPr>
            <w:r w:rsidRPr="002E47E8">
              <w:rPr>
                <w:rFonts w:ascii="Arial" w:eastAsia="Times New Roman" w:hAnsi="Arial" w:cs="Arial"/>
                <w:color w:val="000000"/>
                <w:lang w:eastAsia="en-AU"/>
              </w:rPr>
              <w:t>ACT</w:t>
            </w:r>
          </w:p>
        </w:tc>
        <w:tc>
          <w:tcPr>
            <w:tcW w:w="6687" w:type="dxa"/>
            <w:tcBorders>
              <w:top w:val="nil"/>
              <w:left w:val="nil"/>
              <w:bottom w:val="single" w:sz="4" w:space="0" w:color="auto"/>
              <w:right w:val="single" w:sz="4" w:space="0" w:color="auto"/>
            </w:tcBorders>
            <w:shd w:val="clear" w:color="000000" w:fill="FFFFFF"/>
            <w:noWrap/>
            <w:vAlign w:val="center"/>
            <w:hideMark/>
          </w:tcPr>
          <w:p w:rsidR="002E47E8" w:rsidRPr="002E47E8" w:rsidRDefault="002E47E8" w:rsidP="002E47E8">
            <w:pPr>
              <w:spacing w:after="0"/>
              <w:rPr>
                <w:rFonts w:ascii="Arial" w:eastAsia="Times New Roman" w:hAnsi="Arial" w:cs="Arial"/>
                <w:color w:val="000000"/>
                <w:lang w:eastAsia="en-AU"/>
              </w:rPr>
            </w:pPr>
            <w:r w:rsidRPr="002E47E8">
              <w:rPr>
                <w:rFonts w:ascii="Arial" w:eastAsia="Times New Roman" w:hAnsi="Arial" w:cs="Arial"/>
                <w:color w:val="000000"/>
                <w:lang w:eastAsia="en-AU"/>
              </w:rPr>
              <w:t>QEII Family Centre</w:t>
            </w:r>
          </w:p>
        </w:tc>
      </w:tr>
    </w:tbl>
    <w:p w:rsidR="003F07EB" w:rsidRDefault="003F07EB" w:rsidP="00741804">
      <w:pPr>
        <w:pStyle w:val="Title"/>
        <w:spacing w:after="2400"/>
        <w:ind w:left="0" w:right="261"/>
        <w:jc w:val="left"/>
      </w:pPr>
      <w:bookmarkStart w:id="26" w:name="_GoBack"/>
      <w:bookmarkEnd w:id="26"/>
    </w:p>
    <w:p w:rsidR="000D6B00" w:rsidRPr="003F07EB" w:rsidRDefault="003F07EB" w:rsidP="00741804">
      <w:pPr>
        <w:pStyle w:val="Title"/>
        <w:spacing w:after="2400"/>
        <w:ind w:left="0" w:right="261"/>
        <w:jc w:val="left"/>
      </w:pPr>
      <w:r>
        <w:rPr>
          <w:noProof/>
          <w:lang w:eastAsia="en-AU"/>
        </w:rPr>
        <w:drawing>
          <wp:anchor distT="0" distB="0" distL="114300" distR="114300" simplePos="0" relativeHeight="251662336" behindDoc="0" locked="0" layoutInCell="1" allowOverlap="1" wp14:anchorId="27DD0D70" wp14:editId="6659474B">
            <wp:simplePos x="0" y="0"/>
            <wp:positionH relativeFrom="column">
              <wp:posOffset>2112010</wp:posOffset>
            </wp:positionH>
            <wp:positionV relativeFrom="paragraph">
              <wp:posOffset>366395</wp:posOffset>
            </wp:positionV>
            <wp:extent cx="1457325" cy="2000885"/>
            <wp:effectExtent l="0" t="0" r="9525" b="0"/>
            <wp:wrapNone/>
            <wp:docPr id="13" name="Picture 13"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57325" cy="2000885"/>
                    </a:xfrm>
                    <a:prstGeom prst="rect">
                      <a:avLst/>
                    </a:prstGeom>
                  </pic:spPr>
                </pic:pic>
              </a:graphicData>
            </a:graphic>
            <wp14:sizeRelH relativeFrom="page">
              <wp14:pctWidth>0</wp14:pctWidth>
            </wp14:sizeRelH>
            <wp14:sizeRelV relativeFrom="page">
              <wp14:pctHeight>0</wp14:pctHeight>
            </wp14:sizeRelV>
          </wp:anchor>
        </w:drawing>
      </w:r>
    </w:p>
    <w:p w:rsidR="00615425" w:rsidRPr="00A67C51" w:rsidRDefault="00615425" w:rsidP="00615425">
      <w:pPr>
        <w:pStyle w:val="ListParagraph"/>
        <w:spacing w:before="4920" w:line="276" w:lineRule="auto"/>
        <w:ind w:left="357"/>
        <w:contextualSpacing w:val="0"/>
        <w:jc w:val="center"/>
        <w:rPr>
          <w:b/>
          <w:lang w:eastAsia="ja-JP"/>
        </w:rPr>
      </w:pPr>
      <w:r w:rsidRPr="00A67C51">
        <w:rPr>
          <w:b/>
          <w:lang w:eastAsia="ja-JP"/>
        </w:rPr>
        <w:t>Independent Hospital Pricing Authority</w:t>
      </w:r>
    </w:p>
    <w:p w:rsidR="00615425" w:rsidRDefault="00615425" w:rsidP="00615425">
      <w:pPr>
        <w:pStyle w:val="ListParagraph"/>
        <w:spacing w:line="276" w:lineRule="auto"/>
        <w:ind w:left="360"/>
        <w:jc w:val="center"/>
        <w:rPr>
          <w:lang w:eastAsia="ja-JP"/>
        </w:rPr>
      </w:pPr>
      <w:r>
        <w:rPr>
          <w:lang w:eastAsia="ja-JP"/>
        </w:rPr>
        <w:t>Level 6, 1 Oxford Street Sydney NSW 2000   PO Box 483 Darlinghurst NSW 1300</w:t>
      </w:r>
    </w:p>
    <w:p w:rsidR="00A01C87" w:rsidRPr="001D1742" w:rsidRDefault="00615425" w:rsidP="00C17A88">
      <w:pPr>
        <w:jc w:val="center"/>
      </w:pPr>
      <w:r>
        <w:rPr>
          <w:lang w:eastAsia="ja-JP"/>
        </w:rPr>
        <w:t>P +61 2 8215 1100   F +61 2 8215 1111</w:t>
      </w:r>
    </w:p>
    <w:sectPr w:rsidR="00A01C87" w:rsidRPr="001D1742" w:rsidSect="0000367A">
      <w:pgSz w:w="11906" w:h="16838"/>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711" w:rsidRDefault="00A54711" w:rsidP="006A55E0">
      <w:pPr>
        <w:spacing w:after="0"/>
      </w:pPr>
      <w:r>
        <w:separator/>
      </w:r>
    </w:p>
  </w:endnote>
  <w:endnote w:type="continuationSeparator" w:id="0">
    <w:p w:rsidR="00A54711" w:rsidRDefault="00A54711" w:rsidP="006A5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564644"/>
      <w:docPartObj>
        <w:docPartGallery w:val="Page Numbers (Bottom of Page)"/>
        <w:docPartUnique/>
      </w:docPartObj>
    </w:sdtPr>
    <w:sdtEndPr/>
    <w:sdtContent>
      <w:sdt>
        <w:sdtPr>
          <w:id w:val="860082579"/>
          <w:docPartObj>
            <w:docPartGallery w:val="Page Numbers (Top of Page)"/>
            <w:docPartUnique/>
          </w:docPartObj>
        </w:sdtPr>
        <w:sdtEndPr/>
        <w:sdtContent>
          <w:p w:rsidR="00201013" w:rsidRDefault="00201013">
            <w:pPr>
              <w:pStyle w:val="Footer"/>
            </w:pPr>
            <w:r>
              <w:t>Independent Hospital Pricing Authority</w:t>
            </w:r>
            <w:r>
              <w:tab/>
            </w:r>
            <w:r>
              <w:tab/>
            </w:r>
            <w:r w:rsidRPr="00A26D98">
              <w:t xml:space="preserve">    Page </w:t>
            </w:r>
            <w:r w:rsidRPr="00A26D98">
              <w:rPr>
                <w:bCs/>
              </w:rPr>
              <w:fldChar w:fldCharType="begin"/>
            </w:r>
            <w:r w:rsidRPr="00A26D98">
              <w:rPr>
                <w:bCs/>
              </w:rPr>
              <w:instrText xml:space="preserve"> PAGE </w:instrText>
            </w:r>
            <w:r w:rsidRPr="00A26D98">
              <w:rPr>
                <w:bCs/>
              </w:rPr>
              <w:fldChar w:fldCharType="separate"/>
            </w:r>
            <w:r>
              <w:rPr>
                <w:bCs/>
                <w:noProof/>
              </w:rPr>
              <w:t>1</w:t>
            </w:r>
            <w:r w:rsidRPr="00A26D98">
              <w:rPr>
                <w:bCs/>
              </w:rPr>
              <w:fldChar w:fldCharType="end"/>
            </w:r>
            <w:r w:rsidRPr="00A26D98">
              <w:t xml:space="preserve"> of </w:t>
            </w:r>
            <w:r w:rsidRPr="00A26D98">
              <w:rPr>
                <w:bCs/>
              </w:rPr>
              <w:t>12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887671"/>
      <w:docPartObj>
        <w:docPartGallery w:val="Page Numbers (Bottom of Page)"/>
        <w:docPartUnique/>
      </w:docPartObj>
    </w:sdtPr>
    <w:sdtEndPr/>
    <w:sdtContent>
      <w:sdt>
        <w:sdtPr>
          <w:id w:val="-1653438222"/>
          <w:docPartObj>
            <w:docPartGallery w:val="Page Numbers (Top of Page)"/>
            <w:docPartUnique/>
          </w:docPartObj>
        </w:sdtPr>
        <w:sdtEndPr/>
        <w:sdtContent>
          <w:p w:rsidR="00201013" w:rsidRPr="009B1502" w:rsidRDefault="00201013" w:rsidP="00821BF8">
            <w:pPr>
              <w:pStyle w:val="Footer"/>
            </w:pPr>
            <w:r>
              <w:t>Independent Hospital Pricing Authority</w:t>
            </w:r>
            <w:r>
              <w:tab/>
            </w:r>
            <w:r>
              <w:tab/>
            </w:r>
            <w:r w:rsidRPr="00A26D98">
              <w:t xml:space="preserve">    </w:t>
            </w:r>
            <w:sdt>
              <w:sdtPr>
                <w:id w:val="65002081"/>
                <w:docPartObj>
                  <w:docPartGallery w:val="Page Numbers (Top of Page)"/>
                  <w:docPartUnique/>
                </w:docPartObj>
              </w:sdtPr>
              <w:sdtEndPr/>
              <w:sdtContent>
                <w:r w:rsidRPr="009B1502">
                  <w:t xml:space="preserve">Page </w:t>
                </w:r>
                <w:r w:rsidRPr="009B1502">
                  <w:rPr>
                    <w:bCs/>
                  </w:rPr>
                  <w:fldChar w:fldCharType="begin"/>
                </w:r>
                <w:r w:rsidRPr="009B1502">
                  <w:rPr>
                    <w:bCs/>
                  </w:rPr>
                  <w:instrText xml:space="preserve"> PAGE </w:instrText>
                </w:r>
                <w:r w:rsidRPr="009B1502">
                  <w:rPr>
                    <w:bCs/>
                  </w:rPr>
                  <w:fldChar w:fldCharType="separate"/>
                </w:r>
                <w:r w:rsidR="00741804">
                  <w:rPr>
                    <w:bCs/>
                    <w:noProof/>
                  </w:rPr>
                  <w:t>1</w:t>
                </w:r>
                <w:r w:rsidRPr="009B1502">
                  <w:rPr>
                    <w:bCs/>
                  </w:rPr>
                  <w:fldChar w:fldCharType="end"/>
                </w:r>
                <w:r w:rsidRPr="009B1502">
                  <w:t xml:space="preserve"> of </w:t>
                </w:r>
                <w:r>
                  <w:t>31</w:t>
                </w:r>
              </w:sdtContent>
            </w:sdt>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765191"/>
      <w:docPartObj>
        <w:docPartGallery w:val="Page Numbers (Bottom of Page)"/>
        <w:docPartUnique/>
      </w:docPartObj>
    </w:sdtPr>
    <w:sdtEndPr/>
    <w:sdtContent>
      <w:sdt>
        <w:sdtPr>
          <w:id w:val="1082561858"/>
          <w:docPartObj>
            <w:docPartGallery w:val="Page Numbers (Top of Page)"/>
            <w:docPartUnique/>
          </w:docPartObj>
        </w:sdtPr>
        <w:sdtEndPr/>
        <w:sdtContent>
          <w:p w:rsidR="00201013" w:rsidRPr="00742E5B" w:rsidRDefault="00741804" w:rsidP="000D6B00">
            <w:pPr>
              <w:pStyle w:val="Footer"/>
              <w:jc w:val="right"/>
            </w:pPr>
            <w:sdt>
              <w:sdtPr>
                <w:id w:val="1408105860"/>
                <w:docPartObj>
                  <w:docPartGallery w:val="Page Numbers (Top of Page)"/>
                  <w:docPartUnique/>
                </w:docPartObj>
              </w:sdtPr>
              <w:sdtEndPr/>
              <w:sdtContent>
                <w:r w:rsidR="00201013" w:rsidRPr="00742E5B">
                  <w:t xml:space="preserve">Independent </w:t>
                </w:r>
                <w:r w:rsidR="00201013">
                  <w:t>Hospital Pricing Authority</w:t>
                </w:r>
              </w:sdtContent>
            </w:sdt>
            <w:r w:rsidR="00201013">
              <w:tab/>
            </w:r>
            <w:r w:rsidR="00201013">
              <w:tab/>
              <w:t xml:space="preserve">Page </w:t>
            </w:r>
            <w:r w:rsidR="00201013" w:rsidRPr="00745EBD">
              <w:fldChar w:fldCharType="begin"/>
            </w:r>
            <w:r w:rsidR="00201013" w:rsidRPr="00745EBD">
              <w:instrText xml:space="preserve"> PAGE </w:instrText>
            </w:r>
            <w:r w:rsidR="00201013" w:rsidRPr="00745EBD">
              <w:fldChar w:fldCharType="separate"/>
            </w:r>
            <w:r>
              <w:rPr>
                <w:noProof/>
              </w:rPr>
              <w:t>31</w:t>
            </w:r>
            <w:r w:rsidR="00201013" w:rsidRPr="00745EBD">
              <w:fldChar w:fldCharType="end"/>
            </w:r>
            <w:r w:rsidR="00201013" w:rsidRPr="00174827">
              <w:t xml:space="preserve"> of </w:t>
            </w:r>
            <w:r w:rsidR="00201013">
              <w:t>31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711" w:rsidRDefault="00A54711" w:rsidP="006A55E0">
      <w:pPr>
        <w:spacing w:after="0"/>
      </w:pPr>
      <w:r>
        <w:separator/>
      </w:r>
    </w:p>
  </w:footnote>
  <w:footnote w:type="continuationSeparator" w:id="0">
    <w:p w:rsidR="00A54711" w:rsidRDefault="00A54711" w:rsidP="006A55E0">
      <w:pPr>
        <w:spacing w:after="0"/>
      </w:pPr>
      <w:r>
        <w:continuationSeparator/>
      </w:r>
    </w:p>
  </w:footnote>
  <w:footnote w:id="1">
    <w:p w:rsidR="00201013" w:rsidRDefault="00201013" w:rsidP="008E4625">
      <w:pPr>
        <w:pStyle w:val="FootnoteText"/>
        <w:rPr>
          <w:lang w:val="en-US"/>
        </w:rPr>
      </w:pPr>
      <w:r>
        <w:rPr>
          <w:rStyle w:val="FootnoteReference"/>
          <w:rFonts w:eastAsiaTheme="majorEastAsia"/>
        </w:rPr>
        <w:footnoteRef/>
      </w:r>
      <w:r>
        <w:t xml:space="preserve"> </w:t>
      </w:r>
      <w:r>
        <w:rPr>
          <w:rFonts w:cstheme="minorHAnsi"/>
        </w:rPr>
        <w:t>Under Clause A17 of the NHRA, IHPA has determined a list of services (the ‘A17 List’) which IHPA is satisfied were provided by a particular hospital in 2010. These services are eligible for Commonwealth funding at the Local Hospital Network indicated in the list at</w:t>
      </w:r>
      <w:r>
        <w:rPr>
          <w:lang w:val="en-US"/>
        </w:rPr>
        <w:t xml:space="preserve"> Appendix A of the </w:t>
      </w:r>
      <w:r>
        <w:rPr>
          <w:i/>
          <w:lang w:val="en-US"/>
        </w:rPr>
        <w:t>National Efficient Price Determination 2016-17</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13" w:rsidRPr="004B071D" w:rsidRDefault="00741804" w:rsidP="000A51AD">
    <w:pPr>
      <w:pStyle w:val="Header"/>
      <w:tabs>
        <w:tab w:val="clear" w:pos="4513"/>
        <w:tab w:val="clear" w:pos="9026"/>
      </w:tabs>
      <w:spacing w:before="0"/>
      <w:ind w:right="380"/>
    </w:pPr>
    <w:sdt>
      <w:sdtPr>
        <w:alias w:val="Title"/>
        <w:tag w:val=""/>
        <w:id w:val="1029219038"/>
        <w:dataBinding w:prefixMappings="xmlns:ns0='http://purl.org/dc/elements/1.1/' xmlns:ns1='http://schemas.openxmlformats.org/package/2006/metadata/core-properties' " w:xpath="/ns1:coreProperties[1]/ns0:title[1]" w:storeItemID="{6C3C8BC8-F283-45AE-878A-BAB7291924A1}"/>
        <w:text/>
      </w:sdtPr>
      <w:sdtEndPr/>
      <w:sdtContent>
        <w:r w:rsidR="00201013">
          <w:t>Independent Hospital Pricing Authority – National Efficient Cost Determination 2016-17</w:t>
        </w:r>
      </w:sdtContent>
    </w:sdt>
    <w:r w:rsidR="0020101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13" w:rsidRDefault="00741804" w:rsidP="00136F35">
    <w:pPr>
      <w:pStyle w:val="Header"/>
      <w:tabs>
        <w:tab w:val="clear" w:pos="4513"/>
        <w:tab w:val="clear" w:pos="9026"/>
      </w:tabs>
      <w:ind w:right="379"/>
    </w:pPr>
    <w:sdt>
      <w:sdtPr>
        <w:alias w:val="Title"/>
        <w:tag w:val=""/>
        <w:id w:val="-712731298"/>
        <w:dataBinding w:prefixMappings="xmlns:ns0='http://purl.org/dc/elements/1.1/' xmlns:ns1='http://schemas.openxmlformats.org/package/2006/metadata/core-properties' " w:xpath="/ns1:coreProperties[1]/ns0:title[1]" w:storeItemID="{6C3C8BC8-F283-45AE-878A-BAB7291924A1}"/>
        <w:text/>
      </w:sdtPr>
      <w:sdtEndPr/>
      <w:sdtContent>
        <w:r w:rsidR="00201013">
          <w:t>Independent Hospital Pricing Authority – National Efficient Cost Determination 2016-17</w:t>
        </w:r>
      </w:sdtContent>
    </w:sdt>
  </w:p>
  <w:p w:rsidR="00201013" w:rsidRPr="004B071D" w:rsidRDefault="00201013" w:rsidP="00C969D9">
    <w:pPr>
      <w:pStyle w:val="Header"/>
      <w:tabs>
        <w:tab w:val="clear" w:pos="4513"/>
        <w:tab w:val="clear" w:pos="9026"/>
      </w:tabs>
      <w:ind w:right="619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21CE29E"/>
    <w:lvl w:ilvl="0">
      <w:start w:val="1"/>
      <w:numFmt w:val="bullet"/>
      <w:lvlText w:val=""/>
      <w:lvlJc w:val="left"/>
      <w:pPr>
        <w:tabs>
          <w:tab w:val="num" w:pos="360"/>
        </w:tabs>
        <w:ind w:left="360" w:hanging="360"/>
      </w:pPr>
      <w:rPr>
        <w:rFonts w:ascii="Symbol" w:hAnsi="Symbol" w:hint="default"/>
      </w:rPr>
    </w:lvl>
  </w:abstractNum>
  <w:abstractNum w:abstractNumId="1">
    <w:nsid w:val="01693A96"/>
    <w:multiLevelType w:val="hybridMultilevel"/>
    <w:tmpl w:val="806E63E2"/>
    <w:lvl w:ilvl="0" w:tplc="984C1FB0">
      <w:start w:val="6"/>
      <w:numFmt w:val="bullet"/>
      <w:lvlText w:val="-"/>
      <w:lvlJc w:val="left"/>
      <w:pPr>
        <w:ind w:left="1141" w:hanging="360"/>
      </w:pPr>
      <w:rPr>
        <w:rFonts w:ascii="Arial" w:eastAsiaTheme="minorHAnsi" w:hAnsi="Arial" w:cs="Aria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nsid w:val="02EE0347"/>
    <w:multiLevelType w:val="hybridMultilevel"/>
    <w:tmpl w:val="BA062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BE389F"/>
    <w:multiLevelType w:val="hybridMultilevel"/>
    <w:tmpl w:val="FA589B0E"/>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6E1A1E"/>
    <w:multiLevelType w:val="hybridMultilevel"/>
    <w:tmpl w:val="4C329DF0"/>
    <w:lvl w:ilvl="0" w:tplc="B66CE392">
      <w:start w:val="1"/>
      <w:numFmt w:val="bullet"/>
      <w:lvlText w:val=""/>
      <w:lvlJc w:val="left"/>
      <w:pPr>
        <w:ind w:left="720" w:hanging="360"/>
      </w:pPr>
      <w:rPr>
        <w:rFonts w:ascii="Wingdings" w:hAnsi="Wingdings" w:hint="default"/>
        <w:color w:val="0042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260A3B"/>
    <w:multiLevelType w:val="hybridMultilevel"/>
    <w:tmpl w:val="3B9E8FEC"/>
    <w:lvl w:ilvl="0" w:tplc="0366BD9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496D6E"/>
    <w:multiLevelType w:val="hybridMultilevel"/>
    <w:tmpl w:val="A59025DA"/>
    <w:lvl w:ilvl="0" w:tplc="752A2FF0">
      <w:start w:val="1"/>
      <w:numFmt w:val="lowerRoman"/>
      <w:lvlText w:val="(%1)"/>
      <w:lvlJc w:val="left"/>
      <w:pPr>
        <w:tabs>
          <w:tab w:val="num" w:pos="1800"/>
        </w:tabs>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DB91D99"/>
    <w:multiLevelType w:val="hybridMultilevel"/>
    <w:tmpl w:val="7A104024"/>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F5B561B"/>
    <w:multiLevelType w:val="hybridMultilevel"/>
    <w:tmpl w:val="08EECB92"/>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0387694"/>
    <w:multiLevelType w:val="hybridMultilevel"/>
    <w:tmpl w:val="211EC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4EE27E5"/>
    <w:multiLevelType w:val="hybridMultilevel"/>
    <w:tmpl w:val="4A68CBA4"/>
    <w:lvl w:ilvl="0" w:tplc="53B00ECE">
      <w:start w:val="9"/>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1">
    <w:nsid w:val="1A5A32B3"/>
    <w:multiLevelType w:val="hybridMultilevel"/>
    <w:tmpl w:val="ABF450E8"/>
    <w:lvl w:ilvl="0" w:tplc="574432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326750"/>
    <w:multiLevelType w:val="hybridMultilevel"/>
    <w:tmpl w:val="55586D0A"/>
    <w:lvl w:ilvl="0" w:tplc="B914B522">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A31DE3"/>
    <w:multiLevelType w:val="hybridMultilevel"/>
    <w:tmpl w:val="7BD8B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3400DF"/>
    <w:multiLevelType w:val="hybridMultilevel"/>
    <w:tmpl w:val="33CC8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8F67D3"/>
    <w:multiLevelType w:val="hybridMultilevel"/>
    <w:tmpl w:val="AA3C4F12"/>
    <w:lvl w:ilvl="0" w:tplc="8062B29E">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5BB3410"/>
    <w:multiLevelType w:val="hybridMultilevel"/>
    <w:tmpl w:val="2E501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A0196B"/>
    <w:multiLevelType w:val="hybridMultilevel"/>
    <w:tmpl w:val="60AAE444"/>
    <w:lvl w:ilvl="0" w:tplc="FC1A2002">
      <w:start w:val="1"/>
      <w:numFmt w:val="low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B191061"/>
    <w:multiLevelType w:val="hybridMultilevel"/>
    <w:tmpl w:val="FA4E43BE"/>
    <w:lvl w:ilvl="0" w:tplc="FF4EE61E">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AB7796"/>
    <w:multiLevelType w:val="hybridMultilevel"/>
    <w:tmpl w:val="FFBA272E"/>
    <w:lvl w:ilvl="0" w:tplc="D050193A">
      <w:start w:val="1"/>
      <w:numFmt w:val="lowerLetter"/>
      <w:lvlText w:val="(%1)"/>
      <w:lvlJc w:val="left"/>
      <w:pPr>
        <w:tabs>
          <w:tab w:val="num" w:pos="930"/>
        </w:tabs>
        <w:ind w:left="930" w:hanging="570"/>
      </w:pPr>
      <w:rPr>
        <w:rFonts w:cs="Times New Roman" w:hint="default"/>
      </w:rPr>
    </w:lvl>
    <w:lvl w:ilvl="1" w:tplc="752A2FF0">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BEB06A6"/>
    <w:multiLevelType w:val="hybridMultilevel"/>
    <w:tmpl w:val="035C196A"/>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2663D54"/>
    <w:multiLevelType w:val="hybridMultilevel"/>
    <w:tmpl w:val="C8726D18"/>
    <w:lvl w:ilvl="0" w:tplc="FF4EE61E">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CB27F9"/>
    <w:multiLevelType w:val="hybridMultilevel"/>
    <w:tmpl w:val="792859FE"/>
    <w:lvl w:ilvl="0" w:tplc="B914B522">
      <w:start w:val="1"/>
      <w:numFmt w:val="low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9071C5"/>
    <w:multiLevelType w:val="hybridMultilevel"/>
    <w:tmpl w:val="CD1C696C"/>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9C7475C"/>
    <w:multiLevelType w:val="hybridMultilevel"/>
    <w:tmpl w:val="24FAE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1C0EE7"/>
    <w:multiLevelType w:val="hybridMultilevel"/>
    <w:tmpl w:val="B06817D4"/>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FD042EF"/>
    <w:multiLevelType w:val="hybridMultilevel"/>
    <w:tmpl w:val="0E5652E2"/>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54F2116"/>
    <w:multiLevelType w:val="hybridMultilevel"/>
    <w:tmpl w:val="45A4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E22C09"/>
    <w:multiLevelType w:val="hybridMultilevel"/>
    <w:tmpl w:val="017E8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F90A9A"/>
    <w:multiLevelType w:val="hybridMultilevel"/>
    <w:tmpl w:val="0E288E6C"/>
    <w:lvl w:ilvl="0" w:tplc="984C1FB0">
      <w:start w:val="6"/>
      <w:numFmt w:val="bullet"/>
      <w:lvlText w:val="-"/>
      <w:lvlJc w:val="left"/>
      <w:pPr>
        <w:ind w:left="1074" w:hanging="360"/>
      </w:pPr>
      <w:rPr>
        <w:rFonts w:ascii="Arial" w:eastAsiaTheme="minorHAnsi" w:hAnsi="Arial"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0">
    <w:nsid w:val="4E2B0400"/>
    <w:multiLevelType w:val="multilevel"/>
    <w:tmpl w:val="3CB8B0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E513B40"/>
    <w:multiLevelType w:val="hybridMultilevel"/>
    <w:tmpl w:val="077222DE"/>
    <w:lvl w:ilvl="0" w:tplc="984C1FB0">
      <w:start w:val="6"/>
      <w:numFmt w:val="bullet"/>
      <w:lvlText w:val="-"/>
      <w:lvlJc w:val="left"/>
      <w:pPr>
        <w:ind w:left="1074" w:hanging="360"/>
      </w:pPr>
      <w:rPr>
        <w:rFonts w:ascii="Arial" w:eastAsiaTheme="minorHAnsi" w:hAnsi="Arial"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2">
    <w:nsid w:val="507312B6"/>
    <w:multiLevelType w:val="hybridMultilevel"/>
    <w:tmpl w:val="0E483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305404"/>
    <w:multiLevelType w:val="hybridMultilevel"/>
    <w:tmpl w:val="AAC4C648"/>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A1366D5"/>
    <w:multiLevelType w:val="hybridMultilevel"/>
    <w:tmpl w:val="949CBB4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5C6851D4"/>
    <w:multiLevelType w:val="hybridMultilevel"/>
    <w:tmpl w:val="F0B03638"/>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331112C"/>
    <w:multiLevelType w:val="hybridMultilevel"/>
    <w:tmpl w:val="A612B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4960F75"/>
    <w:multiLevelType w:val="hybridMultilevel"/>
    <w:tmpl w:val="37ECBD8E"/>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E2136CE"/>
    <w:multiLevelType w:val="hybridMultilevel"/>
    <w:tmpl w:val="DA881DB2"/>
    <w:lvl w:ilvl="0" w:tplc="8062B29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EA57427"/>
    <w:multiLevelType w:val="hybridMultilevel"/>
    <w:tmpl w:val="831C572A"/>
    <w:lvl w:ilvl="0" w:tplc="D050193A">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F5D1C27"/>
    <w:multiLevelType w:val="hybridMultilevel"/>
    <w:tmpl w:val="25163844"/>
    <w:lvl w:ilvl="0" w:tplc="0366BD9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00837BF"/>
    <w:multiLevelType w:val="hybridMultilevel"/>
    <w:tmpl w:val="F384942E"/>
    <w:lvl w:ilvl="0" w:tplc="F82AFC50">
      <w:start w:val="1"/>
      <w:numFmt w:val="lowerLetter"/>
      <w:lvlText w:val="(%1)"/>
      <w:lvlJc w:val="left"/>
      <w:pPr>
        <w:tabs>
          <w:tab w:val="num" w:pos="1137"/>
        </w:tabs>
        <w:ind w:left="1137" w:hanging="57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543E4270">
      <w:start w:val="2"/>
      <w:numFmt w:val="lowerRoman"/>
      <w:lvlText w:val="(%3)"/>
      <w:lvlJc w:val="left"/>
      <w:pPr>
        <w:tabs>
          <w:tab w:val="num" w:pos="2907"/>
        </w:tabs>
        <w:ind w:left="2907" w:hanging="720"/>
      </w:pPr>
      <w:rPr>
        <w:rFonts w:cs="Times New Roman" w:hint="default"/>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42">
    <w:nsid w:val="71627F06"/>
    <w:multiLevelType w:val="hybridMultilevel"/>
    <w:tmpl w:val="78421070"/>
    <w:lvl w:ilvl="0" w:tplc="B914B522">
      <w:start w:val="1"/>
      <w:numFmt w:val="lowerLetter"/>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2A86355"/>
    <w:multiLevelType w:val="hybridMultilevel"/>
    <w:tmpl w:val="53EAA1D4"/>
    <w:lvl w:ilvl="0" w:tplc="9C780CB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B2B6AC5"/>
    <w:multiLevelType w:val="hybridMultilevel"/>
    <w:tmpl w:val="BABAF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E363FB"/>
    <w:multiLevelType w:val="hybridMultilevel"/>
    <w:tmpl w:val="E53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FB0B08"/>
    <w:multiLevelType w:val="multilevel"/>
    <w:tmpl w:val="A2422F4E"/>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0"/>
  </w:num>
  <w:num w:numId="3">
    <w:abstractNumId w:val="19"/>
  </w:num>
  <w:num w:numId="4">
    <w:abstractNumId w:val="42"/>
  </w:num>
  <w:num w:numId="5">
    <w:abstractNumId w:val="8"/>
  </w:num>
  <w:num w:numId="6">
    <w:abstractNumId w:val="27"/>
  </w:num>
  <w:num w:numId="7">
    <w:abstractNumId w:val="40"/>
  </w:num>
  <w:num w:numId="8">
    <w:abstractNumId w:val="15"/>
  </w:num>
  <w:num w:numId="9">
    <w:abstractNumId w:val="37"/>
  </w:num>
  <w:num w:numId="10">
    <w:abstractNumId w:val="26"/>
  </w:num>
  <w:num w:numId="11">
    <w:abstractNumId w:val="5"/>
  </w:num>
  <w:num w:numId="12">
    <w:abstractNumId w:val="21"/>
  </w:num>
  <w:num w:numId="13">
    <w:abstractNumId w:val="2"/>
  </w:num>
  <w:num w:numId="14">
    <w:abstractNumId w:val="18"/>
  </w:num>
  <w:num w:numId="15">
    <w:abstractNumId w:val="14"/>
  </w:num>
  <w:num w:numId="16">
    <w:abstractNumId w:val="13"/>
  </w:num>
  <w:num w:numId="17">
    <w:abstractNumId w:val="28"/>
  </w:num>
  <w:num w:numId="18">
    <w:abstractNumId w:val="32"/>
  </w:num>
  <w:num w:numId="19">
    <w:abstractNumId w:val="6"/>
  </w:num>
  <w:num w:numId="20">
    <w:abstractNumId w:val="17"/>
  </w:num>
  <w:num w:numId="21">
    <w:abstractNumId w:val="20"/>
  </w:num>
  <w:num w:numId="22">
    <w:abstractNumId w:val="23"/>
  </w:num>
  <w:num w:numId="23">
    <w:abstractNumId w:val="38"/>
  </w:num>
  <w:num w:numId="24">
    <w:abstractNumId w:val="33"/>
  </w:num>
  <w:num w:numId="25">
    <w:abstractNumId w:val="41"/>
  </w:num>
  <w:num w:numId="26">
    <w:abstractNumId w:val="10"/>
  </w:num>
  <w:num w:numId="27">
    <w:abstractNumId w:val="35"/>
  </w:num>
  <w:num w:numId="28">
    <w:abstractNumId w:val="43"/>
  </w:num>
  <w:num w:numId="29">
    <w:abstractNumId w:val="25"/>
  </w:num>
  <w:num w:numId="30">
    <w:abstractNumId w:val="7"/>
  </w:num>
  <w:num w:numId="31">
    <w:abstractNumId w:val="46"/>
  </w:num>
  <w:num w:numId="32">
    <w:abstractNumId w:val="30"/>
  </w:num>
  <w:num w:numId="33">
    <w:abstractNumId w:val="22"/>
  </w:num>
  <w:num w:numId="34">
    <w:abstractNumId w:val="12"/>
  </w:num>
  <w:num w:numId="35">
    <w:abstractNumId w:val="3"/>
  </w:num>
  <w:num w:numId="36">
    <w:abstractNumId w:val="34"/>
  </w:num>
  <w:num w:numId="37">
    <w:abstractNumId w:val="16"/>
  </w:num>
  <w:num w:numId="38">
    <w:abstractNumId w:val="39"/>
  </w:num>
  <w:num w:numId="39">
    <w:abstractNumId w:val="36"/>
  </w:num>
  <w:num w:numId="40">
    <w:abstractNumId w:val="24"/>
  </w:num>
  <w:num w:numId="41">
    <w:abstractNumId w:val="11"/>
  </w:num>
  <w:num w:numId="42">
    <w:abstractNumId w:val="9"/>
  </w:num>
  <w:num w:numId="43">
    <w:abstractNumId w:val="45"/>
  </w:num>
  <w:num w:numId="44">
    <w:abstractNumId w:val="29"/>
  </w:num>
  <w:num w:numId="45">
    <w:abstractNumId w:val="1"/>
  </w:num>
  <w:num w:numId="46">
    <w:abstractNumId w:val="44"/>
  </w:num>
  <w:num w:numId="47">
    <w:abstractNumId w:val="31"/>
  </w:num>
  <w:num w:numId="4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0"/>
    <w:rsid w:val="0000367A"/>
    <w:rsid w:val="00011CCE"/>
    <w:rsid w:val="000170EE"/>
    <w:rsid w:val="0002403B"/>
    <w:rsid w:val="0002643E"/>
    <w:rsid w:val="0003061E"/>
    <w:rsid w:val="00030F6E"/>
    <w:rsid w:val="00035724"/>
    <w:rsid w:val="00042C80"/>
    <w:rsid w:val="000454D2"/>
    <w:rsid w:val="00046F34"/>
    <w:rsid w:val="00051651"/>
    <w:rsid w:val="0005211E"/>
    <w:rsid w:val="0005230F"/>
    <w:rsid w:val="00053CC4"/>
    <w:rsid w:val="00054E06"/>
    <w:rsid w:val="000565E5"/>
    <w:rsid w:val="00056A8B"/>
    <w:rsid w:val="0006166C"/>
    <w:rsid w:val="00062970"/>
    <w:rsid w:val="0007116B"/>
    <w:rsid w:val="00071ADC"/>
    <w:rsid w:val="00072690"/>
    <w:rsid w:val="000764C7"/>
    <w:rsid w:val="00085C55"/>
    <w:rsid w:val="000949ED"/>
    <w:rsid w:val="00096586"/>
    <w:rsid w:val="00097886"/>
    <w:rsid w:val="000A50FF"/>
    <w:rsid w:val="000A51AD"/>
    <w:rsid w:val="000A5FA0"/>
    <w:rsid w:val="000B0E5D"/>
    <w:rsid w:val="000B1EBC"/>
    <w:rsid w:val="000B2E78"/>
    <w:rsid w:val="000B2F1C"/>
    <w:rsid w:val="000B4D74"/>
    <w:rsid w:val="000B4FEB"/>
    <w:rsid w:val="000C2FA1"/>
    <w:rsid w:val="000C37E3"/>
    <w:rsid w:val="000C5DB9"/>
    <w:rsid w:val="000D2FFB"/>
    <w:rsid w:val="000D3590"/>
    <w:rsid w:val="000D6B00"/>
    <w:rsid w:val="000E2490"/>
    <w:rsid w:val="000F22FB"/>
    <w:rsid w:val="000F5AAD"/>
    <w:rsid w:val="000F6308"/>
    <w:rsid w:val="000F7DC2"/>
    <w:rsid w:val="00111313"/>
    <w:rsid w:val="00114320"/>
    <w:rsid w:val="00115221"/>
    <w:rsid w:val="0011586C"/>
    <w:rsid w:val="00115BD8"/>
    <w:rsid w:val="00126C98"/>
    <w:rsid w:val="00127BA4"/>
    <w:rsid w:val="00132DC1"/>
    <w:rsid w:val="00133ABB"/>
    <w:rsid w:val="00135C3B"/>
    <w:rsid w:val="00136F35"/>
    <w:rsid w:val="0013773F"/>
    <w:rsid w:val="00142DC6"/>
    <w:rsid w:val="00144A3D"/>
    <w:rsid w:val="00146E07"/>
    <w:rsid w:val="00153096"/>
    <w:rsid w:val="00157A64"/>
    <w:rsid w:val="00161E82"/>
    <w:rsid w:val="0016547D"/>
    <w:rsid w:val="00166194"/>
    <w:rsid w:val="00166BFD"/>
    <w:rsid w:val="00172224"/>
    <w:rsid w:val="00174827"/>
    <w:rsid w:val="00175DDB"/>
    <w:rsid w:val="00185C14"/>
    <w:rsid w:val="00186868"/>
    <w:rsid w:val="00191B30"/>
    <w:rsid w:val="001A0309"/>
    <w:rsid w:val="001A4652"/>
    <w:rsid w:val="001A6C59"/>
    <w:rsid w:val="001B2C45"/>
    <w:rsid w:val="001C19C6"/>
    <w:rsid w:val="001C4259"/>
    <w:rsid w:val="001D1742"/>
    <w:rsid w:val="001D3495"/>
    <w:rsid w:val="001D349D"/>
    <w:rsid w:val="001D3F13"/>
    <w:rsid w:val="001D41FB"/>
    <w:rsid w:val="001D6BDE"/>
    <w:rsid w:val="001D7EAC"/>
    <w:rsid w:val="001D7EEE"/>
    <w:rsid w:val="001E1531"/>
    <w:rsid w:val="001E3C61"/>
    <w:rsid w:val="001F1A29"/>
    <w:rsid w:val="001F1C19"/>
    <w:rsid w:val="001F2AB1"/>
    <w:rsid w:val="001F2F36"/>
    <w:rsid w:val="001F5C93"/>
    <w:rsid w:val="00201013"/>
    <w:rsid w:val="00201F45"/>
    <w:rsid w:val="00202561"/>
    <w:rsid w:val="00203E1D"/>
    <w:rsid w:val="002056B4"/>
    <w:rsid w:val="00205F97"/>
    <w:rsid w:val="0021399A"/>
    <w:rsid w:val="002226DC"/>
    <w:rsid w:val="00223F52"/>
    <w:rsid w:val="00224287"/>
    <w:rsid w:val="002278B0"/>
    <w:rsid w:val="00230766"/>
    <w:rsid w:val="00233BA0"/>
    <w:rsid w:val="00234356"/>
    <w:rsid w:val="00236475"/>
    <w:rsid w:val="00236835"/>
    <w:rsid w:val="0024356F"/>
    <w:rsid w:val="00247C2C"/>
    <w:rsid w:val="00251EA0"/>
    <w:rsid w:val="00252786"/>
    <w:rsid w:val="00255236"/>
    <w:rsid w:val="0026003B"/>
    <w:rsid w:val="00262C48"/>
    <w:rsid w:val="00263B14"/>
    <w:rsid w:val="00264AE5"/>
    <w:rsid w:val="00264FA5"/>
    <w:rsid w:val="00272FAF"/>
    <w:rsid w:val="00273412"/>
    <w:rsid w:val="0028235F"/>
    <w:rsid w:val="00282F67"/>
    <w:rsid w:val="00283EFA"/>
    <w:rsid w:val="002845EE"/>
    <w:rsid w:val="002873DA"/>
    <w:rsid w:val="00290356"/>
    <w:rsid w:val="00290473"/>
    <w:rsid w:val="002913E6"/>
    <w:rsid w:val="00292425"/>
    <w:rsid w:val="00293165"/>
    <w:rsid w:val="00296DB8"/>
    <w:rsid w:val="002A0164"/>
    <w:rsid w:val="002A4749"/>
    <w:rsid w:val="002A4777"/>
    <w:rsid w:val="002A7D9E"/>
    <w:rsid w:val="002A7F95"/>
    <w:rsid w:val="002B3B0A"/>
    <w:rsid w:val="002B3CAD"/>
    <w:rsid w:val="002B568D"/>
    <w:rsid w:val="002B769B"/>
    <w:rsid w:val="002C3D79"/>
    <w:rsid w:val="002C62E7"/>
    <w:rsid w:val="002D21D3"/>
    <w:rsid w:val="002D37A1"/>
    <w:rsid w:val="002E47E8"/>
    <w:rsid w:val="002F05F0"/>
    <w:rsid w:val="002F1603"/>
    <w:rsid w:val="002F3F33"/>
    <w:rsid w:val="002F464B"/>
    <w:rsid w:val="002F68FC"/>
    <w:rsid w:val="003029AB"/>
    <w:rsid w:val="00311FBA"/>
    <w:rsid w:val="0031342F"/>
    <w:rsid w:val="003148C5"/>
    <w:rsid w:val="00315929"/>
    <w:rsid w:val="003170C3"/>
    <w:rsid w:val="00317837"/>
    <w:rsid w:val="00320A93"/>
    <w:rsid w:val="003228B2"/>
    <w:rsid w:val="00325ACC"/>
    <w:rsid w:val="00327687"/>
    <w:rsid w:val="00330F85"/>
    <w:rsid w:val="00331E17"/>
    <w:rsid w:val="00332B55"/>
    <w:rsid w:val="00335A8F"/>
    <w:rsid w:val="00337DB1"/>
    <w:rsid w:val="00347C92"/>
    <w:rsid w:val="00355F95"/>
    <w:rsid w:val="003578C1"/>
    <w:rsid w:val="00360564"/>
    <w:rsid w:val="00360994"/>
    <w:rsid w:val="00363CE7"/>
    <w:rsid w:val="00366A42"/>
    <w:rsid w:val="003773F8"/>
    <w:rsid w:val="00390950"/>
    <w:rsid w:val="00392468"/>
    <w:rsid w:val="00393786"/>
    <w:rsid w:val="00395B30"/>
    <w:rsid w:val="00397D4D"/>
    <w:rsid w:val="003A3AD7"/>
    <w:rsid w:val="003A3D4C"/>
    <w:rsid w:val="003B5139"/>
    <w:rsid w:val="003C19CA"/>
    <w:rsid w:val="003C6D8E"/>
    <w:rsid w:val="003D70D5"/>
    <w:rsid w:val="003D7899"/>
    <w:rsid w:val="003E18B4"/>
    <w:rsid w:val="003E4AB9"/>
    <w:rsid w:val="003E57AE"/>
    <w:rsid w:val="003E6936"/>
    <w:rsid w:val="003F07EB"/>
    <w:rsid w:val="003F1474"/>
    <w:rsid w:val="004018C3"/>
    <w:rsid w:val="00405586"/>
    <w:rsid w:val="004164E1"/>
    <w:rsid w:val="004234FD"/>
    <w:rsid w:val="00423910"/>
    <w:rsid w:val="00424CD9"/>
    <w:rsid w:val="0043203E"/>
    <w:rsid w:val="00432711"/>
    <w:rsid w:val="0043749A"/>
    <w:rsid w:val="00442B21"/>
    <w:rsid w:val="004443CC"/>
    <w:rsid w:val="00445531"/>
    <w:rsid w:val="00445848"/>
    <w:rsid w:val="00447443"/>
    <w:rsid w:val="00450171"/>
    <w:rsid w:val="0045083E"/>
    <w:rsid w:val="004563BA"/>
    <w:rsid w:val="0046153A"/>
    <w:rsid w:val="00462F11"/>
    <w:rsid w:val="00482608"/>
    <w:rsid w:val="00485873"/>
    <w:rsid w:val="00490DCE"/>
    <w:rsid w:val="004916D0"/>
    <w:rsid w:val="00491CDF"/>
    <w:rsid w:val="004A3194"/>
    <w:rsid w:val="004A5754"/>
    <w:rsid w:val="004A6B66"/>
    <w:rsid w:val="004B071D"/>
    <w:rsid w:val="004B19EF"/>
    <w:rsid w:val="004B254A"/>
    <w:rsid w:val="004B2965"/>
    <w:rsid w:val="004B5024"/>
    <w:rsid w:val="004B5A59"/>
    <w:rsid w:val="004B6752"/>
    <w:rsid w:val="004C15AD"/>
    <w:rsid w:val="004C1A01"/>
    <w:rsid w:val="004C5008"/>
    <w:rsid w:val="004C503F"/>
    <w:rsid w:val="004D524E"/>
    <w:rsid w:val="004E14C4"/>
    <w:rsid w:val="004E19F0"/>
    <w:rsid w:val="004E7543"/>
    <w:rsid w:val="004F2FAF"/>
    <w:rsid w:val="004F5DB2"/>
    <w:rsid w:val="00500837"/>
    <w:rsid w:val="00503F58"/>
    <w:rsid w:val="00512F40"/>
    <w:rsid w:val="005165FC"/>
    <w:rsid w:val="0052204F"/>
    <w:rsid w:val="00525AAF"/>
    <w:rsid w:val="005265FF"/>
    <w:rsid w:val="005316AD"/>
    <w:rsid w:val="0053238E"/>
    <w:rsid w:val="00534558"/>
    <w:rsid w:val="00534D8E"/>
    <w:rsid w:val="00540F53"/>
    <w:rsid w:val="00543AC0"/>
    <w:rsid w:val="00544442"/>
    <w:rsid w:val="00546731"/>
    <w:rsid w:val="005666BA"/>
    <w:rsid w:val="00572BEF"/>
    <w:rsid w:val="00577688"/>
    <w:rsid w:val="00580771"/>
    <w:rsid w:val="00597285"/>
    <w:rsid w:val="005A4BE1"/>
    <w:rsid w:val="005B0F77"/>
    <w:rsid w:val="005B291E"/>
    <w:rsid w:val="005C23DD"/>
    <w:rsid w:val="005C7EE9"/>
    <w:rsid w:val="005D0AAB"/>
    <w:rsid w:val="005D7499"/>
    <w:rsid w:val="005E466A"/>
    <w:rsid w:val="005E47DE"/>
    <w:rsid w:val="005F0234"/>
    <w:rsid w:val="005F53D8"/>
    <w:rsid w:val="005F5A04"/>
    <w:rsid w:val="00611772"/>
    <w:rsid w:val="00613E59"/>
    <w:rsid w:val="00615425"/>
    <w:rsid w:val="006158E7"/>
    <w:rsid w:val="006173C7"/>
    <w:rsid w:val="006257F6"/>
    <w:rsid w:val="006279F5"/>
    <w:rsid w:val="006302D7"/>
    <w:rsid w:val="00632055"/>
    <w:rsid w:val="006407E3"/>
    <w:rsid w:val="00644DD8"/>
    <w:rsid w:val="006472C0"/>
    <w:rsid w:val="00651C8E"/>
    <w:rsid w:val="006524E7"/>
    <w:rsid w:val="00655AED"/>
    <w:rsid w:val="006573B7"/>
    <w:rsid w:val="0066237D"/>
    <w:rsid w:val="00663114"/>
    <w:rsid w:val="00672CAF"/>
    <w:rsid w:val="00674806"/>
    <w:rsid w:val="0068063D"/>
    <w:rsid w:val="00691FF9"/>
    <w:rsid w:val="0069224D"/>
    <w:rsid w:val="006946DB"/>
    <w:rsid w:val="006A39C0"/>
    <w:rsid w:val="006A55E0"/>
    <w:rsid w:val="006A7D79"/>
    <w:rsid w:val="006B03D6"/>
    <w:rsid w:val="006B40DF"/>
    <w:rsid w:val="006C1E9D"/>
    <w:rsid w:val="006C564B"/>
    <w:rsid w:val="006D0BA9"/>
    <w:rsid w:val="006D1104"/>
    <w:rsid w:val="006D63B5"/>
    <w:rsid w:val="006D7F4A"/>
    <w:rsid w:val="006E29D3"/>
    <w:rsid w:val="006E4FD3"/>
    <w:rsid w:val="006F0A93"/>
    <w:rsid w:val="006F6121"/>
    <w:rsid w:val="00702716"/>
    <w:rsid w:val="00711647"/>
    <w:rsid w:val="00711BFF"/>
    <w:rsid w:val="00717EE6"/>
    <w:rsid w:val="00720AF7"/>
    <w:rsid w:val="00727883"/>
    <w:rsid w:val="007345CD"/>
    <w:rsid w:val="00741804"/>
    <w:rsid w:val="00741A3F"/>
    <w:rsid w:val="00742E5B"/>
    <w:rsid w:val="0074518B"/>
    <w:rsid w:val="00745EBD"/>
    <w:rsid w:val="00756434"/>
    <w:rsid w:val="007569C8"/>
    <w:rsid w:val="00757671"/>
    <w:rsid w:val="007604F2"/>
    <w:rsid w:val="00760E8A"/>
    <w:rsid w:val="00771BEE"/>
    <w:rsid w:val="00773F70"/>
    <w:rsid w:val="00775A6C"/>
    <w:rsid w:val="00776005"/>
    <w:rsid w:val="00782AAB"/>
    <w:rsid w:val="00784805"/>
    <w:rsid w:val="00785850"/>
    <w:rsid w:val="00792C89"/>
    <w:rsid w:val="00792F11"/>
    <w:rsid w:val="00793D4D"/>
    <w:rsid w:val="00794313"/>
    <w:rsid w:val="007960FF"/>
    <w:rsid w:val="007A3B4D"/>
    <w:rsid w:val="007A5B54"/>
    <w:rsid w:val="007A6284"/>
    <w:rsid w:val="007B1BE8"/>
    <w:rsid w:val="007B50C4"/>
    <w:rsid w:val="007C1CBA"/>
    <w:rsid w:val="007C3653"/>
    <w:rsid w:val="007C4F02"/>
    <w:rsid w:val="007D00FE"/>
    <w:rsid w:val="007E14E6"/>
    <w:rsid w:val="007E470C"/>
    <w:rsid w:val="007E4728"/>
    <w:rsid w:val="007F0474"/>
    <w:rsid w:val="007F191A"/>
    <w:rsid w:val="007F6C28"/>
    <w:rsid w:val="007F6F22"/>
    <w:rsid w:val="007F7C44"/>
    <w:rsid w:val="00800E03"/>
    <w:rsid w:val="008013CD"/>
    <w:rsid w:val="00801720"/>
    <w:rsid w:val="00802342"/>
    <w:rsid w:val="008037B8"/>
    <w:rsid w:val="00803800"/>
    <w:rsid w:val="00804794"/>
    <w:rsid w:val="00804B89"/>
    <w:rsid w:val="00806318"/>
    <w:rsid w:val="0080754E"/>
    <w:rsid w:val="00814FBC"/>
    <w:rsid w:val="008202A2"/>
    <w:rsid w:val="00821BF8"/>
    <w:rsid w:val="0082685D"/>
    <w:rsid w:val="00840BE5"/>
    <w:rsid w:val="00841E2F"/>
    <w:rsid w:val="00842B18"/>
    <w:rsid w:val="00842C34"/>
    <w:rsid w:val="00846072"/>
    <w:rsid w:val="00847319"/>
    <w:rsid w:val="00847AD0"/>
    <w:rsid w:val="008679F2"/>
    <w:rsid w:val="00871E23"/>
    <w:rsid w:val="00876FA2"/>
    <w:rsid w:val="00877BD5"/>
    <w:rsid w:val="008812FA"/>
    <w:rsid w:val="00890EA7"/>
    <w:rsid w:val="0089548C"/>
    <w:rsid w:val="008A135C"/>
    <w:rsid w:val="008A367E"/>
    <w:rsid w:val="008B0084"/>
    <w:rsid w:val="008B48D6"/>
    <w:rsid w:val="008B4CE5"/>
    <w:rsid w:val="008B4D63"/>
    <w:rsid w:val="008B72AA"/>
    <w:rsid w:val="008C6B6B"/>
    <w:rsid w:val="008D1417"/>
    <w:rsid w:val="008D3158"/>
    <w:rsid w:val="008D498B"/>
    <w:rsid w:val="008D73FF"/>
    <w:rsid w:val="008E34A0"/>
    <w:rsid w:val="008E3763"/>
    <w:rsid w:val="008E4625"/>
    <w:rsid w:val="008E7EA2"/>
    <w:rsid w:val="008F3A7C"/>
    <w:rsid w:val="008F3FB6"/>
    <w:rsid w:val="008F5E43"/>
    <w:rsid w:val="008F6B0D"/>
    <w:rsid w:val="008F77E9"/>
    <w:rsid w:val="00905FE5"/>
    <w:rsid w:val="0091331D"/>
    <w:rsid w:val="00913D19"/>
    <w:rsid w:val="00917A25"/>
    <w:rsid w:val="00920E98"/>
    <w:rsid w:val="00921CAD"/>
    <w:rsid w:val="00925E92"/>
    <w:rsid w:val="00931413"/>
    <w:rsid w:val="009339AE"/>
    <w:rsid w:val="00936E59"/>
    <w:rsid w:val="009408E7"/>
    <w:rsid w:val="0094782A"/>
    <w:rsid w:val="00950386"/>
    <w:rsid w:val="00951910"/>
    <w:rsid w:val="0095419C"/>
    <w:rsid w:val="00964CA9"/>
    <w:rsid w:val="00965AF3"/>
    <w:rsid w:val="00967460"/>
    <w:rsid w:val="00972FAE"/>
    <w:rsid w:val="00981240"/>
    <w:rsid w:val="00983F26"/>
    <w:rsid w:val="009875CA"/>
    <w:rsid w:val="009940F2"/>
    <w:rsid w:val="00997AA1"/>
    <w:rsid w:val="009A413D"/>
    <w:rsid w:val="009B1502"/>
    <w:rsid w:val="009B1E3A"/>
    <w:rsid w:val="009B4124"/>
    <w:rsid w:val="009B498A"/>
    <w:rsid w:val="009B4BE5"/>
    <w:rsid w:val="009C3A32"/>
    <w:rsid w:val="009C4CCE"/>
    <w:rsid w:val="009C4D3F"/>
    <w:rsid w:val="009C5D10"/>
    <w:rsid w:val="009D4837"/>
    <w:rsid w:val="009D7036"/>
    <w:rsid w:val="009E242F"/>
    <w:rsid w:val="009E60AB"/>
    <w:rsid w:val="009E617F"/>
    <w:rsid w:val="009E755B"/>
    <w:rsid w:val="009F0944"/>
    <w:rsid w:val="009F24D2"/>
    <w:rsid w:val="009F4D16"/>
    <w:rsid w:val="00A01C87"/>
    <w:rsid w:val="00A02F4F"/>
    <w:rsid w:val="00A046C0"/>
    <w:rsid w:val="00A04FFF"/>
    <w:rsid w:val="00A05ED1"/>
    <w:rsid w:val="00A07DFA"/>
    <w:rsid w:val="00A16938"/>
    <w:rsid w:val="00A25DB6"/>
    <w:rsid w:val="00A26332"/>
    <w:rsid w:val="00A26D98"/>
    <w:rsid w:val="00A27A6F"/>
    <w:rsid w:val="00A30493"/>
    <w:rsid w:val="00A40D8A"/>
    <w:rsid w:val="00A41322"/>
    <w:rsid w:val="00A53D21"/>
    <w:rsid w:val="00A54711"/>
    <w:rsid w:val="00A550BA"/>
    <w:rsid w:val="00A55F80"/>
    <w:rsid w:val="00A65ACA"/>
    <w:rsid w:val="00A65D09"/>
    <w:rsid w:val="00A674D0"/>
    <w:rsid w:val="00A72BC8"/>
    <w:rsid w:val="00A7319D"/>
    <w:rsid w:val="00A73906"/>
    <w:rsid w:val="00A773B5"/>
    <w:rsid w:val="00A80466"/>
    <w:rsid w:val="00A8261C"/>
    <w:rsid w:val="00A849B5"/>
    <w:rsid w:val="00A852ED"/>
    <w:rsid w:val="00A93332"/>
    <w:rsid w:val="00A93EDF"/>
    <w:rsid w:val="00A94EA3"/>
    <w:rsid w:val="00A96517"/>
    <w:rsid w:val="00A96D37"/>
    <w:rsid w:val="00A973FE"/>
    <w:rsid w:val="00AC339C"/>
    <w:rsid w:val="00AC6DF8"/>
    <w:rsid w:val="00AC75B9"/>
    <w:rsid w:val="00AE5DC2"/>
    <w:rsid w:val="00AE7501"/>
    <w:rsid w:val="00AF08A0"/>
    <w:rsid w:val="00AF1A5E"/>
    <w:rsid w:val="00AF1DB3"/>
    <w:rsid w:val="00AF685C"/>
    <w:rsid w:val="00AF72C7"/>
    <w:rsid w:val="00B0013E"/>
    <w:rsid w:val="00B00BF7"/>
    <w:rsid w:val="00B05219"/>
    <w:rsid w:val="00B06D01"/>
    <w:rsid w:val="00B131EC"/>
    <w:rsid w:val="00B16C67"/>
    <w:rsid w:val="00B25562"/>
    <w:rsid w:val="00B25ADF"/>
    <w:rsid w:val="00B276B4"/>
    <w:rsid w:val="00B31D7A"/>
    <w:rsid w:val="00B32BE0"/>
    <w:rsid w:val="00B3331F"/>
    <w:rsid w:val="00B437EE"/>
    <w:rsid w:val="00B4448D"/>
    <w:rsid w:val="00B476BE"/>
    <w:rsid w:val="00B549F7"/>
    <w:rsid w:val="00B6536B"/>
    <w:rsid w:val="00B67A37"/>
    <w:rsid w:val="00B71318"/>
    <w:rsid w:val="00B746D8"/>
    <w:rsid w:val="00B80B3F"/>
    <w:rsid w:val="00B8290B"/>
    <w:rsid w:val="00B82BFE"/>
    <w:rsid w:val="00B87641"/>
    <w:rsid w:val="00B91B55"/>
    <w:rsid w:val="00B92773"/>
    <w:rsid w:val="00B93D8E"/>
    <w:rsid w:val="00BB1EC0"/>
    <w:rsid w:val="00BB256D"/>
    <w:rsid w:val="00BB26D4"/>
    <w:rsid w:val="00BB3F7F"/>
    <w:rsid w:val="00BC472B"/>
    <w:rsid w:val="00BC6A29"/>
    <w:rsid w:val="00BC7996"/>
    <w:rsid w:val="00BD4C0F"/>
    <w:rsid w:val="00BE22E6"/>
    <w:rsid w:val="00BE24DC"/>
    <w:rsid w:val="00BE3260"/>
    <w:rsid w:val="00BF1912"/>
    <w:rsid w:val="00C113C5"/>
    <w:rsid w:val="00C121EF"/>
    <w:rsid w:val="00C13526"/>
    <w:rsid w:val="00C16496"/>
    <w:rsid w:val="00C17A88"/>
    <w:rsid w:val="00C225BF"/>
    <w:rsid w:val="00C24982"/>
    <w:rsid w:val="00C25D6C"/>
    <w:rsid w:val="00C260DC"/>
    <w:rsid w:val="00C32A1D"/>
    <w:rsid w:val="00C36555"/>
    <w:rsid w:val="00C41C93"/>
    <w:rsid w:val="00C42121"/>
    <w:rsid w:val="00C44016"/>
    <w:rsid w:val="00C46403"/>
    <w:rsid w:val="00C47105"/>
    <w:rsid w:val="00C54159"/>
    <w:rsid w:val="00C56E00"/>
    <w:rsid w:val="00C63F3A"/>
    <w:rsid w:val="00C642D7"/>
    <w:rsid w:val="00C75904"/>
    <w:rsid w:val="00C77262"/>
    <w:rsid w:val="00C845A5"/>
    <w:rsid w:val="00C864ED"/>
    <w:rsid w:val="00C918E3"/>
    <w:rsid w:val="00C96508"/>
    <w:rsid w:val="00C969D9"/>
    <w:rsid w:val="00C970E6"/>
    <w:rsid w:val="00CA0EA6"/>
    <w:rsid w:val="00CA5B58"/>
    <w:rsid w:val="00CA70E9"/>
    <w:rsid w:val="00CA79CB"/>
    <w:rsid w:val="00CB11AC"/>
    <w:rsid w:val="00CC1D06"/>
    <w:rsid w:val="00CE55D2"/>
    <w:rsid w:val="00CF0236"/>
    <w:rsid w:val="00CF25F9"/>
    <w:rsid w:val="00CF3555"/>
    <w:rsid w:val="00CF38B2"/>
    <w:rsid w:val="00CF3C03"/>
    <w:rsid w:val="00CF431C"/>
    <w:rsid w:val="00CF6D19"/>
    <w:rsid w:val="00D00AF0"/>
    <w:rsid w:val="00D00B18"/>
    <w:rsid w:val="00D00BC4"/>
    <w:rsid w:val="00D00FC3"/>
    <w:rsid w:val="00D04150"/>
    <w:rsid w:val="00D07729"/>
    <w:rsid w:val="00D07F6E"/>
    <w:rsid w:val="00D1662D"/>
    <w:rsid w:val="00D23361"/>
    <w:rsid w:val="00D23C0A"/>
    <w:rsid w:val="00D253BE"/>
    <w:rsid w:val="00D25C8D"/>
    <w:rsid w:val="00D27968"/>
    <w:rsid w:val="00D3578F"/>
    <w:rsid w:val="00D368B3"/>
    <w:rsid w:val="00D36D0C"/>
    <w:rsid w:val="00D40BFF"/>
    <w:rsid w:val="00D4171E"/>
    <w:rsid w:val="00D421B4"/>
    <w:rsid w:val="00D46C37"/>
    <w:rsid w:val="00D478E8"/>
    <w:rsid w:val="00D50000"/>
    <w:rsid w:val="00D57689"/>
    <w:rsid w:val="00D6030D"/>
    <w:rsid w:val="00D61874"/>
    <w:rsid w:val="00D620CA"/>
    <w:rsid w:val="00D64413"/>
    <w:rsid w:val="00D648E8"/>
    <w:rsid w:val="00D65FD1"/>
    <w:rsid w:val="00D75081"/>
    <w:rsid w:val="00D76B1D"/>
    <w:rsid w:val="00D77D5D"/>
    <w:rsid w:val="00D803FE"/>
    <w:rsid w:val="00D8061C"/>
    <w:rsid w:val="00D82F4A"/>
    <w:rsid w:val="00D84E0F"/>
    <w:rsid w:val="00D8541E"/>
    <w:rsid w:val="00D87F12"/>
    <w:rsid w:val="00D9251B"/>
    <w:rsid w:val="00D936BC"/>
    <w:rsid w:val="00D94D28"/>
    <w:rsid w:val="00D953E1"/>
    <w:rsid w:val="00DA6C30"/>
    <w:rsid w:val="00DA7D52"/>
    <w:rsid w:val="00DB17F6"/>
    <w:rsid w:val="00DB5D9F"/>
    <w:rsid w:val="00DB6389"/>
    <w:rsid w:val="00DB6A93"/>
    <w:rsid w:val="00DB79D1"/>
    <w:rsid w:val="00DB7AF5"/>
    <w:rsid w:val="00DC16B3"/>
    <w:rsid w:val="00DC52D7"/>
    <w:rsid w:val="00DC6A18"/>
    <w:rsid w:val="00DD0C5D"/>
    <w:rsid w:val="00DD3DD0"/>
    <w:rsid w:val="00DD511E"/>
    <w:rsid w:val="00DD698F"/>
    <w:rsid w:val="00DD7FF5"/>
    <w:rsid w:val="00DF1800"/>
    <w:rsid w:val="00DF24DA"/>
    <w:rsid w:val="00DF2614"/>
    <w:rsid w:val="00E0294A"/>
    <w:rsid w:val="00E055FF"/>
    <w:rsid w:val="00E12FB7"/>
    <w:rsid w:val="00E17501"/>
    <w:rsid w:val="00E178EA"/>
    <w:rsid w:val="00E26201"/>
    <w:rsid w:val="00E27865"/>
    <w:rsid w:val="00E47944"/>
    <w:rsid w:val="00E60606"/>
    <w:rsid w:val="00E6074F"/>
    <w:rsid w:val="00E64156"/>
    <w:rsid w:val="00E65FCC"/>
    <w:rsid w:val="00E666BF"/>
    <w:rsid w:val="00E66805"/>
    <w:rsid w:val="00E67366"/>
    <w:rsid w:val="00E75752"/>
    <w:rsid w:val="00E76384"/>
    <w:rsid w:val="00E82166"/>
    <w:rsid w:val="00E8677C"/>
    <w:rsid w:val="00E908F2"/>
    <w:rsid w:val="00E972C1"/>
    <w:rsid w:val="00EA4848"/>
    <w:rsid w:val="00EB03C0"/>
    <w:rsid w:val="00EB2D3D"/>
    <w:rsid w:val="00EC4F55"/>
    <w:rsid w:val="00EC6104"/>
    <w:rsid w:val="00EC68AC"/>
    <w:rsid w:val="00ED0DEB"/>
    <w:rsid w:val="00ED3319"/>
    <w:rsid w:val="00ED69AA"/>
    <w:rsid w:val="00EE40EF"/>
    <w:rsid w:val="00EF1B05"/>
    <w:rsid w:val="00EF2956"/>
    <w:rsid w:val="00EF2DDF"/>
    <w:rsid w:val="00EF44A0"/>
    <w:rsid w:val="00EF6300"/>
    <w:rsid w:val="00F0361B"/>
    <w:rsid w:val="00F06398"/>
    <w:rsid w:val="00F070BD"/>
    <w:rsid w:val="00F174B3"/>
    <w:rsid w:val="00F2134A"/>
    <w:rsid w:val="00F22934"/>
    <w:rsid w:val="00F24993"/>
    <w:rsid w:val="00F32430"/>
    <w:rsid w:val="00F41C06"/>
    <w:rsid w:val="00F4729A"/>
    <w:rsid w:val="00F6683D"/>
    <w:rsid w:val="00F66F83"/>
    <w:rsid w:val="00F70C08"/>
    <w:rsid w:val="00F70E1A"/>
    <w:rsid w:val="00F71D2D"/>
    <w:rsid w:val="00F76B1D"/>
    <w:rsid w:val="00F777FF"/>
    <w:rsid w:val="00F91173"/>
    <w:rsid w:val="00F9559E"/>
    <w:rsid w:val="00FA481E"/>
    <w:rsid w:val="00FB3D90"/>
    <w:rsid w:val="00FB4DA4"/>
    <w:rsid w:val="00FB5698"/>
    <w:rsid w:val="00FC2F75"/>
    <w:rsid w:val="00FC5602"/>
    <w:rsid w:val="00FC61BE"/>
    <w:rsid w:val="00FC77D5"/>
    <w:rsid w:val="00FD485A"/>
    <w:rsid w:val="00FD48CC"/>
    <w:rsid w:val="00FE0DBD"/>
    <w:rsid w:val="00FE181D"/>
    <w:rsid w:val="00FE1BED"/>
    <w:rsid w:val="00FE1EC3"/>
    <w:rsid w:val="00FE462A"/>
    <w:rsid w:val="00FE49D6"/>
    <w:rsid w:val="00FF1077"/>
    <w:rsid w:val="00FF64DF"/>
    <w:rsid w:val="00FF7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semiHidden="0" w:unhideWhenUsed="0" w:qFormat="1"/>
    <w:lsdException w:name="List Bullet 2" w:semiHidden="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63F3A"/>
    <w:pPr>
      <w:spacing w:line="240" w:lineRule="auto"/>
    </w:pPr>
  </w:style>
  <w:style w:type="paragraph" w:styleId="Heading1">
    <w:name w:val="heading 1"/>
    <w:basedOn w:val="Normal"/>
    <w:next w:val="Normal"/>
    <w:link w:val="Heading1Char"/>
    <w:qFormat/>
    <w:rsid w:val="005F53D8"/>
    <w:pPr>
      <w:keepNext/>
      <w:keepLines/>
      <w:spacing w:before="200" w:after="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qFormat/>
    <w:rsid w:val="00FD485A"/>
    <w:pPr>
      <w:keepNext/>
      <w:keepLines/>
      <w:spacing w:before="200" w:after="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qFormat/>
    <w:rsid w:val="00FD485A"/>
    <w:pPr>
      <w:keepNext/>
      <w:keepLines/>
      <w:spacing w:before="200" w:after="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FD485A"/>
    <w:pPr>
      <w:keepNext/>
      <w:keepLines/>
      <w:spacing w:before="200" w:after="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qFormat/>
    <w:rsid w:val="00FD485A"/>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qFormat/>
    <w:rsid w:val="00223F5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F53D8"/>
    <w:rPr>
      <w:rFonts w:asciiTheme="majorHAnsi" w:eastAsiaTheme="majorEastAsia" w:hAnsiTheme="majorHAnsi" w:cstheme="majorBidi"/>
      <w:b/>
      <w:bCs/>
      <w:color w:val="008A00" w:themeColor="background2"/>
      <w:sz w:val="32"/>
      <w:szCs w:val="28"/>
    </w:rPr>
  </w:style>
  <w:style w:type="character" w:customStyle="1" w:styleId="Heading2Char">
    <w:name w:val="Heading 2 Char"/>
    <w:basedOn w:val="DefaultParagraphFont"/>
    <w:link w:val="Heading2"/>
    <w:uiPriority w:val="6"/>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7"/>
    <w:rsid w:val="00FD485A"/>
    <w:rPr>
      <w:rFonts w:asciiTheme="majorHAnsi" w:eastAsiaTheme="majorEastAsia" w:hAnsiTheme="majorHAnsi" w:cstheme="majorBidi"/>
      <w:b/>
      <w:bCs/>
      <w:color w:val="004200" w:themeColor="text2"/>
      <w:sz w:val="26"/>
    </w:rPr>
  </w:style>
  <w:style w:type="character" w:customStyle="1" w:styleId="Heading4Char">
    <w:name w:val="Heading 4 Char"/>
    <w:basedOn w:val="DefaultParagraphFont"/>
    <w:link w:val="Heading4"/>
    <w:rsid w:val="00FD485A"/>
    <w:rPr>
      <w:rFonts w:asciiTheme="majorHAnsi" w:eastAsiaTheme="majorEastAsia" w:hAnsiTheme="majorHAnsi" w:cstheme="majorBidi"/>
      <w:b/>
      <w:bCs/>
      <w:iCs/>
      <w:color w:val="000000" w:themeColor="accent1"/>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uiPriority w:val="9"/>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11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paragraph" w:styleId="ListParagraph">
    <w:name w:val="List Paragraph"/>
    <w:basedOn w:val="Normal"/>
    <w:link w:val="ListParagraphChar"/>
    <w:uiPriority w:val="34"/>
    <w:qFormat/>
    <w:rsid w:val="004C15AD"/>
    <w:pPr>
      <w:ind w:left="720"/>
      <w:contextualSpacing/>
    </w:pPr>
  </w:style>
  <w:style w:type="paragraph" w:styleId="Quote">
    <w:name w:val="Quote"/>
    <w:basedOn w:val="Normal"/>
    <w:next w:val="Normal"/>
    <w:link w:val="QuoteChar"/>
    <w:uiPriority w:val="29"/>
    <w:qFormat/>
    <w:rsid w:val="00335A8F"/>
    <w:rPr>
      <w:i/>
      <w:iCs/>
      <w:color w:val="000000" w:themeColor="text1"/>
    </w:rPr>
  </w:style>
  <w:style w:type="character" w:customStyle="1" w:styleId="QuoteChar">
    <w:name w:val="Quote Char"/>
    <w:basedOn w:val="DefaultParagraphFont"/>
    <w:link w:val="Quote"/>
    <w:uiPriority w:val="29"/>
    <w:rsid w:val="006D7F4A"/>
    <w:rPr>
      <w:i/>
      <w:iCs/>
      <w:color w:val="000000" w:themeColor="text1"/>
      <w:sz w:val="24"/>
    </w:rPr>
  </w:style>
  <w:style w:type="paragraph" w:customStyle="1" w:styleId="Bullet1">
    <w:name w:val="Bullet 1"/>
    <w:basedOn w:val="Normal"/>
    <w:uiPriority w:val="34"/>
    <w:semiHidden/>
    <w:rsid w:val="00800E03"/>
    <w:pPr>
      <w:ind w:left="720" w:hanging="360"/>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ind w:left="6804" w:right="260"/>
      <w:contextualSpacing/>
      <w:jc w:val="right"/>
    </w:pPr>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character" w:customStyle="1" w:styleId="SubtitleChar">
    <w:name w:val="Subtitle Char"/>
    <w:basedOn w:val="DefaultParagraphFont"/>
    <w:link w:val="Subtitle"/>
    <w:rsid w:val="00185C14"/>
    <w:rPr>
      <w:rFonts w:asciiTheme="majorHAnsi" w:eastAsiaTheme="majorEastAsia" w:hAnsiTheme="majorHAnsi" w:cstheme="majorBidi"/>
      <w:iCs/>
      <w:color w:val="000000" w:themeColor="accent1"/>
      <w:spacing w:val="15"/>
      <w:sz w:val="40"/>
      <w:szCs w:val="40"/>
    </w:rPr>
  </w:style>
  <w:style w:type="character" w:customStyle="1" w:styleId="TitleChar">
    <w:name w:val="Title Char"/>
    <w:aliases w:val="Title Artwork Char"/>
    <w:basedOn w:val="DefaultParagraphFont"/>
    <w:link w:val="Title"/>
    <w:rsid w:val="0007116B"/>
    <w:rPr>
      <w:rFonts w:asciiTheme="majorHAnsi" w:eastAsiaTheme="majorEastAsia" w:hAnsiTheme="majorHAnsi" w:cstheme="majorBidi"/>
      <w:color w:val="000000" w:themeColor="text1"/>
      <w:spacing w:val="5"/>
      <w:kern w:val="28"/>
      <w:sz w:val="52"/>
      <w:szCs w:val="52"/>
    </w:rPr>
  </w:style>
  <w:style w:type="paragraph" w:styleId="BalloonText">
    <w:name w:val="Balloon Text"/>
    <w:basedOn w:val="Normal"/>
    <w:link w:val="BalloonTextChar"/>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rsid w:val="008B0084"/>
    <w:rPr>
      <w:rFonts w:ascii="Tahoma" w:hAnsi="Tahoma" w:cs="Tahoma"/>
      <w:sz w:val="16"/>
      <w:szCs w:val="16"/>
    </w:rPr>
  </w:style>
  <w:style w:type="paragraph" w:customStyle="1" w:styleId="Covernote">
    <w:name w:val="Cover note"/>
    <w:basedOn w:val="Normal"/>
    <w:next w:val="Normal"/>
    <w:uiPriority w:val="14"/>
    <w:rsid w:val="006472C0"/>
    <w:rPr>
      <w:i/>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397D4D"/>
    <w:pPr>
      <w:tabs>
        <w:tab w:val="num" w:pos="720"/>
      </w:tabs>
      <w:ind w:left="720" w:hanging="360"/>
      <w:contextualSpacing/>
    </w:pPr>
  </w:style>
  <w:style w:type="paragraph" w:styleId="ListBullet2">
    <w:name w:val="List Bullet 2"/>
    <w:basedOn w:val="ListBullet"/>
    <w:uiPriority w:val="3"/>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qFormat/>
    <w:rsid w:val="009E755B"/>
    <w:rPr>
      <w:i/>
      <w:iCs/>
    </w:rPr>
  </w:style>
  <w:style w:type="character" w:styleId="Strong">
    <w:name w:val="Strong"/>
    <w:basedOn w:val="DefaultParagraphFont"/>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0F6308"/>
    <w:rPr>
      <w:bCs/>
      <w:color w:val="000000" w:themeColor="accent1"/>
      <w:szCs w:val="18"/>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styleId="PageNumber">
    <w:name w:val="page number"/>
    <w:basedOn w:val="DefaultParagraphFont"/>
    <w:rsid w:val="00136F35"/>
    <w:rPr>
      <w:rFonts w:cs="Times New Roman"/>
    </w:rPr>
  </w:style>
  <w:style w:type="paragraph" w:customStyle="1" w:styleId="Tabular">
    <w:name w:val="Tabular"/>
    <w:basedOn w:val="Heading2"/>
    <w:rsid w:val="00136F35"/>
    <w:pPr>
      <w:keepLines w:val="0"/>
      <w:spacing w:before="240" w:after="0"/>
    </w:pPr>
    <w:rPr>
      <w:rFonts w:ascii="Arial" w:eastAsia="Times New Roman" w:hAnsi="Arial" w:cs="Arial"/>
      <w:color w:val="auto"/>
      <w:sz w:val="26"/>
      <w:szCs w:val="26"/>
      <w:lang w:eastAsia="en-AU"/>
    </w:rPr>
  </w:style>
  <w:style w:type="paragraph" w:styleId="TOC5">
    <w:name w:val="toc 5"/>
    <w:basedOn w:val="Normal"/>
    <w:next w:val="Normal"/>
    <w:autoRedefine/>
    <w:semiHidden/>
    <w:rsid w:val="00136F35"/>
    <w:pPr>
      <w:spacing w:after="0"/>
      <w:ind w:left="960"/>
    </w:pPr>
    <w:rPr>
      <w:rFonts w:ascii="Arial" w:eastAsia="Times New Roman" w:hAnsi="Arial" w:cs="Times New Roman"/>
      <w:sz w:val="18"/>
      <w:szCs w:val="18"/>
      <w:lang w:eastAsia="en-AU"/>
    </w:rPr>
  </w:style>
  <w:style w:type="character" w:styleId="FollowedHyperlink">
    <w:name w:val="FollowedHyperlink"/>
    <w:basedOn w:val="DefaultParagraphFont"/>
    <w:uiPriority w:val="99"/>
    <w:rsid w:val="00136F35"/>
    <w:rPr>
      <w:color w:val="008080"/>
      <w:u w:val="single"/>
    </w:rPr>
  </w:style>
  <w:style w:type="paragraph" w:styleId="FootnoteText">
    <w:name w:val="footnote text"/>
    <w:basedOn w:val="Normal"/>
    <w:link w:val="FootnoteTextChar"/>
    <w:semiHidden/>
    <w:rsid w:val="00136F35"/>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136F35"/>
    <w:rPr>
      <w:rFonts w:ascii="Arial" w:eastAsia="Times New Roman" w:hAnsi="Arial" w:cs="Times New Roman"/>
      <w:sz w:val="20"/>
      <w:szCs w:val="20"/>
      <w:lang w:eastAsia="en-AU"/>
    </w:rPr>
  </w:style>
  <w:style w:type="character" w:styleId="FootnoteReference">
    <w:name w:val="footnote reference"/>
    <w:basedOn w:val="DefaultParagraphFont"/>
    <w:semiHidden/>
    <w:rsid w:val="00136F35"/>
    <w:rPr>
      <w:vertAlign w:val="superscript"/>
    </w:rPr>
  </w:style>
  <w:style w:type="character" w:styleId="CommentReference">
    <w:name w:val="annotation reference"/>
    <w:basedOn w:val="DefaultParagraphFont"/>
    <w:rsid w:val="00136F35"/>
    <w:rPr>
      <w:sz w:val="16"/>
      <w:szCs w:val="16"/>
    </w:rPr>
  </w:style>
  <w:style w:type="paragraph" w:styleId="CommentText">
    <w:name w:val="annotation text"/>
    <w:basedOn w:val="Normal"/>
    <w:link w:val="CommentTextChar"/>
    <w:rsid w:val="00136F35"/>
    <w:pPr>
      <w:spacing w:after="0"/>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136F3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136F35"/>
    <w:rPr>
      <w:b/>
      <w:bCs/>
    </w:rPr>
  </w:style>
  <w:style w:type="character" w:customStyle="1" w:styleId="CommentSubjectChar">
    <w:name w:val="Comment Subject Char"/>
    <w:basedOn w:val="CommentTextChar"/>
    <w:link w:val="CommentSubject"/>
    <w:rsid w:val="00136F35"/>
    <w:rPr>
      <w:rFonts w:ascii="Arial" w:eastAsia="Times New Roman" w:hAnsi="Arial" w:cs="Times New Roman"/>
      <w:b/>
      <w:bCs/>
      <w:sz w:val="20"/>
      <w:szCs w:val="20"/>
      <w:lang w:eastAsia="en-AU"/>
    </w:rPr>
  </w:style>
  <w:style w:type="paragraph" w:styleId="TOC6">
    <w:name w:val="toc 6"/>
    <w:basedOn w:val="Normal"/>
    <w:next w:val="Normal"/>
    <w:autoRedefine/>
    <w:semiHidden/>
    <w:rsid w:val="002B568D"/>
    <w:pPr>
      <w:spacing w:after="0"/>
      <w:ind w:left="1200"/>
    </w:pPr>
    <w:rPr>
      <w:rFonts w:ascii="Arial" w:eastAsia="Times New Roman" w:hAnsi="Arial" w:cs="Times New Roman"/>
      <w:sz w:val="18"/>
      <w:szCs w:val="18"/>
      <w:lang w:eastAsia="en-AU"/>
    </w:rPr>
  </w:style>
  <w:style w:type="paragraph" w:styleId="TOC7">
    <w:name w:val="toc 7"/>
    <w:basedOn w:val="Normal"/>
    <w:next w:val="Normal"/>
    <w:autoRedefine/>
    <w:semiHidden/>
    <w:rsid w:val="002B568D"/>
    <w:pPr>
      <w:spacing w:after="0"/>
      <w:ind w:left="1440"/>
    </w:pPr>
    <w:rPr>
      <w:rFonts w:ascii="Arial" w:eastAsia="Times New Roman" w:hAnsi="Arial" w:cs="Times New Roman"/>
      <w:sz w:val="18"/>
      <w:szCs w:val="18"/>
      <w:lang w:eastAsia="en-AU"/>
    </w:rPr>
  </w:style>
  <w:style w:type="paragraph" w:styleId="TOC8">
    <w:name w:val="toc 8"/>
    <w:basedOn w:val="Normal"/>
    <w:next w:val="Normal"/>
    <w:autoRedefine/>
    <w:semiHidden/>
    <w:rsid w:val="002B568D"/>
    <w:pPr>
      <w:spacing w:after="0"/>
      <w:ind w:left="1680"/>
    </w:pPr>
    <w:rPr>
      <w:rFonts w:ascii="Arial" w:eastAsia="Times New Roman" w:hAnsi="Arial" w:cs="Times New Roman"/>
      <w:sz w:val="18"/>
      <w:szCs w:val="18"/>
      <w:lang w:eastAsia="en-AU"/>
    </w:rPr>
  </w:style>
  <w:style w:type="paragraph" w:styleId="TOC9">
    <w:name w:val="toc 9"/>
    <w:basedOn w:val="Normal"/>
    <w:next w:val="Normal"/>
    <w:autoRedefine/>
    <w:semiHidden/>
    <w:rsid w:val="002B568D"/>
    <w:pPr>
      <w:spacing w:after="0"/>
      <w:ind w:left="1920"/>
    </w:pPr>
    <w:rPr>
      <w:rFonts w:ascii="Arial" w:eastAsia="Times New Roman" w:hAnsi="Arial" w:cs="Times New Roman"/>
      <w:sz w:val="18"/>
      <w:szCs w:val="18"/>
      <w:lang w:eastAsia="en-AU"/>
    </w:rPr>
  </w:style>
  <w:style w:type="numbering" w:customStyle="1" w:styleId="NoList1">
    <w:name w:val="No List1"/>
    <w:next w:val="NoList"/>
    <w:uiPriority w:val="99"/>
    <w:semiHidden/>
    <w:unhideWhenUsed/>
    <w:rsid w:val="002B568D"/>
  </w:style>
  <w:style w:type="paragraph" w:customStyle="1" w:styleId="xl73">
    <w:name w:val="xl73"/>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4">
    <w:name w:val="xl74"/>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5">
    <w:name w:val="xl75"/>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6">
    <w:name w:val="xl76"/>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7">
    <w:name w:val="xl77"/>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8">
    <w:name w:val="xl78"/>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9">
    <w:name w:val="xl79"/>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0">
    <w:name w:val="xl80"/>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1">
    <w:name w:val="xl81"/>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2">
    <w:name w:val="xl8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3">
    <w:name w:val="xl83"/>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4">
    <w:name w:val="xl84"/>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5">
    <w:name w:val="xl85"/>
    <w:basedOn w:val="Normal"/>
    <w:rsid w:val="002B568D"/>
    <w:pPr>
      <w:pBdr>
        <w:top w:val="double" w:sz="6" w:space="0" w:color="A6A6A6"/>
        <w:left w:val="single" w:sz="4"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6">
    <w:name w:val="xl86"/>
    <w:basedOn w:val="Normal"/>
    <w:rsid w:val="002B568D"/>
    <w:pPr>
      <w:pBdr>
        <w:top w:val="double" w:sz="6"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7">
    <w:name w:val="xl87"/>
    <w:basedOn w:val="Normal"/>
    <w:rsid w:val="002B568D"/>
    <w:pPr>
      <w:pBdr>
        <w:top w:val="double" w:sz="6" w:space="0" w:color="A6A6A6"/>
        <w:bottom w:val="double" w:sz="6" w:space="0" w:color="A6A6A6"/>
        <w:right w:val="single" w:sz="4"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8">
    <w:name w:val="xl88"/>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9">
    <w:name w:val="xl89"/>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0">
    <w:name w:val="xl90"/>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1">
    <w:name w:val="xl91"/>
    <w:basedOn w:val="Normal"/>
    <w:rsid w:val="002B568D"/>
    <w:pPr>
      <w:pBdr>
        <w:top w:val="double" w:sz="6" w:space="0" w:color="A6A6A6"/>
        <w:left w:val="single" w:sz="4"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2">
    <w:name w:val="xl92"/>
    <w:basedOn w:val="Normal"/>
    <w:rsid w:val="002B568D"/>
    <w:pPr>
      <w:pBdr>
        <w:top w:val="double" w:sz="6"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3">
    <w:name w:val="xl93"/>
    <w:basedOn w:val="Normal"/>
    <w:rsid w:val="002B568D"/>
    <w:pPr>
      <w:pBdr>
        <w:top w:val="double" w:sz="6" w:space="0" w:color="A6A6A6"/>
        <w:bottom w:val="double" w:sz="6" w:space="0" w:color="A6A6A6"/>
        <w:right w:val="single" w:sz="4"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numbering" w:customStyle="1" w:styleId="NoList2">
    <w:name w:val="No List2"/>
    <w:next w:val="NoList"/>
    <w:uiPriority w:val="99"/>
    <w:semiHidden/>
    <w:unhideWhenUsed/>
    <w:rsid w:val="002B568D"/>
  </w:style>
  <w:style w:type="numbering" w:customStyle="1" w:styleId="NoList3">
    <w:name w:val="No List3"/>
    <w:next w:val="NoList"/>
    <w:uiPriority w:val="99"/>
    <w:semiHidden/>
    <w:unhideWhenUsed/>
    <w:rsid w:val="002B568D"/>
  </w:style>
  <w:style w:type="numbering" w:customStyle="1" w:styleId="NoList4">
    <w:name w:val="No List4"/>
    <w:next w:val="NoList"/>
    <w:uiPriority w:val="99"/>
    <w:semiHidden/>
    <w:unhideWhenUsed/>
    <w:rsid w:val="002B568D"/>
  </w:style>
  <w:style w:type="paragraph" w:customStyle="1" w:styleId="xl71">
    <w:name w:val="xl71"/>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2">
    <w:name w:val="xl7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65">
    <w:name w:val="xl65"/>
    <w:basedOn w:val="Normal"/>
    <w:rsid w:val="00A01C87"/>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6">
    <w:name w:val="xl66"/>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7">
    <w:name w:val="xl67"/>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8">
    <w:name w:val="xl68"/>
    <w:basedOn w:val="Normal"/>
    <w:rsid w:val="00DB5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styleId="Revision">
    <w:name w:val="Revision"/>
    <w:hidden/>
    <w:uiPriority w:val="99"/>
    <w:semiHidden/>
    <w:rsid w:val="002F1603"/>
    <w:pPr>
      <w:spacing w:after="0" w:line="240" w:lineRule="auto"/>
    </w:pPr>
  </w:style>
  <w:style w:type="character" w:customStyle="1" w:styleId="ListParagraphChar">
    <w:name w:val="List Paragraph Char"/>
    <w:link w:val="ListParagraph"/>
    <w:uiPriority w:val="34"/>
    <w:locked/>
    <w:rsid w:val="00A04FFF"/>
  </w:style>
  <w:style w:type="character" w:styleId="SubtleEmphasis">
    <w:name w:val="Subtle Emphasis"/>
    <w:basedOn w:val="DefaultParagraphFont"/>
    <w:uiPriority w:val="19"/>
    <w:qFormat/>
    <w:rsid w:val="008D3158"/>
    <w:rPr>
      <w:i/>
      <w:iCs/>
      <w:color w:val="808080" w:themeColor="text1" w:themeTint="7F"/>
    </w:rPr>
  </w:style>
  <w:style w:type="character" w:styleId="IntenseEmphasis">
    <w:name w:val="Intense Emphasis"/>
    <w:basedOn w:val="DefaultParagraphFont"/>
    <w:uiPriority w:val="21"/>
    <w:qFormat/>
    <w:rsid w:val="008D3158"/>
    <w:rPr>
      <w:b/>
      <w:bCs/>
      <w:i/>
      <w:iCs/>
      <w:color w:val="000000" w:themeColor="accent1"/>
    </w:rPr>
  </w:style>
  <w:style w:type="paragraph" w:styleId="IntenseQuote">
    <w:name w:val="Intense Quote"/>
    <w:basedOn w:val="Normal"/>
    <w:next w:val="Normal"/>
    <w:link w:val="IntenseQuoteChar"/>
    <w:uiPriority w:val="30"/>
    <w:qFormat/>
    <w:rsid w:val="008D3158"/>
    <w:pPr>
      <w:pBdr>
        <w:bottom w:val="single" w:sz="4" w:space="4" w:color="000000" w:themeColor="accent1"/>
      </w:pBdr>
      <w:spacing w:before="200" w:after="280"/>
      <w:ind w:left="936" w:right="936"/>
    </w:pPr>
    <w:rPr>
      <w:rFonts w:ascii="Times New Roman" w:eastAsia="Times New Roman" w:hAnsi="Times New Roman" w:cs="Times New Roman"/>
      <w:b/>
      <w:bCs/>
      <w:i/>
      <w:iCs/>
      <w:color w:val="000000" w:themeColor="accent1"/>
      <w:sz w:val="24"/>
      <w:szCs w:val="24"/>
    </w:rPr>
  </w:style>
  <w:style w:type="character" w:customStyle="1" w:styleId="IntenseQuoteChar">
    <w:name w:val="Intense Quote Char"/>
    <w:basedOn w:val="DefaultParagraphFont"/>
    <w:link w:val="IntenseQuote"/>
    <w:uiPriority w:val="30"/>
    <w:rsid w:val="008D3158"/>
    <w:rPr>
      <w:rFonts w:ascii="Times New Roman" w:eastAsia="Times New Roman" w:hAnsi="Times New Roman" w:cs="Times New Roman"/>
      <w:b/>
      <w:bCs/>
      <w:i/>
      <w:iCs/>
      <w:color w:val="000000" w:themeColor="accent1"/>
      <w:sz w:val="24"/>
      <w:szCs w:val="24"/>
    </w:rPr>
  </w:style>
  <w:style w:type="character" w:styleId="SubtleReference">
    <w:name w:val="Subtle Reference"/>
    <w:basedOn w:val="DefaultParagraphFont"/>
    <w:uiPriority w:val="31"/>
    <w:qFormat/>
    <w:rsid w:val="008D3158"/>
    <w:rPr>
      <w:smallCaps/>
      <w:color w:val="58595B" w:themeColor="accent2"/>
      <w:u w:val="single"/>
    </w:rPr>
  </w:style>
  <w:style w:type="character" w:styleId="IntenseReference">
    <w:name w:val="Intense Reference"/>
    <w:basedOn w:val="DefaultParagraphFont"/>
    <w:uiPriority w:val="32"/>
    <w:qFormat/>
    <w:rsid w:val="008D3158"/>
    <w:rPr>
      <w:b/>
      <w:bCs/>
      <w:i/>
      <w:smallCaps/>
      <w:color w:val="58595B" w:themeColor="accent2"/>
      <w:spacing w:val="5"/>
      <w:u w:val="none"/>
    </w:rPr>
  </w:style>
  <w:style w:type="character" w:styleId="BookTitle">
    <w:name w:val="Book Title"/>
    <w:basedOn w:val="DefaultParagraphFont"/>
    <w:uiPriority w:val="33"/>
    <w:qFormat/>
    <w:rsid w:val="008D3158"/>
    <w:rPr>
      <w:b/>
      <w:bCs/>
      <w:smallCaps/>
      <w:spacing w:val="5"/>
    </w:rPr>
  </w:style>
  <w:style w:type="paragraph" w:customStyle="1" w:styleId="xl69">
    <w:name w:val="xl69"/>
    <w:basedOn w:val="Normal"/>
    <w:rsid w:val="008D31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lang w:eastAsia="en-AU"/>
    </w:rPr>
  </w:style>
  <w:style w:type="paragraph" w:customStyle="1" w:styleId="xl70">
    <w:name w:val="xl70"/>
    <w:basedOn w:val="Normal"/>
    <w:rsid w:val="008D3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AU"/>
    </w:rPr>
  </w:style>
  <w:style w:type="character" w:customStyle="1" w:styleId="A5">
    <w:name w:val="A5"/>
    <w:uiPriority w:val="99"/>
    <w:rsid w:val="000764C7"/>
    <w:rPr>
      <w:rFonts w:ascii="Swiss 721 BT" w:hAnsi="Swiss 721 BT" w:cs="Swiss 721 BT"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semiHidden="0" w:unhideWhenUsed="0" w:qFormat="1"/>
    <w:lsdException w:name="List Bullet 2" w:semiHidden="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63F3A"/>
    <w:pPr>
      <w:spacing w:line="240" w:lineRule="auto"/>
    </w:pPr>
  </w:style>
  <w:style w:type="paragraph" w:styleId="Heading1">
    <w:name w:val="heading 1"/>
    <w:basedOn w:val="Normal"/>
    <w:next w:val="Normal"/>
    <w:link w:val="Heading1Char"/>
    <w:qFormat/>
    <w:rsid w:val="005F53D8"/>
    <w:pPr>
      <w:keepNext/>
      <w:keepLines/>
      <w:spacing w:before="200" w:after="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qFormat/>
    <w:rsid w:val="00FD485A"/>
    <w:pPr>
      <w:keepNext/>
      <w:keepLines/>
      <w:spacing w:before="200" w:after="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qFormat/>
    <w:rsid w:val="00FD485A"/>
    <w:pPr>
      <w:keepNext/>
      <w:keepLines/>
      <w:spacing w:before="200" w:after="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qFormat/>
    <w:rsid w:val="00FD485A"/>
    <w:pPr>
      <w:keepNext/>
      <w:keepLines/>
      <w:spacing w:before="200" w:after="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qFormat/>
    <w:rsid w:val="00FD485A"/>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qFormat/>
    <w:rsid w:val="00BC472B"/>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qFormat/>
    <w:rsid w:val="00223F5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F53D8"/>
    <w:rPr>
      <w:rFonts w:asciiTheme="majorHAnsi" w:eastAsiaTheme="majorEastAsia" w:hAnsiTheme="majorHAnsi" w:cstheme="majorBidi"/>
      <w:b/>
      <w:bCs/>
      <w:color w:val="008A00" w:themeColor="background2"/>
      <w:sz w:val="32"/>
      <w:szCs w:val="28"/>
    </w:rPr>
  </w:style>
  <w:style w:type="character" w:customStyle="1" w:styleId="Heading2Char">
    <w:name w:val="Heading 2 Char"/>
    <w:basedOn w:val="DefaultParagraphFont"/>
    <w:link w:val="Heading2"/>
    <w:uiPriority w:val="6"/>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7"/>
    <w:rsid w:val="00FD485A"/>
    <w:rPr>
      <w:rFonts w:asciiTheme="majorHAnsi" w:eastAsiaTheme="majorEastAsia" w:hAnsiTheme="majorHAnsi" w:cstheme="majorBidi"/>
      <w:b/>
      <w:bCs/>
      <w:color w:val="004200" w:themeColor="text2"/>
      <w:sz w:val="26"/>
    </w:rPr>
  </w:style>
  <w:style w:type="character" w:customStyle="1" w:styleId="Heading4Char">
    <w:name w:val="Heading 4 Char"/>
    <w:basedOn w:val="DefaultParagraphFont"/>
    <w:link w:val="Heading4"/>
    <w:rsid w:val="00FD485A"/>
    <w:rPr>
      <w:rFonts w:asciiTheme="majorHAnsi" w:eastAsiaTheme="majorEastAsia" w:hAnsiTheme="majorHAnsi" w:cstheme="majorBidi"/>
      <w:b/>
      <w:bCs/>
      <w:iCs/>
      <w:color w:val="000000" w:themeColor="accent1"/>
    </w:rPr>
  </w:style>
  <w:style w:type="character" w:customStyle="1" w:styleId="Heading5Char">
    <w:name w:val="Heading 5 Char"/>
    <w:basedOn w:val="DefaultParagraphFont"/>
    <w:link w:val="Heading5"/>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uiPriority w:val="9"/>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11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paragraph" w:styleId="ListParagraph">
    <w:name w:val="List Paragraph"/>
    <w:basedOn w:val="Normal"/>
    <w:link w:val="ListParagraphChar"/>
    <w:uiPriority w:val="34"/>
    <w:qFormat/>
    <w:rsid w:val="004C15AD"/>
    <w:pPr>
      <w:ind w:left="720"/>
      <w:contextualSpacing/>
    </w:pPr>
  </w:style>
  <w:style w:type="paragraph" w:styleId="Quote">
    <w:name w:val="Quote"/>
    <w:basedOn w:val="Normal"/>
    <w:next w:val="Normal"/>
    <w:link w:val="QuoteChar"/>
    <w:uiPriority w:val="29"/>
    <w:qFormat/>
    <w:rsid w:val="00335A8F"/>
    <w:rPr>
      <w:i/>
      <w:iCs/>
      <w:color w:val="000000" w:themeColor="text1"/>
    </w:rPr>
  </w:style>
  <w:style w:type="character" w:customStyle="1" w:styleId="QuoteChar">
    <w:name w:val="Quote Char"/>
    <w:basedOn w:val="DefaultParagraphFont"/>
    <w:link w:val="Quote"/>
    <w:uiPriority w:val="29"/>
    <w:rsid w:val="006D7F4A"/>
    <w:rPr>
      <w:i/>
      <w:iCs/>
      <w:color w:val="000000" w:themeColor="text1"/>
      <w:sz w:val="24"/>
    </w:rPr>
  </w:style>
  <w:style w:type="paragraph" w:customStyle="1" w:styleId="Bullet1">
    <w:name w:val="Bullet 1"/>
    <w:basedOn w:val="Normal"/>
    <w:uiPriority w:val="34"/>
    <w:semiHidden/>
    <w:rsid w:val="00800E03"/>
    <w:pPr>
      <w:ind w:left="720" w:hanging="360"/>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qFormat/>
    <w:rsid w:val="0007116B"/>
    <w:pPr>
      <w:spacing w:before="9000" w:after="300"/>
      <w:ind w:left="6804" w:right="260"/>
      <w:contextualSpacing/>
      <w:jc w:val="right"/>
    </w:pPr>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VersionandDate"/>
    <w:link w:val="SubtitleChar"/>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character" w:customStyle="1" w:styleId="SubtitleChar">
    <w:name w:val="Subtitle Char"/>
    <w:basedOn w:val="DefaultParagraphFont"/>
    <w:link w:val="Subtitle"/>
    <w:rsid w:val="00185C14"/>
    <w:rPr>
      <w:rFonts w:asciiTheme="majorHAnsi" w:eastAsiaTheme="majorEastAsia" w:hAnsiTheme="majorHAnsi" w:cstheme="majorBidi"/>
      <w:iCs/>
      <w:color w:val="000000" w:themeColor="accent1"/>
      <w:spacing w:val="15"/>
      <w:sz w:val="40"/>
      <w:szCs w:val="40"/>
    </w:rPr>
  </w:style>
  <w:style w:type="character" w:customStyle="1" w:styleId="TitleChar">
    <w:name w:val="Title Char"/>
    <w:aliases w:val="Title Artwork Char"/>
    <w:basedOn w:val="DefaultParagraphFont"/>
    <w:link w:val="Title"/>
    <w:rsid w:val="0007116B"/>
    <w:rPr>
      <w:rFonts w:asciiTheme="majorHAnsi" w:eastAsiaTheme="majorEastAsia" w:hAnsiTheme="majorHAnsi" w:cstheme="majorBidi"/>
      <w:color w:val="000000" w:themeColor="text1"/>
      <w:spacing w:val="5"/>
      <w:kern w:val="28"/>
      <w:sz w:val="52"/>
      <w:szCs w:val="52"/>
    </w:rPr>
  </w:style>
  <w:style w:type="paragraph" w:styleId="BalloonText">
    <w:name w:val="Balloon Text"/>
    <w:basedOn w:val="Normal"/>
    <w:link w:val="BalloonTextChar"/>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rsid w:val="008B0084"/>
    <w:rPr>
      <w:rFonts w:ascii="Tahoma" w:hAnsi="Tahoma" w:cs="Tahoma"/>
      <w:sz w:val="16"/>
      <w:szCs w:val="16"/>
    </w:rPr>
  </w:style>
  <w:style w:type="paragraph" w:customStyle="1" w:styleId="Covernote">
    <w:name w:val="Cover note"/>
    <w:basedOn w:val="Normal"/>
    <w:next w:val="Normal"/>
    <w:uiPriority w:val="14"/>
    <w:rsid w:val="006472C0"/>
    <w:rPr>
      <w:i/>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397D4D"/>
    <w:pPr>
      <w:tabs>
        <w:tab w:val="num" w:pos="720"/>
      </w:tabs>
      <w:ind w:left="720" w:hanging="360"/>
      <w:contextualSpacing/>
    </w:pPr>
  </w:style>
  <w:style w:type="paragraph" w:styleId="ListBullet2">
    <w:name w:val="List Bullet 2"/>
    <w:basedOn w:val="ListBullet"/>
    <w:uiPriority w:val="3"/>
    <w:qFormat/>
    <w:rsid w:val="00397D4D"/>
    <w:pPr>
      <w:tabs>
        <w:tab w:val="clear" w:pos="720"/>
        <w:tab w:val="num" w:pos="1080"/>
      </w:tabs>
      <w:ind w:left="1080"/>
    </w:pPr>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qFormat/>
    <w:rsid w:val="009E755B"/>
    <w:rPr>
      <w:i/>
      <w:iCs/>
    </w:rPr>
  </w:style>
  <w:style w:type="character" w:styleId="Strong">
    <w:name w:val="Strong"/>
    <w:basedOn w:val="DefaultParagraphFont"/>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0F6308"/>
    <w:rPr>
      <w:bCs/>
      <w:color w:val="000000" w:themeColor="accent1"/>
      <w:szCs w:val="18"/>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styleId="PageNumber">
    <w:name w:val="page number"/>
    <w:basedOn w:val="DefaultParagraphFont"/>
    <w:rsid w:val="00136F35"/>
    <w:rPr>
      <w:rFonts w:cs="Times New Roman"/>
    </w:rPr>
  </w:style>
  <w:style w:type="paragraph" w:customStyle="1" w:styleId="Tabular">
    <w:name w:val="Tabular"/>
    <w:basedOn w:val="Heading2"/>
    <w:rsid w:val="00136F35"/>
    <w:pPr>
      <w:keepLines w:val="0"/>
      <w:spacing w:before="240" w:after="0"/>
    </w:pPr>
    <w:rPr>
      <w:rFonts w:ascii="Arial" w:eastAsia="Times New Roman" w:hAnsi="Arial" w:cs="Arial"/>
      <w:color w:val="auto"/>
      <w:sz w:val="26"/>
      <w:szCs w:val="26"/>
      <w:lang w:eastAsia="en-AU"/>
    </w:rPr>
  </w:style>
  <w:style w:type="paragraph" w:styleId="TOC5">
    <w:name w:val="toc 5"/>
    <w:basedOn w:val="Normal"/>
    <w:next w:val="Normal"/>
    <w:autoRedefine/>
    <w:semiHidden/>
    <w:rsid w:val="00136F35"/>
    <w:pPr>
      <w:spacing w:after="0"/>
      <w:ind w:left="960"/>
    </w:pPr>
    <w:rPr>
      <w:rFonts w:ascii="Arial" w:eastAsia="Times New Roman" w:hAnsi="Arial" w:cs="Times New Roman"/>
      <w:sz w:val="18"/>
      <w:szCs w:val="18"/>
      <w:lang w:eastAsia="en-AU"/>
    </w:rPr>
  </w:style>
  <w:style w:type="character" w:styleId="FollowedHyperlink">
    <w:name w:val="FollowedHyperlink"/>
    <w:basedOn w:val="DefaultParagraphFont"/>
    <w:uiPriority w:val="99"/>
    <w:rsid w:val="00136F35"/>
    <w:rPr>
      <w:color w:val="008080"/>
      <w:u w:val="single"/>
    </w:rPr>
  </w:style>
  <w:style w:type="paragraph" w:styleId="FootnoteText">
    <w:name w:val="footnote text"/>
    <w:basedOn w:val="Normal"/>
    <w:link w:val="FootnoteTextChar"/>
    <w:semiHidden/>
    <w:rsid w:val="00136F35"/>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136F35"/>
    <w:rPr>
      <w:rFonts w:ascii="Arial" w:eastAsia="Times New Roman" w:hAnsi="Arial" w:cs="Times New Roman"/>
      <w:sz w:val="20"/>
      <w:szCs w:val="20"/>
      <w:lang w:eastAsia="en-AU"/>
    </w:rPr>
  </w:style>
  <w:style w:type="character" w:styleId="FootnoteReference">
    <w:name w:val="footnote reference"/>
    <w:basedOn w:val="DefaultParagraphFont"/>
    <w:semiHidden/>
    <w:rsid w:val="00136F35"/>
    <w:rPr>
      <w:vertAlign w:val="superscript"/>
    </w:rPr>
  </w:style>
  <w:style w:type="character" w:styleId="CommentReference">
    <w:name w:val="annotation reference"/>
    <w:basedOn w:val="DefaultParagraphFont"/>
    <w:rsid w:val="00136F35"/>
    <w:rPr>
      <w:sz w:val="16"/>
      <w:szCs w:val="16"/>
    </w:rPr>
  </w:style>
  <w:style w:type="paragraph" w:styleId="CommentText">
    <w:name w:val="annotation text"/>
    <w:basedOn w:val="Normal"/>
    <w:link w:val="CommentTextChar"/>
    <w:rsid w:val="00136F35"/>
    <w:pPr>
      <w:spacing w:after="0"/>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136F3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136F35"/>
    <w:rPr>
      <w:b/>
      <w:bCs/>
    </w:rPr>
  </w:style>
  <w:style w:type="character" w:customStyle="1" w:styleId="CommentSubjectChar">
    <w:name w:val="Comment Subject Char"/>
    <w:basedOn w:val="CommentTextChar"/>
    <w:link w:val="CommentSubject"/>
    <w:rsid w:val="00136F35"/>
    <w:rPr>
      <w:rFonts w:ascii="Arial" w:eastAsia="Times New Roman" w:hAnsi="Arial" w:cs="Times New Roman"/>
      <w:b/>
      <w:bCs/>
      <w:sz w:val="20"/>
      <w:szCs w:val="20"/>
      <w:lang w:eastAsia="en-AU"/>
    </w:rPr>
  </w:style>
  <w:style w:type="paragraph" w:styleId="TOC6">
    <w:name w:val="toc 6"/>
    <w:basedOn w:val="Normal"/>
    <w:next w:val="Normal"/>
    <w:autoRedefine/>
    <w:semiHidden/>
    <w:rsid w:val="002B568D"/>
    <w:pPr>
      <w:spacing w:after="0"/>
      <w:ind w:left="1200"/>
    </w:pPr>
    <w:rPr>
      <w:rFonts w:ascii="Arial" w:eastAsia="Times New Roman" w:hAnsi="Arial" w:cs="Times New Roman"/>
      <w:sz w:val="18"/>
      <w:szCs w:val="18"/>
      <w:lang w:eastAsia="en-AU"/>
    </w:rPr>
  </w:style>
  <w:style w:type="paragraph" w:styleId="TOC7">
    <w:name w:val="toc 7"/>
    <w:basedOn w:val="Normal"/>
    <w:next w:val="Normal"/>
    <w:autoRedefine/>
    <w:semiHidden/>
    <w:rsid w:val="002B568D"/>
    <w:pPr>
      <w:spacing w:after="0"/>
      <w:ind w:left="1440"/>
    </w:pPr>
    <w:rPr>
      <w:rFonts w:ascii="Arial" w:eastAsia="Times New Roman" w:hAnsi="Arial" w:cs="Times New Roman"/>
      <w:sz w:val="18"/>
      <w:szCs w:val="18"/>
      <w:lang w:eastAsia="en-AU"/>
    </w:rPr>
  </w:style>
  <w:style w:type="paragraph" w:styleId="TOC8">
    <w:name w:val="toc 8"/>
    <w:basedOn w:val="Normal"/>
    <w:next w:val="Normal"/>
    <w:autoRedefine/>
    <w:semiHidden/>
    <w:rsid w:val="002B568D"/>
    <w:pPr>
      <w:spacing w:after="0"/>
      <w:ind w:left="1680"/>
    </w:pPr>
    <w:rPr>
      <w:rFonts w:ascii="Arial" w:eastAsia="Times New Roman" w:hAnsi="Arial" w:cs="Times New Roman"/>
      <w:sz w:val="18"/>
      <w:szCs w:val="18"/>
      <w:lang w:eastAsia="en-AU"/>
    </w:rPr>
  </w:style>
  <w:style w:type="paragraph" w:styleId="TOC9">
    <w:name w:val="toc 9"/>
    <w:basedOn w:val="Normal"/>
    <w:next w:val="Normal"/>
    <w:autoRedefine/>
    <w:semiHidden/>
    <w:rsid w:val="002B568D"/>
    <w:pPr>
      <w:spacing w:after="0"/>
      <w:ind w:left="1920"/>
    </w:pPr>
    <w:rPr>
      <w:rFonts w:ascii="Arial" w:eastAsia="Times New Roman" w:hAnsi="Arial" w:cs="Times New Roman"/>
      <w:sz w:val="18"/>
      <w:szCs w:val="18"/>
      <w:lang w:eastAsia="en-AU"/>
    </w:rPr>
  </w:style>
  <w:style w:type="numbering" w:customStyle="1" w:styleId="NoList1">
    <w:name w:val="No List1"/>
    <w:next w:val="NoList"/>
    <w:uiPriority w:val="99"/>
    <w:semiHidden/>
    <w:unhideWhenUsed/>
    <w:rsid w:val="002B568D"/>
  </w:style>
  <w:style w:type="paragraph" w:customStyle="1" w:styleId="xl73">
    <w:name w:val="xl73"/>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4">
    <w:name w:val="xl74"/>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5">
    <w:name w:val="xl75"/>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6">
    <w:name w:val="xl76"/>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7">
    <w:name w:val="xl77"/>
    <w:basedOn w:val="Normal"/>
    <w:rsid w:val="002B568D"/>
    <w:pPr>
      <w:pBdr>
        <w:top w:val="single" w:sz="4" w:space="0" w:color="A6A6A6"/>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78">
    <w:name w:val="xl78"/>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9">
    <w:name w:val="xl79"/>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0">
    <w:name w:val="xl80"/>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1">
    <w:name w:val="xl81"/>
    <w:basedOn w:val="Normal"/>
    <w:rsid w:val="002B568D"/>
    <w:pPr>
      <w:pBdr>
        <w:left w:val="single" w:sz="4" w:space="0" w:color="A6A6A6"/>
        <w:bottom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2">
    <w:name w:val="xl8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3">
    <w:name w:val="xl83"/>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4">
    <w:name w:val="xl84"/>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5">
    <w:name w:val="xl85"/>
    <w:basedOn w:val="Normal"/>
    <w:rsid w:val="002B568D"/>
    <w:pPr>
      <w:pBdr>
        <w:top w:val="double" w:sz="6" w:space="0" w:color="A6A6A6"/>
        <w:left w:val="single" w:sz="4"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6">
    <w:name w:val="xl86"/>
    <w:basedOn w:val="Normal"/>
    <w:rsid w:val="002B568D"/>
    <w:pPr>
      <w:pBdr>
        <w:top w:val="double" w:sz="6" w:space="0" w:color="A6A6A6"/>
        <w:bottom w:val="double" w:sz="6"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7">
    <w:name w:val="xl87"/>
    <w:basedOn w:val="Normal"/>
    <w:rsid w:val="002B568D"/>
    <w:pPr>
      <w:pBdr>
        <w:top w:val="double" w:sz="6" w:space="0" w:color="A6A6A6"/>
        <w:bottom w:val="double" w:sz="6" w:space="0" w:color="A6A6A6"/>
        <w:right w:val="single" w:sz="4" w:space="0" w:color="A6A6A6"/>
      </w:pBdr>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88">
    <w:name w:val="xl88"/>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89">
    <w:name w:val="xl89"/>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0">
    <w:name w:val="xl90"/>
    <w:basedOn w:val="Normal"/>
    <w:rsid w:val="002B568D"/>
    <w:pPr>
      <w:pBdr>
        <w:top w:val="single" w:sz="4" w:space="0" w:color="A6A6A6"/>
        <w:left w:val="single" w:sz="4" w:space="0" w:color="A6A6A6"/>
        <w:right w:val="single" w:sz="4" w:space="0" w:color="A6A6A6"/>
      </w:pBdr>
      <w:spacing w:before="100" w:beforeAutospacing="1" w:after="100" w:afterAutospacing="1"/>
    </w:pPr>
    <w:rPr>
      <w:rFonts w:ascii="Arial Narrow" w:eastAsia="Times New Roman" w:hAnsi="Arial Narrow" w:cs="Times New Roman"/>
      <w:sz w:val="18"/>
      <w:szCs w:val="18"/>
      <w:lang w:eastAsia="en-AU"/>
    </w:rPr>
  </w:style>
  <w:style w:type="paragraph" w:customStyle="1" w:styleId="xl91">
    <w:name w:val="xl91"/>
    <w:basedOn w:val="Normal"/>
    <w:rsid w:val="002B568D"/>
    <w:pPr>
      <w:pBdr>
        <w:top w:val="double" w:sz="6" w:space="0" w:color="A6A6A6"/>
        <w:left w:val="single" w:sz="4"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2">
    <w:name w:val="xl92"/>
    <w:basedOn w:val="Normal"/>
    <w:rsid w:val="002B568D"/>
    <w:pPr>
      <w:pBdr>
        <w:top w:val="double" w:sz="6" w:space="0" w:color="A6A6A6"/>
        <w:bottom w:val="double" w:sz="6"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paragraph" w:customStyle="1" w:styleId="xl93">
    <w:name w:val="xl93"/>
    <w:basedOn w:val="Normal"/>
    <w:rsid w:val="002B568D"/>
    <w:pPr>
      <w:pBdr>
        <w:top w:val="double" w:sz="6" w:space="0" w:color="A6A6A6"/>
        <w:bottom w:val="double" w:sz="6" w:space="0" w:color="A6A6A6"/>
        <w:right w:val="single" w:sz="4" w:space="0" w:color="A6A6A6"/>
      </w:pBdr>
      <w:spacing w:before="100" w:beforeAutospacing="1" w:after="100" w:afterAutospacing="1"/>
      <w:jc w:val="center"/>
    </w:pPr>
    <w:rPr>
      <w:rFonts w:ascii="Arial Narrow" w:eastAsia="Times New Roman" w:hAnsi="Arial Narrow" w:cs="Times New Roman"/>
      <w:sz w:val="18"/>
      <w:szCs w:val="18"/>
      <w:lang w:eastAsia="en-AU"/>
    </w:rPr>
  </w:style>
  <w:style w:type="numbering" w:customStyle="1" w:styleId="NoList2">
    <w:name w:val="No List2"/>
    <w:next w:val="NoList"/>
    <w:uiPriority w:val="99"/>
    <w:semiHidden/>
    <w:unhideWhenUsed/>
    <w:rsid w:val="002B568D"/>
  </w:style>
  <w:style w:type="numbering" w:customStyle="1" w:styleId="NoList3">
    <w:name w:val="No List3"/>
    <w:next w:val="NoList"/>
    <w:uiPriority w:val="99"/>
    <w:semiHidden/>
    <w:unhideWhenUsed/>
    <w:rsid w:val="002B568D"/>
  </w:style>
  <w:style w:type="numbering" w:customStyle="1" w:styleId="NoList4">
    <w:name w:val="No List4"/>
    <w:next w:val="NoList"/>
    <w:uiPriority w:val="99"/>
    <w:semiHidden/>
    <w:unhideWhenUsed/>
    <w:rsid w:val="002B568D"/>
  </w:style>
  <w:style w:type="paragraph" w:customStyle="1" w:styleId="xl71">
    <w:name w:val="xl71"/>
    <w:basedOn w:val="Normal"/>
    <w:rsid w:val="002B568D"/>
    <w:pPr>
      <w:spacing w:before="100" w:beforeAutospacing="1" w:after="100" w:afterAutospacing="1"/>
    </w:pPr>
    <w:rPr>
      <w:rFonts w:ascii="Arial Narrow" w:eastAsia="Times New Roman" w:hAnsi="Arial Narrow" w:cs="Times New Roman"/>
      <w:sz w:val="18"/>
      <w:szCs w:val="18"/>
      <w:lang w:eastAsia="en-AU"/>
    </w:rPr>
  </w:style>
  <w:style w:type="paragraph" w:customStyle="1" w:styleId="xl72">
    <w:name w:val="xl72"/>
    <w:basedOn w:val="Normal"/>
    <w:rsid w:val="002B568D"/>
    <w:pPr>
      <w:pBdr>
        <w:top w:val="single" w:sz="4" w:space="0" w:color="A6A6A6"/>
        <w:left w:val="single" w:sz="4" w:space="0" w:color="A6A6A6"/>
        <w:bottom w:val="double" w:sz="6" w:space="0" w:color="A6A6A6"/>
        <w:right w:val="single" w:sz="4" w:space="0" w:color="A6A6A6"/>
      </w:pBdr>
      <w:shd w:val="clear" w:color="000000" w:fill="C4D79B"/>
      <w:spacing w:before="100" w:beforeAutospacing="1" w:after="100" w:afterAutospacing="1"/>
      <w:jc w:val="center"/>
      <w:textAlignment w:val="center"/>
    </w:pPr>
    <w:rPr>
      <w:rFonts w:ascii="Arial Narrow" w:eastAsia="Times New Roman" w:hAnsi="Arial Narrow" w:cs="Times New Roman"/>
      <w:sz w:val="18"/>
      <w:szCs w:val="18"/>
      <w:lang w:eastAsia="en-AU"/>
    </w:rPr>
  </w:style>
  <w:style w:type="paragraph" w:customStyle="1" w:styleId="xl65">
    <w:name w:val="xl65"/>
    <w:basedOn w:val="Normal"/>
    <w:rsid w:val="00A01C87"/>
    <w:pP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6">
    <w:name w:val="xl66"/>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customStyle="1" w:styleId="xl67">
    <w:name w:val="xl67"/>
    <w:basedOn w:val="Normal"/>
    <w:rsid w:val="00A01C8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68">
    <w:name w:val="xl68"/>
    <w:basedOn w:val="Normal"/>
    <w:rsid w:val="00DB5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en-AU"/>
    </w:rPr>
  </w:style>
  <w:style w:type="paragraph" w:styleId="Revision">
    <w:name w:val="Revision"/>
    <w:hidden/>
    <w:uiPriority w:val="99"/>
    <w:semiHidden/>
    <w:rsid w:val="002F1603"/>
    <w:pPr>
      <w:spacing w:after="0" w:line="240" w:lineRule="auto"/>
    </w:pPr>
  </w:style>
  <w:style w:type="character" w:customStyle="1" w:styleId="ListParagraphChar">
    <w:name w:val="List Paragraph Char"/>
    <w:link w:val="ListParagraph"/>
    <w:uiPriority w:val="34"/>
    <w:locked/>
    <w:rsid w:val="00A04FFF"/>
  </w:style>
  <w:style w:type="character" w:styleId="SubtleEmphasis">
    <w:name w:val="Subtle Emphasis"/>
    <w:basedOn w:val="DefaultParagraphFont"/>
    <w:uiPriority w:val="19"/>
    <w:qFormat/>
    <w:rsid w:val="008D3158"/>
    <w:rPr>
      <w:i/>
      <w:iCs/>
      <w:color w:val="808080" w:themeColor="text1" w:themeTint="7F"/>
    </w:rPr>
  </w:style>
  <w:style w:type="character" w:styleId="IntenseEmphasis">
    <w:name w:val="Intense Emphasis"/>
    <w:basedOn w:val="DefaultParagraphFont"/>
    <w:uiPriority w:val="21"/>
    <w:qFormat/>
    <w:rsid w:val="008D3158"/>
    <w:rPr>
      <w:b/>
      <w:bCs/>
      <w:i/>
      <w:iCs/>
      <w:color w:val="000000" w:themeColor="accent1"/>
    </w:rPr>
  </w:style>
  <w:style w:type="paragraph" w:styleId="IntenseQuote">
    <w:name w:val="Intense Quote"/>
    <w:basedOn w:val="Normal"/>
    <w:next w:val="Normal"/>
    <w:link w:val="IntenseQuoteChar"/>
    <w:uiPriority w:val="30"/>
    <w:qFormat/>
    <w:rsid w:val="008D3158"/>
    <w:pPr>
      <w:pBdr>
        <w:bottom w:val="single" w:sz="4" w:space="4" w:color="000000" w:themeColor="accent1"/>
      </w:pBdr>
      <w:spacing w:before="200" w:after="280"/>
      <w:ind w:left="936" w:right="936"/>
    </w:pPr>
    <w:rPr>
      <w:rFonts w:ascii="Times New Roman" w:eastAsia="Times New Roman" w:hAnsi="Times New Roman" w:cs="Times New Roman"/>
      <w:b/>
      <w:bCs/>
      <w:i/>
      <w:iCs/>
      <w:color w:val="000000" w:themeColor="accent1"/>
      <w:sz w:val="24"/>
      <w:szCs w:val="24"/>
    </w:rPr>
  </w:style>
  <w:style w:type="character" w:customStyle="1" w:styleId="IntenseQuoteChar">
    <w:name w:val="Intense Quote Char"/>
    <w:basedOn w:val="DefaultParagraphFont"/>
    <w:link w:val="IntenseQuote"/>
    <w:uiPriority w:val="30"/>
    <w:rsid w:val="008D3158"/>
    <w:rPr>
      <w:rFonts w:ascii="Times New Roman" w:eastAsia="Times New Roman" w:hAnsi="Times New Roman" w:cs="Times New Roman"/>
      <w:b/>
      <w:bCs/>
      <w:i/>
      <w:iCs/>
      <w:color w:val="000000" w:themeColor="accent1"/>
      <w:sz w:val="24"/>
      <w:szCs w:val="24"/>
    </w:rPr>
  </w:style>
  <w:style w:type="character" w:styleId="SubtleReference">
    <w:name w:val="Subtle Reference"/>
    <w:basedOn w:val="DefaultParagraphFont"/>
    <w:uiPriority w:val="31"/>
    <w:qFormat/>
    <w:rsid w:val="008D3158"/>
    <w:rPr>
      <w:smallCaps/>
      <w:color w:val="58595B" w:themeColor="accent2"/>
      <w:u w:val="single"/>
    </w:rPr>
  </w:style>
  <w:style w:type="character" w:styleId="IntenseReference">
    <w:name w:val="Intense Reference"/>
    <w:basedOn w:val="DefaultParagraphFont"/>
    <w:uiPriority w:val="32"/>
    <w:qFormat/>
    <w:rsid w:val="008D3158"/>
    <w:rPr>
      <w:b/>
      <w:bCs/>
      <w:i/>
      <w:smallCaps/>
      <w:color w:val="58595B" w:themeColor="accent2"/>
      <w:spacing w:val="5"/>
      <w:u w:val="none"/>
    </w:rPr>
  </w:style>
  <w:style w:type="character" w:styleId="BookTitle">
    <w:name w:val="Book Title"/>
    <w:basedOn w:val="DefaultParagraphFont"/>
    <w:uiPriority w:val="33"/>
    <w:qFormat/>
    <w:rsid w:val="008D3158"/>
    <w:rPr>
      <w:b/>
      <w:bCs/>
      <w:smallCaps/>
      <w:spacing w:val="5"/>
    </w:rPr>
  </w:style>
  <w:style w:type="paragraph" w:customStyle="1" w:styleId="xl69">
    <w:name w:val="xl69"/>
    <w:basedOn w:val="Normal"/>
    <w:rsid w:val="008D315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lang w:eastAsia="en-AU"/>
    </w:rPr>
  </w:style>
  <w:style w:type="paragraph" w:customStyle="1" w:styleId="xl70">
    <w:name w:val="xl70"/>
    <w:basedOn w:val="Normal"/>
    <w:rsid w:val="008D3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AU"/>
    </w:rPr>
  </w:style>
  <w:style w:type="character" w:customStyle="1" w:styleId="A5">
    <w:name w:val="A5"/>
    <w:uiPriority w:val="99"/>
    <w:rsid w:val="000764C7"/>
    <w:rPr>
      <w:rFonts w:ascii="Swiss 721 BT" w:hAnsi="Swiss 721 BT" w:cs="Swiss 721 B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751">
      <w:bodyDiv w:val="1"/>
      <w:marLeft w:val="0"/>
      <w:marRight w:val="0"/>
      <w:marTop w:val="0"/>
      <w:marBottom w:val="0"/>
      <w:divBdr>
        <w:top w:val="none" w:sz="0" w:space="0" w:color="auto"/>
        <w:left w:val="none" w:sz="0" w:space="0" w:color="auto"/>
        <w:bottom w:val="none" w:sz="0" w:space="0" w:color="auto"/>
        <w:right w:val="none" w:sz="0" w:space="0" w:color="auto"/>
      </w:divBdr>
    </w:div>
    <w:div w:id="65614553">
      <w:bodyDiv w:val="1"/>
      <w:marLeft w:val="0"/>
      <w:marRight w:val="0"/>
      <w:marTop w:val="0"/>
      <w:marBottom w:val="0"/>
      <w:divBdr>
        <w:top w:val="none" w:sz="0" w:space="0" w:color="auto"/>
        <w:left w:val="none" w:sz="0" w:space="0" w:color="auto"/>
        <w:bottom w:val="none" w:sz="0" w:space="0" w:color="auto"/>
        <w:right w:val="none" w:sz="0" w:space="0" w:color="auto"/>
      </w:divBdr>
    </w:div>
    <w:div w:id="96603415">
      <w:bodyDiv w:val="1"/>
      <w:marLeft w:val="0"/>
      <w:marRight w:val="0"/>
      <w:marTop w:val="0"/>
      <w:marBottom w:val="0"/>
      <w:divBdr>
        <w:top w:val="none" w:sz="0" w:space="0" w:color="auto"/>
        <w:left w:val="none" w:sz="0" w:space="0" w:color="auto"/>
        <w:bottom w:val="none" w:sz="0" w:space="0" w:color="auto"/>
        <w:right w:val="none" w:sz="0" w:space="0" w:color="auto"/>
      </w:divBdr>
    </w:div>
    <w:div w:id="126317805">
      <w:bodyDiv w:val="1"/>
      <w:marLeft w:val="0"/>
      <w:marRight w:val="0"/>
      <w:marTop w:val="0"/>
      <w:marBottom w:val="0"/>
      <w:divBdr>
        <w:top w:val="none" w:sz="0" w:space="0" w:color="auto"/>
        <w:left w:val="none" w:sz="0" w:space="0" w:color="auto"/>
        <w:bottom w:val="none" w:sz="0" w:space="0" w:color="auto"/>
        <w:right w:val="none" w:sz="0" w:space="0" w:color="auto"/>
      </w:divBdr>
    </w:div>
    <w:div w:id="131138631">
      <w:bodyDiv w:val="1"/>
      <w:marLeft w:val="0"/>
      <w:marRight w:val="0"/>
      <w:marTop w:val="0"/>
      <w:marBottom w:val="0"/>
      <w:divBdr>
        <w:top w:val="none" w:sz="0" w:space="0" w:color="auto"/>
        <w:left w:val="none" w:sz="0" w:space="0" w:color="auto"/>
        <w:bottom w:val="none" w:sz="0" w:space="0" w:color="auto"/>
        <w:right w:val="none" w:sz="0" w:space="0" w:color="auto"/>
      </w:divBdr>
    </w:div>
    <w:div w:id="138112067">
      <w:bodyDiv w:val="1"/>
      <w:marLeft w:val="0"/>
      <w:marRight w:val="0"/>
      <w:marTop w:val="0"/>
      <w:marBottom w:val="0"/>
      <w:divBdr>
        <w:top w:val="none" w:sz="0" w:space="0" w:color="auto"/>
        <w:left w:val="none" w:sz="0" w:space="0" w:color="auto"/>
        <w:bottom w:val="none" w:sz="0" w:space="0" w:color="auto"/>
        <w:right w:val="none" w:sz="0" w:space="0" w:color="auto"/>
      </w:divBdr>
    </w:div>
    <w:div w:id="157238099">
      <w:bodyDiv w:val="1"/>
      <w:marLeft w:val="0"/>
      <w:marRight w:val="0"/>
      <w:marTop w:val="0"/>
      <w:marBottom w:val="0"/>
      <w:divBdr>
        <w:top w:val="none" w:sz="0" w:space="0" w:color="auto"/>
        <w:left w:val="none" w:sz="0" w:space="0" w:color="auto"/>
        <w:bottom w:val="none" w:sz="0" w:space="0" w:color="auto"/>
        <w:right w:val="none" w:sz="0" w:space="0" w:color="auto"/>
      </w:divBdr>
    </w:div>
    <w:div w:id="173423233">
      <w:bodyDiv w:val="1"/>
      <w:marLeft w:val="0"/>
      <w:marRight w:val="0"/>
      <w:marTop w:val="0"/>
      <w:marBottom w:val="0"/>
      <w:divBdr>
        <w:top w:val="none" w:sz="0" w:space="0" w:color="auto"/>
        <w:left w:val="none" w:sz="0" w:space="0" w:color="auto"/>
        <w:bottom w:val="none" w:sz="0" w:space="0" w:color="auto"/>
        <w:right w:val="none" w:sz="0" w:space="0" w:color="auto"/>
      </w:divBdr>
    </w:div>
    <w:div w:id="221213897">
      <w:bodyDiv w:val="1"/>
      <w:marLeft w:val="0"/>
      <w:marRight w:val="0"/>
      <w:marTop w:val="0"/>
      <w:marBottom w:val="0"/>
      <w:divBdr>
        <w:top w:val="none" w:sz="0" w:space="0" w:color="auto"/>
        <w:left w:val="none" w:sz="0" w:space="0" w:color="auto"/>
        <w:bottom w:val="none" w:sz="0" w:space="0" w:color="auto"/>
        <w:right w:val="none" w:sz="0" w:space="0" w:color="auto"/>
      </w:divBdr>
    </w:div>
    <w:div w:id="264919092">
      <w:bodyDiv w:val="1"/>
      <w:marLeft w:val="0"/>
      <w:marRight w:val="0"/>
      <w:marTop w:val="0"/>
      <w:marBottom w:val="0"/>
      <w:divBdr>
        <w:top w:val="none" w:sz="0" w:space="0" w:color="auto"/>
        <w:left w:val="none" w:sz="0" w:space="0" w:color="auto"/>
        <w:bottom w:val="none" w:sz="0" w:space="0" w:color="auto"/>
        <w:right w:val="none" w:sz="0" w:space="0" w:color="auto"/>
      </w:divBdr>
    </w:div>
    <w:div w:id="297762681">
      <w:bodyDiv w:val="1"/>
      <w:marLeft w:val="0"/>
      <w:marRight w:val="0"/>
      <w:marTop w:val="0"/>
      <w:marBottom w:val="0"/>
      <w:divBdr>
        <w:top w:val="none" w:sz="0" w:space="0" w:color="auto"/>
        <w:left w:val="none" w:sz="0" w:space="0" w:color="auto"/>
        <w:bottom w:val="none" w:sz="0" w:space="0" w:color="auto"/>
        <w:right w:val="none" w:sz="0" w:space="0" w:color="auto"/>
      </w:divBdr>
    </w:div>
    <w:div w:id="480999524">
      <w:bodyDiv w:val="1"/>
      <w:marLeft w:val="0"/>
      <w:marRight w:val="0"/>
      <w:marTop w:val="0"/>
      <w:marBottom w:val="0"/>
      <w:divBdr>
        <w:top w:val="none" w:sz="0" w:space="0" w:color="auto"/>
        <w:left w:val="none" w:sz="0" w:space="0" w:color="auto"/>
        <w:bottom w:val="none" w:sz="0" w:space="0" w:color="auto"/>
        <w:right w:val="none" w:sz="0" w:space="0" w:color="auto"/>
      </w:divBdr>
    </w:div>
    <w:div w:id="481775622">
      <w:bodyDiv w:val="1"/>
      <w:marLeft w:val="0"/>
      <w:marRight w:val="0"/>
      <w:marTop w:val="0"/>
      <w:marBottom w:val="0"/>
      <w:divBdr>
        <w:top w:val="none" w:sz="0" w:space="0" w:color="auto"/>
        <w:left w:val="none" w:sz="0" w:space="0" w:color="auto"/>
        <w:bottom w:val="none" w:sz="0" w:space="0" w:color="auto"/>
        <w:right w:val="none" w:sz="0" w:space="0" w:color="auto"/>
      </w:divBdr>
    </w:div>
    <w:div w:id="488908823">
      <w:bodyDiv w:val="1"/>
      <w:marLeft w:val="0"/>
      <w:marRight w:val="0"/>
      <w:marTop w:val="0"/>
      <w:marBottom w:val="0"/>
      <w:divBdr>
        <w:top w:val="none" w:sz="0" w:space="0" w:color="auto"/>
        <w:left w:val="none" w:sz="0" w:space="0" w:color="auto"/>
        <w:bottom w:val="none" w:sz="0" w:space="0" w:color="auto"/>
        <w:right w:val="none" w:sz="0" w:space="0" w:color="auto"/>
      </w:divBdr>
    </w:div>
    <w:div w:id="522935834">
      <w:bodyDiv w:val="1"/>
      <w:marLeft w:val="0"/>
      <w:marRight w:val="0"/>
      <w:marTop w:val="0"/>
      <w:marBottom w:val="0"/>
      <w:divBdr>
        <w:top w:val="none" w:sz="0" w:space="0" w:color="auto"/>
        <w:left w:val="none" w:sz="0" w:space="0" w:color="auto"/>
        <w:bottom w:val="none" w:sz="0" w:space="0" w:color="auto"/>
        <w:right w:val="none" w:sz="0" w:space="0" w:color="auto"/>
      </w:divBdr>
    </w:div>
    <w:div w:id="532423131">
      <w:bodyDiv w:val="1"/>
      <w:marLeft w:val="0"/>
      <w:marRight w:val="0"/>
      <w:marTop w:val="0"/>
      <w:marBottom w:val="0"/>
      <w:divBdr>
        <w:top w:val="none" w:sz="0" w:space="0" w:color="auto"/>
        <w:left w:val="none" w:sz="0" w:space="0" w:color="auto"/>
        <w:bottom w:val="none" w:sz="0" w:space="0" w:color="auto"/>
        <w:right w:val="none" w:sz="0" w:space="0" w:color="auto"/>
      </w:divBdr>
    </w:div>
    <w:div w:id="579413123">
      <w:bodyDiv w:val="1"/>
      <w:marLeft w:val="0"/>
      <w:marRight w:val="0"/>
      <w:marTop w:val="0"/>
      <w:marBottom w:val="0"/>
      <w:divBdr>
        <w:top w:val="none" w:sz="0" w:space="0" w:color="auto"/>
        <w:left w:val="none" w:sz="0" w:space="0" w:color="auto"/>
        <w:bottom w:val="none" w:sz="0" w:space="0" w:color="auto"/>
        <w:right w:val="none" w:sz="0" w:space="0" w:color="auto"/>
      </w:divBdr>
    </w:div>
    <w:div w:id="584995081">
      <w:bodyDiv w:val="1"/>
      <w:marLeft w:val="0"/>
      <w:marRight w:val="0"/>
      <w:marTop w:val="0"/>
      <w:marBottom w:val="0"/>
      <w:divBdr>
        <w:top w:val="none" w:sz="0" w:space="0" w:color="auto"/>
        <w:left w:val="none" w:sz="0" w:space="0" w:color="auto"/>
        <w:bottom w:val="none" w:sz="0" w:space="0" w:color="auto"/>
        <w:right w:val="none" w:sz="0" w:space="0" w:color="auto"/>
      </w:divBdr>
    </w:div>
    <w:div w:id="589200158">
      <w:bodyDiv w:val="1"/>
      <w:marLeft w:val="0"/>
      <w:marRight w:val="0"/>
      <w:marTop w:val="0"/>
      <w:marBottom w:val="0"/>
      <w:divBdr>
        <w:top w:val="none" w:sz="0" w:space="0" w:color="auto"/>
        <w:left w:val="none" w:sz="0" w:space="0" w:color="auto"/>
        <w:bottom w:val="none" w:sz="0" w:space="0" w:color="auto"/>
        <w:right w:val="none" w:sz="0" w:space="0" w:color="auto"/>
      </w:divBdr>
    </w:div>
    <w:div w:id="618535614">
      <w:bodyDiv w:val="1"/>
      <w:marLeft w:val="0"/>
      <w:marRight w:val="0"/>
      <w:marTop w:val="0"/>
      <w:marBottom w:val="0"/>
      <w:divBdr>
        <w:top w:val="none" w:sz="0" w:space="0" w:color="auto"/>
        <w:left w:val="none" w:sz="0" w:space="0" w:color="auto"/>
        <w:bottom w:val="none" w:sz="0" w:space="0" w:color="auto"/>
        <w:right w:val="none" w:sz="0" w:space="0" w:color="auto"/>
      </w:divBdr>
    </w:div>
    <w:div w:id="635916408">
      <w:bodyDiv w:val="1"/>
      <w:marLeft w:val="0"/>
      <w:marRight w:val="0"/>
      <w:marTop w:val="0"/>
      <w:marBottom w:val="0"/>
      <w:divBdr>
        <w:top w:val="none" w:sz="0" w:space="0" w:color="auto"/>
        <w:left w:val="none" w:sz="0" w:space="0" w:color="auto"/>
        <w:bottom w:val="none" w:sz="0" w:space="0" w:color="auto"/>
        <w:right w:val="none" w:sz="0" w:space="0" w:color="auto"/>
      </w:divBdr>
    </w:div>
    <w:div w:id="640572921">
      <w:bodyDiv w:val="1"/>
      <w:marLeft w:val="0"/>
      <w:marRight w:val="0"/>
      <w:marTop w:val="0"/>
      <w:marBottom w:val="0"/>
      <w:divBdr>
        <w:top w:val="none" w:sz="0" w:space="0" w:color="auto"/>
        <w:left w:val="none" w:sz="0" w:space="0" w:color="auto"/>
        <w:bottom w:val="none" w:sz="0" w:space="0" w:color="auto"/>
        <w:right w:val="none" w:sz="0" w:space="0" w:color="auto"/>
      </w:divBdr>
    </w:div>
    <w:div w:id="676150543">
      <w:bodyDiv w:val="1"/>
      <w:marLeft w:val="0"/>
      <w:marRight w:val="0"/>
      <w:marTop w:val="0"/>
      <w:marBottom w:val="0"/>
      <w:divBdr>
        <w:top w:val="none" w:sz="0" w:space="0" w:color="auto"/>
        <w:left w:val="none" w:sz="0" w:space="0" w:color="auto"/>
        <w:bottom w:val="none" w:sz="0" w:space="0" w:color="auto"/>
        <w:right w:val="none" w:sz="0" w:space="0" w:color="auto"/>
      </w:divBdr>
    </w:div>
    <w:div w:id="708840842">
      <w:bodyDiv w:val="1"/>
      <w:marLeft w:val="0"/>
      <w:marRight w:val="0"/>
      <w:marTop w:val="0"/>
      <w:marBottom w:val="0"/>
      <w:divBdr>
        <w:top w:val="none" w:sz="0" w:space="0" w:color="auto"/>
        <w:left w:val="none" w:sz="0" w:space="0" w:color="auto"/>
        <w:bottom w:val="none" w:sz="0" w:space="0" w:color="auto"/>
        <w:right w:val="none" w:sz="0" w:space="0" w:color="auto"/>
      </w:divBdr>
    </w:div>
    <w:div w:id="723985656">
      <w:bodyDiv w:val="1"/>
      <w:marLeft w:val="0"/>
      <w:marRight w:val="0"/>
      <w:marTop w:val="0"/>
      <w:marBottom w:val="0"/>
      <w:divBdr>
        <w:top w:val="none" w:sz="0" w:space="0" w:color="auto"/>
        <w:left w:val="none" w:sz="0" w:space="0" w:color="auto"/>
        <w:bottom w:val="none" w:sz="0" w:space="0" w:color="auto"/>
        <w:right w:val="none" w:sz="0" w:space="0" w:color="auto"/>
      </w:divBdr>
    </w:div>
    <w:div w:id="869413635">
      <w:bodyDiv w:val="1"/>
      <w:marLeft w:val="0"/>
      <w:marRight w:val="0"/>
      <w:marTop w:val="0"/>
      <w:marBottom w:val="0"/>
      <w:divBdr>
        <w:top w:val="none" w:sz="0" w:space="0" w:color="auto"/>
        <w:left w:val="none" w:sz="0" w:space="0" w:color="auto"/>
        <w:bottom w:val="none" w:sz="0" w:space="0" w:color="auto"/>
        <w:right w:val="none" w:sz="0" w:space="0" w:color="auto"/>
      </w:divBdr>
    </w:div>
    <w:div w:id="932665923">
      <w:bodyDiv w:val="1"/>
      <w:marLeft w:val="0"/>
      <w:marRight w:val="0"/>
      <w:marTop w:val="0"/>
      <w:marBottom w:val="0"/>
      <w:divBdr>
        <w:top w:val="none" w:sz="0" w:space="0" w:color="auto"/>
        <w:left w:val="none" w:sz="0" w:space="0" w:color="auto"/>
        <w:bottom w:val="none" w:sz="0" w:space="0" w:color="auto"/>
        <w:right w:val="none" w:sz="0" w:space="0" w:color="auto"/>
      </w:divBdr>
    </w:div>
    <w:div w:id="1033968779">
      <w:bodyDiv w:val="1"/>
      <w:marLeft w:val="0"/>
      <w:marRight w:val="0"/>
      <w:marTop w:val="0"/>
      <w:marBottom w:val="0"/>
      <w:divBdr>
        <w:top w:val="none" w:sz="0" w:space="0" w:color="auto"/>
        <w:left w:val="none" w:sz="0" w:space="0" w:color="auto"/>
        <w:bottom w:val="none" w:sz="0" w:space="0" w:color="auto"/>
        <w:right w:val="none" w:sz="0" w:space="0" w:color="auto"/>
      </w:divBdr>
    </w:div>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1597136041">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58333017">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sChild>
    </w:div>
    <w:div w:id="1046102537">
      <w:bodyDiv w:val="1"/>
      <w:marLeft w:val="0"/>
      <w:marRight w:val="0"/>
      <w:marTop w:val="0"/>
      <w:marBottom w:val="0"/>
      <w:divBdr>
        <w:top w:val="none" w:sz="0" w:space="0" w:color="auto"/>
        <w:left w:val="none" w:sz="0" w:space="0" w:color="auto"/>
        <w:bottom w:val="none" w:sz="0" w:space="0" w:color="auto"/>
        <w:right w:val="none" w:sz="0" w:space="0" w:color="auto"/>
      </w:divBdr>
    </w:div>
    <w:div w:id="1073699707">
      <w:bodyDiv w:val="1"/>
      <w:marLeft w:val="0"/>
      <w:marRight w:val="0"/>
      <w:marTop w:val="0"/>
      <w:marBottom w:val="0"/>
      <w:divBdr>
        <w:top w:val="none" w:sz="0" w:space="0" w:color="auto"/>
        <w:left w:val="none" w:sz="0" w:space="0" w:color="auto"/>
        <w:bottom w:val="none" w:sz="0" w:space="0" w:color="auto"/>
        <w:right w:val="none" w:sz="0" w:space="0" w:color="auto"/>
      </w:divBdr>
    </w:div>
    <w:div w:id="1076050364">
      <w:bodyDiv w:val="1"/>
      <w:marLeft w:val="0"/>
      <w:marRight w:val="0"/>
      <w:marTop w:val="0"/>
      <w:marBottom w:val="0"/>
      <w:divBdr>
        <w:top w:val="none" w:sz="0" w:space="0" w:color="auto"/>
        <w:left w:val="none" w:sz="0" w:space="0" w:color="auto"/>
        <w:bottom w:val="none" w:sz="0" w:space="0" w:color="auto"/>
        <w:right w:val="none" w:sz="0" w:space="0" w:color="auto"/>
      </w:divBdr>
    </w:div>
    <w:div w:id="1095517169">
      <w:bodyDiv w:val="1"/>
      <w:marLeft w:val="0"/>
      <w:marRight w:val="0"/>
      <w:marTop w:val="0"/>
      <w:marBottom w:val="0"/>
      <w:divBdr>
        <w:top w:val="none" w:sz="0" w:space="0" w:color="auto"/>
        <w:left w:val="none" w:sz="0" w:space="0" w:color="auto"/>
        <w:bottom w:val="none" w:sz="0" w:space="0" w:color="auto"/>
        <w:right w:val="none" w:sz="0" w:space="0" w:color="auto"/>
      </w:divBdr>
    </w:div>
    <w:div w:id="1120106227">
      <w:bodyDiv w:val="1"/>
      <w:marLeft w:val="0"/>
      <w:marRight w:val="0"/>
      <w:marTop w:val="0"/>
      <w:marBottom w:val="0"/>
      <w:divBdr>
        <w:top w:val="none" w:sz="0" w:space="0" w:color="auto"/>
        <w:left w:val="none" w:sz="0" w:space="0" w:color="auto"/>
        <w:bottom w:val="none" w:sz="0" w:space="0" w:color="auto"/>
        <w:right w:val="none" w:sz="0" w:space="0" w:color="auto"/>
      </w:divBdr>
    </w:div>
    <w:div w:id="1155141529">
      <w:bodyDiv w:val="1"/>
      <w:marLeft w:val="0"/>
      <w:marRight w:val="0"/>
      <w:marTop w:val="0"/>
      <w:marBottom w:val="0"/>
      <w:divBdr>
        <w:top w:val="none" w:sz="0" w:space="0" w:color="auto"/>
        <w:left w:val="none" w:sz="0" w:space="0" w:color="auto"/>
        <w:bottom w:val="none" w:sz="0" w:space="0" w:color="auto"/>
        <w:right w:val="none" w:sz="0" w:space="0" w:color="auto"/>
      </w:divBdr>
    </w:div>
    <w:div w:id="1155995107">
      <w:bodyDiv w:val="1"/>
      <w:marLeft w:val="0"/>
      <w:marRight w:val="0"/>
      <w:marTop w:val="0"/>
      <w:marBottom w:val="0"/>
      <w:divBdr>
        <w:top w:val="none" w:sz="0" w:space="0" w:color="auto"/>
        <w:left w:val="none" w:sz="0" w:space="0" w:color="auto"/>
        <w:bottom w:val="none" w:sz="0" w:space="0" w:color="auto"/>
        <w:right w:val="none" w:sz="0" w:space="0" w:color="auto"/>
      </w:divBdr>
    </w:div>
    <w:div w:id="1157265940">
      <w:bodyDiv w:val="1"/>
      <w:marLeft w:val="0"/>
      <w:marRight w:val="0"/>
      <w:marTop w:val="0"/>
      <w:marBottom w:val="0"/>
      <w:divBdr>
        <w:top w:val="none" w:sz="0" w:space="0" w:color="auto"/>
        <w:left w:val="none" w:sz="0" w:space="0" w:color="auto"/>
        <w:bottom w:val="none" w:sz="0" w:space="0" w:color="auto"/>
        <w:right w:val="none" w:sz="0" w:space="0" w:color="auto"/>
      </w:divBdr>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78929447">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67214304">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sChild>
    </w:div>
    <w:div w:id="1208953773">
      <w:bodyDiv w:val="1"/>
      <w:marLeft w:val="0"/>
      <w:marRight w:val="0"/>
      <w:marTop w:val="0"/>
      <w:marBottom w:val="0"/>
      <w:divBdr>
        <w:top w:val="none" w:sz="0" w:space="0" w:color="auto"/>
        <w:left w:val="none" w:sz="0" w:space="0" w:color="auto"/>
        <w:bottom w:val="none" w:sz="0" w:space="0" w:color="auto"/>
        <w:right w:val="none" w:sz="0" w:space="0" w:color="auto"/>
      </w:divBdr>
    </w:div>
    <w:div w:id="1210533406">
      <w:bodyDiv w:val="1"/>
      <w:marLeft w:val="0"/>
      <w:marRight w:val="0"/>
      <w:marTop w:val="0"/>
      <w:marBottom w:val="0"/>
      <w:divBdr>
        <w:top w:val="none" w:sz="0" w:space="0" w:color="auto"/>
        <w:left w:val="none" w:sz="0" w:space="0" w:color="auto"/>
        <w:bottom w:val="none" w:sz="0" w:space="0" w:color="auto"/>
        <w:right w:val="none" w:sz="0" w:space="0" w:color="auto"/>
      </w:divBdr>
    </w:div>
    <w:div w:id="1317107168">
      <w:bodyDiv w:val="1"/>
      <w:marLeft w:val="0"/>
      <w:marRight w:val="0"/>
      <w:marTop w:val="0"/>
      <w:marBottom w:val="0"/>
      <w:divBdr>
        <w:top w:val="none" w:sz="0" w:space="0" w:color="auto"/>
        <w:left w:val="none" w:sz="0" w:space="0" w:color="auto"/>
        <w:bottom w:val="none" w:sz="0" w:space="0" w:color="auto"/>
        <w:right w:val="none" w:sz="0" w:space="0" w:color="auto"/>
      </w:divBdr>
    </w:div>
    <w:div w:id="1321957383">
      <w:bodyDiv w:val="1"/>
      <w:marLeft w:val="0"/>
      <w:marRight w:val="0"/>
      <w:marTop w:val="0"/>
      <w:marBottom w:val="0"/>
      <w:divBdr>
        <w:top w:val="none" w:sz="0" w:space="0" w:color="auto"/>
        <w:left w:val="none" w:sz="0" w:space="0" w:color="auto"/>
        <w:bottom w:val="none" w:sz="0" w:space="0" w:color="auto"/>
        <w:right w:val="none" w:sz="0" w:space="0" w:color="auto"/>
      </w:divBdr>
    </w:div>
    <w:div w:id="1355568581">
      <w:bodyDiv w:val="1"/>
      <w:marLeft w:val="0"/>
      <w:marRight w:val="0"/>
      <w:marTop w:val="0"/>
      <w:marBottom w:val="0"/>
      <w:divBdr>
        <w:top w:val="none" w:sz="0" w:space="0" w:color="auto"/>
        <w:left w:val="none" w:sz="0" w:space="0" w:color="auto"/>
        <w:bottom w:val="none" w:sz="0" w:space="0" w:color="auto"/>
        <w:right w:val="none" w:sz="0" w:space="0" w:color="auto"/>
      </w:divBdr>
    </w:div>
    <w:div w:id="1384478907">
      <w:bodyDiv w:val="1"/>
      <w:marLeft w:val="0"/>
      <w:marRight w:val="0"/>
      <w:marTop w:val="0"/>
      <w:marBottom w:val="0"/>
      <w:divBdr>
        <w:top w:val="none" w:sz="0" w:space="0" w:color="auto"/>
        <w:left w:val="none" w:sz="0" w:space="0" w:color="auto"/>
        <w:bottom w:val="none" w:sz="0" w:space="0" w:color="auto"/>
        <w:right w:val="none" w:sz="0" w:space="0" w:color="auto"/>
      </w:divBdr>
    </w:div>
    <w:div w:id="1394695972">
      <w:bodyDiv w:val="1"/>
      <w:marLeft w:val="0"/>
      <w:marRight w:val="0"/>
      <w:marTop w:val="0"/>
      <w:marBottom w:val="0"/>
      <w:divBdr>
        <w:top w:val="none" w:sz="0" w:space="0" w:color="auto"/>
        <w:left w:val="none" w:sz="0" w:space="0" w:color="auto"/>
        <w:bottom w:val="none" w:sz="0" w:space="0" w:color="auto"/>
        <w:right w:val="none" w:sz="0" w:space="0" w:color="auto"/>
      </w:divBdr>
    </w:div>
    <w:div w:id="1411927530">
      <w:bodyDiv w:val="1"/>
      <w:marLeft w:val="0"/>
      <w:marRight w:val="0"/>
      <w:marTop w:val="0"/>
      <w:marBottom w:val="0"/>
      <w:divBdr>
        <w:top w:val="none" w:sz="0" w:space="0" w:color="auto"/>
        <w:left w:val="none" w:sz="0" w:space="0" w:color="auto"/>
        <w:bottom w:val="none" w:sz="0" w:space="0" w:color="auto"/>
        <w:right w:val="none" w:sz="0" w:space="0" w:color="auto"/>
      </w:divBdr>
    </w:div>
    <w:div w:id="1439641999">
      <w:bodyDiv w:val="1"/>
      <w:marLeft w:val="0"/>
      <w:marRight w:val="0"/>
      <w:marTop w:val="0"/>
      <w:marBottom w:val="0"/>
      <w:divBdr>
        <w:top w:val="none" w:sz="0" w:space="0" w:color="auto"/>
        <w:left w:val="none" w:sz="0" w:space="0" w:color="auto"/>
        <w:bottom w:val="none" w:sz="0" w:space="0" w:color="auto"/>
        <w:right w:val="none" w:sz="0" w:space="0" w:color="auto"/>
      </w:divBdr>
    </w:div>
    <w:div w:id="1439985132">
      <w:bodyDiv w:val="1"/>
      <w:marLeft w:val="0"/>
      <w:marRight w:val="0"/>
      <w:marTop w:val="0"/>
      <w:marBottom w:val="0"/>
      <w:divBdr>
        <w:top w:val="none" w:sz="0" w:space="0" w:color="auto"/>
        <w:left w:val="none" w:sz="0" w:space="0" w:color="auto"/>
        <w:bottom w:val="none" w:sz="0" w:space="0" w:color="auto"/>
        <w:right w:val="none" w:sz="0" w:space="0" w:color="auto"/>
      </w:divBdr>
    </w:div>
    <w:div w:id="1491365783">
      <w:bodyDiv w:val="1"/>
      <w:marLeft w:val="0"/>
      <w:marRight w:val="0"/>
      <w:marTop w:val="0"/>
      <w:marBottom w:val="0"/>
      <w:divBdr>
        <w:top w:val="none" w:sz="0" w:space="0" w:color="auto"/>
        <w:left w:val="none" w:sz="0" w:space="0" w:color="auto"/>
        <w:bottom w:val="none" w:sz="0" w:space="0" w:color="auto"/>
        <w:right w:val="none" w:sz="0" w:space="0" w:color="auto"/>
      </w:divBdr>
    </w:div>
    <w:div w:id="1497384065">
      <w:bodyDiv w:val="1"/>
      <w:marLeft w:val="0"/>
      <w:marRight w:val="0"/>
      <w:marTop w:val="0"/>
      <w:marBottom w:val="0"/>
      <w:divBdr>
        <w:top w:val="none" w:sz="0" w:space="0" w:color="auto"/>
        <w:left w:val="none" w:sz="0" w:space="0" w:color="auto"/>
        <w:bottom w:val="none" w:sz="0" w:space="0" w:color="auto"/>
        <w:right w:val="none" w:sz="0" w:space="0" w:color="auto"/>
      </w:divBdr>
    </w:div>
    <w:div w:id="1502155912">
      <w:bodyDiv w:val="1"/>
      <w:marLeft w:val="0"/>
      <w:marRight w:val="0"/>
      <w:marTop w:val="0"/>
      <w:marBottom w:val="0"/>
      <w:divBdr>
        <w:top w:val="none" w:sz="0" w:space="0" w:color="auto"/>
        <w:left w:val="none" w:sz="0" w:space="0" w:color="auto"/>
        <w:bottom w:val="none" w:sz="0" w:space="0" w:color="auto"/>
        <w:right w:val="none" w:sz="0" w:space="0" w:color="auto"/>
      </w:divBdr>
    </w:div>
    <w:div w:id="1515918991">
      <w:bodyDiv w:val="1"/>
      <w:marLeft w:val="0"/>
      <w:marRight w:val="0"/>
      <w:marTop w:val="0"/>
      <w:marBottom w:val="0"/>
      <w:divBdr>
        <w:top w:val="none" w:sz="0" w:space="0" w:color="auto"/>
        <w:left w:val="none" w:sz="0" w:space="0" w:color="auto"/>
        <w:bottom w:val="none" w:sz="0" w:space="0" w:color="auto"/>
        <w:right w:val="none" w:sz="0" w:space="0" w:color="auto"/>
      </w:divBdr>
    </w:div>
    <w:div w:id="1519663228">
      <w:bodyDiv w:val="1"/>
      <w:marLeft w:val="0"/>
      <w:marRight w:val="0"/>
      <w:marTop w:val="0"/>
      <w:marBottom w:val="0"/>
      <w:divBdr>
        <w:top w:val="none" w:sz="0" w:space="0" w:color="auto"/>
        <w:left w:val="none" w:sz="0" w:space="0" w:color="auto"/>
        <w:bottom w:val="none" w:sz="0" w:space="0" w:color="auto"/>
        <w:right w:val="none" w:sz="0" w:space="0" w:color="auto"/>
      </w:divBdr>
    </w:div>
    <w:div w:id="1551304344">
      <w:bodyDiv w:val="1"/>
      <w:marLeft w:val="0"/>
      <w:marRight w:val="0"/>
      <w:marTop w:val="0"/>
      <w:marBottom w:val="0"/>
      <w:divBdr>
        <w:top w:val="none" w:sz="0" w:space="0" w:color="auto"/>
        <w:left w:val="none" w:sz="0" w:space="0" w:color="auto"/>
        <w:bottom w:val="none" w:sz="0" w:space="0" w:color="auto"/>
        <w:right w:val="none" w:sz="0" w:space="0" w:color="auto"/>
      </w:divBdr>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1319842775">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70927959">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sChild>
    </w:div>
    <w:div w:id="1632637219">
      <w:bodyDiv w:val="1"/>
      <w:marLeft w:val="0"/>
      <w:marRight w:val="0"/>
      <w:marTop w:val="0"/>
      <w:marBottom w:val="0"/>
      <w:divBdr>
        <w:top w:val="none" w:sz="0" w:space="0" w:color="auto"/>
        <w:left w:val="none" w:sz="0" w:space="0" w:color="auto"/>
        <w:bottom w:val="none" w:sz="0" w:space="0" w:color="auto"/>
        <w:right w:val="none" w:sz="0" w:space="0" w:color="auto"/>
      </w:divBdr>
    </w:div>
    <w:div w:id="1649895058">
      <w:bodyDiv w:val="1"/>
      <w:marLeft w:val="0"/>
      <w:marRight w:val="0"/>
      <w:marTop w:val="0"/>
      <w:marBottom w:val="0"/>
      <w:divBdr>
        <w:top w:val="none" w:sz="0" w:space="0" w:color="auto"/>
        <w:left w:val="none" w:sz="0" w:space="0" w:color="auto"/>
        <w:bottom w:val="none" w:sz="0" w:space="0" w:color="auto"/>
        <w:right w:val="none" w:sz="0" w:space="0" w:color="auto"/>
      </w:divBdr>
    </w:div>
    <w:div w:id="1665627809">
      <w:bodyDiv w:val="1"/>
      <w:marLeft w:val="0"/>
      <w:marRight w:val="0"/>
      <w:marTop w:val="0"/>
      <w:marBottom w:val="0"/>
      <w:divBdr>
        <w:top w:val="none" w:sz="0" w:space="0" w:color="auto"/>
        <w:left w:val="none" w:sz="0" w:space="0" w:color="auto"/>
        <w:bottom w:val="none" w:sz="0" w:space="0" w:color="auto"/>
        <w:right w:val="none" w:sz="0" w:space="0" w:color="auto"/>
      </w:divBdr>
    </w:div>
    <w:div w:id="1665628119">
      <w:bodyDiv w:val="1"/>
      <w:marLeft w:val="0"/>
      <w:marRight w:val="0"/>
      <w:marTop w:val="0"/>
      <w:marBottom w:val="0"/>
      <w:divBdr>
        <w:top w:val="none" w:sz="0" w:space="0" w:color="auto"/>
        <w:left w:val="none" w:sz="0" w:space="0" w:color="auto"/>
        <w:bottom w:val="none" w:sz="0" w:space="0" w:color="auto"/>
        <w:right w:val="none" w:sz="0" w:space="0" w:color="auto"/>
      </w:divBdr>
    </w:div>
    <w:div w:id="1735545434">
      <w:bodyDiv w:val="1"/>
      <w:marLeft w:val="0"/>
      <w:marRight w:val="0"/>
      <w:marTop w:val="0"/>
      <w:marBottom w:val="0"/>
      <w:divBdr>
        <w:top w:val="none" w:sz="0" w:space="0" w:color="auto"/>
        <w:left w:val="none" w:sz="0" w:space="0" w:color="auto"/>
        <w:bottom w:val="none" w:sz="0" w:space="0" w:color="auto"/>
        <w:right w:val="none" w:sz="0" w:space="0" w:color="auto"/>
      </w:divBdr>
    </w:div>
    <w:div w:id="1749840609">
      <w:bodyDiv w:val="1"/>
      <w:marLeft w:val="0"/>
      <w:marRight w:val="0"/>
      <w:marTop w:val="0"/>
      <w:marBottom w:val="0"/>
      <w:divBdr>
        <w:top w:val="none" w:sz="0" w:space="0" w:color="auto"/>
        <w:left w:val="none" w:sz="0" w:space="0" w:color="auto"/>
        <w:bottom w:val="none" w:sz="0" w:space="0" w:color="auto"/>
        <w:right w:val="none" w:sz="0" w:space="0" w:color="auto"/>
      </w:divBdr>
    </w:div>
    <w:div w:id="1831218302">
      <w:bodyDiv w:val="1"/>
      <w:marLeft w:val="0"/>
      <w:marRight w:val="0"/>
      <w:marTop w:val="0"/>
      <w:marBottom w:val="0"/>
      <w:divBdr>
        <w:top w:val="none" w:sz="0" w:space="0" w:color="auto"/>
        <w:left w:val="none" w:sz="0" w:space="0" w:color="auto"/>
        <w:bottom w:val="none" w:sz="0" w:space="0" w:color="auto"/>
        <w:right w:val="none" w:sz="0" w:space="0" w:color="auto"/>
      </w:divBdr>
    </w:div>
    <w:div w:id="1838303342">
      <w:bodyDiv w:val="1"/>
      <w:marLeft w:val="0"/>
      <w:marRight w:val="0"/>
      <w:marTop w:val="0"/>
      <w:marBottom w:val="0"/>
      <w:divBdr>
        <w:top w:val="none" w:sz="0" w:space="0" w:color="auto"/>
        <w:left w:val="none" w:sz="0" w:space="0" w:color="auto"/>
        <w:bottom w:val="none" w:sz="0" w:space="0" w:color="auto"/>
        <w:right w:val="none" w:sz="0" w:space="0" w:color="auto"/>
      </w:divBdr>
    </w:div>
    <w:div w:id="1900047904">
      <w:bodyDiv w:val="1"/>
      <w:marLeft w:val="0"/>
      <w:marRight w:val="0"/>
      <w:marTop w:val="0"/>
      <w:marBottom w:val="0"/>
      <w:divBdr>
        <w:top w:val="none" w:sz="0" w:space="0" w:color="auto"/>
        <w:left w:val="none" w:sz="0" w:space="0" w:color="auto"/>
        <w:bottom w:val="none" w:sz="0" w:space="0" w:color="auto"/>
        <w:right w:val="none" w:sz="0" w:space="0" w:color="auto"/>
      </w:divBdr>
    </w:div>
    <w:div w:id="1926261484">
      <w:bodyDiv w:val="1"/>
      <w:marLeft w:val="0"/>
      <w:marRight w:val="0"/>
      <w:marTop w:val="0"/>
      <w:marBottom w:val="0"/>
      <w:divBdr>
        <w:top w:val="none" w:sz="0" w:space="0" w:color="auto"/>
        <w:left w:val="none" w:sz="0" w:space="0" w:color="auto"/>
        <w:bottom w:val="none" w:sz="0" w:space="0" w:color="auto"/>
        <w:right w:val="none" w:sz="0" w:space="0" w:color="auto"/>
      </w:divBdr>
    </w:div>
    <w:div w:id="1929994517">
      <w:bodyDiv w:val="1"/>
      <w:marLeft w:val="0"/>
      <w:marRight w:val="0"/>
      <w:marTop w:val="0"/>
      <w:marBottom w:val="0"/>
      <w:divBdr>
        <w:top w:val="none" w:sz="0" w:space="0" w:color="auto"/>
        <w:left w:val="none" w:sz="0" w:space="0" w:color="auto"/>
        <w:bottom w:val="none" w:sz="0" w:space="0" w:color="auto"/>
        <w:right w:val="none" w:sz="0" w:space="0" w:color="auto"/>
      </w:divBdr>
    </w:div>
    <w:div w:id="1933010168">
      <w:bodyDiv w:val="1"/>
      <w:marLeft w:val="0"/>
      <w:marRight w:val="0"/>
      <w:marTop w:val="0"/>
      <w:marBottom w:val="0"/>
      <w:divBdr>
        <w:top w:val="none" w:sz="0" w:space="0" w:color="auto"/>
        <w:left w:val="none" w:sz="0" w:space="0" w:color="auto"/>
        <w:bottom w:val="none" w:sz="0" w:space="0" w:color="auto"/>
        <w:right w:val="none" w:sz="0" w:space="0" w:color="auto"/>
      </w:divBdr>
    </w:div>
    <w:div w:id="1972445210">
      <w:bodyDiv w:val="1"/>
      <w:marLeft w:val="0"/>
      <w:marRight w:val="0"/>
      <w:marTop w:val="0"/>
      <w:marBottom w:val="0"/>
      <w:divBdr>
        <w:top w:val="none" w:sz="0" w:space="0" w:color="auto"/>
        <w:left w:val="none" w:sz="0" w:space="0" w:color="auto"/>
        <w:bottom w:val="none" w:sz="0" w:space="0" w:color="auto"/>
        <w:right w:val="none" w:sz="0" w:space="0" w:color="auto"/>
      </w:divBdr>
    </w:div>
    <w:div w:id="1979601891">
      <w:bodyDiv w:val="1"/>
      <w:marLeft w:val="0"/>
      <w:marRight w:val="0"/>
      <w:marTop w:val="0"/>
      <w:marBottom w:val="0"/>
      <w:divBdr>
        <w:top w:val="none" w:sz="0" w:space="0" w:color="auto"/>
        <w:left w:val="none" w:sz="0" w:space="0" w:color="auto"/>
        <w:bottom w:val="none" w:sz="0" w:space="0" w:color="auto"/>
        <w:right w:val="none" w:sz="0" w:space="0" w:color="auto"/>
      </w:divBdr>
    </w:div>
    <w:div w:id="2005863968">
      <w:bodyDiv w:val="1"/>
      <w:marLeft w:val="0"/>
      <w:marRight w:val="0"/>
      <w:marTop w:val="0"/>
      <w:marBottom w:val="0"/>
      <w:divBdr>
        <w:top w:val="none" w:sz="0" w:space="0" w:color="auto"/>
        <w:left w:val="none" w:sz="0" w:space="0" w:color="auto"/>
        <w:bottom w:val="none" w:sz="0" w:space="0" w:color="auto"/>
        <w:right w:val="none" w:sz="0" w:space="0" w:color="auto"/>
      </w:divBdr>
    </w:div>
    <w:div w:id="2043552007">
      <w:bodyDiv w:val="1"/>
      <w:marLeft w:val="0"/>
      <w:marRight w:val="0"/>
      <w:marTop w:val="0"/>
      <w:marBottom w:val="0"/>
      <w:divBdr>
        <w:top w:val="none" w:sz="0" w:space="0" w:color="auto"/>
        <w:left w:val="none" w:sz="0" w:space="0" w:color="auto"/>
        <w:bottom w:val="none" w:sz="0" w:space="0" w:color="auto"/>
        <w:right w:val="none" w:sz="0" w:space="0" w:color="auto"/>
      </w:divBdr>
    </w:div>
    <w:div w:id="2052221295">
      <w:bodyDiv w:val="1"/>
      <w:marLeft w:val="0"/>
      <w:marRight w:val="0"/>
      <w:marTop w:val="0"/>
      <w:marBottom w:val="0"/>
      <w:divBdr>
        <w:top w:val="none" w:sz="0" w:space="0" w:color="auto"/>
        <w:left w:val="none" w:sz="0" w:space="0" w:color="auto"/>
        <w:bottom w:val="none" w:sz="0" w:space="0" w:color="auto"/>
        <w:right w:val="none" w:sz="0" w:space="0" w:color="auto"/>
      </w:divBdr>
    </w:div>
    <w:div w:id="2087729882">
      <w:bodyDiv w:val="1"/>
      <w:marLeft w:val="0"/>
      <w:marRight w:val="0"/>
      <w:marTop w:val="0"/>
      <w:marBottom w:val="0"/>
      <w:divBdr>
        <w:top w:val="none" w:sz="0" w:space="0" w:color="auto"/>
        <w:left w:val="none" w:sz="0" w:space="0" w:color="auto"/>
        <w:bottom w:val="none" w:sz="0" w:space="0" w:color="auto"/>
        <w:right w:val="none" w:sz="0" w:space="0" w:color="auto"/>
      </w:divBdr>
    </w:div>
    <w:div w:id="20912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hpa.gov.au/internet/ihpa/publishing.nsf/content/national-efficient-price-determination-lp" TargetMode="External"/><Relationship Id="rId10" Type="http://schemas.openxmlformats.org/officeDocument/2006/relationships/image" Target="media/image2.gif"/><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IHPA\External%20report.dotx" TargetMode="External"/></Relationships>
</file>

<file path=word/theme/theme1.xml><?xml version="1.0" encoding="utf-8"?>
<a:theme xmlns:a="http://schemas.openxmlformats.org/drawingml/2006/main" name="Office Theme">
  <a:themeElements>
    <a:clrScheme name="IHPA brand colours">
      <a:dk1>
        <a:sysClr val="windowText" lastClr="000000"/>
      </a:dk1>
      <a:lt1>
        <a:sysClr val="window" lastClr="FFFFFF"/>
      </a:lt1>
      <a:dk2>
        <a:srgbClr val="004200"/>
      </a:dk2>
      <a:lt2>
        <a:srgbClr val="008A00"/>
      </a:lt2>
      <a:accent1>
        <a:srgbClr val="000000"/>
      </a:accent1>
      <a:accent2>
        <a:srgbClr val="58595B"/>
      </a:accent2>
      <a:accent3>
        <a:srgbClr val="808285"/>
      </a:accent3>
      <a:accent4>
        <a:srgbClr val="A7A9AC"/>
      </a:accent4>
      <a:accent5>
        <a:srgbClr val="008A00"/>
      </a:accent5>
      <a:accent6>
        <a:srgbClr val="0042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EC15-D492-4AF9-81DA-39D63555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report.dotx</Template>
  <TotalTime>0</TotalTime>
  <Pages>33</Pages>
  <Words>5440</Words>
  <Characters>31012</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Independent Hospital Pricing Authority – National Efficient Cost Determination 2016-17</vt:lpstr>
    </vt:vector>
  </TitlesOfParts>
  <Company>Dept Health And Ageing</Company>
  <LinksUpToDate>false</LinksUpToDate>
  <CharactersWithSpaces>36380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Hospital Pricing Authority – National Efficient Cost Determination 2016-17</dc:title>
  <dc:creator>Caroline Coevoet</dc:creator>
  <cp:lastModifiedBy>Pirani Matthew</cp:lastModifiedBy>
  <cp:revision>2</cp:revision>
  <cp:lastPrinted>2016-02-17T05:11:00Z</cp:lastPrinted>
  <dcterms:created xsi:type="dcterms:W3CDTF">2016-02-29T00:36:00Z</dcterms:created>
  <dcterms:modified xsi:type="dcterms:W3CDTF">2016-02-29T00:36:00Z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