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96" w:rsidRPr="000051B6" w:rsidRDefault="00C3719B" w:rsidP="00FF1B96">
      <w:pPr>
        <w:pStyle w:val="CoverPanelFrame"/>
        <w:framePr w:wrap="notBeside"/>
        <w:rPr>
          <w:lang w:val="en-AU"/>
        </w:rPr>
      </w:pPr>
      <w:r w:rsidRPr="000051B6">
        <w:rPr>
          <w:lang w:val="en-AU"/>
        </w:rPr>
        <w:t>‘</w:t>
      </w:r>
    </w:p>
    <w:p w:rsidR="0015174C" w:rsidRPr="000051B6" w:rsidRDefault="0015174C" w:rsidP="00D70C18">
      <w:pPr>
        <w:pStyle w:val="BlockText2Client"/>
        <w:rPr>
          <w:lang w:val="en-AU"/>
        </w:rPr>
      </w:pPr>
      <w:r w:rsidRPr="000051B6">
        <w:rPr>
          <w:lang w:val="en-AU"/>
        </w:rPr>
        <w:t>National Hospital Cost Data Collection</w:t>
      </w:r>
      <w:r w:rsidR="00B816C2" w:rsidRPr="000051B6">
        <w:rPr>
          <w:lang w:val="en-AU"/>
        </w:rPr>
        <w:t xml:space="preserve"> </w:t>
      </w:r>
      <w:r w:rsidR="00E812A5" w:rsidRPr="000051B6">
        <w:rPr>
          <w:lang w:val="en-AU"/>
        </w:rPr>
        <w:t>(NHCDC)</w:t>
      </w:r>
    </w:p>
    <w:p w:rsidR="000A066C" w:rsidRPr="000051B6" w:rsidRDefault="000A066C" w:rsidP="00D70C18">
      <w:pPr>
        <w:pStyle w:val="BlockText2Client"/>
        <w:rPr>
          <w:lang w:val="en-AU"/>
        </w:rPr>
      </w:pPr>
      <w:r w:rsidRPr="000051B6">
        <w:rPr>
          <w:lang w:val="en-AU"/>
        </w:rPr>
        <w:t xml:space="preserve">Private </w:t>
      </w:r>
      <w:r w:rsidR="002D317E" w:rsidRPr="000051B6">
        <w:rPr>
          <w:lang w:val="en-AU"/>
        </w:rPr>
        <w:t>Sector</w:t>
      </w:r>
    </w:p>
    <w:p w:rsidR="00D635C6" w:rsidRPr="000051B6" w:rsidRDefault="00D635C6" w:rsidP="00C3719B">
      <w:pPr>
        <w:pStyle w:val="Covertitle"/>
        <w:framePr w:w="0" w:wrap="auto" w:vAnchor="margin" w:hAnchor="text" w:xAlign="left" w:yAlign="inline"/>
        <w:spacing w:after="480"/>
        <w:rPr>
          <w:sz w:val="56"/>
          <w:lang w:val="en-AU"/>
        </w:rPr>
      </w:pPr>
    </w:p>
    <w:p w:rsidR="00C3719B" w:rsidRPr="000051B6" w:rsidRDefault="003408CC" w:rsidP="00C3719B">
      <w:pPr>
        <w:pStyle w:val="Covertitle"/>
        <w:framePr w:w="0" w:wrap="auto" w:vAnchor="margin" w:hAnchor="text" w:xAlign="left" w:yAlign="inline"/>
        <w:spacing w:after="480"/>
        <w:rPr>
          <w:sz w:val="56"/>
          <w:lang w:val="en-AU"/>
        </w:rPr>
      </w:pPr>
      <w:r w:rsidRPr="000051B6">
        <w:rPr>
          <w:sz w:val="56"/>
          <w:lang w:val="en-AU"/>
        </w:rPr>
        <w:t xml:space="preserve">Round 18 </w:t>
      </w:r>
      <w:r w:rsidR="0015174C" w:rsidRPr="000051B6">
        <w:rPr>
          <w:sz w:val="56"/>
          <w:lang w:val="en-AU"/>
        </w:rPr>
        <w:t xml:space="preserve">Private </w:t>
      </w:r>
      <w:r w:rsidR="000A066C" w:rsidRPr="000051B6">
        <w:rPr>
          <w:sz w:val="56"/>
          <w:lang w:val="en-AU"/>
        </w:rPr>
        <w:t xml:space="preserve">Sector </w:t>
      </w:r>
      <w:r w:rsidR="006226CD" w:rsidRPr="000051B6">
        <w:rPr>
          <w:sz w:val="56"/>
          <w:lang w:val="en-AU"/>
        </w:rPr>
        <w:t xml:space="preserve">Overnight </w:t>
      </w:r>
      <w:r w:rsidRPr="000051B6">
        <w:rPr>
          <w:sz w:val="56"/>
          <w:lang w:val="en-AU"/>
        </w:rPr>
        <w:t>NHCDC</w:t>
      </w:r>
      <w:r w:rsidR="00C3719B" w:rsidRPr="000051B6">
        <w:rPr>
          <w:sz w:val="56"/>
          <w:lang w:val="en-AU"/>
        </w:rPr>
        <w:t xml:space="preserve"> </w:t>
      </w:r>
    </w:p>
    <w:p w:rsidR="00C3719B" w:rsidRPr="000051B6" w:rsidRDefault="00E75057" w:rsidP="00C3719B">
      <w:pPr>
        <w:pStyle w:val="CoverDate"/>
        <w:framePr w:w="0" w:wrap="auto" w:vAnchor="margin" w:hAnchor="text" w:xAlign="left" w:yAlign="inline"/>
        <w:spacing w:after="2880"/>
        <w:rPr>
          <w:bCs w:val="0"/>
          <w:sz w:val="56"/>
          <w:szCs w:val="18"/>
          <w:lang w:val="en-AU"/>
        </w:rPr>
      </w:pPr>
      <w:r>
        <w:rPr>
          <w:bCs w:val="0"/>
          <w:sz w:val="56"/>
          <w:szCs w:val="18"/>
          <w:lang w:val="en-AU"/>
        </w:rPr>
        <w:t>18</w:t>
      </w:r>
      <w:r w:rsidR="00773E62" w:rsidRPr="000051B6">
        <w:rPr>
          <w:bCs w:val="0"/>
          <w:sz w:val="56"/>
          <w:szCs w:val="18"/>
          <w:lang w:val="en-AU"/>
        </w:rPr>
        <w:t xml:space="preserve"> November 2015</w:t>
      </w:r>
    </w:p>
    <w:p w:rsidR="0015174C" w:rsidRPr="000051B6" w:rsidRDefault="00F43593" w:rsidP="00D635C6">
      <w:pPr>
        <w:pStyle w:val="PwCNormal"/>
        <w:numPr>
          <w:ilvl w:val="0"/>
          <w:numId w:val="0"/>
        </w:numPr>
      </w:pPr>
      <w:r w:rsidRPr="000051B6">
        <w:t xml:space="preserve">DRG Version: </w:t>
      </w:r>
      <w:r w:rsidR="0015174C" w:rsidRPr="000051B6">
        <w:t>AR-DRG 6.0x</w:t>
      </w:r>
    </w:p>
    <w:p w:rsidR="009B3E02" w:rsidRPr="000051B6" w:rsidRDefault="002169D0" w:rsidP="00275248">
      <w:pPr>
        <w:pStyle w:val="PwCNormal"/>
        <w:numPr>
          <w:ilvl w:val="0"/>
          <w:numId w:val="0"/>
        </w:numPr>
      </w:pPr>
      <w:r w:rsidRPr="000051B6">
        <w:rPr>
          <w:noProof/>
          <w:snapToGrid/>
          <w:lang w:eastAsia="en-AU"/>
        </w:rPr>
        <w:drawing>
          <wp:anchor distT="0" distB="0" distL="114300" distR="114300" simplePos="0" relativeHeight="251659264" behindDoc="1" locked="0" layoutInCell="1" allowOverlap="1" wp14:anchorId="3115898F" wp14:editId="224AFCC1">
            <wp:simplePos x="0" y="0"/>
            <wp:positionH relativeFrom="page">
              <wp:posOffset>2130425</wp:posOffset>
            </wp:positionH>
            <wp:positionV relativeFrom="page">
              <wp:posOffset>9528175</wp:posOffset>
            </wp:positionV>
            <wp:extent cx="1249680" cy="941070"/>
            <wp:effectExtent l="0" t="0" r="7620" b="0"/>
            <wp:wrapNone/>
            <wp:docPr id="2" name="PwCLogoFL" descr="PwC logo" title="P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wC new Visual Identity\Logos\Fixed\Print\EPS\PwC_fl_4cp A.jpg"/>
                    <pic:cNvPicPr>
                      <a:picLocks noChangeAspect="1" noChangeArrowheads="1"/>
                    </pic:cNvPicPr>
                  </pic:nvPicPr>
                  <pic:blipFill>
                    <a:blip r:embed="rId9" cstate="print"/>
                    <a:srcRect/>
                    <a:stretch>
                      <a:fillRect/>
                    </a:stretch>
                  </pic:blipFill>
                  <pic:spPr bwMode="auto">
                    <a:xfrm>
                      <a:off x="0" y="0"/>
                      <a:ext cx="1249680" cy="941070"/>
                    </a:xfrm>
                    <a:prstGeom prst="rect">
                      <a:avLst/>
                    </a:prstGeom>
                    <a:noFill/>
                    <a:ln w="9525">
                      <a:noFill/>
                      <a:miter lim="800000"/>
                      <a:headEnd/>
                      <a:tailEnd/>
                    </a:ln>
                  </pic:spPr>
                </pic:pic>
              </a:graphicData>
            </a:graphic>
          </wp:anchor>
        </w:drawing>
      </w:r>
    </w:p>
    <w:p w:rsidR="00695B02" w:rsidRPr="000051B6" w:rsidRDefault="00695B02" w:rsidP="00695B02">
      <w:pPr>
        <w:pStyle w:val="PwCNormal"/>
        <w:numPr>
          <w:ilvl w:val="0"/>
          <w:numId w:val="0"/>
        </w:numPr>
        <w:sectPr w:rsidR="00695B02" w:rsidRPr="000051B6" w:rsidSect="002169D0">
          <w:footerReference w:type="default" r:id="rId10"/>
          <w:headerReference w:type="first" r:id="rId11"/>
          <w:pgSz w:w="11907" w:h="16840" w:code="9"/>
          <w:pgMar w:top="2325" w:right="1021" w:bottom="1134" w:left="3317" w:header="397" w:footer="567" w:gutter="227"/>
          <w:pgNumType w:start="1"/>
          <w:cols w:space="708"/>
          <w:docGrid w:linePitch="360"/>
        </w:sectPr>
      </w:pPr>
    </w:p>
    <w:p w:rsidR="00464564" w:rsidRPr="000051B6" w:rsidRDefault="00A1178A" w:rsidP="000A066C">
      <w:pPr>
        <w:pStyle w:val="PrefaceTitle"/>
        <w:spacing w:after="0"/>
      </w:pPr>
      <w:bookmarkStart w:id="1" w:name="_Toc353945517"/>
      <w:bookmarkStart w:id="2" w:name="_Toc401133772"/>
      <w:bookmarkStart w:id="3" w:name="_Toc401133806"/>
      <w:bookmarkStart w:id="4" w:name="_Toc430010941"/>
      <w:bookmarkStart w:id="5" w:name="_Toc433975506"/>
      <w:bookmarkStart w:id="6" w:name="_Toc435611202"/>
      <w:r w:rsidRPr="000051B6">
        <w:lastRenderedPageBreak/>
        <w:t>L</w:t>
      </w:r>
      <w:r w:rsidR="00E823BA" w:rsidRPr="000051B6">
        <w:t>ist of abbreviations</w:t>
      </w:r>
      <w:bookmarkEnd w:id="1"/>
      <w:bookmarkEnd w:id="2"/>
      <w:bookmarkEnd w:id="3"/>
      <w:bookmarkEnd w:id="4"/>
      <w:bookmarkEnd w:id="5"/>
      <w:bookmarkEnd w:id="6"/>
    </w:p>
    <w:p w:rsidR="000A066C" w:rsidRPr="000051B6" w:rsidRDefault="000A066C" w:rsidP="000A066C">
      <w:pPr>
        <w:pStyle w:val="PwCNormal"/>
        <w:numPr>
          <w:ilvl w:val="0"/>
          <w:numId w:val="0"/>
        </w:numPr>
      </w:pPr>
    </w:p>
    <w:tbl>
      <w:tblPr>
        <w:tblStyle w:val="Tables-APBase"/>
        <w:tblW w:w="0" w:type="auto"/>
        <w:tblLook w:val="04A0" w:firstRow="1" w:lastRow="0" w:firstColumn="1" w:lastColumn="0" w:noHBand="0" w:noVBand="1"/>
        <w:tblCaption w:val="List of abbreviations"/>
        <w:tblDescription w:val="This table contains the list of abbreviations used in the report with columns for the abbreviations and their respective descriptions/definitions"/>
      </w:tblPr>
      <w:tblGrid>
        <w:gridCol w:w="1668"/>
        <w:gridCol w:w="6378"/>
      </w:tblGrid>
      <w:tr w:rsidR="00800C4A" w:rsidRPr="000051B6" w:rsidTr="006F29F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668" w:type="dxa"/>
          </w:tcPr>
          <w:p w:rsidR="00800C4A" w:rsidRPr="000051B6" w:rsidRDefault="00800C4A" w:rsidP="00D635C6">
            <w:pPr>
              <w:pStyle w:val="PwCNormal"/>
              <w:numPr>
                <w:ilvl w:val="0"/>
                <w:numId w:val="0"/>
              </w:numPr>
              <w:rPr>
                <w:b/>
                <w:color w:val="A32020" w:themeColor="text2"/>
              </w:rPr>
            </w:pPr>
            <w:r w:rsidRPr="000051B6">
              <w:rPr>
                <w:b/>
                <w:color w:val="A32020" w:themeColor="text2"/>
              </w:rPr>
              <w:t>Abbreviation</w:t>
            </w:r>
          </w:p>
        </w:tc>
        <w:tc>
          <w:tcPr>
            <w:tcW w:w="6378" w:type="dxa"/>
          </w:tcPr>
          <w:p w:rsidR="00800C4A" w:rsidRPr="000051B6" w:rsidRDefault="00800C4A" w:rsidP="00800C4A">
            <w:pPr>
              <w:pStyle w:val="PwCNormal"/>
              <w:numPr>
                <w:ilvl w:val="0"/>
                <w:numId w:val="0"/>
              </w:numPr>
              <w:jc w:val="left"/>
              <w:cnfStyle w:val="100000000000" w:firstRow="1" w:lastRow="0" w:firstColumn="0" w:lastColumn="0" w:oddVBand="0" w:evenVBand="0" w:oddHBand="0" w:evenHBand="0" w:firstRowFirstColumn="0" w:firstRowLastColumn="0" w:lastRowFirstColumn="0" w:lastRowLastColumn="0"/>
              <w:rPr>
                <w:b/>
                <w:color w:val="A32020" w:themeColor="text2"/>
              </w:rPr>
            </w:pPr>
            <w:r w:rsidRPr="000051B6">
              <w:rPr>
                <w:b/>
                <w:color w:val="A32020" w:themeColor="text2"/>
              </w:rPr>
              <w:t>Abbreviation Description</w:t>
            </w:r>
          </w:p>
        </w:tc>
      </w:tr>
      <w:tr w:rsidR="00800C4A" w:rsidRPr="000051B6" w:rsidTr="006F29F7">
        <w:tc>
          <w:tcPr>
            <w:tcW w:w="1668" w:type="dxa"/>
          </w:tcPr>
          <w:p w:rsidR="00800C4A" w:rsidRPr="000051B6" w:rsidRDefault="00800C4A" w:rsidP="00D635C6">
            <w:pPr>
              <w:pStyle w:val="PwCNormal"/>
              <w:numPr>
                <w:ilvl w:val="0"/>
                <w:numId w:val="0"/>
              </w:numPr>
            </w:pPr>
            <w:r w:rsidRPr="000051B6">
              <w:t>ABS</w:t>
            </w:r>
          </w:p>
        </w:tc>
        <w:tc>
          <w:tcPr>
            <w:tcW w:w="6378" w:type="dxa"/>
          </w:tcPr>
          <w:p w:rsidR="00800C4A" w:rsidRPr="000051B6" w:rsidRDefault="00800C4A" w:rsidP="00800C4A">
            <w:pPr>
              <w:pStyle w:val="PwCNormal"/>
              <w:numPr>
                <w:ilvl w:val="0"/>
                <w:numId w:val="0"/>
              </w:numPr>
            </w:pPr>
            <w:r w:rsidRPr="000051B6">
              <w:t>Australian Bureau of Statistics</w:t>
            </w:r>
          </w:p>
        </w:tc>
      </w:tr>
      <w:tr w:rsidR="00800C4A" w:rsidRPr="000051B6" w:rsidTr="006F29F7">
        <w:tc>
          <w:tcPr>
            <w:tcW w:w="1668" w:type="dxa"/>
          </w:tcPr>
          <w:p w:rsidR="00800C4A" w:rsidRPr="000051B6" w:rsidRDefault="00800C4A" w:rsidP="00D635C6">
            <w:pPr>
              <w:pStyle w:val="PwCNormal"/>
              <w:numPr>
                <w:ilvl w:val="0"/>
                <w:numId w:val="0"/>
              </w:numPr>
            </w:pPr>
            <w:r w:rsidRPr="000051B6">
              <w:t>AHPCS</w:t>
            </w:r>
          </w:p>
        </w:tc>
        <w:tc>
          <w:tcPr>
            <w:tcW w:w="6378" w:type="dxa"/>
          </w:tcPr>
          <w:p w:rsidR="00800C4A" w:rsidRPr="000051B6" w:rsidRDefault="00800C4A" w:rsidP="00D635C6">
            <w:pPr>
              <w:pStyle w:val="PwCNormal"/>
              <w:numPr>
                <w:ilvl w:val="0"/>
                <w:numId w:val="0"/>
              </w:numPr>
            </w:pPr>
            <w:r w:rsidRPr="000051B6">
              <w:t>Australian Hospital Patient Costing Standards</w:t>
            </w:r>
          </w:p>
        </w:tc>
      </w:tr>
      <w:tr w:rsidR="00800C4A" w:rsidRPr="000051B6" w:rsidTr="006F29F7">
        <w:tc>
          <w:tcPr>
            <w:tcW w:w="1668" w:type="dxa"/>
          </w:tcPr>
          <w:p w:rsidR="00800C4A" w:rsidRPr="000051B6" w:rsidRDefault="00800C4A" w:rsidP="00D635C6">
            <w:pPr>
              <w:pStyle w:val="PwCNormal"/>
              <w:numPr>
                <w:ilvl w:val="0"/>
                <w:numId w:val="0"/>
              </w:numPr>
            </w:pPr>
            <w:r w:rsidRPr="000051B6">
              <w:t>AIHW</w:t>
            </w:r>
          </w:p>
        </w:tc>
        <w:tc>
          <w:tcPr>
            <w:tcW w:w="6378" w:type="dxa"/>
          </w:tcPr>
          <w:p w:rsidR="00800C4A" w:rsidRPr="000051B6" w:rsidRDefault="00800C4A" w:rsidP="00D635C6">
            <w:pPr>
              <w:pStyle w:val="PwCNormal"/>
              <w:numPr>
                <w:ilvl w:val="0"/>
                <w:numId w:val="0"/>
              </w:numPr>
            </w:pPr>
            <w:r w:rsidRPr="000051B6">
              <w:t>Australian Institute of Health and Welfare</w:t>
            </w:r>
          </w:p>
        </w:tc>
      </w:tr>
      <w:tr w:rsidR="00800C4A" w:rsidRPr="000051B6" w:rsidTr="006F29F7">
        <w:tc>
          <w:tcPr>
            <w:tcW w:w="1668" w:type="dxa"/>
          </w:tcPr>
          <w:p w:rsidR="00800C4A" w:rsidRPr="000051B6" w:rsidRDefault="00800C4A" w:rsidP="00D635C6">
            <w:pPr>
              <w:pStyle w:val="PwCNormal"/>
              <w:numPr>
                <w:ilvl w:val="0"/>
                <w:numId w:val="0"/>
              </w:numPr>
            </w:pPr>
            <w:r w:rsidRPr="000051B6">
              <w:t>ALoS</w:t>
            </w:r>
            <w:r w:rsidRPr="000051B6">
              <w:tab/>
            </w:r>
          </w:p>
        </w:tc>
        <w:tc>
          <w:tcPr>
            <w:tcW w:w="6378" w:type="dxa"/>
          </w:tcPr>
          <w:p w:rsidR="00800C4A" w:rsidRPr="000051B6" w:rsidRDefault="00800C4A" w:rsidP="00800C4A">
            <w:pPr>
              <w:pStyle w:val="PwCNormal"/>
              <w:numPr>
                <w:ilvl w:val="0"/>
                <w:numId w:val="0"/>
              </w:numPr>
            </w:pPr>
            <w:r w:rsidRPr="000051B6">
              <w:t>Average length of stay</w:t>
            </w:r>
          </w:p>
        </w:tc>
      </w:tr>
      <w:tr w:rsidR="00800C4A" w:rsidRPr="000051B6" w:rsidTr="006F29F7">
        <w:tc>
          <w:tcPr>
            <w:tcW w:w="1668" w:type="dxa"/>
          </w:tcPr>
          <w:p w:rsidR="00800C4A" w:rsidRPr="000051B6" w:rsidRDefault="00800C4A" w:rsidP="00D635C6">
            <w:pPr>
              <w:pStyle w:val="PwCNormal"/>
              <w:numPr>
                <w:ilvl w:val="0"/>
                <w:numId w:val="0"/>
              </w:numPr>
            </w:pPr>
            <w:r w:rsidRPr="000051B6">
              <w:t>AR-DRG</w:t>
            </w:r>
          </w:p>
        </w:tc>
        <w:tc>
          <w:tcPr>
            <w:tcW w:w="6378" w:type="dxa"/>
          </w:tcPr>
          <w:p w:rsidR="00800C4A" w:rsidRPr="000051B6" w:rsidRDefault="00800C4A" w:rsidP="00800C4A">
            <w:pPr>
              <w:pStyle w:val="PwCNormal"/>
              <w:numPr>
                <w:ilvl w:val="0"/>
                <w:numId w:val="0"/>
              </w:numPr>
            </w:pPr>
            <w:r w:rsidRPr="000051B6">
              <w:t>Australian Refined Diagnosis Related Group</w:t>
            </w:r>
          </w:p>
        </w:tc>
      </w:tr>
      <w:tr w:rsidR="00A16E0B" w:rsidRPr="000051B6" w:rsidTr="006F29F7">
        <w:tc>
          <w:tcPr>
            <w:tcW w:w="1668" w:type="dxa"/>
          </w:tcPr>
          <w:p w:rsidR="00A16E0B" w:rsidRPr="000051B6" w:rsidRDefault="00A16E0B" w:rsidP="00581C85">
            <w:pPr>
              <w:pStyle w:val="PwCNormal"/>
              <w:numPr>
                <w:ilvl w:val="0"/>
                <w:numId w:val="0"/>
              </w:numPr>
            </w:pPr>
            <w:r w:rsidRPr="000051B6">
              <w:t>DoH</w:t>
            </w:r>
          </w:p>
        </w:tc>
        <w:tc>
          <w:tcPr>
            <w:tcW w:w="6378" w:type="dxa"/>
          </w:tcPr>
          <w:p w:rsidR="00A16E0B" w:rsidRPr="000051B6" w:rsidRDefault="00A16E0B" w:rsidP="00581C85">
            <w:pPr>
              <w:pStyle w:val="PwCNormal"/>
              <w:numPr>
                <w:ilvl w:val="0"/>
                <w:numId w:val="0"/>
              </w:numPr>
            </w:pPr>
            <w:r w:rsidRPr="000051B6">
              <w:t>Department of Health</w:t>
            </w:r>
          </w:p>
        </w:tc>
      </w:tr>
      <w:tr w:rsidR="00A16E0B" w:rsidRPr="000051B6" w:rsidTr="006F29F7">
        <w:tc>
          <w:tcPr>
            <w:tcW w:w="1668" w:type="dxa"/>
          </w:tcPr>
          <w:p w:rsidR="00A16E0B" w:rsidRPr="000051B6" w:rsidRDefault="00A16E0B" w:rsidP="00D635C6">
            <w:pPr>
              <w:pStyle w:val="PwCNormal"/>
              <w:numPr>
                <w:ilvl w:val="0"/>
                <w:numId w:val="0"/>
              </w:numPr>
            </w:pPr>
            <w:r w:rsidRPr="000051B6">
              <w:t>EDW</w:t>
            </w:r>
          </w:p>
        </w:tc>
        <w:tc>
          <w:tcPr>
            <w:tcW w:w="6378" w:type="dxa"/>
          </w:tcPr>
          <w:p w:rsidR="00A16E0B" w:rsidRPr="000051B6" w:rsidRDefault="00D2336B" w:rsidP="00800C4A">
            <w:pPr>
              <w:pStyle w:val="PwCNormal"/>
              <w:numPr>
                <w:ilvl w:val="0"/>
                <w:numId w:val="0"/>
              </w:numPr>
            </w:pPr>
            <w:r w:rsidRPr="000051B6">
              <w:t xml:space="preserve">Enterprise </w:t>
            </w:r>
            <w:r w:rsidR="00A16E0B" w:rsidRPr="000051B6">
              <w:t>Data Warehouse</w:t>
            </w:r>
          </w:p>
        </w:tc>
      </w:tr>
      <w:tr w:rsidR="00A16E0B" w:rsidRPr="000051B6" w:rsidTr="006F29F7">
        <w:tc>
          <w:tcPr>
            <w:tcW w:w="1668" w:type="dxa"/>
          </w:tcPr>
          <w:p w:rsidR="00A16E0B" w:rsidRPr="000051B6" w:rsidRDefault="00A16E0B" w:rsidP="00581C85">
            <w:pPr>
              <w:pStyle w:val="PwCNormal"/>
              <w:numPr>
                <w:ilvl w:val="0"/>
                <w:numId w:val="0"/>
              </w:numPr>
            </w:pPr>
            <w:r w:rsidRPr="000051B6">
              <w:t>GL</w:t>
            </w:r>
          </w:p>
        </w:tc>
        <w:tc>
          <w:tcPr>
            <w:tcW w:w="6378" w:type="dxa"/>
          </w:tcPr>
          <w:p w:rsidR="00A16E0B" w:rsidRPr="000051B6" w:rsidRDefault="00A16E0B" w:rsidP="00581C85">
            <w:pPr>
              <w:pStyle w:val="PwCNormal"/>
              <w:numPr>
                <w:ilvl w:val="0"/>
                <w:numId w:val="0"/>
              </w:numPr>
            </w:pPr>
            <w:r w:rsidRPr="000051B6">
              <w:t>General ledger</w:t>
            </w:r>
          </w:p>
        </w:tc>
      </w:tr>
      <w:tr w:rsidR="00A16E0B" w:rsidRPr="000051B6" w:rsidTr="006F29F7">
        <w:trPr>
          <w:trHeight w:val="754"/>
        </w:trPr>
        <w:tc>
          <w:tcPr>
            <w:tcW w:w="1668" w:type="dxa"/>
          </w:tcPr>
          <w:p w:rsidR="00A16E0B" w:rsidRPr="000051B6" w:rsidRDefault="00A16E0B" w:rsidP="00D635C6">
            <w:pPr>
              <w:pStyle w:val="PwCNormal"/>
              <w:numPr>
                <w:ilvl w:val="0"/>
                <w:numId w:val="0"/>
              </w:numPr>
            </w:pPr>
            <w:r w:rsidRPr="000051B6">
              <w:t>HCP</w:t>
            </w:r>
          </w:p>
        </w:tc>
        <w:tc>
          <w:tcPr>
            <w:tcW w:w="6378" w:type="dxa"/>
          </w:tcPr>
          <w:p w:rsidR="00A16E0B" w:rsidRPr="000051B6" w:rsidRDefault="00A16E0B" w:rsidP="00A16E0B">
            <w:pPr>
              <w:pStyle w:val="PwCNormal"/>
              <w:numPr>
                <w:ilvl w:val="0"/>
                <w:numId w:val="0"/>
              </w:numPr>
            </w:pPr>
            <w:r w:rsidRPr="000051B6">
              <w:t>Hospital Casemix Protocol</w:t>
            </w:r>
          </w:p>
        </w:tc>
      </w:tr>
      <w:tr w:rsidR="00A16E0B" w:rsidRPr="000051B6" w:rsidTr="00336AD9">
        <w:trPr>
          <w:trHeight w:val="510"/>
        </w:trPr>
        <w:tc>
          <w:tcPr>
            <w:tcW w:w="1668" w:type="dxa"/>
          </w:tcPr>
          <w:p w:rsidR="00A16E0B" w:rsidRPr="000051B6" w:rsidRDefault="00A16E0B" w:rsidP="00D635C6">
            <w:pPr>
              <w:pStyle w:val="PwCNormal"/>
              <w:numPr>
                <w:ilvl w:val="0"/>
                <w:numId w:val="0"/>
              </w:numPr>
            </w:pPr>
            <w:r w:rsidRPr="000051B6">
              <w:t>ICD-10-AM</w:t>
            </w:r>
          </w:p>
        </w:tc>
        <w:tc>
          <w:tcPr>
            <w:tcW w:w="6378" w:type="dxa"/>
          </w:tcPr>
          <w:p w:rsidR="00A16E0B" w:rsidRPr="000051B6" w:rsidRDefault="00A16E0B" w:rsidP="00A16E0B">
            <w:pPr>
              <w:pStyle w:val="PwCNormal"/>
              <w:numPr>
                <w:ilvl w:val="0"/>
                <w:numId w:val="0"/>
              </w:numPr>
            </w:pPr>
            <w:r w:rsidRPr="000051B6">
              <w:t>International statistical classification of diseases and related health problems, Tenth Revision, Australian modification</w:t>
            </w:r>
          </w:p>
        </w:tc>
      </w:tr>
      <w:tr w:rsidR="00A16E0B" w:rsidRPr="000051B6" w:rsidTr="006F29F7">
        <w:tc>
          <w:tcPr>
            <w:tcW w:w="1668" w:type="dxa"/>
          </w:tcPr>
          <w:p w:rsidR="00A16E0B" w:rsidRPr="000051B6" w:rsidRDefault="00A16E0B" w:rsidP="00D635C6">
            <w:pPr>
              <w:pStyle w:val="PwCNormal"/>
              <w:numPr>
                <w:ilvl w:val="0"/>
                <w:numId w:val="0"/>
              </w:numPr>
            </w:pPr>
            <w:r w:rsidRPr="000051B6">
              <w:t>ICU</w:t>
            </w:r>
          </w:p>
        </w:tc>
        <w:tc>
          <w:tcPr>
            <w:tcW w:w="6378" w:type="dxa"/>
          </w:tcPr>
          <w:p w:rsidR="00A16E0B" w:rsidRPr="000051B6" w:rsidRDefault="00A16E0B" w:rsidP="00A16E0B">
            <w:pPr>
              <w:pStyle w:val="PwCNormal"/>
              <w:numPr>
                <w:ilvl w:val="0"/>
                <w:numId w:val="0"/>
              </w:numPr>
            </w:pPr>
            <w:r w:rsidRPr="000051B6">
              <w:t>Intensive care units including neonatal and cardiac units</w:t>
            </w:r>
          </w:p>
        </w:tc>
      </w:tr>
      <w:tr w:rsidR="00A16E0B" w:rsidRPr="000051B6" w:rsidTr="006F29F7">
        <w:tc>
          <w:tcPr>
            <w:tcW w:w="1668" w:type="dxa"/>
          </w:tcPr>
          <w:p w:rsidR="00A16E0B" w:rsidRPr="000051B6" w:rsidRDefault="00A16E0B" w:rsidP="00D635C6">
            <w:pPr>
              <w:pStyle w:val="PwCNormal"/>
              <w:numPr>
                <w:ilvl w:val="0"/>
                <w:numId w:val="0"/>
              </w:numPr>
            </w:pPr>
            <w:r w:rsidRPr="000051B6">
              <w:t>IHPA</w:t>
            </w:r>
          </w:p>
        </w:tc>
        <w:tc>
          <w:tcPr>
            <w:tcW w:w="6378" w:type="dxa"/>
          </w:tcPr>
          <w:p w:rsidR="00A16E0B" w:rsidRPr="000051B6" w:rsidRDefault="00A16E0B" w:rsidP="00800C4A">
            <w:pPr>
              <w:pStyle w:val="PwCNormal"/>
              <w:numPr>
                <w:ilvl w:val="0"/>
                <w:numId w:val="0"/>
              </w:numPr>
            </w:pPr>
            <w:r w:rsidRPr="000051B6">
              <w:t>Independent Hospital Pricing Authority</w:t>
            </w:r>
          </w:p>
        </w:tc>
      </w:tr>
      <w:tr w:rsidR="00E64298" w:rsidRPr="000051B6" w:rsidTr="006F29F7">
        <w:tc>
          <w:tcPr>
            <w:tcW w:w="1668" w:type="dxa"/>
          </w:tcPr>
          <w:p w:rsidR="00E64298" w:rsidRPr="000051B6" w:rsidRDefault="00E64298" w:rsidP="00D635C6">
            <w:pPr>
              <w:pStyle w:val="PwCNormal"/>
              <w:numPr>
                <w:ilvl w:val="0"/>
                <w:numId w:val="0"/>
              </w:numPr>
            </w:pPr>
            <w:r w:rsidRPr="000051B6">
              <w:t>LoS</w:t>
            </w:r>
          </w:p>
        </w:tc>
        <w:tc>
          <w:tcPr>
            <w:tcW w:w="6378" w:type="dxa"/>
          </w:tcPr>
          <w:p w:rsidR="00E64298" w:rsidRPr="000051B6" w:rsidRDefault="00E64298" w:rsidP="00800C4A">
            <w:pPr>
              <w:pStyle w:val="PwCNormal"/>
              <w:numPr>
                <w:ilvl w:val="0"/>
                <w:numId w:val="0"/>
              </w:numPr>
            </w:pPr>
            <w:r w:rsidRPr="000051B6">
              <w:t>Length of stay</w:t>
            </w:r>
          </w:p>
        </w:tc>
      </w:tr>
      <w:tr w:rsidR="00A16E0B" w:rsidRPr="000051B6" w:rsidTr="006F29F7">
        <w:tc>
          <w:tcPr>
            <w:tcW w:w="1668" w:type="dxa"/>
          </w:tcPr>
          <w:p w:rsidR="00A16E0B" w:rsidRPr="000051B6" w:rsidRDefault="00A16E0B" w:rsidP="00D635C6">
            <w:pPr>
              <w:pStyle w:val="PwCNormal"/>
              <w:numPr>
                <w:ilvl w:val="0"/>
                <w:numId w:val="0"/>
              </w:numPr>
            </w:pPr>
            <w:r w:rsidRPr="000051B6">
              <w:t>MRN</w:t>
            </w:r>
          </w:p>
        </w:tc>
        <w:tc>
          <w:tcPr>
            <w:tcW w:w="6378" w:type="dxa"/>
          </w:tcPr>
          <w:p w:rsidR="00A16E0B" w:rsidRPr="000051B6" w:rsidRDefault="00A16E0B" w:rsidP="00800C4A">
            <w:pPr>
              <w:pStyle w:val="PwCNormal"/>
              <w:numPr>
                <w:ilvl w:val="0"/>
                <w:numId w:val="0"/>
              </w:numPr>
            </w:pPr>
            <w:r w:rsidRPr="000051B6">
              <w:t>Medical record number</w:t>
            </w:r>
          </w:p>
        </w:tc>
      </w:tr>
      <w:tr w:rsidR="00A16E0B" w:rsidRPr="000051B6" w:rsidTr="006F29F7">
        <w:tc>
          <w:tcPr>
            <w:tcW w:w="1668" w:type="dxa"/>
          </w:tcPr>
          <w:p w:rsidR="00A16E0B" w:rsidRPr="000051B6" w:rsidRDefault="00A16E0B" w:rsidP="00D635C6">
            <w:pPr>
              <w:pStyle w:val="PwCNormal"/>
              <w:numPr>
                <w:ilvl w:val="0"/>
                <w:numId w:val="0"/>
              </w:numPr>
            </w:pPr>
            <w:r w:rsidRPr="000051B6">
              <w:t>NHCDC</w:t>
            </w:r>
          </w:p>
        </w:tc>
        <w:tc>
          <w:tcPr>
            <w:tcW w:w="6378" w:type="dxa"/>
          </w:tcPr>
          <w:p w:rsidR="00A16E0B" w:rsidRPr="000051B6" w:rsidRDefault="00A16E0B" w:rsidP="00800C4A">
            <w:pPr>
              <w:pStyle w:val="PwCNormal"/>
              <w:numPr>
                <w:ilvl w:val="0"/>
                <w:numId w:val="0"/>
              </w:numPr>
            </w:pPr>
            <w:r w:rsidRPr="000051B6">
              <w:t>National hospital cost data collection</w:t>
            </w:r>
          </w:p>
        </w:tc>
      </w:tr>
      <w:tr w:rsidR="00A16E0B" w:rsidRPr="000051B6" w:rsidTr="006F29F7">
        <w:tc>
          <w:tcPr>
            <w:tcW w:w="1668" w:type="dxa"/>
          </w:tcPr>
          <w:p w:rsidR="00A16E0B" w:rsidRPr="000051B6" w:rsidRDefault="00A16E0B" w:rsidP="00D635C6">
            <w:pPr>
              <w:pStyle w:val="PwCNormal"/>
              <w:numPr>
                <w:ilvl w:val="0"/>
                <w:numId w:val="0"/>
              </w:numPr>
            </w:pPr>
            <w:r w:rsidRPr="000051B6">
              <w:t>NHDD</w:t>
            </w:r>
            <w:r w:rsidRPr="000051B6">
              <w:tab/>
            </w:r>
          </w:p>
        </w:tc>
        <w:tc>
          <w:tcPr>
            <w:tcW w:w="6378" w:type="dxa"/>
          </w:tcPr>
          <w:p w:rsidR="00A16E0B" w:rsidRPr="000051B6" w:rsidRDefault="00A16E0B" w:rsidP="00800C4A">
            <w:pPr>
              <w:pStyle w:val="PwCNormal"/>
              <w:numPr>
                <w:ilvl w:val="0"/>
                <w:numId w:val="0"/>
              </w:numPr>
            </w:pPr>
            <w:r w:rsidRPr="000051B6">
              <w:t>National Health Data Dictionary</w:t>
            </w:r>
          </w:p>
        </w:tc>
      </w:tr>
      <w:tr w:rsidR="00A16E0B" w:rsidRPr="000051B6" w:rsidTr="006F29F7">
        <w:tc>
          <w:tcPr>
            <w:tcW w:w="1668" w:type="dxa"/>
          </w:tcPr>
          <w:p w:rsidR="00A16E0B" w:rsidRPr="000051B6" w:rsidRDefault="00A16E0B" w:rsidP="00D635C6">
            <w:pPr>
              <w:pStyle w:val="PwCNormal"/>
              <w:numPr>
                <w:ilvl w:val="0"/>
                <w:numId w:val="0"/>
              </w:numPr>
            </w:pPr>
            <w:r w:rsidRPr="000051B6">
              <w:t>OR</w:t>
            </w:r>
          </w:p>
        </w:tc>
        <w:tc>
          <w:tcPr>
            <w:tcW w:w="6378" w:type="dxa"/>
          </w:tcPr>
          <w:p w:rsidR="00A16E0B" w:rsidRPr="000051B6" w:rsidRDefault="00A16E0B" w:rsidP="00800C4A">
            <w:pPr>
              <w:pStyle w:val="PwCNormal"/>
              <w:numPr>
                <w:ilvl w:val="0"/>
                <w:numId w:val="0"/>
              </w:numPr>
            </w:pPr>
            <w:r w:rsidRPr="000051B6">
              <w:t>Operating room (theatres)</w:t>
            </w:r>
          </w:p>
        </w:tc>
      </w:tr>
      <w:tr w:rsidR="00A16E0B" w:rsidRPr="000051B6" w:rsidTr="006F29F7">
        <w:tc>
          <w:tcPr>
            <w:tcW w:w="1668" w:type="dxa"/>
          </w:tcPr>
          <w:p w:rsidR="00A16E0B" w:rsidRPr="000051B6" w:rsidRDefault="00A16E0B" w:rsidP="00D635C6">
            <w:pPr>
              <w:pStyle w:val="PwCNormal"/>
              <w:numPr>
                <w:ilvl w:val="0"/>
                <w:numId w:val="0"/>
              </w:numPr>
            </w:pPr>
            <w:r w:rsidRPr="000051B6">
              <w:t>Pre-QA</w:t>
            </w:r>
          </w:p>
        </w:tc>
        <w:tc>
          <w:tcPr>
            <w:tcW w:w="6378" w:type="dxa"/>
          </w:tcPr>
          <w:p w:rsidR="00A16E0B" w:rsidRPr="000051B6" w:rsidRDefault="00A16E0B" w:rsidP="00800C4A">
            <w:pPr>
              <w:pStyle w:val="PwCNormal"/>
              <w:numPr>
                <w:ilvl w:val="0"/>
                <w:numId w:val="0"/>
              </w:numPr>
            </w:pPr>
            <w:r w:rsidRPr="000051B6">
              <w:t>Pre-costing quality assurance</w:t>
            </w:r>
          </w:p>
        </w:tc>
      </w:tr>
      <w:tr w:rsidR="00A16E0B" w:rsidRPr="000051B6" w:rsidTr="006F29F7">
        <w:tc>
          <w:tcPr>
            <w:tcW w:w="1668" w:type="dxa"/>
          </w:tcPr>
          <w:p w:rsidR="00A16E0B" w:rsidRPr="000051B6" w:rsidRDefault="00A16E0B" w:rsidP="00A16E0B">
            <w:pPr>
              <w:pStyle w:val="PwCNormal"/>
              <w:numPr>
                <w:ilvl w:val="0"/>
                <w:numId w:val="0"/>
              </w:numPr>
            </w:pPr>
            <w:r w:rsidRPr="000051B6">
              <w:t>Post-QA</w:t>
            </w:r>
          </w:p>
        </w:tc>
        <w:tc>
          <w:tcPr>
            <w:tcW w:w="6378" w:type="dxa"/>
          </w:tcPr>
          <w:p w:rsidR="00A16E0B" w:rsidRPr="000051B6" w:rsidRDefault="00A16E0B" w:rsidP="00800C4A">
            <w:pPr>
              <w:pStyle w:val="PwCNormal"/>
              <w:numPr>
                <w:ilvl w:val="0"/>
                <w:numId w:val="0"/>
              </w:numPr>
            </w:pPr>
            <w:r w:rsidRPr="000051B6">
              <w:t>Post- costing quality assurance</w:t>
            </w:r>
          </w:p>
        </w:tc>
      </w:tr>
      <w:tr w:rsidR="00A16E0B" w:rsidRPr="000051B6" w:rsidTr="006F29F7">
        <w:tc>
          <w:tcPr>
            <w:tcW w:w="1668" w:type="dxa"/>
          </w:tcPr>
          <w:p w:rsidR="00A16E0B" w:rsidRPr="000051B6" w:rsidRDefault="00A16E0B" w:rsidP="00D635C6">
            <w:pPr>
              <w:pStyle w:val="PwCNormal"/>
              <w:numPr>
                <w:ilvl w:val="0"/>
                <w:numId w:val="0"/>
              </w:numPr>
            </w:pPr>
            <w:r w:rsidRPr="000051B6">
              <w:t>PHDB</w:t>
            </w:r>
          </w:p>
        </w:tc>
        <w:tc>
          <w:tcPr>
            <w:tcW w:w="6378" w:type="dxa"/>
          </w:tcPr>
          <w:p w:rsidR="00A16E0B" w:rsidRPr="000051B6" w:rsidRDefault="00A16E0B" w:rsidP="00800C4A">
            <w:pPr>
              <w:pStyle w:val="PwCNormal"/>
              <w:numPr>
                <w:ilvl w:val="0"/>
                <w:numId w:val="0"/>
              </w:numPr>
            </w:pPr>
            <w:r w:rsidRPr="000051B6">
              <w:t>Private Hospital Data Bureau</w:t>
            </w:r>
          </w:p>
        </w:tc>
      </w:tr>
      <w:tr w:rsidR="00A16E0B" w:rsidRPr="000051B6" w:rsidTr="006F29F7">
        <w:tc>
          <w:tcPr>
            <w:tcW w:w="1668" w:type="dxa"/>
          </w:tcPr>
          <w:p w:rsidR="00A16E0B" w:rsidRPr="000051B6" w:rsidRDefault="00A16E0B" w:rsidP="00D635C6">
            <w:pPr>
              <w:pStyle w:val="PwCNormal"/>
              <w:numPr>
                <w:ilvl w:val="0"/>
                <w:numId w:val="0"/>
              </w:numPr>
            </w:pPr>
            <w:r w:rsidRPr="000051B6">
              <w:t>PwC</w:t>
            </w:r>
          </w:p>
        </w:tc>
        <w:tc>
          <w:tcPr>
            <w:tcW w:w="6378" w:type="dxa"/>
          </w:tcPr>
          <w:p w:rsidR="00A16E0B" w:rsidRPr="000051B6" w:rsidRDefault="00A16E0B" w:rsidP="00800C4A">
            <w:pPr>
              <w:pStyle w:val="PwCNormal"/>
              <w:numPr>
                <w:ilvl w:val="0"/>
                <w:numId w:val="0"/>
              </w:numPr>
            </w:pPr>
            <w:r w:rsidRPr="000051B6">
              <w:t>PricewaterhouseCoopers Australia</w:t>
            </w:r>
          </w:p>
        </w:tc>
      </w:tr>
      <w:tr w:rsidR="00A16E0B" w:rsidRPr="000051B6" w:rsidTr="006F29F7">
        <w:tc>
          <w:tcPr>
            <w:tcW w:w="1668" w:type="dxa"/>
          </w:tcPr>
          <w:p w:rsidR="00A16E0B" w:rsidRPr="000051B6" w:rsidRDefault="00A16E0B" w:rsidP="00D635C6">
            <w:pPr>
              <w:pStyle w:val="PwCNormal"/>
              <w:numPr>
                <w:ilvl w:val="0"/>
                <w:numId w:val="0"/>
              </w:numPr>
            </w:pPr>
            <w:r w:rsidRPr="000051B6">
              <w:t>SPS</w:t>
            </w:r>
          </w:p>
        </w:tc>
        <w:tc>
          <w:tcPr>
            <w:tcW w:w="6378" w:type="dxa"/>
          </w:tcPr>
          <w:p w:rsidR="00A16E0B" w:rsidRPr="000051B6" w:rsidRDefault="00A16E0B" w:rsidP="00800C4A">
            <w:pPr>
              <w:pStyle w:val="PwCNormal"/>
              <w:numPr>
                <w:ilvl w:val="0"/>
                <w:numId w:val="0"/>
              </w:numPr>
            </w:pPr>
            <w:r w:rsidRPr="000051B6">
              <w:t>Specialist procedure suites</w:t>
            </w:r>
          </w:p>
        </w:tc>
      </w:tr>
      <w:tr w:rsidR="00A16E0B" w:rsidRPr="000051B6" w:rsidTr="006F29F7">
        <w:tc>
          <w:tcPr>
            <w:tcW w:w="1668" w:type="dxa"/>
          </w:tcPr>
          <w:p w:rsidR="00A16E0B" w:rsidRPr="000051B6" w:rsidRDefault="00A16E0B" w:rsidP="00D635C6">
            <w:pPr>
              <w:pStyle w:val="PwCNormal"/>
              <w:numPr>
                <w:ilvl w:val="0"/>
                <w:numId w:val="0"/>
              </w:numPr>
            </w:pPr>
            <w:r w:rsidRPr="000051B6">
              <w:t>WIP</w:t>
            </w:r>
          </w:p>
        </w:tc>
        <w:tc>
          <w:tcPr>
            <w:tcW w:w="6378" w:type="dxa"/>
          </w:tcPr>
          <w:p w:rsidR="00A16E0B" w:rsidRPr="000051B6" w:rsidRDefault="00A16E0B" w:rsidP="00800C4A">
            <w:pPr>
              <w:pStyle w:val="PwCNormal"/>
              <w:numPr>
                <w:ilvl w:val="0"/>
                <w:numId w:val="0"/>
              </w:numPr>
            </w:pPr>
            <w:r w:rsidRPr="000051B6">
              <w:t>Work in progress</w:t>
            </w:r>
          </w:p>
        </w:tc>
      </w:tr>
    </w:tbl>
    <w:p w:rsidR="00800C4A" w:rsidRPr="000051B6" w:rsidRDefault="00800C4A" w:rsidP="00D635C6">
      <w:pPr>
        <w:pStyle w:val="PwCNormal"/>
        <w:numPr>
          <w:ilvl w:val="0"/>
          <w:numId w:val="0"/>
        </w:numPr>
      </w:pPr>
    </w:p>
    <w:bookmarkStart w:id="7" w:name="_Toc433975507" w:displacedByCustomXml="next"/>
    <w:bookmarkStart w:id="8" w:name="_Toc435611203" w:displacedByCustomXml="next"/>
    <w:sdt>
      <w:sdtPr>
        <w:rPr>
          <w:rFonts w:ascii="Georgia" w:hAnsi="Georgia"/>
          <w:b w:val="0"/>
          <w:bCs w:val="0"/>
          <w:i w:val="0"/>
          <w:iCs w:val="0"/>
          <w:color w:val="auto"/>
          <w:sz w:val="20"/>
          <w:szCs w:val="20"/>
        </w:rPr>
        <w:id w:val="-472914291"/>
        <w:docPartObj>
          <w:docPartGallery w:val="Table of Contents"/>
          <w:docPartUnique/>
        </w:docPartObj>
      </w:sdtPr>
      <w:sdtEndPr>
        <w:rPr>
          <w:noProof/>
        </w:rPr>
      </w:sdtEndPr>
      <w:sdtContent>
        <w:p w:rsidR="00235556" w:rsidRPr="000051B6" w:rsidRDefault="00235556" w:rsidP="00855476">
          <w:pPr>
            <w:pStyle w:val="PrefaceTitle"/>
            <w:spacing w:after="0"/>
          </w:pPr>
          <w:r w:rsidRPr="000051B6">
            <w:t>Contents</w:t>
          </w:r>
          <w:bookmarkEnd w:id="8"/>
          <w:bookmarkEnd w:id="7"/>
        </w:p>
        <w:p w:rsidR="00FC6FCE" w:rsidRPr="000051B6" w:rsidRDefault="00FC6FCE" w:rsidP="00FC6FCE"/>
        <w:p w:rsidR="00805489" w:rsidRDefault="00993D7E">
          <w:pPr>
            <w:pStyle w:val="TOC2"/>
            <w:tabs>
              <w:tab w:val="right" w:leader="dot" w:pos="8211"/>
            </w:tabs>
            <w:rPr>
              <w:rFonts w:asciiTheme="minorHAnsi" w:eastAsiaTheme="minorEastAsia" w:hAnsiTheme="minorHAnsi" w:cstheme="minorBidi"/>
              <w:smallCaps w:val="0"/>
              <w:noProof/>
              <w:snapToGrid/>
              <w:sz w:val="22"/>
              <w:szCs w:val="22"/>
              <w:lang w:eastAsia="en-AU"/>
            </w:rPr>
          </w:pPr>
          <w:r w:rsidRPr="000051B6">
            <w:rPr>
              <w:b/>
              <w:bCs/>
              <w:caps/>
              <w:smallCaps w:val="0"/>
            </w:rPr>
            <w:fldChar w:fldCharType="begin"/>
          </w:r>
          <w:r w:rsidRPr="000051B6">
            <w:rPr>
              <w:b/>
              <w:bCs/>
              <w:caps/>
              <w:smallCaps w:val="0"/>
            </w:rPr>
            <w:instrText xml:space="preserve"> TOC \o "1-2" \h \z \u </w:instrText>
          </w:r>
          <w:r w:rsidRPr="000051B6">
            <w:rPr>
              <w:b/>
              <w:bCs/>
              <w:caps/>
              <w:smallCaps w:val="0"/>
            </w:rPr>
            <w:fldChar w:fldCharType="separate"/>
          </w:r>
          <w:hyperlink w:anchor="_Toc435611202" w:history="1">
            <w:r w:rsidR="00805489" w:rsidRPr="00F047E7">
              <w:rPr>
                <w:rStyle w:val="Hyperlink"/>
                <w:noProof/>
              </w:rPr>
              <w:t>List of abbreviations</w:t>
            </w:r>
            <w:r w:rsidR="00805489">
              <w:rPr>
                <w:noProof/>
                <w:webHidden/>
              </w:rPr>
              <w:tab/>
            </w:r>
            <w:r w:rsidR="00805489">
              <w:rPr>
                <w:noProof/>
                <w:webHidden/>
              </w:rPr>
              <w:fldChar w:fldCharType="begin"/>
            </w:r>
            <w:r w:rsidR="00805489">
              <w:rPr>
                <w:noProof/>
                <w:webHidden/>
              </w:rPr>
              <w:instrText xml:space="preserve"> PAGEREF _Toc435611202 \h </w:instrText>
            </w:r>
            <w:r w:rsidR="00805489">
              <w:rPr>
                <w:noProof/>
                <w:webHidden/>
              </w:rPr>
            </w:r>
            <w:r w:rsidR="00805489">
              <w:rPr>
                <w:noProof/>
                <w:webHidden/>
              </w:rPr>
              <w:fldChar w:fldCharType="separate"/>
            </w:r>
            <w:r w:rsidR="00805489">
              <w:rPr>
                <w:noProof/>
                <w:webHidden/>
              </w:rPr>
              <w:t>1</w:t>
            </w:r>
            <w:r w:rsidR="00805489">
              <w:rPr>
                <w:noProof/>
                <w:webHidden/>
              </w:rPr>
              <w:fldChar w:fldCharType="end"/>
            </w:r>
          </w:hyperlink>
        </w:p>
        <w:p w:rsidR="00805489" w:rsidRDefault="00DB0E55">
          <w:pPr>
            <w:pStyle w:val="TOC2"/>
            <w:tabs>
              <w:tab w:val="right" w:leader="dot" w:pos="8211"/>
            </w:tabs>
            <w:rPr>
              <w:rFonts w:asciiTheme="minorHAnsi" w:eastAsiaTheme="minorEastAsia" w:hAnsiTheme="minorHAnsi" w:cstheme="minorBidi"/>
              <w:smallCaps w:val="0"/>
              <w:noProof/>
              <w:snapToGrid/>
              <w:sz w:val="22"/>
              <w:szCs w:val="22"/>
              <w:lang w:eastAsia="en-AU"/>
            </w:rPr>
          </w:pPr>
          <w:hyperlink w:anchor="_Toc435611203" w:history="1">
            <w:r w:rsidR="00805489" w:rsidRPr="00F047E7">
              <w:rPr>
                <w:rStyle w:val="Hyperlink"/>
                <w:noProof/>
              </w:rPr>
              <w:t>Contents</w:t>
            </w:r>
            <w:r w:rsidR="00805489">
              <w:rPr>
                <w:noProof/>
                <w:webHidden/>
              </w:rPr>
              <w:tab/>
            </w:r>
            <w:r w:rsidR="00805489">
              <w:rPr>
                <w:noProof/>
                <w:webHidden/>
              </w:rPr>
              <w:fldChar w:fldCharType="begin"/>
            </w:r>
            <w:r w:rsidR="00805489">
              <w:rPr>
                <w:noProof/>
                <w:webHidden/>
              </w:rPr>
              <w:instrText xml:space="preserve"> PAGEREF _Toc435611203 \h </w:instrText>
            </w:r>
            <w:r w:rsidR="00805489">
              <w:rPr>
                <w:noProof/>
                <w:webHidden/>
              </w:rPr>
            </w:r>
            <w:r w:rsidR="00805489">
              <w:rPr>
                <w:noProof/>
                <w:webHidden/>
              </w:rPr>
              <w:fldChar w:fldCharType="separate"/>
            </w:r>
            <w:r w:rsidR="00805489">
              <w:rPr>
                <w:noProof/>
                <w:webHidden/>
              </w:rPr>
              <w:t>2</w:t>
            </w:r>
            <w:r w:rsidR="00805489">
              <w:rPr>
                <w:noProof/>
                <w:webHidden/>
              </w:rPr>
              <w:fldChar w:fldCharType="end"/>
            </w:r>
          </w:hyperlink>
        </w:p>
        <w:p w:rsidR="00805489" w:rsidRDefault="00DB0E55">
          <w:pPr>
            <w:pStyle w:val="TOC1"/>
            <w:tabs>
              <w:tab w:val="left" w:pos="400"/>
              <w:tab w:val="right" w:leader="dot" w:pos="8211"/>
            </w:tabs>
            <w:rPr>
              <w:rFonts w:asciiTheme="minorHAnsi" w:eastAsiaTheme="minorEastAsia" w:hAnsiTheme="minorHAnsi" w:cstheme="minorBidi"/>
              <w:b w:val="0"/>
              <w:bCs w:val="0"/>
              <w:caps w:val="0"/>
              <w:noProof/>
              <w:snapToGrid/>
              <w:sz w:val="22"/>
              <w:szCs w:val="22"/>
              <w:lang w:eastAsia="en-AU"/>
            </w:rPr>
          </w:pPr>
          <w:hyperlink w:anchor="_Toc435611204" w:history="1">
            <w:r w:rsidR="00805489" w:rsidRPr="00F047E7">
              <w:rPr>
                <w:rStyle w:val="Hyperlink"/>
                <w:rFonts w:asciiTheme="majorHAnsi" w:hAnsiTheme="majorHAnsi"/>
                <w:noProof/>
              </w:rPr>
              <w:t>1</w:t>
            </w:r>
            <w:r w:rsidR="00805489">
              <w:rPr>
                <w:rFonts w:asciiTheme="minorHAnsi" w:eastAsiaTheme="minorEastAsia" w:hAnsiTheme="minorHAnsi" w:cstheme="minorBidi"/>
                <w:b w:val="0"/>
                <w:bCs w:val="0"/>
                <w:caps w:val="0"/>
                <w:noProof/>
                <w:snapToGrid/>
                <w:sz w:val="22"/>
                <w:szCs w:val="22"/>
                <w:lang w:eastAsia="en-AU"/>
              </w:rPr>
              <w:tab/>
            </w:r>
            <w:r w:rsidR="00805489" w:rsidRPr="00F047E7">
              <w:rPr>
                <w:rStyle w:val="Hyperlink"/>
                <w:rFonts w:asciiTheme="majorHAnsi" w:hAnsiTheme="majorHAnsi"/>
                <w:noProof/>
              </w:rPr>
              <w:t>Executive Summary</w:t>
            </w:r>
            <w:r w:rsidR="00805489">
              <w:rPr>
                <w:noProof/>
                <w:webHidden/>
              </w:rPr>
              <w:tab/>
            </w:r>
            <w:r w:rsidR="00805489">
              <w:rPr>
                <w:noProof/>
                <w:webHidden/>
              </w:rPr>
              <w:fldChar w:fldCharType="begin"/>
            </w:r>
            <w:r w:rsidR="00805489">
              <w:rPr>
                <w:noProof/>
                <w:webHidden/>
              </w:rPr>
              <w:instrText xml:space="preserve"> PAGEREF _Toc435611204 \h </w:instrText>
            </w:r>
            <w:r w:rsidR="00805489">
              <w:rPr>
                <w:noProof/>
                <w:webHidden/>
              </w:rPr>
            </w:r>
            <w:r w:rsidR="00805489">
              <w:rPr>
                <w:noProof/>
                <w:webHidden/>
              </w:rPr>
              <w:fldChar w:fldCharType="separate"/>
            </w:r>
            <w:r w:rsidR="00805489">
              <w:rPr>
                <w:noProof/>
                <w:webHidden/>
              </w:rPr>
              <w:t>5</w:t>
            </w:r>
            <w:r w:rsidR="00805489">
              <w:rPr>
                <w:noProof/>
                <w:webHidden/>
              </w:rPr>
              <w:fldChar w:fldCharType="end"/>
            </w:r>
          </w:hyperlink>
        </w:p>
        <w:p w:rsidR="00805489" w:rsidRDefault="00DB0E55">
          <w:pPr>
            <w:pStyle w:val="TOC2"/>
            <w:tabs>
              <w:tab w:val="left" w:pos="800"/>
              <w:tab w:val="right" w:leader="dot" w:pos="8211"/>
            </w:tabs>
            <w:rPr>
              <w:rFonts w:asciiTheme="minorHAnsi" w:eastAsiaTheme="minorEastAsia" w:hAnsiTheme="minorHAnsi" w:cstheme="minorBidi"/>
              <w:smallCaps w:val="0"/>
              <w:noProof/>
              <w:snapToGrid/>
              <w:sz w:val="22"/>
              <w:szCs w:val="22"/>
              <w:lang w:eastAsia="en-AU"/>
            </w:rPr>
          </w:pPr>
          <w:hyperlink w:anchor="_Toc435611205" w:history="1">
            <w:r w:rsidR="00805489" w:rsidRPr="00F047E7">
              <w:rPr>
                <w:rStyle w:val="Hyperlink"/>
                <w:noProof/>
              </w:rPr>
              <w:t>1.1</w:t>
            </w:r>
            <w:r w:rsidR="00805489">
              <w:rPr>
                <w:rFonts w:asciiTheme="minorHAnsi" w:eastAsiaTheme="minorEastAsia" w:hAnsiTheme="minorHAnsi" w:cstheme="minorBidi"/>
                <w:smallCaps w:val="0"/>
                <w:noProof/>
                <w:snapToGrid/>
                <w:sz w:val="22"/>
                <w:szCs w:val="22"/>
                <w:lang w:eastAsia="en-AU"/>
              </w:rPr>
              <w:tab/>
            </w:r>
            <w:r w:rsidR="00805489" w:rsidRPr="00F047E7">
              <w:rPr>
                <w:rStyle w:val="Hyperlink"/>
                <w:noProof/>
              </w:rPr>
              <w:t>Private sector NHCDC</w:t>
            </w:r>
            <w:r w:rsidR="00805489">
              <w:rPr>
                <w:noProof/>
                <w:webHidden/>
              </w:rPr>
              <w:tab/>
            </w:r>
            <w:r w:rsidR="00805489">
              <w:rPr>
                <w:noProof/>
                <w:webHidden/>
              </w:rPr>
              <w:fldChar w:fldCharType="begin"/>
            </w:r>
            <w:r w:rsidR="00805489">
              <w:rPr>
                <w:noProof/>
                <w:webHidden/>
              </w:rPr>
              <w:instrText xml:space="preserve"> PAGEREF _Toc435611205 \h </w:instrText>
            </w:r>
            <w:r w:rsidR="00805489">
              <w:rPr>
                <w:noProof/>
                <w:webHidden/>
              </w:rPr>
            </w:r>
            <w:r w:rsidR="00805489">
              <w:rPr>
                <w:noProof/>
                <w:webHidden/>
              </w:rPr>
              <w:fldChar w:fldCharType="separate"/>
            </w:r>
            <w:r w:rsidR="00805489">
              <w:rPr>
                <w:noProof/>
                <w:webHidden/>
              </w:rPr>
              <w:t>5</w:t>
            </w:r>
            <w:r w:rsidR="00805489">
              <w:rPr>
                <w:noProof/>
                <w:webHidden/>
              </w:rPr>
              <w:fldChar w:fldCharType="end"/>
            </w:r>
          </w:hyperlink>
        </w:p>
        <w:p w:rsidR="00805489" w:rsidRDefault="00DB0E55">
          <w:pPr>
            <w:pStyle w:val="TOC2"/>
            <w:tabs>
              <w:tab w:val="left" w:pos="800"/>
              <w:tab w:val="right" w:leader="dot" w:pos="8211"/>
            </w:tabs>
            <w:rPr>
              <w:rFonts w:asciiTheme="minorHAnsi" w:eastAsiaTheme="minorEastAsia" w:hAnsiTheme="minorHAnsi" w:cstheme="minorBidi"/>
              <w:smallCaps w:val="0"/>
              <w:noProof/>
              <w:snapToGrid/>
              <w:sz w:val="22"/>
              <w:szCs w:val="22"/>
              <w:lang w:eastAsia="en-AU"/>
            </w:rPr>
          </w:pPr>
          <w:hyperlink w:anchor="_Toc435611206" w:history="1">
            <w:r w:rsidR="00805489" w:rsidRPr="00F047E7">
              <w:rPr>
                <w:rStyle w:val="Hyperlink"/>
                <w:noProof/>
              </w:rPr>
              <w:t>1.2</w:t>
            </w:r>
            <w:r w:rsidR="00805489">
              <w:rPr>
                <w:rFonts w:asciiTheme="minorHAnsi" w:eastAsiaTheme="minorEastAsia" w:hAnsiTheme="minorHAnsi" w:cstheme="minorBidi"/>
                <w:smallCaps w:val="0"/>
                <w:noProof/>
                <w:snapToGrid/>
                <w:sz w:val="22"/>
                <w:szCs w:val="22"/>
                <w:lang w:eastAsia="en-AU"/>
              </w:rPr>
              <w:tab/>
            </w:r>
            <w:r w:rsidR="00805489" w:rsidRPr="00F047E7">
              <w:rPr>
                <w:rStyle w:val="Hyperlink"/>
                <w:noProof/>
              </w:rPr>
              <w:t>Sample participation</w:t>
            </w:r>
            <w:r w:rsidR="00805489">
              <w:rPr>
                <w:noProof/>
                <w:webHidden/>
              </w:rPr>
              <w:tab/>
            </w:r>
            <w:r w:rsidR="00805489">
              <w:rPr>
                <w:noProof/>
                <w:webHidden/>
              </w:rPr>
              <w:fldChar w:fldCharType="begin"/>
            </w:r>
            <w:r w:rsidR="00805489">
              <w:rPr>
                <w:noProof/>
                <w:webHidden/>
              </w:rPr>
              <w:instrText xml:space="preserve"> PAGEREF _Toc435611206 \h </w:instrText>
            </w:r>
            <w:r w:rsidR="00805489">
              <w:rPr>
                <w:noProof/>
                <w:webHidden/>
              </w:rPr>
            </w:r>
            <w:r w:rsidR="00805489">
              <w:rPr>
                <w:noProof/>
                <w:webHidden/>
              </w:rPr>
              <w:fldChar w:fldCharType="separate"/>
            </w:r>
            <w:r w:rsidR="00805489">
              <w:rPr>
                <w:noProof/>
                <w:webHidden/>
              </w:rPr>
              <w:t>5</w:t>
            </w:r>
            <w:r w:rsidR="00805489">
              <w:rPr>
                <w:noProof/>
                <w:webHidden/>
              </w:rPr>
              <w:fldChar w:fldCharType="end"/>
            </w:r>
          </w:hyperlink>
        </w:p>
        <w:p w:rsidR="00805489" w:rsidRDefault="00DB0E55">
          <w:pPr>
            <w:pStyle w:val="TOC2"/>
            <w:tabs>
              <w:tab w:val="left" w:pos="800"/>
              <w:tab w:val="right" w:leader="dot" w:pos="8211"/>
            </w:tabs>
            <w:rPr>
              <w:rFonts w:asciiTheme="minorHAnsi" w:eastAsiaTheme="minorEastAsia" w:hAnsiTheme="minorHAnsi" w:cstheme="minorBidi"/>
              <w:smallCaps w:val="0"/>
              <w:noProof/>
              <w:snapToGrid/>
              <w:sz w:val="22"/>
              <w:szCs w:val="22"/>
              <w:lang w:eastAsia="en-AU"/>
            </w:rPr>
          </w:pPr>
          <w:hyperlink w:anchor="_Toc435611207" w:history="1">
            <w:r w:rsidR="00805489" w:rsidRPr="00F047E7">
              <w:rPr>
                <w:rStyle w:val="Hyperlink"/>
                <w:noProof/>
              </w:rPr>
              <w:t>1.3</w:t>
            </w:r>
            <w:r w:rsidR="00805489">
              <w:rPr>
                <w:rFonts w:asciiTheme="minorHAnsi" w:eastAsiaTheme="minorEastAsia" w:hAnsiTheme="minorHAnsi" w:cstheme="minorBidi"/>
                <w:smallCaps w:val="0"/>
                <w:noProof/>
                <w:snapToGrid/>
                <w:sz w:val="22"/>
                <w:szCs w:val="22"/>
                <w:lang w:eastAsia="en-AU"/>
              </w:rPr>
              <w:tab/>
            </w:r>
            <w:r w:rsidR="00805489" w:rsidRPr="00F047E7">
              <w:rPr>
                <w:rStyle w:val="Hyperlink"/>
                <w:noProof/>
              </w:rPr>
              <w:t>Average Length of Stay (ALoS)</w:t>
            </w:r>
            <w:r w:rsidR="00805489">
              <w:rPr>
                <w:noProof/>
                <w:webHidden/>
              </w:rPr>
              <w:tab/>
            </w:r>
            <w:r w:rsidR="00805489">
              <w:rPr>
                <w:noProof/>
                <w:webHidden/>
              </w:rPr>
              <w:fldChar w:fldCharType="begin"/>
            </w:r>
            <w:r w:rsidR="00805489">
              <w:rPr>
                <w:noProof/>
                <w:webHidden/>
              </w:rPr>
              <w:instrText xml:space="preserve"> PAGEREF _Toc435611207 \h </w:instrText>
            </w:r>
            <w:r w:rsidR="00805489">
              <w:rPr>
                <w:noProof/>
                <w:webHidden/>
              </w:rPr>
            </w:r>
            <w:r w:rsidR="00805489">
              <w:rPr>
                <w:noProof/>
                <w:webHidden/>
              </w:rPr>
              <w:fldChar w:fldCharType="separate"/>
            </w:r>
            <w:r w:rsidR="00805489">
              <w:rPr>
                <w:noProof/>
                <w:webHidden/>
              </w:rPr>
              <w:t>5</w:t>
            </w:r>
            <w:r w:rsidR="00805489">
              <w:rPr>
                <w:noProof/>
                <w:webHidden/>
              </w:rPr>
              <w:fldChar w:fldCharType="end"/>
            </w:r>
          </w:hyperlink>
        </w:p>
        <w:p w:rsidR="00805489" w:rsidRDefault="00DB0E55">
          <w:pPr>
            <w:pStyle w:val="TOC2"/>
            <w:tabs>
              <w:tab w:val="left" w:pos="800"/>
              <w:tab w:val="right" w:leader="dot" w:pos="8211"/>
            </w:tabs>
            <w:rPr>
              <w:rFonts w:asciiTheme="minorHAnsi" w:eastAsiaTheme="minorEastAsia" w:hAnsiTheme="minorHAnsi" w:cstheme="minorBidi"/>
              <w:smallCaps w:val="0"/>
              <w:noProof/>
              <w:snapToGrid/>
              <w:sz w:val="22"/>
              <w:szCs w:val="22"/>
              <w:lang w:eastAsia="en-AU"/>
            </w:rPr>
          </w:pPr>
          <w:hyperlink w:anchor="_Toc435611208" w:history="1">
            <w:r w:rsidR="00805489" w:rsidRPr="00F047E7">
              <w:rPr>
                <w:rStyle w:val="Hyperlink"/>
                <w:noProof/>
              </w:rPr>
              <w:t>1.4</w:t>
            </w:r>
            <w:r w:rsidR="00805489">
              <w:rPr>
                <w:rFonts w:asciiTheme="minorHAnsi" w:eastAsiaTheme="minorEastAsia" w:hAnsiTheme="minorHAnsi" w:cstheme="minorBidi"/>
                <w:smallCaps w:val="0"/>
                <w:noProof/>
                <w:snapToGrid/>
                <w:sz w:val="22"/>
                <w:szCs w:val="22"/>
                <w:lang w:eastAsia="en-AU"/>
              </w:rPr>
              <w:tab/>
            </w:r>
            <w:r w:rsidR="00805489" w:rsidRPr="00F047E7">
              <w:rPr>
                <w:rStyle w:val="Hyperlink"/>
                <w:noProof/>
              </w:rPr>
              <w:t>Key findings</w:t>
            </w:r>
            <w:r w:rsidR="00805489">
              <w:rPr>
                <w:noProof/>
                <w:webHidden/>
              </w:rPr>
              <w:tab/>
            </w:r>
            <w:r w:rsidR="00805489">
              <w:rPr>
                <w:noProof/>
                <w:webHidden/>
              </w:rPr>
              <w:fldChar w:fldCharType="begin"/>
            </w:r>
            <w:r w:rsidR="00805489">
              <w:rPr>
                <w:noProof/>
                <w:webHidden/>
              </w:rPr>
              <w:instrText xml:space="preserve"> PAGEREF _Toc435611208 \h </w:instrText>
            </w:r>
            <w:r w:rsidR="00805489">
              <w:rPr>
                <w:noProof/>
                <w:webHidden/>
              </w:rPr>
            </w:r>
            <w:r w:rsidR="00805489">
              <w:rPr>
                <w:noProof/>
                <w:webHidden/>
              </w:rPr>
              <w:fldChar w:fldCharType="separate"/>
            </w:r>
            <w:r w:rsidR="00805489">
              <w:rPr>
                <w:noProof/>
                <w:webHidden/>
              </w:rPr>
              <w:t>5</w:t>
            </w:r>
            <w:r w:rsidR="00805489">
              <w:rPr>
                <w:noProof/>
                <w:webHidden/>
              </w:rPr>
              <w:fldChar w:fldCharType="end"/>
            </w:r>
          </w:hyperlink>
        </w:p>
        <w:p w:rsidR="00805489" w:rsidRDefault="00DB0E55">
          <w:pPr>
            <w:pStyle w:val="TOC1"/>
            <w:tabs>
              <w:tab w:val="left" w:pos="400"/>
              <w:tab w:val="right" w:leader="dot" w:pos="8211"/>
            </w:tabs>
            <w:rPr>
              <w:rFonts w:asciiTheme="minorHAnsi" w:eastAsiaTheme="minorEastAsia" w:hAnsiTheme="minorHAnsi" w:cstheme="minorBidi"/>
              <w:b w:val="0"/>
              <w:bCs w:val="0"/>
              <w:caps w:val="0"/>
              <w:noProof/>
              <w:snapToGrid/>
              <w:sz w:val="22"/>
              <w:szCs w:val="22"/>
              <w:lang w:eastAsia="en-AU"/>
            </w:rPr>
          </w:pPr>
          <w:hyperlink w:anchor="_Toc435611209" w:history="1">
            <w:r w:rsidR="00805489" w:rsidRPr="00F047E7">
              <w:rPr>
                <w:rStyle w:val="Hyperlink"/>
                <w:rFonts w:asciiTheme="majorHAnsi" w:hAnsiTheme="majorHAnsi"/>
                <w:noProof/>
              </w:rPr>
              <w:t>2</w:t>
            </w:r>
            <w:r w:rsidR="00805489">
              <w:rPr>
                <w:rFonts w:asciiTheme="minorHAnsi" w:eastAsiaTheme="minorEastAsia" w:hAnsiTheme="minorHAnsi" w:cstheme="minorBidi"/>
                <w:b w:val="0"/>
                <w:bCs w:val="0"/>
                <w:caps w:val="0"/>
                <w:noProof/>
                <w:snapToGrid/>
                <w:sz w:val="22"/>
                <w:szCs w:val="22"/>
                <w:lang w:eastAsia="en-AU"/>
              </w:rPr>
              <w:tab/>
            </w:r>
            <w:r w:rsidR="00805489" w:rsidRPr="00F047E7">
              <w:rPr>
                <w:rStyle w:val="Hyperlink"/>
                <w:rFonts w:asciiTheme="majorHAnsi" w:hAnsiTheme="majorHAnsi"/>
                <w:noProof/>
              </w:rPr>
              <w:t>Introduction</w:t>
            </w:r>
            <w:r w:rsidR="00805489">
              <w:rPr>
                <w:noProof/>
                <w:webHidden/>
              </w:rPr>
              <w:tab/>
            </w:r>
            <w:r w:rsidR="00805489">
              <w:rPr>
                <w:noProof/>
                <w:webHidden/>
              </w:rPr>
              <w:fldChar w:fldCharType="begin"/>
            </w:r>
            <w:r w:rsidR="00805489">
              <w:rPr>
                <w:noProof/>
                <w:webHidden/>
              </w:rPr>
              <w:instrText xml:space="preserve"> PAGEREF _Toc435611209 \h </w:instrText>
            </w:r>
            <w:r w:rsidR="00805489">
              <w:rPr>
                <w:noProof/>
                <w:webHidden/>
              </w:rPr>
            </w:r>
            <w:r w:rsidR="00805489">
              <w:rPr>
                <w:noProof/>
                <w:webHidden/>
              </w:rPr>
              <w:fldChar w:fldCharType="separate"/>
            </w:r>
            <w:r w:rsidR="00805489">
              <w:rPr>
                <w:noProof/>
                <w:webHidden/>
              </w:rPr>
              <w:t>8</w:t>
            </w:r>
            <w:r w:rsidR="00805489">
              <w:rPr>
                <w:noProof/>
                <w:webHidden/>
              </w:rPr>
              <w:fldChar w:fldCharType="end"/>
            </w:r>
          </w:hyperlink>
        </w:p>
        <w:p w:rsidR="00805489" w:rsidRDefault="00DB0E55">
          <w:pPr>
            <w:pStyle w:val="TOC2"/>
            <w:tabs>
              <w:tab w:val="left" w:pos="800"/>
              <w:tab w:val="right" w:leader="dot" w:pos="8211"/>
            </w:tabs>
            <w:rPr>
              <w:rFonts w:asciiTheme="minorHAnsi" w:eastAsiaTheme="minorEastAsia" w:hAnsiTheme="minorHAnsi" w:cstheme="minorBidi"/>
              <w:smallCaps w:val="0"/>
              <w:noProof/>
              <w:snapToGrid/>
              <w:sz w:val="22"/>
              <w:szCs w:val="22"/>
              <w:lang w:eastAsia="en-AU"/>
            </w:rPr>
          </w:pPr>
          <w:hyperlink w:anchor="_Toc435611210" w:history="1">
            <w:r w:rsidR="00805489" w:rsidRPr="00F047E7">
              <w:rPr>
                <w:rStyle w:val="Hyperlink"/>
                <w:noProof/>
              </w:rPr>
              <w:t>2.1</w:t>
            </w:r>
            <w:r w:rsidR="00805489">
              <w:rPr>
                <w:rFonts w:asciiTheme="minorHAnsi" w:eastAsiaTheme="minorEastAsia" w:hAnsiTheme="minorHAnsi" w:cstheme="minorBidi"/>
                <w:smallCaps w:val="0"/>
                <w:noProof/>
                <w:snapToGrid/>
                <w:sz w:val="22"/>
                <w:szCs w:val="22"/>
                <w:lang w:eastAsia="en-AU"/>
              </w:rPr>
              <w:tab/>
            </w:r>
            <w:r w:rsidR="00805489" w:rsidRPr="00F047E7">
              <w:rPr>
                <w:rStyle w:val="Hyperlink"/>
                <w:noProof/>
              </w:rPr>
              <w:t>Purpose of this report</w:t>
            </w:r>
            <w:r w:rsidR="00805489">
              <w:rPr>
                <w:noProof/>
                <w:webHidden/>
              </w:rPr>
              <w:tab/>
            </w:r>
            <w:r w:rsidR="00805489">
              <w:rPr>
                <w:noProof/>
                <w:webHidden/>
              </w:rPr>
              <w:fldChar w:fldCharType="begin"/>
            </w:r>
            <w:r w:rsidR="00805489">
              <w:rPr>
                <w:noProof/>
                <w:webHidden/>
              </w:rPr>
              <w:instrText xml:space="preserve"> PAGEREF _Toc435611210 \h </w:instrText>
            </w:r>
            <w:r w:rsidR="00805489">
              <w:rPr>
                <w:noProof/>
                <w:webHidden/>
              </w:rPr>
            </w:r>
            <w:r w:rsidR="00805489">
              <w:rPr>
                <w:noProof/>
                <w:webHidden/>
              </w:rPr>
              <w:fldChar w:fldCharType="separate"/>
            </w:r>
            <w:r w:rsidR="00805489">
              <w:rPr>
                <w:noProof/>
                <w:webHidden/>
              </w:rPr>
              <w:t>8</w:t>
            </w:r>
            <w:r w:rsidR="00805489">
              <w:rPr>
                <w:noProof/>
                <w:webHidden/>
              </w:rPr>
              <w:fldChar w:fldCharType="end"/>
            </w:r>
          </w:hyperlink>
        </w:p>
        <w:p w:rsidR="00805489" w:rsidRDefault="00DB0E55">
          <w:pPr>
            <w:pStyle w:val="TOC2"/>
            <w:tabs>
              <w:tab w:val="left" w:pos="800"/>
              <w:tab w:val="right" w:leader="dot" w:pos="8211"/>
            </w:tabs>
            <w:rPr>
              <w:rFonts w:asciiTheme="minorHAnsi" w:eastAsiaTheme="minorEastAsia" w:hAnsiTheme="minorHAnsi" w:cstheme="minorBidi"/>
              <w:smallCaps w:val="0"/>
              <w:noProof/>
              <w:snapToGrid/>
              <w:sz w:val="22"/>
              <w:szCs w:val="22"/>
              <w:lang w:eastAsia="en-AU"/>
            </w:rPr>
          </w:pPr>
          <w:hyperlink w:anchor="_Toc435611211" w:history="1">
            <w:r w:rsidR="00805489" w:rsidRPr="00F047E7">
              <w:rPr>
                <w:rStyle w:val="Hyperlink"/>
                <w:noProof/>
              </w:rPr>
              <w:t>2.2</w:t>
            </w:r>
            <w:r w:rsidR="00805489">
              <w:rPr>
                <w:rFonts w:asciiTheme="minorHAnsi" w:eastAsiaTheme="minorEastAsia" w:hAnsiTheme="minorHAnsi" w:cstheme="minorBidi"/>
                <w:smallCaps w:val="0"/>
                <w:noProof/>
                <w:snapToGrid/>
                <w:sz w:val="22"/>
                <w:szCs w:val="22"/>
                <w:lang w:eastAsia="en-AU"/>
              </w:rPr>
              <w:tab/>
            </w:r>
            <w:r w:rsidR="00805489" w:rsidRPr="00F047E7">
              <w:rPr>
                <w:rStyle w:val="Hyperlink"/>
                <w:noProof/>
              </w:rPr>
              <w:t>Format of the report</w:t>
            </w:r>
            <w:r w:rsidR="00805489">
              <w:rPr>
                <w:noProof/>
                <w:webHidden/>
              </w:rPr>
              <w:tab/>
            </w:r>
            <w:r w:rsidR="00805489">
              <w:rPr>
                <w:noProof/>
                <w:webHidden/>
              </w:rPr>
              <w:fldChar w:fldCharType="begin"/>
            </w:r>
            <w:r w:rsidR="00805489">
              <w:rPr>
                <w:noProof/>
                <w:webHidden/>
              </w:rPr>
              <w:instrText xml:space="preserve"> PAGEREF _Toc435611211 \h </w:instrText>
            </w:r>
            <w:r w:rsidR="00805489">
              <w:rPr>
                <w:noProof/>
                <w:webHidden/>
              </w:rPr>
            </w:r>
            <w:r w:rsidR="00805489">
              <w:rPr>
                <w:noProof/>
                <w:webHidden/>
              </w:rPr>
              <w:fldChar w:fldCharType="separate"/>
            </w:r>
            <w:r w:rsidR="00805489">
              <w:rPr>
                <w:noProof/>
                <w:webHidden/>
              </w:rPr>
              <w:t>8</w:t>
            </w:r>
            <w:r w:rsidR="00805489">
              <w:rPr>
                <w:noProof/>
                <w:webHidden/>
              </w:rPr>
              <w:fldChar w:fldCharType="end"/>
            </w:r>
          </w:hyperlink>
        </w:p>
        <w:p w:rsidR="00805489" w:rsidRDefault="00DB0E55">
          <w:pPr>
            <w:pStyle w:val="TOC2"/>
            <w:tabs>
              <w:tab w:val="left" w:pos="800"/>
              <w:tab w:val="right" w:leader="dot" w:pos="8211"/>
            </w:tabs>
            <w:rPr>
              <w:rFonts w:asciiTheme="minorHAnsi" w:eastAsiaTheme="minorEastAsia" w:hAnsiTheme="minorHAnsi" w:cstheme="minorBidi"/>
              <w:smallCaps w:val="0"/>
              <w:noProof/>
              <w:snapToGrid/>
              <w:sz w:val="22"/>
              <w:szCs w:val="22"/>
              <w:lang w:eastAsia="en-AU"/>
            </w:rPr>
          </w:pPr>
          <w:hyperlink w:anchor="_Toc435611212" w:history="1">
            <w:r w:rsidR="00805489" w:rsidRPr="00F047E7">
              <w:rPr>
                <w:rStyle w:val="Hyperlink"/>
                <w:noProof/>
              </w:rPr>
              <w:t>2.3</w:t>
            </w:r>
            <w:r w:rsidR="00805489">
              <w:rPr>
                <w:rFonts w:asciiTheme="minorHAnsi" w:eastAsiaTheme="minorEastAsia" w:hAnsiTheme="minorHAnsi" w:cstheme="minorBidi"/>
                <w:smallCaps w:val="0"/>
                <w:noProof/>
                <w:snapToGrid/>
                <w:sz w:val="22"/>
                <w:szCs w:val="22"/>
                <w:lang w:eastAsia="en-AU"/>
              </w:rPr>
              <w:tab/>
            </w:r>
            <w:r w:rsidR="00805489" w:rsidRPr="00F047E7">
              <w:rPr>
                <w:rStyle w:val="Hyperlink"/>
                <w:noProof/>
              </w:rPr>
              <w:t>History of the private sector NHCDC</w:t>
            </w:r>
            <w:r w:rsidR="00805489">
              <w:rPr>
                <w:noProof/>
                <w:webHidden/>
              </w:rPr>
              <w:tab/>
            </w:r>
            <w:r w:rsidR="00805489">
              <w:rPr>
                <w:noProof/>
                <w:webHidden/>
              </w:rPr>
              <w:fldChar w:fldCharType="begin"/>
            </w:r>
            <w:r w:rsidR="00805489">
              <w:rPr>
                <w:noProof/>
                <w:webHidden/>
              </w:rPr>
              <w:instrText xml:space="preserve"> PAGEREF _Toc435611212 \h </w:instrText>
            </w:r>
            <w:r w:rsidR="00805489">
              <w:rPr>
                <w:noProof/>
                <w:webHidden/>
              </w:rPr>
            </w:r>
            <w:r w:rsidR="00805489">
              <w:rPr>
                <w:noProof/>
                <w:webHidden/>
              </w:rPr>
              <w:fldChar w:fldCharType="separate"/>
            </w:r>
            <w:r w:rsidR="00805489">
              <w:rPr>
                <w:noProof/>
                <w:webHidden/>
              </w:rPr>
              <w:t>8</w:t>
            </w:r>
            <w:r w:rsidR="00805489">
              <w:rPr>
                <w:noProof/>
                <w:webHidden/>
              </w:rPr>
              <w:fldChar w:fldCharType="end"/>
            </w:r>
          </w:hyperlink>
        </w:p>
        <w:p w:rsidR="00805489" w:rsidRDefault="00DB0E55">
          <w:pPr>
            <w:pStyle w:val="TOC2"/>
            <w:tabs>
              <w:tab w:val="left" w:pos="800"/>
              <w:tab w:val="right" w:leader="dot" w:pos="8211"/>
            </w:tabs>
            <w:rPr>
              <w:rFonts w:asciiTheme="minorHAnsi" w:eastAsiaTheme="minorEastAsia" w:hAnsiTheme="minorHAnsi" w:cstheme="minorBidi"/>
              <w:smallCaps w:val="0"/>
              <w:noProof/>
              <w:snapToGrid/>
              <w:sz w:val="22"/>
              <w:szCs w:val="22"/>
              <w:lang w:eastAsia="en-AU"/>
            </w:rPr>
          </w:pPr>
          <w:hyperlink w:anchor="_Toc435611213" w:history="1">
            <w:r w:rsidR="00805489" w:rsidRPr="00F047E7">
              <w:rPr>
                <w:rStyle w:val="Hyperlink"/>
                <w:noProof/>
              </w:rPr>
              <w:t>2.4</w:t>
            </w:r>
            <w:r w:rsidR="00805489">
              <w:rPr>
                <w:rFonts w:asciiTheme="minorHAnsi" w:eastAsiaTheme="minorEastAsia" w:hAnsiTheme="minorHAnsi" w:cstheme="minorBidi"/>
                <w:smallCaps w:val="0"/>
                <w:noProof/>
                <w:snapToGrid/>
                <w:sz w:val="22"/>
                <w:szCs w:val="22"/>
                <w:lang w:eastAsia="en-AU"/>
              </w:rPr>
              <w:tab/>
            </w:r>
            <w:r w:rsidR="00805489" w:rsidRPr="00F047E7">
              <w:rPr>
                <w:rStyle w:val="Hyperlink"/>
                <w:noProof/>
              </w:rPr>
              <w:t>Background statistics for the sector for Round 18 (2013-14)</w:t>
            </w:r>
            <w:r w:rsidR="00805489">
              <w:rPr>
                <w:noProof/>
                <w:webHidden/>
              </w:rPr>
              <w:tab/>
            </w:r>
            <w:r w:rsidR="00805489">
              <w:rPr>
                <w:noProof/>
                <w:webHidden/>
              </w:rPr>
              <w:fldChar w:fldCharType="begin"/>
            </w:r>
            <w:r w:rsidR="00805489">
              <w:rPr>
                <w:noProof/>
                <w:webHidden/>
              </w:rPr>
              <w:instrText xml:space="preserve"> PAGEREF _Toc435611213 \h </w:instrText>
            </w:r>
            <w:r w:rsidR="00805489">
              <w:rPr>
                <w:noProof/>
                <w:webHidden/>
              </w:rPr>
            </w:r>
            <w:r w:rsidR="00805489">
              <w:rPr>
                <w:noProof/>
                <w:webHidden/>
              </w:rPr>
              <w:fldChar w:fldCharType="separate"/>
            </w:r>
            <w:r w:rsidR="00805489">
              <w:rPr>
                <w:noProof/>
                <w:webHidden/>
              </w:rPr>
              <w:t>9</w:t>
            </w:r>
            <w:r w:rsidR="00805489">
              <w:rPr>
                <w:noProof/>
                <w:webHidden/>
              </w:rPr>
              <w:fldChar w:fldCharType="end"/>
            </w:r>
          </w:hyperlink>
        </w:p>
        <w:p w:rsidR="00805489" w:rsidRDefault="00DB0E55">
          <w:pPr>
            <w:pStyle w:val="TOC2"/>
            <w:tabs>
              <w:tab w:val="left" w:pos="800"/>
              <w:tab w:val="right" w:leader="dot" w:pos="8211"/>
            </w:tabs>
            <w:rPr>
              <w:rFonts w:asciiTheme="minorHAnsi" w:eastAsiaTheme="minorEastAsia" w:hAnsiTheme="minorHAnsi" w:cstheme="minorBidi"/>
              <w:smallCaps w:val="0"/>
              <w:noProof/>
              <w:snapToGrid/>
              <w:sz w:val="22"/>
              <w:szCs w:val="22"/>
              <w:lang w:eastAsia="en-AU"/>
            </w:rPr>
          </w:pPr>
          <w:hyperlink w:anchor="_Toc435611214" w:history="1">
            <w:r w:rsidR="00805489" w:rsidRPr="00F047E7">
              <w:rPr>
                <w:rStyle w:val="Hyperlink"/>
                <w:noProof/>
              </w:rPr>
              <w:t>2.5</w:t>
            </w:r>
            <w:r w:rsidR="00805489">
              <w:rPr>
                <w:rFonts w:asciiTheme="minorHAnsi" w:eastAsiaTheme="minorEastAsia" w:hAnsiTheme="minorHAnsi" w:cstheme="minorBidi"/>
                <w:smallCaps w:val="0"/>
                <w:noProof/>
                <w:snapToGrid/>
                <w:sz w:val="22"/>
                <w:szCs w:val="22"/>
                <w:lang w:eastAsia="en-AU"/>
              </w:rPr>
              <w:tab/>
            </w:r>
            <w:r w:rsidR="00805489" w:rsidRPr="00F047E7">
              <w:rPr>
                <w:rStyle w:val="Hyperlink"/>
                <w:noProof/>
              </w:rPr>
              <w:t>Scope of this collection</w:t>
            </w:r>
            <w:r w:rsidR="00805489">
              <w:rPr>
                <w:noProof/>
                <w:webHidden/>
              </w:rPr>
              <w:tab/>
            </w:r>
            <w:r w:rsidR="00805489">
              <w:rPr>
                <w:noProof/>
                <w:webHidden/>
              </w:rPr>
              <w:fldChar w:fldCharType="begin"/>
            </w:r>
            <w:r w:rsidR="00805489">
              <w:rPr>
                <w:noProof/>
                <w:webHidden/>
              </w:rPr>
              <w:instrText xml:space="preserve"> PAGEREF _Toc435611214 \h </w:instrText>
            </w:r>
            <w:r w:rsidR="00805489">
              <w:rPr>
                <w:noProof/>
                <w:webHidden/>
              </w:rPr>
            </w:r>
            <w:r w:rsidR="00805489">
              <w:rPr>
                <w:noProof/>
                <w:webHidden/>
              </w:rPr>
              <w:fldChar w:fldCharType="separate"/>
            </w:r>
            <w:r w:rsidR="00805489">
              <w:rPr>
                <w:noProof/>
                <w:webHidden/>
              </w:rPr>
              <w:t>9</w:t>
            </w:r>
            <w:r w:rsidR="00805489">
              <w:rPr>
                <w:noProof/>
                <w:webHidden/>
              </w:rPr>
              <w:fldChar w:fldCharType="end"/>
            </w:r>
          </w:hyperlink>
        </w:p>
        <w:p w:rsidR="00805489" w:rsidRDefault="00DB0E55">
          <w:pPr>
            <w:pStyle w:val="TOC2"/>
            <w:tabs>
              <w:tab w:val="left" w:pos="800"/>
              <w:tab w:val="right" w:leader="dot" w:pos="8211"/>
            </w:tabs>
            <w:rPr>
              <w:rFonts w:asciiTheme="minorHAnsi" w:eastAsiaTheme="minorEastAsia" w:hAnsiTheme="minorHAnsi" w:cstheme="minorBidi"/>
              <w:smallCaps w:val="0"/>
              <w:noProof/>
              <w:snapToGrid/>
              <w:sz w:val="22"/>
              <w:szCs w:val="22"/>
              <w:lang w:eastAsia="en-AU"/>
            </w:rPr>
          </w:pPr>
          <w:hyperlink w:anchor="_Toc435611215" w:history="1">
            <w:r w:rsidR="00805489" w:rsidRPr="00F047E7">
              <w:rPr>
                <w:rStyle w:val="Hyperlink"/>
                <w:noProof/>
              </w:rPr>
              <w:t>2.6</w:t>
            </w:r>
            <w:r w:rsidR="00805489">
              <w:rPr>
                <w:rFonts w:asciiTheme="minorHAnsi" w:eastAsiaTheme="minorEastAsia" w:hAnsiTheme="minorHAnsi" w:cstheme="minorBidi"/>
                <w:smallCaps w:val="0"/>
                <w:noProof/>
                <w:snapToGrid/>
                <w:sz w:val="22"/>
                <w:szCs w:val="22"/>
                <w:lang w:eastAsia="en-AU"/>
              </w:rPr>
              <w:tab/>
            </w:r>
            <w:r w:rsidR="00805489" w:rsidRPr="00F047E7">
              <w:rPr>
                <w:rStyle w:val="Hyperlink"/>
                <w:noProof/>
              </w:rPr>
              <w:t>Care types included in this collection</w:t>
            </w:r>
            <w:r w:rsidR="00805489">
              <w:rPr>
                <w:noProof/>
                <w:webHidden/>
              </w:rPr>
              <w:tab/>
            </w:r>
            <w:r w:rsidR="00805489">
              <w:rPr>
                <w:noProof/>
                <w:webHidden/>
              </w:rPr>
              <w:fldChar w:fldCharType="begin"/>
            </w:r>
            <w:r w:rsidR="00805489">
              <w:rPr>
                <w:noProof/>
                <w:webHidden/>
              </w:rPr>
              <w:instrText xml:space="preserve"> PAGEREF _Toc435611215 \h </w:instrText>
            </w:r>
            <w:r w:rsidR="00805489">
              <w:rPr>
                <w:noProof/>
                <w:webHidden/>
              </w:rPr>
            </w:r>
            <w:r w:rsidR="00805489">
              <w:rPr>
                <w:noProof/>
                <w:webHidden/>
              </w:rPr>
              <w:fldChar w:fldCharType="separate"/>
            </w:r>
            <w:r w:rsidR="00805489">
              <w:rPr>
                <w:noProof/>
                <w:webHidden/>
              </w:rPr>
              <w:t>10</w:t>
            </w:r>
            <w:r w:rsidR="00805489">
              <w:rPr>
                <w:noProof/>
                <w:webHidden/>
              </w:rPr>
              <w:fldChar w:fldCharType="end"/>
            </w:r>
          </w:hyperlink>
        </w:p>
        <w:p w:rsidR="00805489" w:rsidRDefault="00DB0E55">
          <w:pPr>
            <w:pStyle w:val="TOC2"/>
            <w:tabs>
              <w:tab w:val="left" w:pos="800"/>
              <w:tab w:val="right" w:leader="dot" w:pos="8211"/>
            </w:tabs>
            <w:rPr>
              <w:rFonts w:asciiTheme="minorHAnsi" w:eastAsiaTheme="minorEastAsia" w:hAnsiTheme="minorHAnsi" w:cstheme="minorBidi"/>
              <w:smallCaps w:val="0"/>
              <w:noProof/>
              <w:snapToGrid/>
              <w:sz w:val="22"/>
              <w:szCs w:val="22"/>
              <w:lang w:eastAsia="en-AU"/>
            </w:rPr>
          </w:pPr>
          <w:hyperlink w:anchor="_Toc435611216" w:history="1">
            <w:r w:rsidR="00805489" w:rsidRPr="00F047E7">
              <w:rPr>
                <w:rStyle w:val="Hyperlink"/>
                <w:noProof/>
              </w:rPr>
              <w:t>2.7</w:t>
            </w:r>
            <w:r w:rsidR="00805489">
              <w:rPr>
                <w:rFonts w:asciiTheme="minorHAnsi" w:eastAsiaTheme="minorEastAsia" w:hAnsiTheme="minorHAnsi" w:cstheme="minorBidi"/>
                <w:smallCaps w:val="0"/>
                <w:noProof/>
                <w:snapToGrid/>
                <w:sz w:val="22"/>
                <w:szCs w:val="22"/>
                <w:lang w:eastAsia="en-AU"/>
              </w:rPr>
              <w:tab/>
            </w:r>
            <w:r w:rsidR="00805489" w:rsidRPr="00F047E7">
              <w:rPr>
                <w:rStyle w:val="Hyperlink"/>
                <w:noProof/>
              </w:rPr>
              <w:t>In or out of scope separation</w:t>
            </w:r>
            <w:r w:rsidR="00805489">
              <w:rPr>
                <w:noProof/>
                <w:webHidden/>
              </w:rPr>
              <w:tab/>
            </w:r>
            <w:r w:rsidR="00805489">
              <w:rPr>
                <w:noProof/>
                <w:webHidden/>
              </w:rPr>
              <w:fldChar w:fldCharType="begin"/>
            </w:r>
            <w:r w:rsidR="00805489">
              <w:rPr>
                <w:noProof/>
                <w:webHidden/>
              </w:rPr>
              <w:instrText xml:space="preserve"> PAGEREF _Toc435611216 \h </w:instrText>
            </w:r>
            <w:r w:rsidR="00805489">
              <w:rPr>
                <w:noProof/>
                <w:webHidden/>
              </w:rPr>
            </w:r>
            <w:r w:rsidR="00805489">
              <w:rPr>
                <w:noProof/>
                <w:webHidden/>
              </w:rPr>
              <w:fldChar w:fldCharType="separate"/>
            </w:r>
            <w:r w:rsidR="00805489">
              <w:rPr>
                <w:noProof/>
                <w:webHidden/>
              </w:rPr>
              <w:t>10</w:t>
            </w:r>
            <w:r w:rsidR="00805489">
              <w:rPr>
                <w:noProof/>
                <w:webHidden/>
              </w:rPr>
              <w:fldChar w:fldCharType="end"/>
            </w:r>
          </w:hyperlink>
        </w:p>
        <w:p w:rsidR="00805489" w:rsidRDefault="00DB0E55">
          <w:pPr>
            <w:pStyle w:val="TOC2"/>
            <w:tabs>
              <w:tab w:val="left" w:pos="800"/>
              <w:tab w:val="right" w:leader="dot" w:pos="8211"/>
            </w:tabs>
            <w:rPr>
              <w:rFonts w:asciiTheme="minorHAnsi" w:eastAsiaTheme="minorEastAsia" w:hAnsiTheme="minorHAnsi" w:cstheme="minorBidi"/>
              <w:smallCaps w:val="0"/>
              <w:noProof/>
              <w:snapToGrid/>
              <w:sz w:val="22"/>
              <w:szCs w:val="22"/>
              <w:lang w:eastAsia="en-AU"/>
            </w:rPr>
          </w:pPr>
          <w:hyperlink w:anchor="_Toc435611217" w:history="1">
            <w:r w:rsidR="00805489" w:rsidRPr="00F047E7">
              <w:rPr>
                <w:rStyle w:val="Hyperlink"/>
                <w:noProof/>
              </w:rPr>
              <w:t>2.8</w:t>
            </w:r>
            <w:r w:rsidR="00805489">
              <w:rPr>
                <w:rFonts w:asciiTheme="minorHAnsi" w:eastAsiaTheme="minorEastAsia" w:hAnsiTheme="minorHAnsi" w:cstheme="minorBidi"/>
                <w:smallCaps w:val="0"/>
                <w:noProof/>
                <w:snapToGrid/>
                <w:sz w:val="22"/>
                <w:szCs w:val="22"/>
                <w:lang w:eastAsia="en-AU"/>
              </w:rPr>
              <w:tab/>
            </w:r>
            <w:r w:rsidR="00805489" w:rsidRPr="00F047E7">
              <w:rPr>
                <w:rStyle w:val="Hyperlink"/>
                <w:noProof/>
              </w:rPr>
              <w:t>In- scope costs</w:t>
            </w:r>
            <w:r w:rsidR="00805489">
              <w:rPr>
                <w:noProof/>
                <w:webHidden/>
              </w:rPr>
              <w:tab/>
            </w:r>
            <w:r w:rsidR="00805489">
              <w:rPr>
                <w:noProof/>
                <w:webHidden/>
              </w:rPr>
              <w:fldChar w:fldCharType="begin"/>
            </w:r>
            <w:r w:rsidR="00805489">
              <w:rPr>
                <w:noProof/>
                <w:webHidden/>
              </w:rPr>
              <w:instrText xml:space="preserve"> PAGEREF _Toc435611217 \h </w:instrText>
            </w:r>
            <w:r w:rsidR="00805489">
              <w:rPr>
                <w:noProof/>
                <w:webHidden/>
              </w:rPr>
            </w:r>
            <w:r w:rsidR="00805489">
              <w:rPr>
                <w:noProof/>
                <w:webHidden/>
              </w:rPr>
              <w:fldChar w:fldCharType="separate"/>
            </w:r>
            <w:r w:rsidR="00805489">
              <w:rPr>
                <w:noProof/>
                <w:webHidden/>
              </w:rPr>
              <w:t>11</w:t>
            </w:r>
            <w:r w:rsidR="00805489">
              <w:rPr>
                <w:noProof/>
                <w:webHidden/>
              </w:rPr>
              <w:fldChar w:fldCharType="end"/>
            </w:r>
          </w:hyperlink>
        </w:p>
        <w:p w:rsidR="00805489" w:rsidRDefault="00DB0E55">
          <w:pPr>
            <w:pStyle w:val="TOC2"/>
            <w:tabs>
              <w:tab w:val="left" w:pos="800"/>
              <w:tab w:val="right" w:leader="dot" w:pos="8211"/>
            </w:tabs>
            <w:rPr>
              <w:rFonts w:asciiTheme="minorHAnsi" w:eastAsiaTheme="minorEastAsia" w:hAnsiTheme="minorHAnsi" w:cstheme="minorBidi"/>
              <w:smallCaps w:val="0"/>
              <w:noProof/>
              <w:snapToGrid/>
              <w:sz w:val="22"/>
              <w:szCs w:val="22"/>
              <w:lang w:eastAsia="en-AU"/>
            </w:rPr>
          </w:pPr>
          <w:hyperlink w:anchor="_Toc435611218" w:history="1">
            <w:r w:rsidR="00805489" w:rsidRPr="00F047E7">
              <w:rPr>
                <w:rStyle w:val="Hyperlink"/>
                <w:noProof/>
              </w:rPr>
              <w:t>2.9</w:t>
            </w:r>
            <w:r w:rsidR="00805489">
              <w:rPr>
                <w:rFonts w:asciiTheme="minorHAnsi" w:eastAsiaTheme="minorEastAsia" w:hAnsiTheme="minorHAnsi" w:cstheme="minorBidi"/>
                <w:smallCaps w:val="0"/>
                <w:noProof/>
                <w:snapToGrid/>
                <w:sz w:val="22"/>
                <w:szCs w:val="22"/>
                <w:lang w:eastAsia="en-AU"/>
              </w:rPr>
              <w:tab/>
            </w:r>
            <w:r w:rsidR="00805489" w:rsidRPr="00F047E7">
              <w:rPr>
                <w:rStyle w:val="Hyperlink"/>
                <w:noProof/>
              </w:rPr>
              <w:t>Public and private sector differences</w:t>
            </w:r>
            <w:r w:rsidR="00805489">
              <w:rPr>
                <w:noProof/>
                <w:webHidden/>
              </w:rPr>
              <w:tab/>
            </w:r>
            <w:r w:rsidR="00805489">
              <w:rPr>
                <w:noProof/>
                <w:webHidden/>
              </w:rPr>
              <w:fldChar w:fldCharType="begin"/>
            </w:r>
            <w:r w:rsidR="00805489">
              <w:rPr>
                <w:noProof/>
                <w:webHidden/>
              </w:rPr>
              <w:instrText xml:space="preserve"> PAGEREF _Toc435611218 \h </w:instrText>
            </w:r>
            <w:r w:rsidR="00805489">
              <w:rPr>
                <w:noProof/>
                <w:webHidden/>
              </w:rPr>
            </w:r>
            <w:r w:rsidR="00805489">
              <w:rPr>
                <w:noProof/>
                <w:webHidden/>
              </w:rPr>
              <w:fldChar w:fldCharType="separate"/>
            </w:r>
            <w:r w:rsidR="00805489">
              <w:rPr>
                <w:noProof/>
                <w:webHidden/>
              </w:rPr>
              <w:t>12</w:t>
            </w:r>
            <w:r w:rsidR="00805489">
              <w:rPr>
                <w:noProof/>
                <w:webHidden/>
              </w:rPr>
              <w:fldChar w:fldCharType="end"/>
            </w:r>
          </w:hyperlink>
        </w:p>
        <w:p w:rsidR="00805489" w:rsidRDefault="00DB0E55">
          <w:pPr>
            <w:pStyle w:val="TOC2"/>
            <w:tabs>
              <w:tab w:val="left" w:pos="800"/>
              <w:tab w:val="right" w:leader="dot" w:pos="8211"/>
            </w:tabs>
            <w:rPr>
              <w:rFonts w:asciiTheme="minorHAnsi" w:eastAsiaTheme="minorEastAsia" w:hAnsiTheme="minorHAnsi" w:cstheme="minorBidi"/>
              <w:smallCaps w:val="0"/>
              <w:noProof/>
              <w:snapToGrid/>
              <w:sz w:val="22"/>
              <w:szCs w:val="22"/>
              <w:lang w:eastAsia="en-AU"/>
            </w:rPr>
          </w:pPr>
          <w:hyperlink w:anchor="_Toc435611219" w:history="1">
            <w:r w:rsidR="00805489" w:rsidRPr="00F047E7">
              <w:rPr>
                <w:rStyle w:val="Hyperlink"/>
                <w:noProof/>
              </w:rPr>
              <w:t>2.10</w:t>
            </w:r>
            <w:r w:rsidR="00805489">
              <w:rPr>
                <w:rFonts w:asciiTheme="minorHAnsi" w:eastAsiaTheme="minorEastAsia" w:hAnsiTheme="minorHAnsi" w:cstheme="minorBidi"/>
                <w:smallCaps w:val="0"/>
                <w:noProof/>
                <w:snapToGrid/>
                <w:sz w:val="22"/>
                <w:szCs w:val="22"/>
                <w:lang w:eastAsia="en-AU"/>
              </w:rPr>
              <w:tab/>
            </w:r>
            <w:r w:rsidR="00805489" w:rsidRPr="00F047E7">
              <w:rPr>
                <w:rStyle w:val="Hyperlink"/>
                <w:noProof/>
              </w:rPr>
              <w:t>Confidentiality of data</w:t>
            </w:r>
            <w:r w:rsidR="00805489">
              <w:rPr>
                <w:noProof/>
                <w:webHidden/>
              </w:rPr>
              <w:tab/>
            </w:r>
            <w:r w:rsidR="00805489">
              <w:rPr>
                <w:noProof/>
                <w:webHidden/>
              </w:rPr>
              <w:fldChar w:fldCharType="begin"/>
            </w:r>
            <w:r w:rsidR="00805489">
              <w:rPr>
                <w:noProof/>
                <w:webHidden/>
              </w:rPr>
              <w:instrText xml:space="preserve"> PAGEREF _Toc435611219 \h </w:instrText>
            </w:r>
            <w:r w:rsidR="00805489">
              <w:rPr>
                <w:noProof/>
                <w:webHidden/>
              </w:rPr>
            </w:r>
            <w:r w:rsidR="00805489">
              <w:rPr>
                <w:noProof/>
                <w:webHidden/>
              </w:rPr>
              <w:fldChar w:fldCharType="separate"/>
            </w:r>
            <w:r w:rsidR="00805489">
              <w:rPr>
                <w:noProof/>
                <w:webHidden/>
              </w:rPr>
              <w:t>12</w:t>
            </w:r>
            <w:r w:rsidR="00805489">
              <w:rPr>
                <w:noProof/>
                <w:webHidden/>
              </w:rPr>
              <w:fldChar w:fldCharType="end"/>
            </w:r>
          </w:hyperlink>
        </w:p>
        <w:p w:rsidR="00805489" w:rsidRDefault="00DB0E55">
          <w:pPr>
            <w:pStyle w:val="TOC2"/>
            <w:tabs>
              <w:tab w:val="left" w:pos="800"/>
              <w:tab w:val="right" w:leader="dot" w:pos="8211"/>
            </w:tabs>
            <w:rPr>
              <w:rFonts w:asciiTheme="minorHAnsi" w:eastAsiaTheme="minorEastAsia" w:hAnsiTheme="minorHAnsi" w:cstheme="minorBidi"/>
              <w:smallCaps w:val="0"/>
              <w:noProof/>
              <w:snapToGrid/>
              <w:sz w:val="22"/>
              <w:szCs w:val="22"/>
              <w:lang w:eastAsia="en-AU"/>
            </w:rPr>
          </w:pPr>
          <w:hyperlink w:anchor="_Toc435611220" w:history="1">
            <w:r w:rsidR="00805489" w:rsidRPr="00F047E7">
              <w:rPr>
                <w:rStyle w:val="Hyperlink"/>
                <w:noProof/>
              </w:rPr>
              <w:t>2.11</w:t>
            </w:r>
            <w:r w:rsidR="00805489">
              <w:rPr>
                <w:rFonts w:asciiTheme="minorHAnsi" w:eastAsiaTheme="minorEastAsia" w:hAnsiTheme="minorHAnsi" w:cstheme="minorBidi"/>
                <w:smallCaps w:val="0"/>
                <w:noProof/>
                <w:snapToGrid/>
                <w:sz w:val="22"/>
                <w:szCs w:val="22"/>
                <w:lang w:eastAsia="en-AU"/>
              </w:rPr>
              <w:tab/>
            </w:r>
            <w:r w:rsidR="00805489" w:rsidRPr="00F047E7">
              <w:rPr>
                <w:rStyle w:val="Hyperlink"/>
                <w:noProof/>
              </w:rPr>
              <w:t>Reliance and limitations</w:t>
            </w:r>
            <w:r w:rsidR="00805489">
              <w:rPr>
                <w:noProof/>
                <w:webHidden/>
              </w:rPr>
              <w:tab/>
            </w:r>
            <w:r w:rsidR="00805489">
              <w:rPr>
                <w:noProof/>
                <w:webHidden/>
              </w:rPr>
              <w:fldChar w:fldCharType="begin"/>
            </w:r>
            <w:r w:rsidR="00805489">
              <w:rPr>
                <w:noProof/>
                <w:webHidden/>
              </w:rPr>
              <w:instrText xml:space="preserve"> PAGEREF _Toc435611220 \h </w:instrText>
            </w:r>
            <w:r w:rsidR="00805489">
              <w:rPr>
                <w:noProof/>
                <w:webHidden/>
              </w:rPr>
            </w:r>
            <w:r w:rsidR="00805489">
              <w:rPr>
                <w:noProof/>
                <w:webHidden/>
              </w:rPr>
              <w:fldChar w:fldCharType="separate"/>
            </w:r>
            <w:r w:rsidR="00805489">
              <w:rPr>
                <w:noProof/>
                <w:webHidden/>
              </w:rPr>
              <w:t>12</w:t>
            </w:r>
            <w:r w:rsidR="00805489">
              <w:rPr>
                <w:noProof/>
                <w:webHidden/>
              </w:rPr>
              <w:fldChar w:fldCharType="end"/>
            </w:r>
          </w:hyperlink>
        </w:p>
        <w:p w:rsidR="00805489" w:rsidRDefault="00DB0E55">
          <w:pPr>
            <w:pStyle w:val="TOC1"/>
            <w:tabs>
              <w:tab w:val="left" w:pos="400"/>
              <w:tab w:val="right" w:leader="dot" w:pos="8211"/>
            </w:tabs>
            <w:rPr>
              <w:rFonts w:asciiTheme="minorHAnsi" w:eastAsiaTheme="minorEastAsia" w:hAnsiTheme="minorHAnsi" w:cstheme="minorBidi"/>
              <w:b w:val="0"/>
              <w:bCs w:val="0"/>
              <w:caps w:val="0"/>
              <w:noProof/>
              <w:snapToGrid/>
              <w:sz w:val="22"/>
              <w:szCs w:val="22"/>
              <w:lang w:eastAsia="en-AU"/>
            </w:rPr>
          </w:pPr>
          <w:hyperlink w:anchor="_Toc435611221" w:history="1">
            <w:r w:rsidR="00805489" w:rsidRPr="00F047E7">
              <w:rPr>
                <w:rStyle w:val="Hyperlink"/>
                <w:rFonts w:asciiTheme="majorHAnsi" w:hAnsiTheme="majorHAnsi"/>
                <w:noProof/>
              </w:rPr>
              <w:t>3</w:t>
            </w:r>
            <w:r w:rsidR="00805489">
              <w:rPr>
                <w:rFonts w:asciiTheme="minorHAnsi" w:eastAsiaTheme="minorEastAsia" w:hAnsiTheme="minorHAnsi" w:cstheme="minorBidi"/>
                <w:b w:val="0"/>
                <w:bCs w:val="0"/>
                <w:caps w:val="0"/>
                <w:noProof/>
                <w:snapToGrid/>
                <w:sz w:val="22"/>
                <w:szCs w:val="22"/>
                <w:lang w:eastAsia="en-AU"/>
              </w:rPr>
              <w:tab/>
            </w:r>
            <w:r w:rsidR="00805489" w:rsidRPr="00F047E7">
              <w:rPr>
                <w:rStyle w:val="Hyperlink"/>
                <w:rFonts w:asciiTheme="majorHAnsi" w:hAnsiTheme="majorHAnsi"/>
                <w:noProof/>
              </w:rPr>
              <w:t>Methodology Summary</w:t>
            </w:r>
            <w:r w:rsidR="00805489">
              <w:rPr>
                <w:noProof/>
                <w:webHidden/>
              </w:rPr>
              <w:tab/>
            </w:r>
            <w:r w:rsidR="00805489">
              <w:rPr>
                <w:noProof/>
                <w:webHidden/>
              </w:rPr>
              <w:fldChar w:fldCharType="begin"/>
            </w:r>
            <w:r w:rsidR="00805489">
              <w:rPr>
                <w:noProof/>
                <w:webHidden/>
              </w:rPr>
              <w:instrText xml:space="preserve"> PAGEREF _Toc435611221 \h </w:instrText>
            </w:r>
            <w:r w:rsidR="00805489">
              <w:rPr>
                <w:noProof/>
                <w:webHidden/>
              </w:rPr>
            </w:r>
            <w:r w:rsidR="00805489">
              <w:rPr>
                <w:noProof/>
                <w:webHidden/>
              </w:rPr>
              <w:fldChar w:fldCharType="separate"/>
            </w:r>
            <w:r w:rsidR="00805489">
              <w:rPr>
                <w:noProof/>
                <w:webHidden/>
              </w:rPr>
              <w:t>13</w:t>
            </w:r>
            <w:r w:rsidR="00805489">
              <w:rPr>
                <w:noProof/>
                <w:webHidden/>
              </w:rPr>
              <w:fldChar w:fldCharType="end"/>
            </w:r>
          </w:hyperlink>
        </w:p>
        <w:p w:rsidR="00805489" w:rsidRDefault="00DB0E55">
          <w:pPr>
            <w:pStyle w:val="TOC2"/>
            <w:tabs>
              <w:tab w:val="left" w:pos="800"/>
              <w:tab w:val="right" w:leader="dot" w:pos="8211"/>
            </w:tabs>
            <w:rPr>
              <w:rFonts w:asciiTheme="minorHAnsi" w:eastAsiaTheme="minorEastAsia" w:hAnsiTheme="minorHAnsi" w:cstheme="minorBidi"/>
              <w:smallCaps w:val="0"/>
              <w:noProof/>
              <w:snapToGrid/>
              <w:sz w:val="22"/>
              <w:szCs w:val="22"/>
              <w:lang w:eastAsia="en-AU"/>
            </w:rPr>
          </w:pPr>
          <w:hyperlink w:anchor="_Toc435611222" w:history="1">
            <w:r w:rsidR="00805489" w:rsidRPr="00F047E7">
              <w:rPr>
                <w:rStyle w:val="Hyperlink"/>
                <w:noProof/>
              </w:rPr>
              <w:t>3.1</w:t>
            </w:r>
            <w:r w:rsidR="00805489">
              <w:rPr>
                <w:rFonts w:asciiTheme="minorHAnsi" w:eastAsiaTheme="minorEastAsia" w:hAnsiTheme="minorHAnsi" w:cstheme="minorBidi"/>
                <w:smallCaps w:val="0"/>
                <w:noProof/>
                <w:snapToGrid/>
                <w:sz w:val="22"/>
                <w:szCs w:val="22"/>
                <w:lang w:eastAsia="en-AU"/>
              </w:rPr>
              <w:tab/>
            </w:r>
            <w:r w:rsidR="00805489" w:rsidRPr="00F047E7">
              <w:rPr>
                <w:rStyle w:val="Hyperlink"/>
                <w:noProof/>
              </w:rPr>
              <w:t>Identifying the minimum sample size</w:t>
            </w:r>
            <w:r w:rsidR="00805489">
              <w:rPr>
                <w:noProof/>
                <w:webHidden/>
              </w:rPr>
              <w:tab/>
            </w:r>
            <w:r w:rsidR="00805489">
              <w:rPr>
                <w:noProof/>
                <w:webHidden/>
              </w:rPr>
              <w:fldChar w:fldCharType="begin"/>
            </w:r>
            <w:r w:rsidR="00805489">
              <w:rPr>
                <w:noProof/>
                <w:webHidden/>
              </w:rPr>
              <w:instrText xml:space="preserve"> PAGEREF _Toc435611222 \h </w:instrText>
            </w:r>
            <w:r w:rsidR="00805489">
              <w:rPr>
                <w:noProof/>
                <w:webHidden/>
              </w:rPr>
            </w:r>
            <w:r w:rsidR="00805489">
              <w:rPr>
                <w:noProof/>
                <w:webHidden/>
              </w:rPr>
              <w:fldChar w:fldCharType="separate"/>
            </w:r>
            <w:r w:rsidR="00805489">
              <w:rPr>
                <w:noProof/>
                <w:webHidden/>
              </w:rPr>
              <w:t>13</w:t>
            </w:r>
            <w:r w:rsidR="00805489">
              <w:rPr>
                <w:noProof/>
                <w:webHidden/>
              </w:rPr>
              <w:fldChar w:fldCharType="end"/>
            </w:r>
          </w:hyperlink>
        </w:p>
        <w:p w:rsidR="00805489" w:rsidRDefault="00DB0E55">
          <w:pPr>
            <w:pStyle w:val="TOC2"/>
            <w:tabs>
              <w:tab w:val="left" w:pos="800"/>
              <w:tab w:val="right" w:leader="dot" w:pos="8211"/>
            </w:tabs>
            <w:rPr>
              <w:rFonts w:asciiTheme="minorHAnsi" w:eastAsiaTheme="minorEastAsia" w:hAnsiTheme="minorHAnsi" w:cstheme="minorBidi"/>
              <w:smallCaps w:val="0"/>
              <w:noProof/>
              <w:snapToGrid/>
              <w:sz w:val="22"/>
              <w:szCs w:val="22"/>
              <w:lang w:eastAsia="en-AU"/>
            </w:rPr>
          </w:pPr>
          <w:hyperlink w:anchor="_Toc435611223" w:history="1">
            <w:r w:rsidR="00805489" w:rsidRPr="00F047E7">
              <w:rPr>
                <w:rStyle w:val="Hyperlink"/>
                <w:noProof/>
              </w:rPr>
              <w:t>3.2</w:t>
            </w:r>
            <w:r w:rsidR="00805489">
              <w:rPr>
                <w:rFonts w:asciiTheme="minorHAnsi" w:eastAsiaTheme="minorEastAsia" w:hAnsiTheme="minorHAnsi" w:cstheme="minorBidi"/>
                <w:smallCaps w:val="0"/>
                <w:noProof/>
                <w:snapToGrid/>
                <w:sz w:val="22"/>
                <w:szCs w:val="22"/>
                <w:lang w:eastAsia="en-AU"/>
              </w:rPr>
              <w:tab/>
            </w:r>
            <w:r w:rsidR="00805489" w:rsidRPr="00F047E7">
              <w:rPr>
                <w:rStyle w:val="Hyperlink"/>
                <w:noProof/>
              </w:rPr>
              <w:t>Changes to Round 18 collection</w:t>
            </w:r>
            <w:r w:rsidR="00805489">
              <w:rPr>
                <w:noProof/>
                <w:webHidden/>
              </w:rPr>
              <w:tab/>
            </w:r>
            <w:r w:rsidR="00805489">
              <w:rPr>
                <w:noProof/>
                <w:webHidden/>
              </w:rPr>
              <w:fldChar w:fldCharType="begin"/>
            </w:r>
            <w:r w:rsidR="00805489">
              <w:rPr>
                <w:noProof/>
                <w:webHidden/>
              </w:rPr>
              <w:instrText xml:space="preserve"> PAGEREF _Toc435611223 \h </w:instrText>
            </w:r>
            <w:r w:rsidR="00805489">
              <w:rPr>
                <w:noProof/>
                <w:webHidden/>
              </w:rPr>
            </w:r>
            <w:r w:rsidR="00805489">
              <w:rPr>
                <w:noProof/>
                <w:webHidden/>
              </w:rPr>
              <w:fldChar w:fldCharType="separate"/>
            </w:r>
            <w:r w:rsidR="00805489">
              <w:rPr>
                <w:noProof/>
                <w:webHidden/>
              </w:rPr>
              <w:t>13</w:t>
            </w:r>
            <w:r w:rsidR="00805489">
              <w:rPr>
                <w:noProof/>
                <w:webHidden/>
              </w:rPr>
              <w:fldChar w:fldCharType="end"/>
            </w:r>
          </w:hyperlink>
        </w:p>
        <w:p w:rsidR="00805489" w:rsidRDefault="00DB0E55" w:rsidP="00DB0E55">
          <w:pPr>
            <w:pStyle w:val="TOC2"/>
            <w:tabs>
              <w:tab w:val="left" w:pos="800"/>
              <w:tab w:val="right" w:leader="dot" w:pos="8211"/>
            </w:tabs>
            <w:rPr>
              <w:rFonts w:asciiTheme="minorHAnsi" w:eastAsiaTheme="minorEastAsia" w:hAnsiTheme="minorHAnsi" w:cstheme="minorBidi"/>
              <w:smallCaps w:val="0"/>
              <w:noProof/>
              <w:snapToGrid/>
              <w:sz w:val="22"/>
              <w:szCs w:val="22"/>
              <w:lang w:eastAsia="en-AU"/>
            </w:rPr>
          </w:pPr>
          <w:hyperlink w:anchor="_Toc435611224" w:history="1">
            <w:r w:rsidR="00805489" w:rsidRPr="00F047E7">
              <w:rPr>
                <w:rStyle w:val="Hyperlink"/>
                <w:noProof/>
              </w:rPr>
              <w:t>3.3</w:t>
            </w:r>
            <w:r w:rsidR="00805489">
              <w:rPr>
                <w:rFonts w:asciiTheme="minorHAnsi" w:eastAsiaTheme="minorEastAsia" w:hAnsiTheme="minorHAnsi" w:cstheme="minorBidi"/>
                <w:smallCaps w:val="0"/>
                <w:noProof/>
                <w:snapToGrid/>
                <w:sz w:val="22"/>
                <w:szCs w:val="22"/>
                <w:lang w:eastAsia="en-AU"/>
              </w:rPr>
              <w:tab/>
            </w:r>
            <w:r w:rsidR="00805489" w:rsidRPr="00F047E7">
              <w:rPr>
                <w:rStyle w:val="Hyperlink"/>
                <w:noProof/>
              </w:rPr>
              <w:t>Reliability of the Hospital Casemix Protocol (HCP) and Private Hospital Data Bureau (PHDB)</w:t>
            </w:r>
            <w:r w:rsidR="00805489">
              <w:rPr>
                <w:noProof/>
                <w:webHidden/>
              </w:rPr>
              <w:tab/>
            </w:r>
            <w:r w:rsidR="00805489">
              <w:rPr>
                <w:noProof/>
                <w:webHidden/>
              </w:rPr>
              <w:fldChar w:fldCharType="begin"/>
            </w:r>
            <w:r w:rsidR="00805489">
              <w:rPr>
                <w:noProof/>
                <w:webHidden/>
              </w:rPr>
              <w:instrText xml:space="preserve"> PAGEREF _Toc435611224 \h </w:instrText>
            </w:r>
            <w:r w:rsidR="00805489">
              <w:rPr>
                <w:noProof/>
                <w:webHidden/>
              </w:rPr>
            </w:r>
            <w:r w:rsidR="00805489">
              <w:rPr>
                <w:noProof/>
                <w:webHidden/>
              </w:rPr>
              <w:fldChar w:fldCharType="separate"/>
            </w:r>
            <w:r w:rsidR="00805489">
              <w:rPr>
                <w:noProof/>
                <w:webHidden/>
              </w:rPr>
              <w:t>15</w:t>
            </w:r>
            <w:r w:rsidR="00805489">
              <w:rPr>
                <w:noProof/>
                <w:webHidden/>
              </w:rPr>
              <w:fldChar w:fldCharType="end"/>
            </w:r>
          </w:hyperlink>
        </w:p>
        <w:p w:rsidR="00805489" w:rsidRDefault="00DB0E55">
          <w:pPr>
            <w:pStyle w:val="TOC2"/>
            <w:tabs>
              <w:tab w:val="left" w:pos="800"/>
              <w:tab w:val="right" w:leader="dot" w:pos="8211"/>
            </w:tabs>
            <w:rPr>
              <w:rFonts w:asciiTheme="minorHAnsi" w:eastAsiaTheme="minorEastAsia" w:hAnsiTheme="minorHAnsi" w:cstheme="minorBidi"/>
              <w:smallCaps w:val="0"/>
              <w:noProof/>
              <w:snapToGrid/>
              <w:sz w:val="22"/>
              <w:szCs w:val="22"/>
              <w:lang w:eastAsia="en-AU"/>
            </w:rPr>
          </w:pPr>
          <w:hyperlink w:anchor="_Toc435611225" w:history="1">
            <w:r w:rsidR="00805489" w:rsidRPr="00F047E7">
              <w:rPr>
                <w:rStyle w:val="Hyperlink"/>
                <w:noProof/>
              </w:rPr>
              <w:t>3.4</w:t>
            </w:r>
            <w:r w:rsidR="00805489">
              <w:rPr>
                <w:rFonts w:asciiTheme="minorHAnsi" w:eastAsiaTheme="minorEastAsia" w:hAnsiTheme="minorHAnsi" w:cstheme="minorBidi"/>
                <w:smallCaps w:val="0"/>
                <w:noProof/>
                <w:snapToGrid/>
                <w:sz w:val="22"/>
                <w:szCs w:val="22"/>
                <w:lang w:eastAsia="en-AU"/>
              </w:rPr>
              <w:tab/>
            </w:r>
            <w:r w:rsidR="00805489" w:rsidRPr="00F047E7">
              <w:rPr>
                <w:rStyle w:val="Hyperlink"/>
                <w:noProof/>
              </w:rPr>
              <w:t>Stages of the Collection</w:t>
            </w:r>
            <w:r w:rsidR="00805489">
              <w:rPr>
                <w:noProof/>
                <w:webHidden/>
              </w:rPr>
              <w:tab/>
            </w:r>
            <w:r w:rsidR="00805489">
              <w:rPr>
                <w:noProof/>
                <w:webHidden/>
              </w:rPr>
              <w:fldChar w:fldCharType="begin"/>
            </w:r>
            <w:r w:rsidR="00805489">
              <w:rPr>
                <w:noProof/>
                <w:webHidden/>
              </w:rPr>
              <w:instrText xml:space="preserve"> PAGEREF _Toc435611225 \h </w:instrText>
            </w:r>
            <w:r w:rsidR="00805489">
              <w:rPr>
                <w:noProof/>
                <w:webHidden/>
              </w:rPr>
            </w:r>
            <w:r w:rsidR="00805489">
              <w:rPr>
                <w:noProof/>
                <w:webHidden/>
              </w:rPr>
              <w:fldChar w:fldCharType="separate"/>
            </w:r>
            <w:r w:rsidR="00805489">
              <w:rPr>
                <w:noProof/>
                <w:webHidden/>
              </w:rPr>
              <w:t>1</w:t>
            </w:r>
            <w:r w:rsidR="00805489">
              <w:rPr>
                <w:noProof/>
                <w:webHidden/>
              </w:rPr>
              <w:t>5</w:t>
            </w:r>
            <w:r w:rsidR="00805489">
              <w:rPr>
                <w:noProof/>
                <w:webHidden/>
              </w:rPr>
              <w:fldChar w:fldCharType="end"/>
            </w:r>
          </w:hyperlink>
        </w:p>
        <w:p w:rsidR="00805489" w:rsidRDefault="00DB0E55">
          <w:pPr>
            <w:pStyle w:val="TOC1"/>
            <w:tabs>
              <w:tab w:val="left" w:pos="400"/>
              <w:tab w:val="right" w:leader="dot" w:pos="8211"/>
            </w:tabs>
            <w:rPr>
              <w:rFonts w:asciiTheme="minorHAnsi" w:eastAsiaTheme="minorEastAsia" w:hAnsiTheme="minorHAnsi" w:cstheme="minorBidi"/>
              <w:b w:val="0"/>
              <w:bCs w:val="0"/>
              <w:caps w:val="0"/>
              <w:noProof/>
              <w:snapToGrid/>
              <w:sz w:val="22"/>
              <w:szCs w:val="22"/>
              <w:lang w:eastAsia="en-AU"/>
            </w:rPr>
          </w:pPr>
          <w:hyperlink w:anchor="_Toc435611226" w:history="1">
            <w:r w:rsidR="00805489" w:rsidRPr="00F047E7">
              <w:rPr>
                <w:rStyle w:val="Hyperlink"/>
                <w:rFonts w:asciiTheme="majorHAnsi" w:hAnsiTheme="majorHAnsi"/>
                <w:noProof/>
              </w:rPr>
              <w:t>4</w:t>
            </w:r>
            <w:r w:rsidR="00805489">
              <w:rPr>
                <w:rFonts w:asciiTheme="minorHAnsi" w:eastAsiaTheme="minorEastAsia" w:hAnsiTheme="minorHAnsi" w:cstheme="minorBidi"/>
                <w:b w:val="0"/>
                <w:bCs w:val="0"/>
                <w:caps w:val="0"/>
                <w:noProof/>
                <w:snapToGrid/>
                <w:sz w:val="22"/>
                <w:szCs w:val="22"/>
                <w:lang w:eastAsia="en-AU"/>
              </w:rPr>
              <w:tab/>
            </w:r>
            <w:r w:rsidR="00805489" w:rsidRPr="00F047E7">
              <w:rPr>
                <w:rStyle w:val="Hyperlink"/>
                <w:rFonts w:asciiTheme="majorHAnsi" w:hAnsiTheme="majorHAnsi"/>
                <w:noProof/>
              </w:rPr>
              <w:t>Summary of results</w:t>
            </w:r>
            <w:r w:rsidR="00805489">
              <w:rPr>
                <w:noProof/>
                <w:webHidden/>
              </w:rPr>
              <w:tab/>
            </w:r>
            <w:r w:rsidR="00805489">
              <w:rPr>
                <w:noProof/>
                <w:webHidden/>
              </w:rPr>
              <w:fldChar w:fldCharType="begin"/>
            </w:r>
            <w:r w:rsidR="00805489">
              <w:rPr>
                <w:noProof/>
                <w:webHidden/>
              </w:rPr>
              <w:instrText xml:space="preserve"> PAGEREF _Toc435611226 \h </w:instrText>
            </w:r>
            <w:r w:rsidR="00805489">
              <w:rPr>
                <w:noProof/>
                <w:webHidden/>
              </w:rPr>
            </w:r>
            <w:r w:rsidR="00805489">
              <w:rPr>
                <w:noProof/>
                <w:webHidden/>
              </w:rPr>
              <w:fldChar w:fldCharType="separate"/>
            </w:r>
            <w:r w:rsidR="00805489">
              <w:rPr>
                <w:noProof/>
                <w:webHidden/>
              </w:rPr>
              <w:t>16</w:t>
            </w:r>
            <w:r w:rsidR="00805489">
              <w:rPr>
                <w:noProof/>
                <w:webHidden/>
              </w:rPr>
              <w:fldChar w:fldCharType="end"/>
            </w:r>
          </w:hyperlink>
        </w:p>
        <w:p w:rsidR="00805489" w:rsidRDefault="00DB0E55">
          <w:pPr>
            <w:pStyle w:val="TOC2"/>
            <w:tabs>
              <w:tab w:val="left" w:pos="800"/>
              <w:tab w:val="right" w:leader="dot" w:pos="8211"/>
            </w:tabs>
            <w:rPr>
              <w:rFonts w:asciiTheme="minorHAnsi" w:eastAsiaTheme="minorEastAsia" w:hAnsiTheme="minorHAnsi" w:cstheme="minorBidi"/>
              <w:smallCaps w:val="0"/>
              <w:noProof/>
              <w:snapToGrid/>
              <w:sz w:val="22"/>
              <w:szCs w:val="22"/>
              <w:lang w:eastAsia="en-AU"/>
            </w:rPr>
          </w:pPr>
          <w:hyperlink w:anchor="_Toc435611227" w:history="1">
            <w:r w:rsidR="00805489" w:rsidRPr="00F047E7">
              <w:rPr>
                <w:rStyle w:val="Hyperlink"/>
                <w:noProof/>
              </w:rPr>
              <w:t>4.1</w:t>
            </w:r>
            <w:r w:rsidR="00805489">
              <w:rPr>
                <w:rFonts w:asciiTheme="minorHAnsi" w:eastAsiaTheme="minorEastAsia" w:hAnsiTheme="minorHAnsi" w:cstheme="minorBidi"/>
                <w:smallCaps w:val="0"/>
                <w:noProof/>
                <w:snapToGrid/>
                <w:sz w:val="22"/>
                <w:szCs w:val="22"/>
                <w:lang w:eastAsia="en-AU"/>
              </w:rPr>
              <w:tab/>
            </w:r>
            <w:r w:rsidR="00805489" w:rsidRPr="00F047E7">
              <w:rPr>
                <w:rStyle w:val="Hyperlink"/>
                <w:noProof/>
              </w:rPr>
              <w:t>Summary of Round 18 sample to population</w:t>
            </w:r>
            <w:r w:rsidR="00805489">
              <w:rPr>
                <w:noProof/>
                <w:webHidden/>
              </w:rPr>
              <w:tab/>
            </w:r>
            <w:r w:rsidR="00805489">
              <w:rPr>
                <w:noProof/>
                <w:webHidden/>
              </w:rPr>
              <w:fldChar w:fldCharType="begin"/>
            </w:r>
            <w:r w:rsidR="00805489">
              <w:rPr>
                <w:noProof/>
                <w:webHidden/>
              </w:rPr>
              <w:instrText xml:space="preserve"> PAGEREF _Toc435611227 \h </w:instrText>
            </w:r>
            <w:r w:rsidR="00805489">
              <w:rPr>
                <w:noProof/>
                <w:webHidden/>
              </w:rPr>
            </w:r>
            <w:r w:rsidR="00805489">
              <w:rPr>
                <w:noProof/>
                <w:webHidden/>
              </w:rPr>
              <w:fldChar w:fldCharType="separate"/>
            </w:r>
            <w:r w:rsidR="00805489">
              <w:rPr>
                <w:noProof/>
                <w:webHidden/>
              </w:rPr>
              <w:t>16</w:t>
            </w:r>
            <w:r w:rsidR="00805489">
              <w:rPr>
                <w:noProof/>
                <w:webHidden/>
              </w:rPr>
              <w:fldChar w:fldCharType="end"/>
            </w:r>
          </w:hyperlink>
        </w:p>
        <w:p w:rsidR="00805489" w:rsidRDefault="00DB0E55">
          <w:pPr>
            <w:pStyle w:val="TOC2"/>
            <w:tabs>
              <w:tab w:val="left" w:pos="800"/>
              <w:tab w:val="right" w:leader="dot" w:pos="8211"/>
            </w:tabs>
            <w:rPr>
              <w:rFonts w:asciiTheme="minorHAnsi" w:eastAsiaTheme="minorEastAsia" w:hAnsiTheme="minorHAnsi" w:cstheme="minorBidi"/>
              <w:smallCaps w:val="0"/>
              <w:noProof/>
              <w:snapToGrid/>
              <w:sz w:val="22"/>
              <w:szCs w:val="22"/>
              <w:lang w:eastAsia="en-AU"/>
            </w:rPr>
          </w:pPr>
          <w:hyperlink w:anchor="_Toc435611228" w:history="1">
            <w:r w:rsidR="00805489" w:rsidRPr="00F047E7">
              <w:rPr>
                <w:rStyle w:val="Hyperlink"/>
                <w:noProof/>
              </w:rPr>
              <w:t>4.2</w:t>
            </w:r>
            <w:r w:rsidR="00805489">
              <w:rPr>
                <w:rFonts w:asciiTheme="minorHAnsi" w:eastAsiaTheme="minorEastAsia" w:hAnsiTheme="minorHAnsi" w:cstheme="minorBidi"/>
                <w:smallCaps w:val="0"/>
                <w:noProof/>
                <w:snapToGrid/>
                <w:sz w:val="22"/>
                <w:szCs w:val="22"/>
                <w:lang w:eastAsia="en-AU"/>
              </w:rPr>
              <w:tab/>
            </w:r>
            <w:r w:rsidR="00805489" w:rsidRPr="00F047E7">
              <w:rPr>
                <w:rStyle w:val="Hyperlink"/>
                <w:noProof/>
              </w:rPr>
              <w:t>Comparison of cost-buckets to Round 17</w:t>
            </w:r>
            <w:r w:rsidR="00805489">
              <w:rPr>
                <w:noProof/>
                <w:webHidden/>
              </w:rPr>
              <w:tab/>
            </w:r>
            <w:r w:rsidR="00805489">
              <w:rPr>
                <w:noProof/>
                <w:webHidden/>
              </w:rPr>
              <w:fldChar w:fldCharType="begin"/>
            </w:r>
            <w:r w:rsidR="00805489">
              <w:rPr>
                <w:noProof/>
                <w:webHidden/>
              </w:rPr>
              <w:instrText xml:space="preserve"> PAGEREF _Toc435611228 \h </w:instrText>
            </w:r>
            <w:r w:rsidR="00805489">
              <w:rPr>
                <w:noProof/>
                <w:webHidden/>
              </w:rPr>
            </w:r>
            <w:r w:rsidR="00805489">
              <w:rPr>
                <w:noProof/>
                <w:webHidden/>
              </w:rPr>
              <w:fldChar w:fldCharType="separate"/>
            </w:r>
            <w:r w:rsidR="00805489">
              <w:rPr>
                <w:noProof/>
                <w:webHidden/>
              </w:rPr>
              <w:t>17</w:t>
            </w:r>
            <w:r w:rsidR="00805489">
              <w:rPr>
                <w:noProof/>
                <w:webHidden/>
              </w:rPr>
              <w:fldChar w:fldCharType="end"/>
            </w:r>
          </w:hyperlink>
        </w:p>
        <w:p w:rsidR="00805489" w:rsidRDefault="00DB0E55">
          <w:pPr>
            <w:pStyle w:val="TOC2"/>
            <w:tabs>
              <w:tab w:val="left" w:pos="800"/>
              <w:tab w:val="right" w:leader="dot" w:pos="8211"/>
            </w:tabs>
            <w:rPr>
              <w:rFonts w:asciiTheme="minorHAnsi" w:eastAsiaTheme="minorEastAsia" w:hAnsiTheme="minorHAnsi" w:cstheme="minorBidi"/>
              <w:smallCaps w:val="0"/>
              <w:noProof/>
              <w:snapToGrid/>
              <w:sz w:val="22"/>
              <w:szCs w:val="22"/>
              <w:lang w:eastAsia="en-AU"/>
            </w:rPr>
          </w:pPr>
          <w:hyperlink w:anchor="_Toc435611229" w:history="1">
            <w:r w:rsidR="00805489" w:rsidRPr="00F047E7">
              <w:rPr>
                <w:rStyle w:val="Hyperlink"/>
                <w:noProof/>
              </w:rPr>
              <w:t>4.3</w:t>
            </w:r>
            <w:r w:rsidR="00805489">
              <w:rPr>
                <w:rFonts w:asciiTheme="minorHAnsi" w:eastAsiaTheme="minorEastAsia" w:hAnsiTheme="minorHAnsi" w:cstheme="minorBidi"/>
                <w:smallCaps w:val="0"/>
                <w:noProof/>
                <w:snapToGrid/>
                <w:sz w:val="22"/>
                <w:szCs w:val="22"/>
                <w:lang w:eastAsia="en-AU"/>
              </w:rPr>
              <w:tab/>
            </w:r>
            <w:r w:rsidR="00805489" w:rsidRPr="00F047E7">
              <w:rPr>
                <w:rStyle w:val="Hyperlink"/>
                <w:noProof/>
              </w:rPr>
              <w:t>AR-DRG top 20 analyses</w:t>
            </w:r>
            <w:r w:rsidR="00805489">
              <w:rPr>
                <w:noProof/>
                <w:webHidden/>
              </w:rPr>
              <w:tab/>
            </w:r>
            <w:r w:rsidR="00805489">
              <w:rPr>
                <w:noProof/>
                <w:webHidden/>
              </w:rPr>
              <w:fldChar w:fldCharType="begin"/>
            </w:r>
            <w:r w:rsidR="00805489">
              <w:rPr>
                <w:noProof/>
                <w:webHidden/>
              </w:rPr>
              <w:instrText xml:space="preserve"> PAGEREF _Toc435611229 \h </w:instrText>
            </w:r>
            <w:r w:rsidR="00805489">
              <w:rPr>
                <w:noProof/>
                <w:webHidden/>
              </w:rPr>
            </w:r>
            <w:r w:rsidR="00805489">
              <w:rPr>
                <w:noProof/>
                <w:webHidden/>
              </w:rPr>
              <w:fldChar w:fldCharType="separate"/>
            </w:r>
            <w:r w:rsidR="00805489">
              <w:rPr>
                <w:noProof/>
                <w:webHidden/>
              </w:rPr>
              <w:t>18</w:t>
            </w:r>
            <w:r w:rsidR="00805489">
              <w:rPr>
                <w:noProof/>
                <w:webHidden/>
              </w:rPr>
              <w:fldChar w:fldCharType="end"/>
            </w:r>
          </w:hyperlink>
        </w:p>
        <w:p w:rsidR="00805489" w:rsidRDefault="00DB0E55">
          <w:pPr>
            <w:pStyle w:val="TOC2"/>
            <w:tabs>
              <w:tab w:val="left" w:pos="800"/>
              <w:tab w:val="right" w:leader="dot" w:pos="8211"/>
            </w:tabs>
            <w:rPr>
              <w:rFonts w:asciiTheme="minorHAnsi" w:eastAsiaTheme="minorEastAsia" w:hAnsiTheme="minorHAnsi" w:cstheme="minorBidi"/>
              <w:smallCaps w:val="0"/>
              <w:noProof/>
              <w:snapToGrid/>
              <w:sz w:val="22"/>
              <w:szCs w:val="22"/>
              <w:lang w:eastAsia="en-AU"/>
            </w:rPr>
          </w:pPr>
          <w:hyperlink w:anchor="_Toc435611230" w:history="1">
            <w:r w:rsidR="00805489" w:rsidRPr="00F047E7">
              <w:rPr>
                <w:rStyle w:val="Hyperlink"/>
                <w:noProof/>
              </w:rPr>
              <w:t>4.4</w:t>
            </w:r>
            <w:r w:rsidR="00805489">
              <w:rPr>
                <w:rFonts w:asciiTheme="minorHAnsi" w:eastAsiaTheme="minorEastAsia" w:hAnsiTheme="minorHAnsi" w:cstheme="minorBidi"/>
                <w:smallCaps w:val="0"/>
                <w:noProof/>
                <w:snapToGrid/>
                <w:sz w:val="22"/>
                <w:szCs w:val="22"/>
                <w:lang w:eastAsia="en-AU"/>
              </w:rPr>
              <w:tab/>
            </w:r>
            <w:r w:rsidR="00805489" w:rsidRPr="00F047E7">
              <w:rPr>
                <w:rStyle w:val="Hyperlink"/>
                <w:noProof/>
              </w:rPr>
              <w:t>Analysis of cost buckets</w:t>
            </w:r>
            <w:r w:rsidR="00805489">
              <w:rPr>
                <w:noProof/>
                <w:webHidden/>
              </w:rPr>
              <w:tab/>
            </w:r>
            <w:r w:rsidR="00805489">
              <w:rPr>
                <w:noProof/>
                <w:webHidden/>
              </w:rPr>
              <w:fldChar w:fldCharType="begin"/>
            </w:r>
            <w:r w:rsidR="00805489">
              <w:rPr>
                <w:noProof/>
                <w:webHidden/>
              </w:rPr>
              <w:instrText xml:space="preserve"> PAGEREF _Toc435611230 \h </w:instrText>
            </w:r>
            <w:r w:rsidR="00805489">
              <w:rPr>
                <w:noProof/>
                <w:webHidden/>
              </w:rPr>
            </w:r>
            <w:r w:rsidR="00805489">
              <w:rPr>
                <w:noProof/>
                <w:webHidden/>
              </w:rPr>
              <w:fldChar w:fldCharType="separate"/>
            </w:r>
            <w:r w:rsidR="00805489">
              <w:rPr>
                <w:noProof/>
                <w:webHidden/>
              </w:rPr>
              <w:t>31</w:t>
            </w:r>
            <w:r w:rsidR="00805489">
              <w:rPr>
                <w:noProof/>
                <w:webHidden/>
              </w:rPr>
              <w:fldChar w:fldCharType="end"/>
            </w:r>
          </w:hyperlink>
        </w:p>
        <w:p w:rsidR="00805489" w:rsidRDefault="00DB0E55">
          <w:pPr>
            <w:pStyle w:val="TOC1"/>
            <w:tabs>
              <w:tab w:val="right" w:leader="dot" w:pos="8211"/>
            </w:tabs>
            <w:rPr>
              <w:rFonts w:asciiTheme="minorHAnsi" w:eastAsiaTheme="minorEastAsia" w:hAnsiTheme="minorHAnsi" w:cstheme="minorBidi"/>
              <w:b w:val="0"/>
              <w:bCs w:val="0"/>
              <w:caps w:val="0"/>
              <w:noProof/>
              <w:snapToGrid/>
              <w:sz w:val="22"/>
              <w:szCs w:val="22"/>
              <w:lang w:eastAsia="en-AU"/>
            </w:rPr>
          </w:pPr>
          <w:hyperlink w:anchor="_Toc435611231" w:history="1">
            <w:r w:rsidR="00805489" w:rsidRPr="00F047E7">
              <w:rPr>
                <w:rStyle w:val="Hyperlink"/>
                <w:rFonts w:asciiTheme="majorHAnsi" w:hAnsiTheme="majorHAnsi"/>
                <w:noProof/>
              </w:rPr>
              <w:t>Appendix A: Analysis performed to determine the minimum sample size</w:t>
            </w:r>
            <w:r w:rsidR="00805489">
              <w:rPr>
                <w:noProof/>
                <w:webHidden/>
              </w:rPr>
              <w:tab/>
            </w:r>
            <w:r w:rsidR="00805489">
              <w:rPr>
                <w:noProof/>
                <w:webHidden/>
              </w:rPr>
              <w:fldChar w:fldCharType="begin"/>
            </w:r>
            <w:r w:rsidR="00805489">
              <w:rPr>
                <w:noProof/>
                <w:webHidden/>
              </w:rPr>
              <w:instrText xml:space="preserve"> PAGEREF _Toc435611231 \h </w:instrText>
            </w:r>
            <w:r w:rsidR="00805489">
              <w:rPr>
                <w:noProof/>
                <w:webHidden/>
              </w:rPr>
            </w:r>
            <w:r w:rsidR="00805489">
              <w:rPr>
                <w:noProof/>
                <w:webHidden/>
              </w:rPr>
              <w:fldChar w:fldCharType="separate"/>
            </w:r>
            <w:r w:rsidR="00805489">
              <w:rPr>
                <w:noProof/>
                <w:webHidden/>
              </w:rPr>
              <w:t>44</w:t>
            </w:r>
            <w:r w:rsidR="00805489">
              <w:rPr>
                <w:noProof/>
                <w:webHidden/>
              </w:rPr>
              <w:fldChar w:fldCharType="end"/>
            </w:r>
          </w:hyperlink>
        </w:p>
        <w:p w:rsidR="00805489" w:rsidRDefault="00DB0E55">
          <w:pPr>
            <w:pStyle w:val="TOC1"/>
            <w:tabs>
              <w:tab w:val="right" w:leader="dot" w:pos="8211"/>
            </w:tabs>
            <w:rPr>
              <w:rFonts w:asciiTheme="minorHAnsi" w:eastAsiaTheme="minorEastAsia" w:hAnsiTheme="minorHAnsi" w:cstheme="minorBidi"/>
              <w:b w:val="0"/>
              <w:bCs w:val="0"/>
              <w:caps w:val="0"/>
              <w:noProof/>
              <w:snapToGrid/>
              <w:sz w:val="22"/>
              <w:szCs w:val="22"/>
              <w:lang w:eastAsia="en-AU"/>
            </w:rPr>
          </w:pPr>
          <w:hyperlink w:anchor="_Toc435611232" w:history="1">
            <w:r w:rsidR="00805489" w:rsidRPr="00F047E7">
              <w:rPr>
                <w:rStyle w:val="Hyperlink"/>
                <w:rFonts w:asciiTheme="majorHAnsi" w:hAnsiTheme="majorHAnsi"/>
                <w:noProof/>
              </w:rPr>
              <w:t>Appendix B: PHDB and HCP data quality issues for Round 18</w:t>
            </w:r>
            <w:r w:rsidR="00805489">
              <w:rPr>
                <w:noProof/>
                <w:webHidden/>
              </w:rPr>
              <w:tab/>
            </w:r>
            <w:r w:rsidR="00805489">
              <w:rPr>
                <w:noProof/>
                <w:webHidden/>
              </w:rPr>
              <w:fldChar w:fldCharType="begin"/>
            </w:r>
            <w:r w:rsidR="00805489">
              <w:rPr>
                <w:noProof/>
                <w:webHidden/>
              </w:rPr>
              <w:instrText xml:space="preserve"> PAGEREF _Toc435611232 \h </w:instrText>
            </w:r>
            <w:r w:rsidR="00805489">
              <w:rPr>
                <w:noProof/>
                <w:webHidden/>
              </w:rPr>
            </w:r>
            <w:r w:rsidR="00805489">
              <w:rPr>
                <w:noProof/>
                <w:webHidden/>
              </w:rPr>
              <w:fldChar w:fldCharType="separate"/>
            </w:r>
            <w:r w:rsidR="00805489">
              <w:rPr>
                <w:noProof/>
                <w:webHidden/>
              </w:rPr>
              <w:t>47</w:t>
            </w:r>
            <w:r w:rsidR="00805489">
              <w:rPr>
                <w:noProof/>
                <w:webHidden/>
              </w:rPr>
              <w:fldChar w:fldCharType="end"/>
            </w:r>
          </w:hyperlink>
        </w:p>
        <w:p w:rsidR="00805489" w:rsidRDefault="00DB0E55">
          <w:pPr>
            <w:pStyle w:val="TOC1"/>
            <w:tabs>
              <w:tab w:val="right" w:leader="dot" w:pos="8211"/>
            </w:tabs>
            <w:rPr>
              <w:rFonts w:asciiTheme="minorHAnsi" w:eastAsiaTheme="minorEastAsia" w:hAnsiTheme="minorHAnsi" w:cstheme="minorBidi"/>
              <w:b w:val="0"/>
              <w:bCs w:val="0"/>
              <w:caps w:val="0"/>
              <w:noProof/>
              <w:snapToGrid/>
              <w:sz w:val="22"/>
              <w:szCs w:val="22"/>
              <w:lang w:eastAsia="en-AU"/>
            </w:rPr>
          </w:pPr>
          <w:hyperlink w:anchor="_Toc435611233" w:history="1">
            <w:r w:rsidR="00805489" w:rsidRPr="00F047E7">
              <w:rPr>
                <w:rStyle w:val="Hyperlink"/>
                <w:rFonts w:asciiTheme="majorHAnsi" w:hAnsiTheme="majorHAnsi"/>
                <w:noProof/>
              </w:rPr>
              <w:t>Appendix C: Detailed methodology</w:t>
            </w:r>
            <w:r w:rsidR="00805489">
              <w:rPr>
                <w:noProof/>
                <w:webHidden/>
              </w:rPr>
              <w:tab/>
            </w:r>
            <w:r w:rsidR="00805489">
              <w:rPr>
                <w:noProof/>
                <w:webHidden/>
              </w:rPr>
              <w:fldChar w:fldCharType="begin"/>
            </w:r>
            <w:r w:rsidR="00805489">
              <w:rPr>
                <w:noProof/>
                <w:webHidden/>
              </w:rPr>
              <w:instrText xml:space="preserve"> PAGEREF _Toc435611233 \h </w:instrText>
            </w:r>
            <w:r w:rsidR="00805489">
              <w:rPr>
                <w:noProof/>
                <w:webHidden/>
              </w:rPr>
            </w:r>
            <w:r w:rsidR="00805489">
              <w:rPr>
                <w:noProof/>
                <w:webHidden/>
              </w:rPr>
              <w:fldChar w:fldCharType="separate"/>
            </w:r>
            <w:r w:rsidR="00805489">
              <w:rPr>
                <w:noProof/>
                <w:webHidden/>
              </w:rPr>
              <w:t>53</w:t>
            </w:r>
            <w:r w:rsidR="00805489">
              <w:rPr>
                <w:noProof/>
                <w:webHidden/>
              </w:rPr>
              <w:fldChar w:fldCharType="end"/>
            </w:r>
          </w:hyperlink>
        </w:p>
        <w:p w:rsidR="00805489" w:rsidRDefault="00DB0E55">
          <w:pPr>
            <w:pStyle w:val="TOC1"/>
            <w:tabs>
              <w:tab w:val="right" w:leader="dot" w:pos="8211"/>
            </w:tabs>
            <w:rPr>
              <w:rFonts w:asciiTheme="minorHAnsi" w:eastAsiaTheme="minorEastAsia" w:hAnsiTheme="minorHAnsi" w:cstheme="minorBidi"/>
              <w:b w:val="0"/>
              <w:bCs w:val="0"/>
              <w:caps w:val="0"/>
              <w:noProof/>
              <w:snapToGrid/>
              <w:sz w:val="22"/>
              <w:szCs w:val="22"/>
              <w:lang w:eastAsia="en-AU"/>
            </w:rPr>
          </w:pPr>
          <w:hyperlink w:anchor="_Toc435611234" w:history="1">
            <w:r w:rsidR="00805489" w:rsidRPr="00F047E7">
              <w:rPr>
                <w:rStyle w:val="Hyperlink"/>
                <w:rFonts w:asciiTheme="majorHAnsi" w:hAnsiTheme="majorHAnsi"/>
                <w:noProof/>
              </w:rPr>
              <w:t>Appendix D: Standard error range, Round 18 private sector</w:t>
            </w:r>
            <w:r w:rsidR="00805489">
              <w:rPr>
                <w:noProof/>
                <w:webHidden/>
              </w:rPr>
              <w:tab/>
            </w:r>
            <w:r w:rsidR="00805489">
              <w:rPr>
                <w:noProof/>
                <w:webHidden/>
              </w:rPr>
              <w:fldChar w:fldCharType="begin"/>
            </w:r>
            <w:r w:rsidR="00805489">
              <w:rPr>
                <w:noProof/>
                <w:webHidden/>
              </w:rPr>
              <w:instrText xml:space="preserve"> PAGEREF _Toc435611234 \h </w:instrText>
            </w:r>
            <w:r w:rsidR="00805489">
              <w:rPr>
                <w:noProof/>
                <w:webHidden/>
              </w:rPr>
            </w:r>
            <w:r w:rsidR="00805489">
              <w:rPr>
                <w:noProof/>
                <w:webHidden/>
              </w:rPr>
              <w:fldChar w:fldCharType="separate"/>
            </w:r>
            <w:r w:rsidR="00805489">
              <w:rPr>
                <w:noProof/>
                <w:webHidden/>
              </w:rPr>
              <w:t>57</w:t>
            </w:r>
            <w:r w:rsidR="00805489">
              <w:rPr>
                <w:noProof/>
                <w:webHidden/>
              </w:rPr>
              <w:fldChar w:fldCharType="end"/>
            </w:r>
          </w:hyperlink>
        </w:p>
        <w:p w:rsidR="00805489" w:rsidRDefault="00DB0E55">
          <w:pPr>
            <w:pStyle w:val="TOC1"/>
            <w:tabs>
              <w:tab w:val="right" w:leader="dot" w:pos="8211"/>
            </w:tabs>
            <w:rPr>
              <w:rFonts w:asciiTheme="minorHAnsi" w:eastAsiaTheme="minorEastAsia" w:hAnsiTheme="minorHAnsi" w:cstheme="minorBidi"/>
              <w:b w:val="0"/>
              <w:bCs w:val="0"/>
              <w:caps w:val="0"/>
              <w:noProof/>
              <w:snapToGrid/>
              <w:sz w:val="22"/>
              <w:szCs w:val="22"/>
              <w:lang w:eastAsia="en-AU"/>
            </w:rPr>
          </w:pPr>
          <w:hyperlink w:anchor="_Toc435611235" w:history="1">
            <w:r w:rsidR="00805489" w:rsidRPr="00F047E7">
              <w:rPr>
                <w:rStyle w:val="Hyperlink"/>
                <w:rFonts w:asciiTheme="majorHAnsi" w:hAnsiTheme="majorHAnsi"/>
                <w:noProof/>
              </w:rPr>
              <w:t>Appendix E: Cost weight tables by AR-DRG</w:t>
            </w:r>
            <w:r w:rsidR="00805489">
              <w:rPr>
                <w:noProof/>
                <w:webHidden/>
              </w:rPr>
              <w:tab/>
            </w:r>
            <w:r w:rsidR="00805489">
              <w:rPr>
                <w:noProof/>
                <w:webHidden/>
              </w:rPr>
              <w:fldChar w:fldCharType="begin"/>
            </w:r>
            <w:r w:rsidR="00805489">
              <w:rPr>
                <w:noProof/>
                <w:webHidden/>
              </w:rPr>
              <w:instrText xml:space="preserve"> PAGEREF _Toc435611235 \h </w:instrText>
            </w:r>
            <w:r w:rsidR="00805489">
              <w:rPr>
                <w:noProof/>
                <w:webHidden/>
              </w:rPr>
            </w:r>
            <w:r w:rsidR="00805489">
              <w:rPr>
                <w:noProof/>
                <w:webHidden/>
              </w:rPr>
              <w:fldChar w:fldCharType="separate"/>
            </w:r>
            <w:r w:rsidR="00805489">
              <w:rPr>
                <w:noProof/>
                <w:webHidden/>
              </w:rPr>
              <w:t>58</w:t>
            </w:r>
            <w:r w:rsidR="00805489">
              <w:rPr>
                <w:noProof/>
                <w:webHidden/>
              </w:rPr>
              <w:fldChar w:fldCharType="end"/>
            </w:r>
          </w:hyperlink>
        </w:p>
        <w:p w:rsidR="004F40F2" w:rsidRPr="00C227AA" w:rsidRDefault="00993D7E" w:rsidP="00C227AA">
          <w:r w:rsidRPr="000051B6">
            <w:rPr>
              <w:rFonts w:cstheme="minorHAnsi"/>
              <w:b/>
              <w:bCs/>
              <w:caps/>
              <w:smallCaps/>
            </w:rPr>
            <w:fldChar w:fldCharType="end"/>
          </w:r>
        </w:p>
      </w:sdtContent>
    </w:sdt>
    <w:p w:rsidR="004F40F2" w:rsidRPr="000051B6" w:rsidRDefault="004F40F2">
      <w:r w:rsidRPr="000051B6">
        <w:br w:type="page"/>
      </w:r>
    </w:p>
    <w:p w:rsidR="004F40F2" w:rsidRPr="000051B6" w:rsidRDefault="004F40F2" w:rsidP="004F40F2">
      <w:pPr>
        <w:pStyle w:val="TOCHeading"/>
        <w:numPr>
          <w:ilvl w:val="0"/>
          <w:numId w:val="0"/>
        </w:numPr>
        <w:ind w:left="851"/>
      </w:pPr>
      <w:r w:rsidRPr="000051B6">
        <w:lastRenderedPageBreak/>
        <w:t xml:space="preserve">List of tables </w:t>
      </w:r>
    </w:p>
    <w:p w:rsidR="00E812A5" w:rsidRPr="000051B6" w:rsidRDefault="00E812A5" w:rsidP="00E812A5"/>
    <w:p w:rsidR="00805489" w:rsidRDefault="00837325">
      <w:pPr>
        <w:pStyle w:val="TableofFigures"/>
        <w:tabs>
          <w:tab w:val="left" w:pos="1000"/>
          <w:tab w:val="right" w:leader="dot" w:pos="8211"/>
        </w:tabs>
        <w:rPr>
          <w:rFonts w:asciiTheme="minorHAnsi" w:eastAsiaTheme="minorEastAsia" w:hAnsiTheme="minorHAnsi" w:cstheme="minorBidi"/>
          <w:noProof/>
          <w:snapToGrid/>
          <w:sz w:val="22"/>
          <w:szCs w:val="22"/>
          <w:lang w:eastAsia="en-AU"/>
        </w:rPr>
      </w:pPr>
      <w:r w:rsidRPr="000051B6">
        <w:fldChar w:fldCharType="begin"/>
      </w:r>
      <w:r w:rsidRPr="000051B6">
        <w:instrText xml:space="preserve"> TOC \f T \h \z \t "Tables headings" \c </w:instrText>
      </w:r>
      <w:r w:rsidRPr="000051B6">
        <w:fldChar w:fldCharType="separate"/>
      </w:r>
      <w:hyperlink w:anchor="_Toc435610607" w:history="1">
        <w:r w:rsidR="00805489" w:rsidRPr="003D3EC9">
          <w:rPr>
            <w:rStyle w:val="Hyperlink"/>
            <w:noProof/>
          </w:rPr>
          <w:t>Table 1</w:t>
        </w:r>
        <w:r w:rsidR="00805489">
          <w:rPr>
            <w:rFonts w:asciiTheme="minorHAnsi" w:eastAsiaTheme="minorEastAsia" w:hAnsiTheme="minorHAnsi" w:cstheme="minorBidi"/>
            <w:noProof/>
            <w:snapToGrid/>
            <w:sz w:val="22"/>
            <w:szCs w:val="22"/>
            <w:lang w:eastAsia="en-AU"/>
          </w:rPr>
          <w:tab/>
        </w:r>
        <w:r w:rsidR="00805489" w:rsidRPr="003D3EC9">
          <w:rPr>
            <w:rStyle w:val="Hyperlink"/>
            <w:noProof/>
          </w:rPr>
          <w:t>Summary of private hospital participation</w:t>
        </w:r>
        <w:r w:rsidR="00805489">
          <w:rPr>
            <w:noProof/>
            <w:webHidden/>
          </w:rPr>
          <w:tab/>
        </w:r>
        <w:r w:rsidR="00805489">
          <w:rPr>
            <w:noProof/>
            <w:webHidden/>
          </w:rPr>
          <w:fldChar w:fldCharType="begin"/>
        </w:r>
        <w:r w:rsidR="00805489">
          <w:rPr>
            <w:noProof/>
            <w:webHidden/>
          </w:rPr>
          <w:instrText xml:space="preserve"> PAGEREF _Toc435610607 \h </w:instrText>
        </w:r>
        <w:r w:rsidR="00805489">
          <w:rPr>
            <w:noProof/>
            <w:webHidden/>
          </w:rPr>
        </w:r>
        <w:r w:rsidR="00805489">
          <w:rPr>
            <w:noProof/>
            <w:webHidden/>
          </w:rPr>
          <w:fldChar w:fldCharType="separate"/>
        </w:r>
        <w:r w:rsidR="00805489">
          <w:rPr>
            <w:noProof/>
            <w:webHidden/>
          </w:rPr>
          <w:t>5</w:t>
        </w:r>
        <w:r w:rsidR="00805489">
          <w:rPr>
            <w:noProof/>
            <w:webHidden/>
          </w:rPr>
          <w:fldChar w:fldCharType="end"/>
        </w:r>
      </w:hyperlink>
    </w:p>
    <w:p w:rsidR="00805489" w:rsidRDefault="00DB0E55">
      <w:pPr>
        <w:pStyle w:val="TableofFigures"/>
        <w:tabs>
          <w:tab w:val="left" w:pos="1000"/>
          <w:tab w:val="right" w:leader="dot" w:pos="8211"/>
        </w:tabs>
        <w:rPr>
          <w:rFonts w:asciiTheme="minorHAnsi" w:eastAsiaTheme="minorEastAsia" w:hAnsiTheme="minorHAnsi" w:cstheme="minorBidi"/>
          <w:noProof/>
          <w:snapToGrid/>
          <w:sz w:val="22"/>
          <w:szCs w:val="22"/>
          <w:lang w:eastAsia="en-AU"/>
        </w:rPr>
      </w:pPr>
      <w:hyperlink w:anchor="_Toc435610608" w:history="1">
        <w:r w:rsidR="00805489" w:rsidRPr="003D3EC9">
          <w:rPr>
            <w:rStyle w:val="Hyperlink"/>
            <w:noProof/>
          </w:rPr>
          <w:t>Table 2</w:t>
        </w:r>
        <w:r w:rsidR="00805489">
          <w:rPr>
            <w:rFonts w:asciiTheme="minorHAnsi" w:eastAsiaTheme="minorEastAsia" w:hAnsiTheme="minorHAnsi" w:cstheme="minorBidi"/>
            <w:noProof/>
            <w:snapToGrid/>
            <w:sz w:val="22"/>
            <w:szCs w:val="22"/>
            <w:lang w:eastAsia="en-AU"/>
          </w:rPr>
          <w:tab/>
        </w:r>
        <w:r w:rsidR="00805489" w:rsidRPr="003D3EC9">
          <w:rPr>
            <w:rStyle w:val="Hyperlink"/>
            <w:noProof/>
          </w:rPr>
          <w:t>Summary of private hospital participation</w:t>
        </w:r>
        <w:r w:rsidR="00805489">
          <w:rPr>
            <w:noProof/>
            <w:webHidden/>
          </w:rPr>
          <w:tab/>
        </w:r>
        <w:r w:rsidR="00805489">
          <w:rPr>
            <w:noProof/>
            <w:webHidden/>
          </w:rPr>
          <w:fldChar w:fldCharType="begin"/>
        </w:r>
        <w:r w:rsidR="00805489">
          <w:rPr>
            <w:noProof/>
            <w:webHidden/>
          </w:rPr>
          <w:instrText xml:space="preserve"> PAGEREF _Toc435610608 \h </w:instrText>
        </w:r>
        <w:r w:rsidR="00805489">
          <w:rPr>
            <w:noProof/>
            <w:webHidden/>
          </w:rPr>
        </w:r>
        <w:r w:rsidR="00805489">
          <w:rPr>
            <w:noProof/>
            <w:webHidden/>
          </w:rPr>
          <w:fldChar w:fldCharType="separate"/>
        </w:r>
        <w:r w:rsidR="00805489">
          <w:rPr>
            <w:noProof/>
            <w:webHidden/>
          </w:rPr>
          <w:t>9</w:t>
        </w:r>
        <w:r w:rsidR="00805489">
          <w:rPr>
            <w:noProof/>
            <w:webHidden/>
          </w:rPr>
          <w:fldChar w:fldCharType="end"/>
        </w:r>
      </w:hyperlink>
    </w:p>
    <w:p w:rsidR="00805489" w:rsidRDefault="00DB0E55" w:rsidP="00805489">
      <w:pPr>
        <w:pStyle w:val="TableofFigures"/>
        <w:tabs>
          <w:tab w:val="left" w:pos="1000"/>
          <w:tab w:val="right" w:leader="dot" w:pos="8211"/>
        </w:tabs>
        <w:ind w:left="996" w:hanging="996"/>
        <w:rPr>
          <w:rFonts w:asciiTheme="minorHAnsi" w:eastAsiaTheme="minorEastAsia" w:hAnsiTheme="minorHAnsi" w:cstheme="minorBidi"/>
          <w:noProof/>
          <w:snapToGrid/>
          <w:sz w:val="22"/>
          <w:szCs w:val="22"/>
          <w:lang w:eastAsia="en-AU"/>
        </w:rPr>
      </w:pPr>
      <w:hyperlink w:anchor="_Toc435610609" w:history="1">
        <w:r w:rsidR="00805489" w:rsidRPr="003D3EC9">
          <w:rPr>
            <w:rStyle w:val="Hyperlink"/>
            <w:noProof/>
          </w:rPr>
          <w:t>Table 3</w:t>
        </w:r>
        <w:r w:rsidR="00805489">
          <w:rPr>
            <w:rFonts w:asciiTheme="minorHAnsi" w:eastAsiaTheme="minorEastAsia" w:hAnsiTheme="minorHAnsi" w:cstheme="minorBidi"/>
            <w:noProof/>
            <w:snapToGrid/>
            <w:sz w:val="22"/>
            <w:szCs w:val="22"/>
            <w:lang w:eastAsia="en-AU"/>
          </w:rPr>
          <w:tab/>
        </w:r>
        <w:r w:rsidR="00805489">
          <w:rPr>
            <w:rFonts w:asciiTheme="minorHAnsi" w:eastAsiaTheme="minorEastAsia" w:hAnsiTheme="minorHAnsi" w:cstheme="minorBidi"/>
            <w:noProof/>
            <w:snapToGrid/>
            <w:sz w:val="22"/>
            <w:szCs w:val="22"/>
            <w:lang w:eastAsia="en-AU"/>
          </w:rPr>
          <w:tab/>
        </w:r>
        <w:r w:rsidR="00805489" w:rsidRPr="003D3EC9">
          <w:rPr>
            <w:rStyle w:val="Hyperlink"/>
            <w:noProof/>
          </w:rPr>
          <w:t>Comparison of separations and hospitals, Round 7 (2002-03) to Round 18 (2013-14)</w:t>
        </w:r>
        <w:r w:rsidR="00805489">
          <w:rPr>
            <w:noProof/>
            <w:webHidden/>
          </w:rPr>
          <w:tab/>
        </w:r>
        <w:r w:rsidR="00805489">
          <w:rPr>
            <w:noProof/>
            <w:webHidden/>
          </w:rPr>
          <w:fldChar w:fldCharType="begin"/>
        </w:r>
        <w:r w:rsidR="00805489">
          <w:rPr>
            <w:noProof/>
            <w:webHidden/>
          </w:rPr>
          <w:instrText xml:space="preserve"> PAGEREF _Toc435610609 \h </w:instrText>
        </w:r>
        <w:r w:rsidR="00805489">
          <w:rPr>
            <w:noProof/>
            <w:webHidden/>
          </w:rPr>
        </w:r>
        <w:r w:rsidR="00805489">
          <w:rPr>
            <w:noProof/>
            <w:webHidden/>
          </w:rPr>
          <w:fldChar w:fldCharType="separate"/>
        </w:r>
        <w:r w:rsidR="00805489">
          <w:rPr>
            <w:noProof/>
            <w:webHidden/>
          </w:rPr>
          <w:t>16</w:t>
        </w:r>
        <w:r w:rsidR="00805489">
          <w:rPr>
            <w:noProof/>
            <w:webHidden/>
          </w:rPr>
          <w:fldChar w:fldCharType="end"/>
        </w:r>
      </w:hyperlink>
    </w:p>
    <w:p w:rsidR="00805489" w:rsidRDefault="00DB0E55">
      <w:pPr>
        <w:pStyle w:val="TableofFigures"/>
        <w:tabs>
          <w:tab w:val="left" w:pos="1000"/>
          <w:tab w:val="right" w:leader="dot" w:pos="8211"/>
        </w:tabs>
        <w:rPr>
          <w:rFonts w:asciiTheme="minorHAnsi" w:eastAsiaTheme="minorEastAsia" w:hAnsiTheme="minorHAnsi" w:cstheme="minorBidi"/>
          <w:noProof/>
          <w:snapToGrid/>
          <w:sz w:val="22"/>
          <w:szCs w:val="22"/>
          <w:lang w:eastAsia="en-AU"/>
        </w:rPr>
      </w:pPr>
      <w:hyperlink w:anchor="_Toc435610610" w:history="1">
        <w:r w:rsidR="00805489" w:rsidRPr="003D3EC9">
          <w:rPr>
            <w:rStyle w:val="Hyperlink"/>
            <w:noProof/>
          </w:rPr>
          <w:t>Table 5</w:t>
        </w:r>
        <w:r w:rsidR="00805489">
          <w:rPr>
            <w:rFonts w:asciiTheme="minorHAnsi" w:eastAsiaTheme="minorEastAsia" w:hAnsiTheme="minorHAnsi" w:cstheme="minorBidi"/>
            <w:noProof/>
            <w:snapToGrid/>
            <w:sz w:val="22"/>
            <w:szCs w:val="22"/>
            <w:lang w:eastAsia="en-AU"/>
          </w:rPr>
          <w:tab/>
        </w:r>
        <w:r w:rsidR="00805489" w:rsidRPr="003D3EC9">
          <w:rPr>
            <w:rStyle w:val="Hyperlink"/>
            <w:noProof/>
          </w:rPr>
          <w:t>Breakdown of cost by cost-bucket group, Round 18 versus Round 17</w:t>
        </w:r>
        <w:r w:rsidR="00805489">
          <w:rPr>
            <w:noProof/>
            <w:webHidden/>
          </w:rPr>
          <w:tab/>
        </w:r>
        <w:r w:rsidR="00805489">
          <w:rPr>
            <w:noProof/>
            <w:webHidden/>
          </w:rPr>
          <w:fldChar w:fldCharType="begin"/>
        </w:r>
        <w:r w:rsidR="00805489">
          <w:rPr>
            <w:noProof/>
            <w:webHidden/>
          </w:rPr>
          <w:instrText xml:space="preserve"> PAGEREF _Toc435610610 \h </w:instrText>
        </w:r>
        <w:r w:rsidR="00805489">
          <w:rPr>
            <w:noProof/>
            <w:webHidden/>
          </w:rPr>
        </w:r>
        <w:r w:rsidR="00805489">
          <w:rPr>
            <w:noProof/>
            <w:webHidden/>
          </w:rPr>
          <w:fldChar w:fldCharType="separate"/>
        </w:r>
        <w:r w:rsidR="00805489">
          <w:rPr>
            <w:noProof/>
            <w:webHidden/>
          </w:rPr>
          <w:t>17</w:t>
        </w:r>
        <w:r w:rsidR="00805489">
          <w:rPr>
            <w:noProof/>
            <w:webHidden/>
          </w:rPr>
          <w:fldChar w:fldCharType="end"/>
        </w:r>
      </w:hyperlink>
    </w:p>
    <w:p w:rsidR="00805489" w:rsidRDefault="00DB0E55">
      <w:pPr>
        <w:pStyle w:val="TableofFigures"/>
        <w:tabs>
          <w:tab w:val="left" w:pos="1000"/>
          <w:tab w:val="right" w:leader="dot" w:pos="8211"/>
        </w:tabs>
        <w:rPr>
          <w:rFonts w:asciiTheme="minorHAnsi" w:eastAsiaTheme="minorEastAsia" w:hAnsiTheme="minorHAnsi" w:cstheme="minorBidi"/>
          <w:noProof/>
          <w:snapToGrid/>
          <w:sz w:val="22"/>
          <w:szCs w:val="22"/>
          <w:lang w:eastAsia="en-AU"/>
        </w:rPr>
      </w:pPr>
      <w:hyperlink w:anchor="_Toc435610611" w:history="1">
        <w:r w:rsidR="00805489" w:rsidRPr="003D3EC9">
          <w:rPr>
            <w:rStyle w:val="Hyperlink"/>
            <w:noProof/>
          </w:rPr>
          <w:t>Table 6</w:t>
        </w:r>
        <w:r w:rsidR="00805489">
          <w:rPr>
            <w:rFonts w:asciiTheme="minorHAnsi" w:eastAsiaTheme="minorEastAsia" w:hAnsiTheme="minorHAnsi" w:cstheme="minorBidi"/>
            <w:noProof/>
            <w:snapToGrid/>
            <w:sz w:val="22"/>
            <w:szCs w:val="22"/>
            <w:lang w:eastAsia="en-AU"/>
          </w:rPr>
          <w:tab/>
        </w:r>
        <w:r w:rsidR="00805489" w:rsidRPr="003D3EC9">
          <w:rPr>
            <w:rStyle w:val="Hyperlink"/>
            <w:noProof/>
          </w:rPr>
          <w:t>Top 20 AR-DRGs ranked by highest cost weight</w:t>
        </w:r>
        <w:r w:rsidR="00805489">
          <w:rPr>
            <w:noProof/>
            <w:webHidden/>
          </w:rPr>
          <w:tab/>
        </w:r>
        <w:r w:rsidR="00805489">
          <w:rPr>
            <w:noProof/>
            <w:webHidden/>
          </w:rPr>
          <w:fldChar w:fldCharType="begin"/>
        </w:r>
        <w:r w:rsidR="00805489">
          <w:rPr>
            <w:noProof/>
            <w:webHidden/>
          </w:rPr>
          <w:instrText xml:space="preserve"> PAGEREF _Toc435610611 \h </w:instrText>
        </w:r>
        <w:r w:rsidR="00805489">
          <w:rPr>
            <w:noProof/>
            <w:webHidden/>
          </w:rPr>
        </w:r>
        <w:r w:rsidR="00805489">
          <w:rPr>
            <w:noProof/>
            <w:webHidden/>
          </w:rPr>
          <w:fldChar w:fldCharType="separate"/>
        </w:r>
        <w:r w:rsidR="00805489">
          <w:rPr>
            <w:noProof/>
            <w:webHidden/>
          </w:rPr>
          <w:t>20</w:t>
        </w:r>
        <w:r w:rsidR="00805489">
          <w:rPr>
            <w:noProof/>
            <w:webHidden/>
          </w:rPr>
          <w:fldChar w:fldCharType="end"/>
        </w:r>
      </w:hyperlink>
    </w:p>
    <w:p w:rsidR="00805489" w:rsidRDefault="00DB0E55">
      <w:pPr>
        <w:pStyle w:val="TableofFigures"/>
        <w:tabs>
          <w:tab w:val="left" w:pos="1000"/>
          <w:tab w:val="right" w:leader="dot" w:pos="8211"/>
        </w:tabs>
        <w:rPr>
          <w:rFonts w:asciiTheme="minorHAnsi" w:eastAsiaTheme="minorEastAsia" w:hAnsiTheme="minorHAnsi" w:cstheme="minorBidi"/>
          <w:noProof/>
          <w:snapToGrid/>
          <w:sz w:val="22"/>
          <w:szCs w:val="22"/>
          <w:lang w:eastAsia="en-AU"/>
        </w:rPr>
      </w:pPr>
      <w:hyperlink w:anchor="_Toc435610612" w:history="1">
        <w:r w:rsidR="00805489" w:rsidRPr="003D3EC9">
          <w:rPr>
            <w:rStyle w:val="Hyperlink"/>
            <w:noProof/>
          </w:rPr>
          <w:t>Table 7</w:t>
        </w:r>
        <w:r w:rsidR="00805489">
          <w:rPr>
            <w:rFonts w:asciiTheme="minorHAnsi" w:eastAsiaTheme="minorEastAsia" w:hAnsiTheme="minorHAnsi" w:cstheme="minorBidi"/>
            <w:noProof/>
            <w:snapToGrid/>
            <w:sz w:val="22"/>
            <w:szCs w:val="22"/>
            <w:lang w:eastAsia="en-AU"/>
          </w:rPr>
          <w:tab/>
        </w:r>
        <w:r w:rsidR="00805489" w:rsidRPr="003D3EC9">
          <w:rPr>
            <w:rStyle w:val="Hyperlink"/>
            <w:noProof/>
          </w:rPr>
          <w:t xml:space="preserve">Top 20 AR-DRGs ranked by </w:t>
        </w:r>
        <w:r w:rsidR="00805489" w:rsidRPr="003D3EC9">
          <w:rPr>
            <w:rStyle w:val="Hyperlink"/>
            <w:noProof/>
            <w:lang w:eastAsia="en-AU"/>
          </w:rPr>
          <w:t>highest volume of population-adjusted separations</w:t>
        </w:r>
        <w:r w:rsidR="00805489">
          <w:rPr>
            <w:noProof/>
            <w:webHidden/>
          </w:rPr>
          <w:tab/>
        </w:r>
        <w:r w:rsidR="00805489">
          <w:rPr>
            <w:noProof/>
            <w:webHidden/>
          </w:rPr>
          <w:fldChar w:fldCharType="begin"/>
        </w:r>
        <w:r w:rsidR="00805489">
          <w:rPr>
            <w:noProof/>
            <w:webHidden/>
          </w:rPr>
          <w:instrText xml:space="preserve"> PAGEREF _Toc435610612 \h </w:instrText>
        </w:r>
        <w:r w:rsidR="00805489">
          <w:rPr>
            <w:noProof/>
            <w:webHidden/>
          </w:rPr>
        </w:r>
        <w:r w:rsidR="00805489">
          <w:rPr>
            <w:noProof/>
            <w:webHidden/>
          </w:rPr>
          <w:fldChar w:fldCharType="separate"/>
        </w:r>
        <w:r w:rsidR="00805489">
          <w:rPr>
            <w:noProof/>
            <w:webHidden/>
          </w:rPr>
          <w:t>23</w:t>
        </w:r>
        <w:r w:rsidR="00805489">
          <w:rPr>
            <w:noProof/>
            <w:webHidden/>
          </w:rPr>
          <w:fldChar w:fldCharType="end"/>
        </w:r>
      </w:hyperlink>
    </w:p>
    <w:p w:rsidR="00805489" w:rsidRDefault="00DB0E55">
      <w:pPr>
        <w:pStyle w:val="TableofFigures"/>
        <w:tabs>
          <w:tab w:val="left" w:pos="1000"/>
          <w:tab w:val="right" w:leader="dot" w:pos="8211"/>
        </w:tabs>
        <w:rPr>
          <w:rFonts w:asciiTheme="minorHAnsi" w:eastAsiaTheme="minorEastAsia" w:hAnsiTheme="minorHAnsi" w:cstheme="minorBidi"/>
          <w:noProof/>
          <w:snapToGrid/>
          <w:sz w:val="22"/>
          <w:szCs w:val="22"/>
          <w:lang w:eastAsia="en-AU"/>
        </w:rPr>
      </w:pPr>
      <w:hyperlink w:anchor="_Toc435610613" w:history="1">
        <w:r w:rsidR="00805489" w:rsidRPr="003D3EC9">
          <w:rPr>
            <w:rStyle w:val="Hyperlink"/>
            <w:noProof/>
          </w:rPr>
          <w:t>Table 8</w:t>
        </w:r>
        <w:r w:rsidR="00805489">
          <w:rPr>
            <w:rFonts w:asciiTheme="minorHAnsi" w:eastAsiaTheme="minorEastAsia" w:hAnsiTheme="minorHAnsi" w:cstheme="minorBidi"/>
            <w:noProof/>
            <w:snapToGrid/>
            <w:sz w:val="22"/>
            <w:szCs w:val="22"/>
            <w:lang w:eastAsia="en-AU"/>
          </w:rPr>
          <w:tab/>
        </w:r>
        <w:r w:rsidR="00805489" w:rsidRPr="003D3EC9">
          <w:rPr>
            <w:rStyle w:val="Hyperlink"/>
            <w:noProof/>
          </w:rPr>
          <w:t>Top 20 AR-DRGs ranked by highest cost-weighted separations</w:t>
        </w:r>
        <w:r w:rsidR="00805489">
          <w:rPr>
            <w:noProof/>
            <w:webHidden/>
          </w:rPr>
          <w:tab/>
        </w:r>
        <w:r w:rsidR="00805489">
          <w:rPr>
            <w:noProof/>
            <w:webHidden/>
          </w:rPr>
          <w:fldChar w:fldCharType="begin"/>
        </w:r>
        <w:r w:rsidR="00805489">
          <w:rPr>
            <w:noProof/>
            <w:webHidden/>
          </w:rPr>
          <w:instrText xml:space="preserve"> PAGEREF _Toc435610613 \h </w:instrText>
        </w:r>
        <w:r w:rsidR="00805489">
          <w:rPr>
            <w:noProof/>
            <w:webHidden/>
          </w:rPr>
        </w:r>
        <w:r w:rsidR="00805489">
          <w:rPr>
            <w:noProof/>
            <w:webHidden/>
          </w:rPr>
          <w:fldChar w:fldCharType="separate"/>
        </w:r>
        <w:r w:rsidR="00805489">
          <w:rPr>
            <w:noProof/>
            <w:webHidden/>
          </w:rPr>
          <w:t>26</w:t>
        </w:r>
        <w:r w:rsidR="00805489">
          <w:rPr>
            <w:noProof/>
            <w:webHidden/>
          </w:rPr>
          <w:fldChar w:fldCharType="end"/>
        </w:r>
      </w:hyperlink>
    </w:p>
    <w:p w:rsidR="00805489" w:rsidRDefault="00DB0E55">
      <w:pPr>
        <w:pStyle w:val="TableofFigures"/>
        <w:tabs>
          <w:tab w:val="left" w:pos="1000"/>
          <w:tab w:val="right" w:leader="dot" w:pos="8211"/>
        </w:tabs>
        <w:rPr>
          <w:rFonts w:asciiTheme="minorHAnsi" w:eastAsiaTheme="minorEastAsia" w:hAnsiTheme="minorHAnsi" w:cstheme="minorBidi"/>
          <w:noProof/>
          <w:snapToGrid/>
          <w:sz w:val="22"/>
          <w:szCs w:val="22"/>
          <w:lang w:eastAsia="en-AU"/>
        </w:rPr>
      </w:pPr>
      <w:hyperlink w:anchor="_Toc435610614" w:history="1">
        <w:r w:rsidR="00805489" w:rsidRPr="003D3EC9">
          <w:rPr>
            <w:rStyle w:val="Hyperlink"/>
            <w:noProof/>
          </w:rPr>
          <w:t>Table 9</w:t>
        </w:r>
        <w:r w:rsidR="00805489">
          <w:rPr>
            <w:rFonts w:asciiTheme="minorHAnsi" w:eastAsiaTheme="minorEastAsia" w:hAnsiTheme="minorHAnsi" w:cstheme="minorBidi"/>
            <w:noProof/>
            <w:snapToGrid/>
            <w:sz w:val="22"/>
            <w:szCs w:val="22"/>
            <w:lang w:eastAsia="en-AU"/>
          </w:rPr>
          <w:tab/>
        </w:r>
        <w:r w:rsidR="00805489" w:rsidRPr="003D3EC9">
          <w:rPr>
            <w:rStyle w:val="Hyperlink"/>
            <w:noProof/>
          </w:rPr>
          <w:t>Top 20 AR-DRGs ranked by ALoS</w:t>
        </w:r>
        <w:r w:rsidR="00805489">
          <w:rPr>
            <w:noProof/>
            <w:webHidden/>
          </w:rPr>
          <w:tab/>
        </w:r>
        <w:r w:rsidR="00805489">
          <w:rPr>
            <w:noProof/>
            <w:webHidden/>
          </w:rPr>
          <w:fldChar w:fldCharType="begin"/>
        </w:r>
        <w:r w:rsidR="00805489">
          <w:rPr>
            <w:noProof/>
            <w:webHidden/>
          </w:rPr>
          <w:instrText xml:space="preserve"> PAGEREF _Toc435610614 \h </w:instrText>
        </w:r>
        <w:r w:rsidR="00805489">
          <w:rPr>
            <w:noProof/>
            <w:webHidden/>
          </w:rPr>
        </w:r>
        <w:r w:rsidR="00805489">
          <w:rPr>
            <w:noProof/>
            <w:webHidden/>
          </w:rPr>
          <w:fldChar w:fldCharType="separate"/>
        </w:r>
        <w:r w:rsidR="00805489">
          <w:rPr>
            <w:noProof/>
            <w:webHidden/>
          </w:rPr>
          <w:t>29</w:t>
        </w:r>
        <w:r w:rsidR="00805489">
          <w:rPr>
            <w:noProof/>
            <w:webHidden/>
          </w:rPr>
          <w:fldChar w:fldCharType="end"/>
        </w:r>
      </w:hyperlink>
    </w:p>
    <w:p w:rsidR="00805489" w:rsidRDefault="00DB0E55" w:rsidP="00805489">
      <w:pPr>
        <w:pStyle w:val="TableofFigures"/>
        <w:tabs>
          <w:tab w:val="left" w:pos="993"/>
          <w:tab w:val="right" w:leader="dot" w:pos="8211"/>
        </w:tabs>
        <w:rPr>
          <w:rFonts w:asciiTheme="minorHAnsi" w:eastAsiaTheme="minorEastAsia" w:hAnsiTheme="minorHAnsi" w:cstheme="minorBidi"/>
          <w:noProof/>
          <w:snapToGrid/>
          <w:sz w:val="22"/>
          <w:szCs w:val="22"/>
          <w:lang w:eastAsia="en-AU"/>
        </w:rPr>
      </w:pPr>
      <w:hyperlink w:anchor="_Toc435610615" w:history="1">
        <w:r w:rsidR="00805489" w:rsidRPr="003D3EC9">
          <w:rPr>
            <w:rStyle w:val="Hyperlink"/>
            <w:noProof/>
          </w:rPr>
          <w:t xml:space="preserve">Table 10  </w:t>
        </w:r>
        <w:r w:rsidR="00805489">
          <w:rPr>
            <w:rFonts w:asciiTheme="minorHAnsi" w:eastAsiaTheme="minorEastAsia" w:hAnsiTheme="minorHAnsi" w:cstheme="minorBidi"/>
            <w:noProof/>
            <w:snapToGrid/>
            <w:sz w:val="22"/>
            <w:szCs w:val="22"/>
            <w:lang w:eastAsia="en-AU"/>
          </w:rPr>
          <w:tab/>
        </w:r>
        <w:r w:rsidR="00805489" w:rsidRPr="003D3EC9">
          <w:rPr>
            <w:rStyle w:val="Hyperlink"/>
            <w:noProof/>
          </w:rPr>
          <w:t>Overall cost buckets Round 17 compared to Round 18</w:t>
        </w:r>
        <w:r w:rsidR="00805489">
          <w:rPr>
            <w:noProof/>
            <w:webHidden/>
          </w:rPr>
          <w:tab/>
        </w:r>
        <w:r w:rsidR="00805489">
          <w:rPr>
            <w:noProof/>
            <w:webHidden/>
          </w:rPr>
          <w:fldChar w:fldCharType="begin"/>
        </w:r>
        <w:r w:rsidR="00805489">
          <w:rPr>
            <w:noProof/>
            <w:webHidden/>
          </w:rPr>
          <w:instrText xml:space="preserve"> PAGEREF _Toc435610615 \h </w:instrText>
        </w:r>
        <w:r w:rsidR="00805489">
          <w:rPr>
            <w:noProof/>
            <w:webHidden/>
          </w:rPr>
        </w:r>
        <w:r w:rsidR="00805489">
          <w:rPr>
            <w:noProof/>
            <w:webHidden/>
          </w:rPr>
          <w:fldChar w:fldCharType="separate"/>
        </w:r>
        <w:r w:rsidR="00805489">
          <w:rPr>
            <w:noProof/>
            <w:webHidden/>
          </w:rPr>
          <w:t>31</w:t>
        </w:r>
        <w:r w:rsidR="00805489">
          <w:rPr>
            <w:noProof/>
            <w:webHidden/>
          </w:rPr>
          <w:fldChar w:fldCharType="end"/>
        </w:r>
      </w:hyperlink>
    </w:p>
    <w:p w:rsidR="00805489" w:rsidRDefault="00DB0E55">
      <w:pPr>
        <w:pStyle w:val="TableofFigures"/>
        <w:tabs>
          <w:tab w:val="left" w:pos="1000"/>
          <w:tab w:val="right" w:leader="dot" w:pos="8211"/>
        </w:tabs>
        <w:rPr>
          <w:rFonts w:asciiTheme="minorHAnsi" w:eastAsiaTheme="minorEastAsia" w:hAnsiTheme="minorHAnsi" w:cstheme="minorBidi"/>
          <w:noProof/>
          <w:snapToGrid/>
          <w:sz w:val="22"/>
          <w:szCs w:val="22"/>
          <w:lang w:eastAsia="en-AU"/>
        </w:rPr>
      </w:pPr>
      <w:hyperlink w:anchor="_Toc435610616" w:history="1">
        <w:r w:rsidR="00805489" w:rsidRPr="003D3EC9">
          <w:rPr>
            <w:rStyle w:val="Hyperlink"/>
            <w:noProof/>
          </w:rPr>
          <w:t>Table 11</w:t>
        </w:r>
        <w:r w:rsidR="00805489">
          <w:rPr>
            <w:rFonts w:asciiTheme="minorHAnsi" w:eastAsiaTheme="minorEastAsia" w:hAnsiTheme="minorHAnsi" w:cstheme="minorBidi"/>
            <w:noProof/>
            <w:snapToGrid/>
            <w:sz w:val="22"/>
            <w:szCs w:val="22"/>
            <w:lang w:eastAsia="en-AU"/>
          </w:rPr>
          <w:tab/>
        </w:r>
        <w:r w:rsidR="00805489" w:rsidRPr="003D3EC9">
          <w:rPr>
            <w:rStyle w:val="Hyperlink"/>
            <w:noProof/>
          </w:rPr>
          <w:t>Top 20 AR-DRGs for critical care cost bucket</w:t>
        </w:r>
        <w:r w:rsidR="00805489">
          <w:rPr>
            <w:noProof/>
            <w:webHidden/>
          </w:rPr>
          <w:tab/>
        </w:r>
        <w:r w:rsidR="00805489">
          <w:rPr>
            <w:noProof/>
            <w:webHidden/>
          </w:rPr>
          <w:fldChar w:fldCharType="begin"/>
        </w:r>
        <w:r w:rsidR="00805489">
          <w:rPr>
            <w:noProof/>
            <w:webHidden/>
          </w:rPr>
          <w:instrText xml:space="preserve"> PAGEREF _Toc435610616 \h </w:instrText>
        </w:r>
        <w:r w:rsidR="00805489">
          <w:rPr>
            <w:noProof/>
            <w:webHidden/>
          </w:rPr>
        </w:r>
        <w:r w:rsidR="00805489">
          <w:rPr>
            <w:noProof/>
            <w:webHidden/>
          </w:rPr>
          <w:fldChar w:fldCharType="separate"/>
        </w:r>
        <w:r w:rsidR="00805489">
          <w:rPr>
            <w:noProof/>
            <w:webHidden/>
          </w:rPr>
          <w:t>33</w:t>
        </w:r>
        <w:r w:rsidR="00805489">
          <w:rPr>
            <w:noProof/>
            <w:webHidden/>
          </w:rPr>
          <w:fldChar w:fldCharType="end"/>
        </w:r>
      </w:hyperlink>
    </w:p>
    <w:p w:rsidR="00805489" w:rsidRDefault="00DB0E55">
      <w:pPr>
        <w:pStyle w:val="TableofFigures"/>
        <w:tabs>
          <w:tab w:val="left" w:pos="1000"/>
          <w:tab w:val="right" w:leader="dot" w:pos="8211"/>
        </w:tabs>
        <w:rPr>
          <w:rFonts w:asciiTheme="minorHAnsi" w:eastAsiaTheme="minorEastAsia" w:hAnsiTheme="minorHAnsi" w:cstheme="minorBidi"/>
          <w:noProof/>
          <w:snapToGrid/>
          <w:sz w:val="22"/>
          <w:szCs w:val="22"/>
          <w:lang w:eastAsia="en-AU"/>
        </w:rPr>
      </w:pPr>
      <w:hyperlink w:anchor="_Toc435610617" w:history="1">
        <w:r w:rsidR="00805489" w:rsidRPr="003D3EC9">
          <w:rPr>
            <w:rStyle w:val="Hyperlink"/>
            <w:noProof/>
          </w:rPr>
          <w:t>Table 12</w:t>
        </w:r>
        <w:r w:rsidR="00805489">
          <w:rPr>
            <w:rFonts w:asciiTheme="minorHAnsi" w:eastAsiaTheme="minorEastAsia" w:hAnsiTheme="minorHAnsi" w:cstheme="minorBidi"/>
            <w:noProof/>
            <w:snapToGrid/>
            <w:sz w:val="22"/>
            <w:szCs w:val="22"/>
            <w:lang w:eastAsia="en-AU"/>
          </w:rPr>
          <w:tab/>
        </w:r>
        <w:r w:rsidR="00805489" w:rsidRPr="003D3EC9">
          <w:rPr>
            <w:rStyle w:val="Hyperlink"/>
            <w:noProof/>
          </w:rPr>
          <w:t>Top 20 AR-DRGs for operating room/specialised procedure suite cost bucket</w:t>
        </w:r>
        <w:r w:rsidR="00805489">
          <w:rPr>
            <w:noProof/>
            <w:webHidden/>
          </w:rPr>
          <w:tab/>
        </w:r>
        <w:r w:rsidR="00805489">
          <w:rPr>
            <w:noProof/>
            <w:webHidden/>
          </w:rPr>
          <w:fldChar w:fldCharType="begin"/>
        </w:r>
        <w:r w:rsidR="00805489">
          <w:rPr>
            <w:noProof/>
            <w:webHidden/>
          </w:rPr>
          <w:instrText xml:space="preserve"> PAGEREF _Toc435610617 \h </w:instrText>
        </w:r>
        <w:r w:rsidR="00805489">
          <w:rPr>
            <w:noProof/>
            <w:webHidden/>
          </w:rPr>
        </w:r>
        <w:r w:rsidR="00805489">
          <w:rPr>
            <w:noProof/>
            <w:webHidden/>
          </w:rPr>
          <w:fldChar w:fldCharType="separate"/>
        </w:r>
        <w:r w:rsidR="00805489">
          <w:rPr>
            <w:noProof/>
            <w:webHidden/>
          </w:rPr>
          <w:t>36</w:t>
        </w:r>
        <w:r w:rsidR="00805489">
          <w:rPr>
            <w:noProof/>
            <w:webHidden/>
          </w:rPr>
          <w:fldChar w:fldCharType="end"/>
        </w:r>
      </w:hyperlink>
    </w:p>
    <w:p w:rsidR="00805489" w:rsidRDefault="00DB0E55">
      <w:pPr>
        <w:pStyle w:val="TableofFigures"/>
        <w:tabs>
          <w:tab w:val="left" w:pos="1000"/>
          <w:tab w:val="right" w:leader="dot" w:pos="8211"/>
        </w:tabs>
        <w:rPr>
          <w:rFonts w:asciiTheme="minorHAnsi" w:eastAsiaTheme="minorEastAsia" w:hAnsiTheme="minorHAnsi" w:cstheme="minorBidi"/>
          <w:noProof/>
          <w:snapToGrid/>
          <w:sz w:val="22"/>
          <w:szCs w:val="22"/>
          <w:lang w:eastAsia="en-AU"/>
        </w:rPr>
      </w:pPr>
      <w:hyperlink w:anchor="_Toc435610618" w:history="1">
        <w:r w:rsidR="00805489" w:rsidRPr="003D3EC9">
          <w:rPr>
            <w:rStyle w:val="Hyperlink"/>
            <w:noProof/>
          </w:rPr>
          <w:t>Table 13</w:t>
        </w:r>
        <w:r w:rsidR="00805489">
          <w:rPr>
            <w:rFonts w:asciiTheme="minorHAnsi" w:eastAsiaTheme="minorEastAsia" w:hAnsiTheme="minorHAnsi" w:cstheme="minorBidi"/>
            <w:noProof/>
            <w:snapToGrid/>
            <w:sz w:val="22"/>
            <w:szCs w:val="22"/>
            <w:lang w:eastAsia="en-AU"/>
          </w:rPr>
          <w:tab/>
        </w:r>
        <w:r w:rsidR="00805489" w:rsidRPr="003D3EC9">
          <w:rPr>
            <w:rStyle w:val="Hyperlink"/>
            <w:noProof/>
          </w:rPr>
          <w:t>Top 20 AR-DRGs for prostheses cost bucket</w:t>
        </w:r>
        <w:r w:rsidR="00805489">
          <w:rPr>
            <w:noProof/>
            <w:webHidden/>
          </w:rPr>
          <w:tab/>
        </w:r>
        <w:r w:rsidR="00805489">
          <w:rPr>
            <w:noProof/>
            <w:webHidden/>
          </w:rPr>
          <w:fldChar w:fldCharType="begin"/>
        </w:r>
        <w:r w:rsidR="00805489">
          <w:rPr>
            <w:noProof/>
            <w:webHidden/>
          </w:rPr>
          <w:instrText xml:space="preserve"> PAGEREF _Toc435610618 \h </w:instrText>
        </w:r>
        <w:r w:rsidR="00805489">
          <w:rPr>
            <w:noProof/>
            <w:webHidden/>
          </w:rPr>
        </w:r>
        <w:r w:rsidR="00805489">
          <w:rPr>
            <w:noProof/>
            <w:webHidden/>
          </w:rPr>
          <w:fldChar w:fldCharType="separate"/>
        </w:r>
        <w:r w:rsidR="00805489">
          <w:rPr>
            <w:noProof/>
            <w:webHidden/>
          </w:rPr>
          <w:t>39</w:t>
        </w:r>
        <w:r w:rsidR="00805489">
          <w:rPr>
            <w:noProof/>
            <w:webHidden/>
          </w:rPr>
          <w:fldChar w:fldCharType="end"/>
        </w:r>
      </w:hyperlink>
    </w:p>
    <w:p w:rsidR="00805489" w:rsidRDefault="00DB0E55">
      <w:pPr>
        <w:pStyle w:val="TableofFigures"/>
        <w:tabs>
          <w:tab w:val="left" w:pos="1000"/>
          <w:tab w:val="right" w:leader="dot" w:pos="8211"/>
        </w:tabs>
        <w:rPr>
          <w:rFonts w:asciiTheme="minorHAnsi" w:eastAsiaTheme="minorEastAsia" w:hAnsiTheme="minorHAnsi" w:cstheme="minorBidi"/>
          <w:noProof/>
          <w:snapToGrid/>
          <w:sz w:val="22"/>
          <w:szCs w:val="22"/>
          <w:lang w:eastAsia="en-AU"/>
        </w:rPr>
      </w:pPr>
      <w:hyperlink w:anchor="_Toc435610619" w:history="1">
        <w:r w:rsidR="00805489" w:rsidRPr="003D3EC9">
          <w:rPr>
            <w:rStyle w:val="Hyperlink"/>
            <w:noProof/>
          </w:rPr>
          <w:t>Table 14</w:t>
        </w:r>
        <w:r w:rsidR="00805489">
          <w:rPr>
            <w:rFonts w:asciiTheme="minorHAnsi" w:eastAsiaTheme="minorEastAsia" w:hAnsiTheme="minorHAnsi" w:cstheme="minorBidi"/>
            <w:noProof/>
            <w:snapToGrid/>
            <w:sz w:val="22"/>
            <w:szCs w:val="22"/>
            <w:lang w:eastAsia="en-AU"/>
          </w:rPr>
          <w:tab/>
        </w:r>
        <w:r w:rsidR="00805489" w:rsidRPr="003D3EC9">
          <w:rPr>
            <w:rStyle w:val="Hyperlink"/>
            <w:noProof/>
          </w:rPr>
          <w:t>Top 20 AR-DRGs for miscellaneous (Misc.) cost bucket</w:t>
        </w:r>
        <w:r w:rsidR="00805489">
          <w:rPr>
            <w:noProof/>
            <w:webHidden/>
          </w:rPr>
          <w:tab/>
        </w:r>
        <w:r w:rsidR="00805489">
          <w:rPr>
            <w:noProof/>
            <w:webHidden/>
          </w:rPr>
          <w:fldChar w:fldCharType="begin"/>
        </w:r>
        <w:r w:rsidR="00805489">
          <w:rPr>
            <w:noProof/>
            <w:webHidden/>
          </w:rPr>
          <w:instrText xml:space="preserve"> PAGEREF _Toc435610619 \h </w:instrText>
        </w:r>
        <w:r w:rsidR="00805489">
          <w:rPr>
            <w:noProof/>
            <w:webHidden/>
          </w:rPr>
        </w:r>
        <w:r w:rsidR="00805489">
          <w:rPr>
            <w:noProof/>
            <w:webHidden/>
          </w:rPr>
          <w:fldChar w:fldCharType="separate"/>
        </w:r>
        <w:r w:rsidR="00805489">
          <w:rPr>
            <w:noProof/>
            <w:webHidden/>
          </w:rPr>
          <w:t>42</w:t>
        </w:r>
        <w:r w:rsidR="00805489">
          <w:rPr>
            <w:noProof/>
            <w:webHidden/>
          </w:rPr>
          <w:fldChar w:fldCharType="end"/>
        </w:r>
      </w:hyperlink>
    </w:p>
    <w:p w:rsidR="00805489" w:rsidRDefault="00DB0E55">
      <w:pPr>
        <w:pStyle w:val="TableofFigures"/>
        <w:tabs>
          <w:tab w:val="left" w:pos="1000"/>
          <w:tab w:val="right" w:leader="dot" w:pos="8211"/>
        </w:tabs>
        <w:rPr>
          <w:rFonts w:asciiTheme="minorHAnsi" w:eastAsiaTheme="minorEastAsia" w:hAnsiTheme="minorHAnsi" w:cstheme="minorBidi"/>
          <w:noProof/>
          <w:snapToGrid/>
          <w:sz w:val="22"/>
          <w:szCs w:val="22"/>
          <w:lang w:eastAsia="en-AU"/>
        </w:rPr>
      </w:pPr>
      <w:hyperlink w:anchor="_Toc435610620" w:history="1">
        <w:r w:rsidR="00805489" w:rsidRPr="003D3EC9">
          <w:rPr>
            <w:rStyle w:val="Hyperlink"/>
            <w:noProof/>
          </w:rPr>
          <w:t>Table 15</w:t>
        </w:r>
        <w:r w:rsidR="00805489">
          <w:rPr>
            <w:rFonts w:asciiTheme="minorHAnsi" w:eastAsiaTheme="minorEastAsia" w:hAnsiTheme="minorHAnsi" w:cstheme="minorBidi"/>
            <w:noProof/>
            <w:snapToGrid/>
            <w:sz w:val="22"/>
            <w:szCs w:val="22"/>
            <w:lang w:eastAsia="en-AU"/>
          </w:rPr>
          <w:tab/>
        </w:r>
        <w:r w:rsidR="00805489" w:rsidRPr="003D3EC9">
          <w:rPr>
            <w:rStyle w:val="Hyperlink"/>
            <w:noProof/>
          </w:rPr>
          <w:t>Number of AR-DRGs by standard error range</w:t>
        </w:r>
        <w:r w:rsidR="00805489">
          <w:rPr>
            <w:noProof/>
            <w:webHidden/>
          </w:rPr>
          <w:tab/>
        </w:r>
        <w:r w:rsidR="00805489">
          <w:rPr>
            <w:noProof/>
            <w:webHidden/>
          </w:rPr>
          <w:fldChar w:fldCharType="begin"/>
        </w:r>
        <w:r w:rsidR="00805489">
          <w:rPr>
            <w:noProof/>
            <w:webHidden/>
          </w:rPr>
          <w:instrText xml:space="preserve"> PAGEREF _Toc435610620 \h </w:instrText>
        </w:r>
        <w:r w:rsidR="00805489">
          <w:rPr>
            <w:noProof/>
            <w:webHidden/>
          </w:rPr>
        </w:r>
        <w:r w:rsidR="00805489">
          <w:rPr>
            <w:noProof/>
            <w:webHidden/>
          </w:rPr>
          <w:fldChar w:fldCharType="separate"/>
        </w:r>
        <w:r w:rsidR="00805489">
          <w:rPr>
            <w:noProof/>
            <w:webHidden/>
          </w:rPr>
          <w:t>57</w:t>
        </w:r>
        <w:r w:rsidR="00805489">
          <w:rPr>
            <w:noProof/>
            <w:webHidden/>
          </w:rPr>
          <w:fldChar w:fldCharType="end"/>
        </w:r>
      </w:hyperlink>
    </w:p>
    <w:p w:rsidR="00805489" w:rsidRDefault="00DB0E55">
      <w:pPr>
        <w:pStyle w:val="TableofFigures"/>
        <w:tabs>
          <w:tab w:val="left" w:pos="1000"/>
          <w:tab w:val="right" w:leader="dot" w:pos="8211"/>
        </w:tabs>
        <w:rPr>
          <w:rFonts w:asciiTheme="minorHAnsi" w:eastAsiaTheme="minorEastAsia" w:hAnsiTheme="minorHAnsi" w:cstheme="minorBidi"/>
          <w:noProof/>
          <w:snapToGrid/>
          <w:sz w:val="22"/>
          <w:szCs w:val="22"/>
          <w:lang w:eastAsia="en-AU"/>
        </w:rPr>
      </w:pPr>
      <w:hyperlink w:anchor="_Toc435610621" w:history="1">
        <w:r w:rsidR="00805489" w:rsidRPr="003D3EC9">
          <w:rPr>
            <w:rStyle w:val="Hyperlink"/>
            <w:noProof/>
          </w:rPr>
          <w:t>Table 16</w:t>
        </w:r>
        <w:r w:rsidR="00805489">
          <w:rPr>
            <w:rFonts w:asciiTheme="minorHAnsi" w:eastAsiaTheme="minorEastAsia" w:hAnsiTheme="minorHAnsi" w:cstheme="minorBidi"/>
            <w:noProof/>
            <w:snapToGrid/>
            <w:sz w:val="22"/>
            <w:szCs w:val="22"/>
            <w:lang w:eastAsia="en-AU"/>
          </w:rPr>
          <w:tab/>
        </w:r>
        <w:r w:rsidR="00805489" w:rsidRPr="003D3EC9">
          <w:rPr>
            <w:rStyle w:val="Hyperlink"/>
            <w:noProof/>
          </w:rPr>
          <w:t>Round 18 (2013-14) national consolidation cost weight tables</w:t>
        </w:r>
        <w:r w:rsidR="00805489">
          <w:rPr>
            <w:noProof/>
            <w:webHidden/>
          </w:rPr>
          <w:tab/>
        </w:r>
        <w:r w:rsidR="00805489">
          <w:rPr>
            <w:noProof/>
            <w:webHidden/>
          </w:rPr>
          <w:fldChar w:fldCharType="begin"/>
        </w:r>
        <w:r w:rsidR="00805489">
          <w:rPr>
            <w:noProof/>
            <w:webHidden/>
          </w:rPr>
          <w:instrText xml:space="preserve"> PAGEREF _Toc435610621 \h </w:instrText>
        </w:r>
        <w:r w:rsidR="00805489">
          <w:rPr>
            <w:noProof/>
            <w:webHidden/>
          </w:rPr>
        </w:r>
        <w:r w:rsidR="00805489">
          <w:rPr>
            <w:noProof/>
            <w:webHidden/>
          </w:rPr>
          <w:fldChar w:fldCharType="separate"/>
        </w:r>
        <w:r w:rsidR="00805489">
          <w:rPr>
            <w:noProof/>
            <w:webHidden/>
          </w:rPr>
          <w:t>63</w:t>
        </w:r>
        <w:r w:rsidR="00805489">
          <w:rPr>
            <w:noProof/>
            <w:webHidden/>
          </w:rPr>
          <w:fldChar w:fldCharType="end"/>
        </w:r>
      </w:hyperlink>
    </w:p>
    <w:p w:rsidR="004F40F2" w:rsidRPr="000051B6" w:rsidRDefault="00837325">
      <w:pPr>
        <w:pStyle w:val="TableofFigures"/>
        <w:tabs>
          <w:tab w:val="left" w:pos="1000"/>
          <w:tab w:val="right" w:leader="dot" w:pos="8211"/>
        </w:tabs>
      </w:pPr>
      <w:r w:rsidRPr="000051B6">
        <w:fldChar w:fldCharType="end"/>
      </w:r>
    </w:p>
    <w:p w:rsidR="003C6C45" w:rsidRPr="000051B6" w:rsidRDefault="003C6C45" w:rsidP="00C227AA">
      <w:pPr>
        <w:pStyle w:val="TOCHeading"/>
        <w:numPr>
          <w:ilvl w:val="0"/>
          <w:numId w:val="0"/>
        </w:numPr>
        <w:spacing w:before="960" w:after="240"/>
        <w:ind w:left="851"/>
      </w:pPr>
      <w:r w:rsidRPr="000051B6">
        <w:t>List of figures</w:t>
      </w:r>
    </w:p>
    <w:p w:rsidR="00805489" w:rsidRDefault="00837325">
      <w:pPr>
        <w:pStyle w:val="TableofFigures"/>
        <w:tabs>
          <w:tab w:val="left" w:pos="1000"/>
          <w:tab w:val="right" w:leader="dot" w:pos="8211"/>
        </w:tabs>
        <w:rPr>
          <w:rFonts w:asciiTheme="minorHAnsi" w:eastAsiaTheme="minorEastAsia" w:hAnsiTheme="minorHAnsi" w:cstheme="minorBidi"/>
          <w:noProof/>
          <w:snapToGrid/>
          <w:sz w:val="22"/>
          <w:szCs w:val="22"/>
          <w:lang w:eastAsia="en-AU"/>
        </w:rPr>
      </w:pPr>
      <w:r w:rsidRPr="000051B6">
        <w:fldChar w:fldCharType="begin"/>
      </w:r>
      <w:r w:rsidRPr="000051B6">
        <w:instrText xml:space="preserve"> TOC \h \z \t "Figure headings" \c </w:instrText>
      </w:r>
      <w:r w:rsidRPr="000051B6">
        <w:fldChar w:fldCharType="separate"/>
      </w:r>
      <w:hyperlink w:anchor="_Toc435610622" w:history="1">
        <w:r w:rsidR="00805489" w:rsidRPr="00833A96">
          <w:rPr>
            <w:rStyle w:val="Hyperlink"/>
            <w:noProof/>
          </w:rPr>
          <w:t xml:space="preserve">Figure 1 </w:t>
        </w:r>
        <w:r w:rsidR="00805489">
          <w:rPr>
            <w:rFonts w:asciiTheme="minorHAnsi" w:eastAsiaTheme="minorEastAsia" w:hAnsiTheme="minorHAnsi" w:cstheme="minorBidi"/>
            <w:noProof/>
            <w:snapToGrid/>
            <w:sz w:val="22"/>
            <w:szCs w:val="22"/>
            <w:lang w:eastAsia="en-AU"/>
          </w:rPr>
          <w:tab/>
        </w:r>
        <w:r w:rsidR="00805489" w:rsidRPr="00833A96">
          <w:rPr>
            <w:rStyle w:val="Hyperlink"/>
            <w:noProof/>
          </w:rPr>
          <w:t>In or out of scope separations</w:t>
        </w:r>
        <w:r w:rsidR="00805489">
          <w:rPr>
            <w:noProof/>
            <w:webHidden/>
          </w:rPr>
          <w:tab/>
        </w:r>
        <w:r w:rsidR="00805489">
          <w:rPr>
            <w:noProof/>
            <w:webHidden/>
          </w:rPr>
          <w:fldChar w:fldCharType="begin"/>
        </w:r>
        <w:r w:rsidR="00805489">
          <w:rPr>
            <w:noProof/>
            <w:webHidden/>
          </w:rPr>
          <w:instrText xml:space="preserve"> PAGEREF _Toc435610622 \h </w:instrText>
        </w:r>
        <w:r w:rsidR="00805489">
          <w:rPr>
            <w:noProof/>
            <w:webHidden/>
          </w:rPr>
        </w:r>
        <w:r w:rsidR="00805489">
          <w:rPr>
            <w:noProof/>
            <w:webHidden/>
          </w:rPr>
          <w:fldChar w:fldCharType="separate"/>
        </w:r>
        <w:r w:rsidR="00805489">
          <w:rPr>
            <w:noProof/>
            <w:webHidden/>
          </w:rPr>
          <w:t>11</w:t>
        </w:r>
        <w:r w:rsidR="00805489">
          <w:rPr>
            <w:noProof/>
            <w:webHidden/>
          </w:rPr>
          <w:fldChar w:fldCharType="end"/>
        </w:r>
      </w:hyperlink>
    </w:p>
    <w:p w:rsidR="00805489" w:rsidRDefault="00DB0E55">
      <w:pPr>
        <w:pStyle w:val="TableofFigures"/>
        <w:tabs>
          <w:tab w:val="left" w:pos="1000"/>
          <w:tab w:val="right" w:leader="dot" w:pos="8211"/>
        </w:tabs>
        <w:rPr>
          <w:rFonts w:asciiTheme="minorHAnsi" w:eastAsiaTheme="minorEastAsia" w:hAnsiTheme="minorHAnsi" w:cstheme="minorBidi"/>
          <w:noProof/>
          <w:snapToGrid/>
          <w:sz w:val="22"/>
          <w:szCs w:val="22"/>
          <w:lang w:eastAsia="en-AU"/>
        </w:rPr>
      </w:pPr>
      <w:hyperlink w:anchor="_Toc435610623" w:history="1">
        <w:r w:rsidR="00805489" w:rsidRPr="00833A96">
          <w:rPr>
            <w:rStyle w:val="Hyperlink"/>
            <w:noProof/>
          </w:rPr>
          <w:t>Figure 2</w:t>
        </w:r>
        <w:r w:rsidR="00805489">
          <w:rPr>
            <w:rFonts w:asciiTheme="minorHAnsi" w:eastAsiaTheme="minorEastAsia" w:hAnsiTheme="minorHAnsi" w:cstheme="minorBidi"/>
            <w:noProof/>
            <w:snapToGrid/>
            <w:sz w:val="22"/>
            <w:szCs w:val="22"/>
            <w:lang w:eastAsia="en-AU"/>
          </w:rPr>
          <w:tab/>
        </w:r>
        <w:r w:rsidR="00805489" w:rsidRPr="00833A96">
          <w:rPr>
            <w:rStyle w:val="Hyperlink"/>
            <w:noProof/>
          </w:rPr>
          <w:t>Breakdown of cost by cost-bucket group, Round 18 versus Round 17</w:t>
        </w:r>
        <w:r w:rsidR="00805489">
          <w:rPr>
            <w:noProof/>
            <w:webHidden/>
          </w:rPr>
          <w:tab/>
        </w:r>
        <w:r w:rsidR="00805489">
          <w:rPr>
            <w:noProof/>
            <w:webHidden/>
          </w:rPr>
          <w:fldChar w:fldCharType="begin"/>
        </w:r>
        <w:r w:rsidR="00805489">
          <w:rPr>
            <w:noProof/>
            <w:webHidden/>
          </w:rPr>
          <w:instrText xml:space="preserve"> PAGEREF _Toc435610623 \h </w:instrText>
        </w:r>
        <w:r w:rsidR="00805489">
          <w:rPr>
            <w:noProof/>
            <w:webHidden/>
          </w:rPr>
        </w:r>
        <w:r w:rsidR="00805489">
          <w:rPr>
            <w:noProof/>
            <w:webHidden/>
          </w:rPr>
          <w:fldChar w:fldCharType="separate"/>
        </w:r>
        <w:r w:rsidR="00805489">
          <w:rPr>
            <w:noProof/>
            <w:webHidden/>
          </w:rPr>
          <w:t>18</w:t>
        </w:r>
        <w:r w:rsidR="00805489">
          <w:rPr>
            <w:noProof/>
            <w:webHidden/>
          </w:rPr>
          <w:fldChar w:fldCharType="end"/>
        </w:r>
      </w:hyperlink>
    </w:p>
    <w:p w:rsidR="00805489" w:rsidRDefault="00DB0E55">
      <w:pPr>
        <w:pStyle w:val="TableofFigures"/>
        <w:tabs>
          <w:tab w:val="left" w:pos="1000"/>
          <w:tab w:val="right" w:leader="dot" w:pos="8211"/>
        </w:tabs>
        <w:rPr>
          <w:rFonts w:asciiTheme="minorHAnsi" w:eastAsiaTheme="minorEastAsia" w:hAnsiTheme="minorHAnsi" w:cstheme="minorBidi"/>
          <w:noProof/>
          <w:snapToGrid/>
          <w:sz w:val="22"/>
          <w:szCs w:val="22"/>
          <w:lang w:eastAsia="en-AU"/>
        </w:rPr>
      </w:pPr>
      <w:hyperlink w:anchor="_Toc435610625" w:history="1">
        <w:r w:rsidR="00805489" w:rsidRPr="00833A96">
          <w:rPr>
            <w:rStyle w:val="Hyperlink"/>
            <w:noProof/>
          </w:rPr>
          <w:t>Figure 3</w:t>
        </w:r>
        <w:r w:rsidR="00805489">
          <w:rPr>
            <w:rFonts w:asciiTheme="minorHAnsi" w:eastAsiaTheme="minorEastAsia" w:hAnsiTheme="minorHAnsi" w:cstheme="minorBidi"/>
            <w:noProof/>
            <w:snapToGrid/>
            <w:sz w:val="22"/>
            <w:szCs w:val="22"/>
            <w:lang w:eastAsia="en-AU"/>
          </w:rPr>
          <w:tab/>
        </w:r>
        <w:r w:rsidR="00805489" w:rsidRPr="00833A96">
          <w:rPr>
            <w:rStyle w:val="Hyperlink"/>
            <w:noProof/>
          </w:rPr>
          <w:t>Top 20 AR-DRGs ranked by highest cost weight</w:t>
        </w:r>
        <w:r w:rsidR="00805489">
          <w:rPr>
            <w:noProof/>
            <w:webHidden/>
          </w:rPr>
          <w:tab/>
        </w:r>
        <w:r w:rsidR="00805489">
          <w:rPr>
            <w:noProof/>
            <w:webHidden/>
          </w:rPr>
          <w:fldChar w:fldCharType="begin"/>
        </w:r>
        <w:r w:rsidR="00805489">
          <w:rPr>
            <w:noProof/>
            <w:webHidden/>
          </w:rPr>
          <w:instrText xml:space="preserve"> PAGEREF _Toc435610625 \h </w:instrText>
        </w:r>
        <w:r w:rsidR="00805489">
          <w:rPr>
            <w:noProof/>
            <w:webHidden/>
          </w:rPr>
        </w:r>
        <w:r w:rsidR="00805489">
          <w:rPr>
            <w:noProof/>
            <w:webHidden/>
          </w:rPr>
          <w:fldChar w:fldCharType="separate"/>
        </w:r>
        <w:r w:rsidR="00805489">
          <w:rPr>
            <w:noProof/>
            <w:webHidden/>
          </w:rPr>
          <w:t>21</w:t>
        </w:r>
        <w:r w:rsidR="00805489">
          <w:rPr>
            <w:noProof/>
            <w:webHidden/>
          </w:rPr>
          <w:fldChar w:fldCharType="end"/>
        </w:r>
      </w:hyperlink>
    </w:p>
    <w:p w:rsidR="00805489" w:rsidRDefault="00DB0E55" w:rsidP="00805489">
      <w:pPr>
        <w:pStyle w:val="TableofFigures"/>
        <w:tabs>
          <w:tab w:val="left" w:pos="1000"/>
          <w:tab w:val="right" w:leader="dot" w:pos="8211"/>
        </w:tabs>
        <w:ind w:left="996" w:hanging="996"/>
        <w:rPr>
          <w:rFonts w:asciiTheme="minorHAnsi" w:eastAsiaTheme="minorEastAsia" w:hAnsiTheme="minorHAnsi" w:cstheme="minorBidi"/>
          <w:noProof/>
          <w:snapToGrid/>
          <w:sz w:val="22"/>
          <w:szCs w:val="22"/>
          <w:lang w:eastAsia="en-AU"/>
        </w:rPr>
      </w:pPr>
      <w:hyperlink w:anchor="_Toc435610627" w:history="1">
        <w:r w:rsidR="00805489" w:rsidRPr="00833A96">
          <w:rPr>
            <w:rStyle w:val="Hyperlink"/>
            <w:noProof/>
          </w:rPr>
          <w:t>Figure 4</w:t>
        </w:r>
        <w:r w:rsidR="00805489">
          <w:rPr>
            <w:rFonts w:asciiTheme="minorHAnsi" w:eastAsiaTheme="minorEastAsia" w:hAnsiTheme="minorHAnsi" w:cstheme="minorBidi"/>
            <w:noProof/>
            <w:snapToGrid/>
            <w:sz w:val="22"/>
            <w:szCs w:val="22"/>
            <w:lang w:eastAsia="en-AU"/>
          </w:rPr>
          <w:tab/>
        </w:r>
        <w:r w:rsidR="00805489" w:rsidRPr="00833A96">
          <w:rPr>
            <w:rStyle w:val="Hyperlink"/>
            <w:noProof/>
          </w:rPr>
          <w:t xml:space="preserve">Comparison of top 20 AR-DRGs by </w:t>
        </w:r>
        <w:r w:rsidR="00805489" w:rsidRPr="00833A96">
          <w:rPr>
            <w:rStyle w:val="Hyperlink"/>
            <w:noProof/>
            <w:lang w:eastAsia="en-AU"/>
          </w:rPr>
          <w:t>highest volume of population-adjusted separations</w:t>
        </w:r>
        <w:r w:rsidR="00805489">
          <w:rPr>
            <w:noProof/>
            <w:webHidden/>
          </w:rPr>
          <w:tab/>
        </w:r>
        <w:r w:rsidR="00805489">
          <w:rPr>
            <w:noProof/>
            <w:webHidden/>
          </w:rPr>
          <w:fldChar w:fldCharType="begin"/>
        </w:r>
        <w:r w:rsidR="00805489">
          <w:rPr>
            <w:noProof/>
            <w:webHidden/>
          </w:rPr>
          <w:instrText xml:space="preserve"> PAGEREF _Toc435610627 \h </w:instrText>
        </w:r>
        <w:r w:rsidR="00805489">
          <w:rPr>
            <w:noProof/>
            <w:webHidden/>
          </w:rPr>
        </w:r>
        <w:r w:rsidR="00805489">
          <w:rPr>
            <w:noProof/>
            <w:webHidden/>
          </w:rPr>
          <w:fldChar w:fldCharType="separate"/>
        </w:r>
        <w:r w:rsidR="00805489">
          <w:rPr>
            <w:noProof/>
            <w:webHidden/>
          </w:rPr>
          <w:t>24</w:t>
        </w:r>
        <w:r w:rsidR="00805489">
          <w:rPr>
            <w:noProof/>
            <w:webHidden/>
          </w:rPr>
          <w:fldChar w:fldCharType="end"/>
        </w:r>
      </w:hyperlink>
    </w:p>
    <w:p w:rsidR="00805489" w:rsidRDefault="00DB0E55">
      <w:pPr>
        <w:pStyle w:val="TableofFigures"/>
        <w:tabs>
          <w:tab w:val="left" w:pos="1000"/>
          <w:tab w:val="right" w:leader="dot" w:pos="8211"/>
        </w:tabs>
        <w:rPr>
          <w:rFonts w:asciiTheme="minorHAnsi" w:eastAsiaTheme="minorEastAsia" w:hAnsiTheme="minorHAnsi" w:cstheme="minorBidi"/>
          <w:noProof/>
          <w:snapToGrid/>
          <w:sz w:val="22"/>
          <w:szCs w:val="22"/>
          <w:lang w:eastAsia="en-AU"/>
        </w:rPr>
      </w:pPr>
      <w:hyperlink w:anchor="_Toc435610628" w:history="1">
        <w:r w:rsidR="00805489" w:rsidRPr="00833A96">
          <w:rPr>
            <w:rStyle w:val="Hyperlink"/>
            <w:noProof/>
          </w:rPr>
          <w:t xml:space="preserve">Figure 5 </w:t>
        </w:r>
        <w:r w:rsidR="00805489">
          <w:rPr>
            <w:rFonts w:asciiTheme="minorHAnsi" w:eastAsiaTheme="minorEastAsia" w:hAnsiTheme="minorHAnsi" w:cstheme="minorBidi"/>
            <w:noProof/>
            <w:snapToGrid/>
            <w:sz w:val="22"/>
            <w:szCs w:val="22"/>
            <w:lang w:eastAsia="en-AU"/>
          </w:rPr>
          <w:tab/>
        </w:r>
        <w:r w:rsidR="00805489" w:rsidRPr="00833A96">
          <w:rPr>
            <w:rStyle w:val="Hyperlink"/>
            <w:noProof/>
          </w:rPr>
          <w:t>Comparison of top 20 AR-DRGs by highest cost-weighted separations</w:t>
        </w:r>
        <w:r w:rsidR="00805489">
          <w:rPr>
            <w:noProof/>
            <w:webHidden/>
          </w:rPr>
          <w:tab/>
        </w:r>
        <w:r w:rsidR="00805489">
          <w:rPr>
            <w:noProof/>
            <w:webHidden/>
          </w:rPr>
          <w:fldChar w:fldCharType="begin"/>
        </w:r>
        <w:r w:rsidR="00805489">
          <w:rPr>
            <w:noProof/>
            <w:webHidden/>
          </w:rPr>
          <w:instrText xml:space="preserve"> PAGEREF _Toc435610628 \h </w:instrText>
        </w:r>
        <w:r w:rsidR="00805489">
          <w:rPr>
            <w:noProof/>
            <w:webHidden/>
          </w:rPr>
        </w:r>
        <w:r w:rsidR="00805489">
          <w:rPr>
            <w:noProof/>
            <w:webHidden/>
          </w:rPr>
          <w:fldChar w:fldCharType="separate"/>
        </w:r>
        <w:r w:rsidR="00805489">
          <w:rPr>
            <w:noProof/>
            <w:webHidden/>
          </w:rPr>
          <w:t>27</w:t>
        </w:r>
        <w:r w:rsidR="00805489">
          <w:rPr>
            <w:noProof/>
            <w:webHidden/>
          </w:rPr>
          <w:fldChar w:fldCharType="end"/>
        </w:r>
      </w:hyperlink>
    </w:p>
    <w:p w:rsidR="00805489" w:rsidRDefault="00DB0E55">
      <w:pPr>
        <w:pStyle w:val="TableofFigures"/>
        <w:tabs>
          <w:tab w:val="left" w:pos="1000"/>
          <w:tab w:val="right" w:leader="dot" w:pos="8211"/>
        </w:tabs>
        <w:rPr>
          <w:rFonts w:asciiTheme="minorHAnsi" w:eastAsiaTheme="minorEastAsia" w:hAnsiTheme="minorHAnsi" w:cstheme="minorBidi"/>
          <w:noProof/>
          <w:snapToGrid/>
          <w:sz w:val="22"/>
          <w:szCs w:val="22"/>
          <w:lang w:eastAsia="en-AU"/>
        </w:rPr>
      </w:pPr>
      <w:hyperlink w:anchor="_Toc435610629" w:history="1">
        <w:r w:rsidR="00805489" w:rsidRPr="00833A96">
          <w:rPr>
            <w:rStyle w:val="Hyperlink"/>
            <w:noProof/>
          </w:rPr>
          <w:t>Figure 6</w:t>
        </w:r>
        <w:r w:rsidR="00805489">
          <w:rPr>
            <w:rFonts w:asciiTheme="minorHAnsi" w:eastAsiaTheme="minorEastAsia" w:hAnsiTheme="minorHAnsi" w:cstheme="minorBidi"/>
            <w:noProof/>
            <w:snapToGrid/>
            <w:sz w:val="22"/>
            <w:szCs w:val="22"/>
            <w:lang w:eastAsia="en-AU"/>
          </w:rPr>
          <w:tab/>
        </w:r>
        <w:r w:rsidR="00805489" w:rsidRPr="00833A96">
          <w:rPr>
            <w:rStyle w:val="Hyperlink"/>
            <w:noProof/>
          </w:rPr>
          <w:t>Comparison of top 20 AR-DRGs by ALoS</w:t>
        </w:r>
        <w:r w:rsidR="00805489">
          <w:rPr>
            <w:noProof/>
            <w:webHidden/>
          </w:rPr>
          <w:tab/>
        </w:r>
        <w:r w:rsidR="00805489">
          <w:rPr>
            <w:noProof/>
            <w:webHidden/>
          </w:rPr>
          <w:fldChar w:fldCharType="begin"/>
        </w:r>
        <w:r w:rsidR="00805489">
          <w:rPr>
            <w:noProof/>
            <w:webHidden/>
          </w:rPr>
          <w:instrText xml:space="preserve"> PAGEREF _Toc435610629 \h </w:instrText>
        </w:r>
        <w:r w:rsidR="00805489">
          <w:rPr>
            <w:noProof/>
            <w:webHidden/>
          </w:rPr>
        </w:r>
        <w:r w:rsidR="00805489">
          <w:rPr>
            <w:noProof/>
            <w:webHidden/>
          </w:rPr>
          <w:fldChar w:fldCharType="separate"/>
        </w:r>
        <w:r w:rsidR="00805489">
          <w:rPr>
            <w:noProof/>
            <w:webHidden/>
          </w:rPr>
          <w:t>30</w:t>
        </w:r>
        <w:r w:rsidR="00805489">
          <w:rPr>
            <w:noProof/>
            <w:webHidden/>
          </w:rPr>
          <w:fldChar w:fldCharType="end"/>
        </w:r>
      </w:hyperlink>
    </w:p>
    <w:p w:rsidR="00805489" w:rsidRDefault="00DB0E55">
      <w:pPr>
        <w:pStyle w:val="TableofFigures"/>
        <w:tabs>
          <w:tab w:val="left" w:pos="1000"/>
          <w:tab w:val="right" w:leader="dot" w:pos="8211"/>
        </w:tabs>
        <w:rPr>
          <w:rFonts w:asciiTheme="minorHAnsi" w:eastAsiaTheme="minorEastAsia" w:hAnsiTheme="minorHAnsi" w:cstheme="minorBidi"/>
          <w:noProof/>
          <w:snapToGrid/>
          <w:sz w:val="22"/>
          <w:szCs w:val="22"/>
          <w:lang w:eastAsia="en-AU"/>
        </w:rPr>
      </w:pPr>
      <w:hyperlink w:anchor="_Toc435610630" w:history="1">
        <w:r w:rsidR="00805489" w:rsidRPr="00833A96">
          <w:rPr>
            <w:rStyle w:val="Hyperlink"/>
            <w:noProof/>
          </w:rPr>
          <w:t>Figure 7</w:t>
        </w:r>
        <w:r w:rsidR="00805489">
          <w:rPr>
            <w:rFonts w:asciiTheme="minorHAnsi" w:eastAsiaTheme="minorEastAsia" w:hAnsiTheme="minorHAnsi" w:cstheme="minorBidi"/>
            <w:noProof/>
            <w:snapToGrid/>
            <w:sz w:val="22"/>
            <w:szCs w:val="22"/>
            <w:lang w:eastAsia="en-AU"/>
          </w:rPr>
          <w:tab/>
        </w:r>
        <w:r w:rsidR="00805489" w:rsidRPr="00833A96">
          <w:rPr>
            <w:rStyle w:val="Hyperlink"/>
            <w:noProof/>
          </w:rPr>
          <w:t>Top 20 AR-DRGs for critical care cost bucket</w:t>
        </w:r>
        <w:r w:rsidR="00805489">
          <w:rPr>
            <w:noProof/>
            <w:webHidden/>
          </w:rPr>
          <w:tab/>
        </w:r>
        <w:r w:rsidR="00805489">
          <w:rPr>
            <w:noProof/>
            <w:webHidden/>
          </w:rPr>
          <w:fldChar w:fldCharType="begin"/>
        </w:r>
        <w:r w:rsidR="00805489">
          <w:rPr>
            <w:noProof/>
            <w:webHidden/>
          </w:rPr>
          <w:instrText xml:space="preserve"> PAGEREF _Toc435610630 \h </w:instrText>
        </w:r>
        <w:r w:rsidR="00805489">
          <w:rPr>
            <w:noProof/>
            <w:webHidden/>
          </w:rPr>
        </w:r>
        <w:r w:rsidR="00805489">
          <w:rPr>
            <w:noProof/>
            <w:webHidden/>
          </w:rPr>
          <w:fldChar w:fldCharType="separate"/>
        </w:r>
        <w:r w:rsidR="00805489">
          <w:rPr>
            <w:noProof/>
            <w:webHidden/>
          </w:rPr>
          <w:t>34</w:t>
        </w:r>
        <w:r w:rsidR="00805489">
          <w:rPr>
            <w:noProof/>
            <w:webHidden/>
          </w:rPr>
          <w:fldChar w:fldCharType="end"/>
        </w:r>
      </w:hyperlink>
    </w:p>
    <w:p w:rsidR="00805489" w:rsidRDefault="00DB0E55">
      <w:pPr>
        <w:pStyle w:val="TableofFigures"/>
        <w:tabs>
          <w:tab w:val="left" w:pos="1000"/>
          <w:tab w:val="right" w:leader="dot" w:pos="8211"/>
        </w:tabs>
        <w:rPr>
          <w:rFonts w:asciiTheme="minorHAnsi" w:eastAsiaTheme="minorEastAsia" w:hAnsiTheme="minorHAnsi" w:cstheme="minorBidi"/>
          <w:noProof/>
          <w:snapToGrid/>
          <w:sz w:val="22"/>
          <w:szCs w:val="22"/>
          <w:lang w:eastAsia="en-AU"/>
        </w:rPr>
      </w:pPr>
      <w:hyperlink w:anchor="_Toc435610631" w:history="1">
        <w:r w:rsidR="00805489" w:rsidRPr="00833A96">
          <w:rPr>
            <w:rStyle w:val="Hyperlink"/>
            <w:noProof/>
          </w:rPr>
          <w:t>Figure 8</w:t>
        </w:r>
        <w:r w:rsidR="00805489">
          <w:rPr>
            <w:rFonts w:asciiTheme="minorHAnsi" w:eastAsiaTheme="minorEastAsia" w:hAnsiTheme="minorHAnsi" w:cstheme="minorBidi"/>
            <w:noProof/>
            <w:snapToGrid/>
            <w:sz w:val="22"/>
            <w:szCs w:val="22"/>
            <w:lang w:eastAsia="en-AU"/>
          </w:rPr>
          <w:tab/>
        </w:r>
        <w:r w:rsidR="00805489" w:rsidRPr="00833A96">
          <w:rPr>
            <w:rStyle w:val="Hyperlink"/>
            <w:noProof/>
          </w:rPr>
          <w:t>Top 20 AR-DRGs for operating room/specialised procedure suite cost bucket</w:t>
        </w:r>
        <w:r w:rsidR="00805489">
          <w:rPr>
            <w:noProof/>
            <w:webHidden/>
          </w:rPr>
          <w:tab/>
        </w:r>
        <w:r w:rsidR="00805489">
          <w:rPr>
            <w:noProof/>
            <w:webHidden/>
          </w:rPr>
          <w:fldChar w:fldCharType="begin"/>
        </w:r>
        <w:r w:rsidR="00805489">
          <w:rPr>
            <w:noProof/>
            <w:webHidden/>
          </w:rPr>
          <w:instrText xml:space="preserve"> PAGEREF _Toc435610631 \h </w:instrText>
        </w:r>
        <w:r w:rsidR="00805489">
          <w:rPr>
            <w:noProof/>
            <w:webHidden/>
          </w:rPr>
        </w:r>
        <w:r w:rsidR="00805489">
          <w:rPr>
            <w:noProof/>
            <w:webHidden/>
          </w:rPr>
          <w:fldChar w:fldCharType="separate"/>
        </w:r>
        <w:r w:rsidR="00805489">
          <w:rPr>
            <w:noProof/>
            <w:webHidden/>
          </w:rPr>
          <w:t>37</w:t>
        </w:r>
        <w:r w:rsidR="00805489">
          <w:rPr>
            <w:noProof/>
            <w:webHidden/>
          </w:rPr>
          <w:fldChar w:fldCharType="end"/>
        </w:r>
      </w:hyperlink>
    </w:p>
    <w:p w:rsidR="00805489" w:rsidRDefault="00DB0E55">
      <w:pPr>
        <w:pStyle w:val="TableofFigures"/>
        <w:tabs>
          <w:tab w:val="left" w:pos="1000"/>
          <w:tab w:val="right" w:leader="dot" w:pos="8211"/>
        </w:tabs>
        <w:rPr>
          <w:rFonts w:asciiTheme="minorHAnsi" w:eastAsiaTheme="minorEastAsia" w:hAnsiTheme="minorHAnsi" w:cstheme="minorBidi"/>
          <w:noProof/>
          <w:snapToGrid/>
          <w:sz w:val="22"/>
          <w:szCs w:val="22"/>
          <w:lang w:eastAsia="en-AU"/>
        </w:rPr>
      </w:pPr>
      <w:hyperlink w:anchor="_Toc435610632" w:history="1">
        <w:r w:rsidR="00805489" w:rsidRPr="00833A96">
          <w:rPr>
            <w:rStyle w:val="Hyperlink"/>
            <w:noProof/>
          </w:rPr>
          <w:t>Figure 9</w:t>
        </w:r>
        <w:r w:rsidR="00805489">
          <w:rPr>
            <w:rFonts w:asciiTheme="minorHAnsi" w:eastAsiaTheme="minorEastAsia" w:hAnsiTheme="minorHAnsi" w:cstheme="minorBidi"/>
            <w:noProof/>
            <w:snapToGrid/>
            <w:sz w:val="22"/>
            <w:szCs w:val="22"/>
            <w:lang w:eastAsia="en-AU"/>
          </w:rPr>
          <w:tab/>
        </w:r>
        <w:r w:rsidR="00805489" w:rsidRPr="00833A96">
          <w:rPr>
            <w:rStyle w:val="Hyperlink"/>
            <w:noProof/>
          </w:rPr>
          <w:t>Top 20 AR-DRGs for prostheses cost bucket</w:t>
        </w:r>
        <w:r w:rsidR="00805489">
          <w:rPr>
            <w:noProof/>
            <w:webHidden/>
          </w:rPr>
          <w:tab/>
        </w:r>
        <w:r w:rsidR="00805489">
          <w:rPr>
            <w:noProof/>
            <w:webHidden/>
          </w:rPr>
          <w:fldChar w:fldCharType="begin"/>
        </w:r>
        <w:r w:rsidR="00805489">
          <w:rPr>
            <w:noProof/>
            <w:webHidden/>
          </w:rPr>
          <w:instrText xml:space="preserve"> PAGEREF _Toc435610632 \h </w:instrText>
        </w:r>
        <w:r w:rsidR="00805489">
          <w:rPr>
            <w:noProof/>
            <w:webHidden/>
          </w:rPr>
        </w:r>
        <w:r w:rsidR="00805489">
          <w:rPr>
            <w:noProof/>
            <w:webHidden/>
          </w:rPr>
          <w:fldChar w:fldCharType="separate"/>
        </w:r>
        <w:r w:rsidR="00805489">
          <w:rPr>
            <w:noProof/>
            <w:webHidden/>
          </w:rPr>
          <w:t>40</w:t>
        </w:r>
        <w:r w:rsidR="00805489">
          <w:rPr>
            <w:noProof/>
            <w:webHidden/>
          </w:rPr>
          <w:fldChar w:fldCharType="end"/>
        </w:r>
      </w:hyperlink>
    </w:p>
    <w:p w:rsidR="00805489" w:rsidRDefault="00DB0E55" w:rsidP="00805489">
      <w:pPr>
        <w:pStyle w:val="TableofFigures"/>
        <w:tabs>
          <w:tab w:val="left" w:pos="1000"/>
          <w:tab w:val="right" w:leader="dot" w:pos="8211"/>
        </w:tabs>
        <w:rPr>
          <w:rFonts w:asciiTheme="minorHAnsi" w:eastAsiaTheme="minorEastAsia" w:hAnsiTheme="minorHAnsi" w:cstheme="minorBidi"/>
          <w:noProof/>
          <w:snapToGrid/>
          <w:sz w:val="22"/>
          <w:szCs w:val="22"/>
          <w:lang w:eastAsia="en-AU"/>
        </w:rPr>
      </w:pPr>
      <w:hyperlink w:anchor="_Toc435610633" w:history="1">
        <w:r w:rsidR="00805489" w:rsidRPr="00833A96">
          <w:rPr>
            <w:rStyle w:val="Hyperlink"/>
            <w:noProof/>
          </w:rPr>
          <w:t>Figure 10</w:t>
        </w:r>
        <w:r w:rsidR="00805489">
          <w:rPr>
            <w:rFonts w:asciiTheme="minorHAnsi" w:eastAsiaTheme="minorEastAsia" w:hAnsiTheme="minorHAnsi" w:cstheme="minorBidi"/>
            <w:noProof/>
            <w:snapToGrid/>
            <w:sz w:val="22"/>
            <w:szCs w:val="22"/>
            <w:lang w:eastAsia="en-AU"/>
          </w:rPr>
          <w:tab/>
        </w:r>
        <w:r w:rsidR="00805489" w:rsidRPr="00833A96">
          <w:rPr>
            <w:rStyle w:val="Hyperlink"/>
            <w:noProof/>
          </w:rPr>
          <w:t>Top 20 AR-DRGs for miscellaneous cost bucket</w:t>
        </w:r>
        <w:r w:rsidR="00805489">
          <w:rPr>
            <w:noProof/>
            <w:webHidden/>
          </w:rPr>
          <w:tab/>
        </w:r>
        <w:r w:rsidR="00805489">
          <w:rPr>
            <w:noProof/>
            <w:webHidden/>
          </w:rPr>
          <w:fldChar w:fldCharType="begin"/>
        </w:r>
        <w:r w:rsidR="00805489">
          <w:rPr>
            <w:noProof/>
            <w:webHidden/>
          </w:rPr>
          <w:instrText xml:space="preserve"> PAGEREF _Toc435610633 \h </w:instrText>
        </w:r>
        <w:r w:rsidR="00805489">
          <w:rPr>
            <w:noProof/>
            <w:webHidden/>
          </w:rPr>
        </w:r>
        <w:r w:rsidR="00805489">
          <w:rPr>
            <w:noProof/>
            <w:webHidden/>
          </w:rPr>
          <w:fldChar w:fldCharType="separate"/>
        </w:r>
        <w:r w:rsidR="00805489">
          <w:rPr>
            <w:noProof/>
            <w:webHidden/>
          </w:rPr>
          <w:t>43</w:t>
        </w:r>
        <w:r w:rsidR="00805489">
          <w:rPr>
            <w:noProof/>
            <w:webHidden/>
          </w:rPr>
          <w:fldChar w:fldCharType="end"/>
        </w:r>
      </w:hyperlink>
    </w:p>
    <w:p w:rsidR="00064626" w:rsidRPr="000051B6" w:rsidRDefault="00837325" w:rsidP="00C227AA">
      <w:pPr>
        <w:pStyle w:val="BodyText"/>
      </w:pPr>
      <w:r w:rsidRPr="000051B6">
        <w:fldChar w:fldCharType="end"/>
      </w:r>
      <w:r w:rsidR="00064626" w:rsidRPr="000051B6">
        <w:br w:type="page"/>
      </w:r>
    </w:p>
    <w:p w:rsidR="00A9069C" w:rsidRPr="000051B6" w:rsidRDefault="00A9069C" w:rsidP="00A9069C">
      <w:pPr>
        <w:pStyle w:val="BodyText"/>
      </w:pPr>
      <w:r w:rsidRPr="000051B6">
        <w:lastRenderedPageBreak/>
        <w:t xml:space="preserve">This Report has been prepared by PricewaterhouseCoopers Australia (PwC) at the request of </w:t>
      </w:r>
      <w:r w:rsidR="007439B9" w:rsidRPr="000051B6">
        <w:t>Independent Hospital Pricing Authority (I</w:t>
      </w:r>
      <w:r w:rsidRPr="000051B6">
        <w:t>HPA</w:t>
      </w:r>
      <w:r w:rsidR="007439B9" w:rsidRPr="000051B6">
        <w:t>)</w:t>
      </w:r>
      <w:r w:rsidRPr="000051B6">
        <w:t xml:space="preserve"> in our capacity as advisors in accordance with the Terms of Reference and Terms and Conditions contained in the contract between IHPA and PwC.</w:t>
      </w:r>
    </w:p>
    <w:p w:rsidR="00A9069C" w:rsidRPr="000051B6" w:rsidRDefault="00A9069C" w:rsidP="00A9069C">
      <w:pPr>
        <w:pStyle w:val="BodyText"/>
      </w:pPr>
      <w:r w:rsidRPr="000051B6">
        <w:t>This document is not intended to be used or relied upon by any persons other than IHPA, nor to be used for any purpose other than that articulated in the Terms of Reference. PwC accept no responsibility in any way whatsoever for the use of this report by any other persons or for any other purpose.</w:t>
      </w:r>
    </w:p>
    <w:p w:rsidR="00A9069C" w:rsidRPr="000051B6" w:rsidRDefault="00A9069C" w:rsidP="00A9069C">
      <w:pPr>
        <w:pStyle w:val="BodyText"/>
      </w:pPr>
      <w:r w:rsidRPr="000051B6">
        <w:t>Accordingly, whilst the statements made in this report are given in good faith, PwC accept no responsibility for any errors in the information provided to us nor the effect of any such errors on our analysis, suggestions or report.</w:t>
      </w:r>
    </w:p>
    <w:p w:rsidR="008C4795" w:rsidRPr="000051B6" w:rsidRDefault="008C4795" w:rsidP="00535018">
      <w:pPr>
        <w:pStyle w:val="Heading1"/>
        <w:sectPr w:rsidR="008C4795" w:rsidRPr="000051B6" w:rsidSect="00CB4E4D">
          <w:headerReference w:type="even" r:id="rId12"/>
          <w:footerReference w:type="default" r:id="rId13"/>
          <w:headerReference w:type="first" r:id="rId14"/>
          <w:type w:val="oddPage"/>
          <w:pgSz w:w="11907" w:h="16840" w:code="9"/>
          <w:pgMar w:top="1588" w:right="1843" w:bottom="1418" w:left="1843" w:header="567" w:footer="567" w:gutter="0"/>
          <w:pgNumType w:start="0"/>
          <w:cols w:space="227"/>
          <w:docGrid w:linePitch="360"/>
        </w:sectPr>
      </w:pPr>
      <w:bookmarkStart w:id="9" w:name="_Toc356304656"/>
      <w:bookmarkStart w:id="10" w:name="_Ref416363764"/>
      <w:bookmarkStart w:id="11" w:name="_Ref416363801"/>
      <w:bookmarkEnd w:id="9"/>
    </w:p>
    <w:p w:rsidR="00A4320E" w:rsidRPr="000051B6" w:rsidRDefault="00A4320E" w:rsidP="00535018">
      <w:pPr>
        <w:pStyle w:val="Heading1"/>
        <w:rPr>
          <w:rFonts w:asciiTheme="majorHAnsi" w:hAnsiTheme="majorHAnsi"/>
        </w:rPr>
      </w:pPr>
      <w:bookmarkStart w:id="12" w:name="_Ref416364182"/>
      <w:bookmarkStart w:id="13" w:name="_Toc435611204"/>
      <w:r w:rsidRPr="000051B6">
        <w:rPr>
          <w:rFonts w:asciiTheme="majorHAnsi" w:hAnsiTheme="majorHAnsi"/>
        </w:rPr>
        <w:lastRenderedPageBreak/>
        <w:t>Executive Summary</w:t>
      </w:r>
      <w:bookmarkEnd w:id="10"/>
      <w:bookmarkEnd w:id="11"/>
      <w:bookmarkEnd w:id="12"/>
      <w:bookmarkEnd w:id="13"/>
    </w:p>
    <w:p w:rsidR="0032402E" w:rsidRDefault="0032402E" w:rsidP="001222BC">
      <w:pPr>
        <w:pStyle w:val="Heading2"/>
        <w:ind w:left="578" w:hanging="578"/>
      </w:pPr>
      <w:bookmarkStart w:id="14" w:name="_Toc435611205"/>
      <w:r>
        <w:t>Private sector NHCDC</w:t>
      </w:r>
      <w:bookmarkEnd w:id="14"/>
    </w:p>
    <w:p w:rsidR="0032402E" w:rsidRPr="0032402E" w:rsidRDefault="0032402E" w:rsidP="00C227AA">
      <w:pPr>
        <w:pStyle w:val="PwCNormal"/>
        <w:numPr>
          <w:ilvl w:val="0"/>
          <w:numId w:val="0"/>
        </w:numPr>
      </w:pPr>
      <w:r w:rsidRPr="0032402E">
        <w:t>The private sector National Hospital Cost Data Collection (NHCDC) is a voluntary collection that produces a range of hospital cost and activity information by Australian Refined Diagnosis Related Groups (AR-DRG).</w:t>
      </w:r>
      <w:r>
        <w:t xml:space="preserve">  This report includes the findings from </w:t>
      </w:r>
      <w:r w:rsidRPr="0032402E">
        <w:t>Round 18 (financial year 2013-14) of the NHCDC for acute admitted care provided by overnight private hospitals</w:t>
      </w:r>
      <w:r>
        <w:t>.</w:t>
      </w:r>
    </w:p>
    <w:p w:rsidR="00CD374B" w:rsidRDefault="00CD374B" w:rsidP="001222BC">
      <w:pPr>
        <w:pStyle w:val="Heading2"/>
        <w:ind w:left="578" w:hanging="578"/>
      </w:pPr>
      <w:bookmarkStart w:id="15" w:name="_Toc435611206"/>
      <w:r>
        <w:t>Sample participation</w:t>
      </w:r>
      <w:bookmarkEnd w:id="15"/>
    </w:p>
    <w:p w:rsidR="00CD374B" w:rsidRDefault="0032402E" w:rsidP="00C227AA">
      <w:pPr>
        <w:spacing w:after="240"/>
      </w:pPr>
      <w:r>
        <w:t xml:space="preserve">Sufficiently high participation levels are essential to the ability to complete this report.  </w:t>
      </w:r>
      <w:r w:rsidR="0052122C" w:rsidRPr="000051B6">
        <w:t xml:space="preserve">In </w:t>
      </w:r>
      <w:r w:rsidR="00492F7B" w:rsidRPr="000051B6">
        <w:t>2013-14</w:t>
      </w:r>
      <w:r w:rsidR="0052122C" w:rsidRPr="000051B6">
        <w:t xml:space="preserve"> there were 235 hospitals eligible to participate</w:t>
      </w:r>
      <w:r w:rsidR="00492F7B" w:rsidRPr="000051B6">
        <w:t xml:space="preserve"> in the collection of which </w:t>
      </w:r>
      <w:r w:rsidR="0052122C" w:rsidRPr="000051B6">
        <w:t xml:space="preserve">96 </w:t>
      </w:r>
      <w:r w:rsidR="00492F7B" w:rsidRPr="000051B6">
        <w:t xml:space="preserve">hospitals </w:t>
      </w:r>
      <w:r w:rsidR="0052122C" w:rsidRPr="000051B6">
        <w:t>participated</w:t>
      </w:r>
      <w:r w:rsidR="00CD374B">
        <w:t xml:space="preserve"> (see table 1)</w:t>
      </w:r>
      <w:r w:rsidR="0052122C" w:rsidRPr="000051B6">
        <w:t>, re</w:t>
      </w:r>
      <w:r w:rsidR="00492F7B" w:rsidRPr="000051B6">
        <w:t>presenting</w:t>
      </w:r>
      <w:r w:rsidR="0052122C" w:rsidRPr="000051B6">
        <w:t xml:space="preserve"> 41% of the population of in-scope hospitals. </w:t>
      </w:r>
      <w:r>
        <w:t>T</w:t>
      </w:r>
      <w:r w:rsidR="00492F7B" w:rsidRPr="000051B6">
        <w:t xml:space="preserve">he full population reported </w:t>
      </w:r>
      <w:r w:rsidR="004E52DF">
        <w:t>2,827,996</w:t>
      </w:r>
      <w:r w:rsidR="00492F7B" w:rsidRPr="000051B6">
        <w:t xml:space="preserve"> separations during the year, with the participating hospitals making up 1,697,31</w:t>
      </w:r>
      <w:r w:rsidR="004E52DF">
        <w:t>1</w:t>
      </w:r>
      <w:r w:rsidR="00492F7B" w:rsidRPr="000051B6">
        <w:t xml:space="preserve"> of these</w:t>
      </w:r>
      <w:r w:rsidR="00CD374B">
        <w:t xml:space="preserve"> (see table 1)</w:t>
      </w:r>
      <w:r w:rsidR="00492F7B" w:rsidRPr="000051B6">
        <w:t>.  This</w:t>
      </w:r>
      <w:r w:rsidR="006622CF" w:rsidRPr="000051B6">
        <w:t xml:space="preserve"> represent</w:t>
      </w:r>
      <w:r w:rsidR="00492F7B" w:rsidRPr="000051B6">
        <w:t>s</w:t>
      </w:r>
      <w:r w:rsidR="006622CF" w:rsidRPr="000051B6">
        <w:t xml:space="preserve"> 60% of the population of in-scope separations</w:t>
      </w:r>
      <w:r w:rsidR="00CD374B">
        <w:t xml:space="preserve"> (see table 1)</w:t>
      </w:r>
      <w:r>
        <w:t>.</w:t>
      </w:r>
    </w:p>
    <w:p w:rsidR="008959EB" w:rsidRPr="006270FA" w:rsidRDefault="00CD374B" w:rsidP="006270FA">
      <w:pPr>
        <w:pStyle w:val="Tablesheadings"/>
        <w:spacing w:after="120"/>
        <w:ind w:left="1418" w:hanging="1418"/>
        <w:rPr>
          <w:lang w:val="en-AU"/>
        </w:rPr>
      </w:pPr>
      <w:bookmarkStart w:id="16" w:name="_Toc435610607"/>
      <w:r w:rsidRPr="000051B6">
        <w:rPr>
          <w:lang w:val="en-AU"/>
        </w:rPr>
        <w:t xml:space="preserve">Table </w:t>
      </w:r>
      <w:r>
        <w:rPr>
          <w:lang w:val="en-AU"/>
        </w:rPr>
        <w:t>1</w:t>
      </w:r>
      <w:r w:rsidRPr="000051B6">
        <w:rPr>
          <w:lang w:val="en-AU"/>
        </w:rPr>
        <w:tab/>
        <w:t>Summary of private hospital participation</w:t>
      </w:r>
      <w:bookmarkEnd w:id="16"/>
    </w:p>
    <w:tbl>
      <w:tblPr>
        <w:tblW w:w="5000" w:type="pct"/>
        <w:tblLook w:val="04A0" w:firstRow="1" w:lastRow="0" w:firstColumn="1" w:lastColumn="0" w:noHBand="0" w:noVBand="1"/>
        <w:tblCaption w:val="Table 1 summary of private hospital participation"/>
        <w:tblDescription w:val="Table 1 contains a summary of the private hospital participation in the NHCDC. Its columns span the Rounds from Round 7 to Round 18. Its rows are number of hospitals, sample separations, percentage of population separations and AR-DRG version."/>
      </w:tblPr>
      <w:tblGrid>
        <w:gridCol w:w="1810"/>
        <w:gridCol w:w="946"/>
        <w:gridCol w:w="946"/>
        <w:gridCol w:w="947"/>
        <w:gridCol w:w="947"/>
        <w:gridCol w:w="947"/>
        <w:gridCol w:w="947"/>
        <w:gridCol w:w="947"/>
      </w:tblGrid>
      <w:tr w:rsidR="006270FA" w:rsidRPr="006270FA" w:rsidTr="00B06E18">
        <w:trPr>
          <w:trHeight w:val="170"/>
        </w:trPr>
        <w:tc>
          <w:tcPr>
            <w:tcW w:w="1073" w:type="pct"/>
            <w:vMerge w:val="restart"/>
            <w:tcBorders>
              <w:top w:val="single" w:sz="4" w:space="0" w:color="auto"/>
              <w:left w:val="nil"/>
              <w:bottom w:val="single" w:sz="4" w:space="0" w:color="000000"/>
              <w:right w:val="nil"/>
            </w:tcBorders>
            <w:shd w:val="clear" w:color="auto" w:fill="auto"/>
            <w:noWrap/>
            <w:hideMark/>
          </w:tcPr>
          <w:p w:rsidR="006270FA" w:rsidRPr="006270FA" w:rsidRDefault="006270FA" w:rsidP="00DE7001">
            <w:pPr>
              <w:rPr>
                <w:b/>
                <w:bCs/>
                <w:snapToGrid/>
                <w:color w:val="A32020"/>
                <w:sz w:val="14"/>
                <w:szCs w:val="14"/>
                <w:lang w:eastAsia="en-AU"/>
              </w:rPr>
            </w:pPr>
            <w:r w:rsidRPr="006270FA">
              <w:rPr>
                <w:b/>
                <w:bCs/>
                <w:snapToGrid/>
                <w:color w:val="A32020"/>
                <w:sz w:val="14"/>
                <w:szCs w:val="14"/>
                <w:lang w:eastAsia="en-AU"/>
              </w:rPr>
              <w:t>Summary</w:t>
            </w:r>
          </w:p>
        </w:tc>
        <w:tc>
          <w:tcPr>
            <w:tcW w:w="561" w:type="pct"/>
            <w:vMerge w:val="restart"/>
            <w:tcBorders>
              <w:top w:val="single" w:sz="4" w:space="0" w:color="auto"/>
              <w:left w:val="nil"/>
              <w:bottom w:val="single" w:sz="4" w:space="0" w:color="000000"/>
              <w:right w:val="nil"/>
            </w:tcBorders>
            <w:shd w:val="clear" w:color="auto" w:fill="auto"/>
            <w:hideMark/>
          </w:tcPr>
          <w:p w:rsidR="006270FA" w:rsidRPr="006270FA" w:rsidRDefault="006270FA" w:rsidP="00DE7001">
            <w:pPr>
              <w:jc w:val="right"/>
              <w:rPr>
                <w:b/>
                <w:bCs/>
                <w:snapToGrid/>
                <w:color w:val="A32020"/>
                <w:sz w:val="14"/>
                <w:szCs w:val="14"/>
                <w:lang w:eastAsia="en-AU"/>
              </w:rPr>
            </w:pPr>
            <w:r w:rsidRPr="006270FA">
              <w:rPr>
                <w:b/>
                <w:bCs/>
                <w:snapToGrid/>
                <w:color w:val="A32020"/>
                <w:sz w:val="14"/>
                <w:szCs w:val="14"/>
                <w:lang w:eastAsia="en-AU"/>
              </w:rPr>
              <w:t>Round 7 2002-03</w:t>
            </w:r>
          </w:p>
        </w:tc>
        <w:tc>
          <w:tcPr>
            <w:tcW w:w="561" w:type="pct"/>
            <w:vMerge w:val="restart"/>
            <w:tcBorders>
              <w:top w:val="single" w:sz="4" w:space="0" w:color="auto"/>
              <w:left w:val="nil"/>
              <w:bottom w:val="single" w:sz="4" w:space="0" w:color="000000"/>
              <w:right w:val="nil"/>
            </w:tcBorders>
            <w:shd w:val="clear" w:color="auto" w:fill="auto"/>
            <w:hideMark/>
          </w:tcPr>
          <w:p w:rsidR="006270FA" w:rsidRPr="006270FA" w:rsidRDefault="006270FA" w:rsidP="00DE7001">
            <w:pPr>
              <w:jc w:val="right"/>
              <w:rPr>
                <w:b/>
                <w:bCs/>
                <w:snapToGrid/>
                <w:color w:val="A32020"/>
                <w:sz w:val="14"/>
                <w:szCs w:val="14"/>
                <w:lang w:eastAsia="en-AU"/>
              </w:rPr>
            </w:pPr>
            <w:r w:rsidRPr="006270FA">
              <w:rPr>
                <w:b/>
                <w:bCs/>
                <w:snapToGrid/>
                <w:color w:val="A32020"/>
                <w:sz w:val="14"/>
                <w:szCs w:val="14"/>
                <w:lang w:eastAsia="en-AU"/>
              </w:rPr>
              <w:t>Round 11 2006-07</w:t>
            </w:r>
          </w:p>
        </w:tc>
        <w:tc>
          <w:tcPr>
            <w:tcW w:w="561" w:type="pct"/>
            <w:vMerge w:val="restart"/>
            <w:tcBorders>
              <w:top w:val="single" w:sz="4" w:space="0" w:color="auto"/>
              <w:left w:val="nil"/>
              <w:bottom w:val="single" w:sz="4" w:space="0" w:color="000000"/>
              <w:right w:val="nil"/>
            </w:tcBorders>
            <w:shd w:val="clear" w:color="auto" w:fill="auto"/>
            <w:hideMark/>
          </w:tcPr>
          <w:p w:rsidR="006270FA" w:rsidRPr="006270FA" w:rsidRDefault="006270FA" w:rsidP="00DE7001">
            <w:pPr>
              <w:jc w:val="right"/>
              <w:rPr>
                <w:b/>
                <w:bCs/>
                <w:snapToGrid/>
                <w:color w:val="A32020"/>
                <w:sz w:val="14"/>
                <w:szCs w:val="14"/>
                <w:lang w:eastAsia="en-AU"/>
              </w:rPr>
            </w:pPr>
            <w:r w:rsidRPr="006270FA">
              <w:rPr>
                <w:b/>
                <w:bCs/>
                <w:snapToGrid/>
                <w:color w:val="A32020"/>
                <w:sz w:val="14"/>
                <w:szCs w:val="14"/>
                <w:lang w:eastAsia="en-AU"/>
              </w:rPr>
              <w:t>Round 12 2007-08</w:t>
            </w:r>
          </w:p>
        </w:tc>
        <w:tc>
          <w:tcPr>
            <w:tcW w:w="561" w:type="pct"/>
            <w:vMerge w:val="restart"/>
            <w:tcBorders>
              <w:top w:val="single" w:sz="4" w:space="0" w:color="auto"/>
              <w:left w:val="nil"/>
              <w:bottom w:val="single" w:sz="4" w:space="0" w:color="000000"/>
              <w:right w:val="nil"/>
            </w:tcBorders>
            <w:shd w:val="clear" w:color="auto" w:fill="auto"/>
            <w:hideMark/>
          </w:tcPr>
          <w:p w:rsidR="006270FA" w:rsidRPr="006270FA" w:rsidRDefault="006270FA" w:rsidP="00DE7001">
            <w:pPr>
              <w:jc w:val="right"/>
              <w:rPr>
                <w:b/>
                <w:bCs/>
                <w:snapToGrid/>
                <w:color w:val="A32020"/>
                <w:sz w:val="14"/>
                <w:szCs w:val="14"/>
                <w:lang w:eastAsia="en-AU"/>
              </w:rPr>
            </w:pPr>
            <w:r w:rsidRPr="006270FA">
              <w:rPr>
                <w:b/>
                <w:bCs/>
                <w:snapToGrid/>
                <w:color w:val="A32020"/>
                <w:sz w:val="14"/>
                <w:szCs w:val="14"/>
                <w:lang w:eastAsia="en-AU"/>
              </w:rPr>
              <w:t>Round 13 2008-09</w:t>
            </w:r>
          </w:p>
        </w:tc>
        <w:tc>
          <w:tcPr>
            <w:tcW w:w="561" w:type="pct"/>
            <w:vMerge w:val="restart"/>
            <w:tcBorders>
              <w:top w:val="single" w:sz="4" w:space="0" w:color="auto"/>
              <w:left w:val="nil"/>
              <w:bottom w:val="single" w:sz="4" w:space="0" w:color="000000"/>
              <w:right w:val="nil"/>
            </w:tcBorders>
            <w:shd w:val="clear" w:color="auto" w:fill="auto"/>
            <w:hideMark/>
          </w:tcPr>
          <w:p w:rsidR="006270FA" w:rsidRPr="006270FA" w:rsidRDefault="006270FA" w:rsidP="00DE7001">
            <w:pPr>
              <w:jc w:val="right"/>
              <w:rPr>
                <w:b/>
                <w:bCs/>
                <w:snapToGrid/>
                <w:color w:val="A32020"/>
                <w:sz w:val="14"/>
                <w:szCs w:val="14"/>
                <w:lang w:eastAsia="en-AU"/>
              </w:rPr>
            </w:pPr>
            <w:r w:rsidRPr="006270FA">
              <w:rPr>
                <w:b/>
                <w:bCs/>
                <w:snapToGrid/>
                <w:color w:val="A32020"/>
                <w:sz w:val="14"/>
                <w:szCs w:val="14"/>
                <w:lang w:eastAsia="en-AU"/>
              </w:rPr>
              <w:t>Round 16 2011-12</w:t>
            </w:r>
          </w:p>
        </w:tc>
        <w:tc>
          <w:tcPr>
            <w:tcW w:w="561" w:type="pct"/>
            <w:vMerge w:val="restart"/>
            <w:tcBorders>
              <w:top w:val="single" w:sz="4" w:space="0" w:color="auto"/>
              <w:left w:val="nil"/>
              <w:bottom w:val="single" w:sz="4" w:space="0" w:color="000000"/>
              <w:right w:val="nil"/>
            </w:tcBorders>
            <w:shd w:val="clear" w:color="auto" w:fill="auto"/>
            <w:hideMark/>
          </w:tcPr>
          <w:p w:rsidR="006270FA" w:rsidRPr="006270FA" w:rsidRDefault="006270FA" w:rsidP="00DE7001">
            <w:pPr>
              <w:jc w:val="right"/>
              <w:rPr>
                <w:b/>
                <w:bCs/>
                <w:snapToGrid/>
                <w:color w:val="A32020"/>
                <w:sz w:val="14"/>
                <w:szCs w:val="14"/>
                <w:lang w:eastAsia="en-AU"/>
              </w:rPr>
            </w:pPr>
            <w:r w:rsidRPr="006270FA">
              <w:rPr>
                <w:b/>
                <w:bCs/>
                <w:snapToGrid/>
                <w:color w:val="A32020"/>
                <w:sz w:val="14"/>
                <w:szCs w:val="14"/>
                <w:lang w:eastAsia="en-AU"/>
              </w:rPr>
              <w:t>Round 17 2012-13</w:t>
            </w:r>
          </w:p>
        </w:tc>
        <w:tc>
          <w:tcPr>
            <w:tcW w:w="561" w:type="pct"/>
            <w:vMerge w:val="restart"/>
            <w:tcBorders>
              <w:top w:val="single" w:sz="4" w:space="0" w:color="auto"/>
              <w:left w:val="nil"/>
              <w:bottom w:val="single" w:sz="4" w:space="0" w:color="000000"/>
              <w:right w:val="nil"/>
            </w:tcBorders>
            <w:shd w:val="clear" w:color="auto" w:fill="F4CACA" w:themeFill="text2" w:themeFillTint="33"/>
            <w:hideMark/>
          </w:tcPr>
          <w:p w:rsidR="006270FA" w:rsidRPr="006270FA" w:rsidRDefault="006270FA" w:rsidP="00DE7001">
            <w:pPr>
              <w:jc w:val="right"/>
              <w:rPr>
                <w:b/>
                <w:bCs/>
                <w:snapToGrid/>
                <w:color w:val="A32020"/>
                <w:sz w:val="14"/>
                <w:szCs w:val="14"/>
                <w:lang w:eastAsia="en-AU"/>
              </w:rPr>
            </w:pPr>
            <w:r w:rsidRPr="006270FA">
              <w:rPr>
                <w:b/>
                <w:bCs/>
                <w:snapToGrid/>
                <w:color w:val="A32020"/>
                <w:sz w:val="14"/>
                <w:szCs w:val="14"/>
                <w:lang w:eastAsia="en-AU"/>
              </w:rPr>
              <w:t>Round 18 2013-14</w:t>
            </w:r>
          </w:p>
        </w:tc>
      </w:tr>
      <w:tr w:rsidR="006270FA" w:rsidRPr="006270FA" w:rsidTr="00B06E18">
        <w:trPr>
          <w:trHeight w:val="170"/>
        </w:trPr>
        <w:tc>
          <w:tcPr>
            <w:tcW w:w="1073" w:type="pct"/>
            <w:vMerge/>
            <w:tcBorders>
              <w:top w:val="single" w:sz="4" w:space="0" w:color="auto"/>
              <w:left w:val="nil"/>
              <w:bottom w:val="single" w:sz="4" w:space="0" w:color="000000"/>
              <w:right w:val="nil"/>
            </w:tcBorders>
            <w:vAlign w:val="center"/>
            <w:hideMark/>
          </w:tcPr>
          <w:p w:rsidR="006270FA" w:rsidRPr="006270FA" w:rsidRDefault="006270FA" w:rsidP="00DE7001">
            <w:pPr>
              <w:rPr>
                <w:b/>
                <w:bCs/>
                <w:snapToGrid/>
                <w:color w:val="A32020"/>
                <w:sz w:val="14"/>
                <w:szCs w:val="14"/>
                <w:lang w:eastAsia="en-AU"/>
              </w:rPr>
            </w:pPr>
          </w:p>
        </w:tc>
        <w:tc>
          <w:tcPr>
            <w:tcW w:w="561" w:type="pct"/>
            <w:vMerge/>
            <w:tcBorders>
              <w:top w:val="single" w:sz="4" w:space="0" w:color="auto"/>
              <w:left w:val="nil"/>
              <w:bottom w:val="single" w:sz="4" w:space="0" w:color="000000"/>
              <w:right w:val="nil"/>
            </w:tcBorders>
            <w:vAlign w:val="center"/>
            <w:hideMark/>
          </w:tcPr>
          <w:p w:rsidR="006270FA" w:rsidRPr="006270FA" w:rsidRDefault="006270FA" w:rsidP="00DE7001">
            <w:pPr>
              <w:rPr>
                <w:b/>
                <w:bCs/>
                <w:snapToGrid/>
                <w:color w:val="A32020"/>
                <w:sz w:val="14"/>
                <w:szCs w:val="14"/>
                <w:lang w:eastAsia="en-AU"/>
              </w:rPr>
            </w:pPr>
          </w:p>
        </w:tc>
        <w:tc>
          <w:tcPr>
            <w:tcW w:w="561" w:type="pct"/>
            <w:vMerge/>
            <w:tcBorders>
              <w:top w:val="single" w:sz="4" w:space="0" w:color="auto"/>
              <w:left w:val="nil"/>
              <w:bottom w:val="single" w:sz="4" w:space="0" w:color="000000"/>
              <w:right w:val="nil"/>
            </w:tcBorders>
            <w:vAlign w:val="center"/>
            <w:hideMark/>
          </w:tcPr>
          <w:p w:rsidR="006270FA" w:rsidRPr="006270FA" w:rsidRDefault="006270FA" w:rsidP="00DE7001">
            <w:pPr>
              <w:rPr>
                <w:b/>
                <w:bCs/>
                <w:snapToGrid/>
                <w:color w:val="A32020"/>
                <w:sz w:val="14"/>
                <w:szCs w:val="14"/>
                <w:lang w:eastAsia="en-AU"/>
              </w:rPr>
            </w:pPr>
          </w:p>
        </w:tc>
        <w:tc>
          <w:tcPr>
            <w:tcW w:w="561" w:type="pct"/>
            <w:vMerge/>
            <w:tcBorders>
              <w:top w:val="single" w:sz="4" w:space="0" w:color="auto"/>
              <w:left w:val="nil"/>
              <w:bottom w:val="single" w:sz="4" w:space="0" w:color="000000"/>
              <w:right w:val="nil"/>
            </w:tcBorders>
            <w:vAlign w:val="center"/>
            <w:hideMark/>
          </w:tcPr>
          <w:p w:rsidR="006270FA" w:rsidRPr="006270FA" w:rsidRDefault="006270FA" w:rsidP="00DE7001">
            <w:pPr>
              <w:rPr>
                <w:b/>
                <w:bCs/>
                <w:snapToGrid/>
                <w:color w:val="A32020"/>
                <w:sz w:val="14"/>
                <w:szCs w:val="14"/>
                <w:lang w:eastAsia="en-AU"/>
              </w:rPr>
            </w:pPr>
          </w:p>
        </w:tc>
        <w:tc>
          <w:tcPr>
            <w:tcW w:w="561" w:type="pct"/>
            <w:vMerge/>
            <w:tcBorders>
              <w:top w:val="single" w:sz="4" w:space="0" w:color="auto"/>
              <w:left w:val="nil"/>
              <w:bottom w:val="single" w:sz="4" w:space="0" w:color="000000"/>
              <w:right w:val="nil"/>
            </w:tcBorders>
            <w:vAlign w:val="center"/>
            <w:hideMark/>
          </w:tcPr>
          <w:p w:rsidR="006270FA" w:rsidRPr="006270FA" w:rsidRDefault="006270FA" w:rsidP="00DE7001">
            <w:pPr>
              <w:rPr>
                <w:b/>
                <w:bCs/>
                <w:snapToGrid/>
                <w:color w:val="A32020"/>
                <w:sz w:val="14"/>
                <w:szCs w:val="14"/>
                <w:lang w:eastAsia="en-AU"/>
              </w:rPr>
            </w:pPr>
          </w:p>
        </w:tc>
        <w:tc>
          <w:tcPr>
            <w:tcW w:w="561" w:type="pct"/>
            <w:vMerge/>
            <w:tcBorders>
              <w:top w:val="single" w:sz="4" w:space="0" w:color="auto"/>
              <w:left w:val="nil"/>
              <w:bottom w:val="single" w:sz="4" w:space="0" w:color="000000"/>
              <w:right w:val="nil"/>
            </w:tcBorders>
            <w:vAlign w:val="center"/>
            <w:hideMark/>
          </w:tcPr>
          <w:p w:rsidR="006270FA" w:rsidRPr="006270FA" w:rsidRDefault="006270FA" w:rsidP="00DE7001">
            <w:pPr>
              <w:rPr>
                <w:b/>
                <w:bCs/>
                <w:snapToGrid/>
                <w:color w:val="A32020"/>
                <w:sz w:val="14"/>
                <w:szCs w:val="14"/>
                <w:lang w:eastAsia="en-AU"/>
              </w:rPr>
            </w:pPr>
          </w:p>
        </w:tc>
        <w:tc>
          <w:tcPr>
            <w:tcW w:w="561" w:type="pct"/>
            <w:vMerge/>
            <w:tcBorders>
              <w:top w:val="single" w:sz="4" w:space="0" w:color="auto"/>
              <w:left w:val="nil"/>
              <w:bottom w:val="single" w:sz="4" w:space="0" w:color="000000"/>
              <w:right w:val="nil"/>
            </w:tcBorders>
            <w:vAlign w:val="center"/>
            <w:hideMark/>
          </w:tcPr>
          <w:p w:rsidR="006270FA" w:rsidRPr="006270FA" w:rsidRDefault="006270FA" w:rsidP="00DE7001">
            <w:pPr>
              <w:rPr>
                <w:b/>
                <w:bCs/>
                <w:snapToGrid/>
                <w:color w:val="A32020"/>
                <w:sz w:val="14"/>
                <w:szCs w:val="14"/>
                <w:lang w:eastAsia="en-AU"/>
              </w:rPr>
            </w:pPr>
          </w:p>
        </w:tc>
        <w:tc>
          <w:tcPr>
            <w:tcW w:w="561" w:type="pct"/>
            <w:vMerge/>
            <w:tcBorders>
              <w:top w:val="single" w:sz="4" w:space="0" w:color="auto"/>
              <w:left w:val="nil"/>
              <w:bottom w:val="single" w:sz="4" w:space="0" w:color="000000"/>
              <w:right w:val="nil"/>
            </w:tcBorders>
            <w:shd w:val="clear" w:color="auto" w:fill="F4CACA" w:themeFill="text2" w:themeFillTint="33"/>
            <w:vAlign w:val="center"/>
            <w:hideMark/>
          </w:tcPr>
          <w:p w:rsidR="006270FA" w:rsidRPr="006270FA" w:rsidRDefault="006270FA" w:rsidP="00DE7001">
            <w:pPr>
              <w:rPr>
                <w:b/>
                <w:bCs/>
                <w:snapToGrid/>
                <w:color w:val="A32020"/>
                <w:sz w:val="14"/>
                <w:szCs w:val="14"/>
                <w:lang w:eastAsia="en-AU"/>
              </w:rPr>
            </w:pPr>
          </w:p>
        </w:tc>
      </w:tr>
      <w:tr w:rsidR="006270FA" w:rsidRPr="006270FA" w:rsidTr="00B06E18">
        <w:trPr>
          <w:trHeight w:val="444"/>
        </w:trPr>
        <w:tc>
          <w:tcPr>
            <w:tcW w:w="1073" w:type="pct"/>
            <w:tcBorders>
              <w:top w:val="nil"/>
              <w:left w:val="nil"/>
              <w:bottom w:val="nil"/>
              <w:right w:val="nil"/>
            </w:tcBorders>
            <w:shd w:val="clear" w:color="auto" w:fill="auto"/>
            <w:noWrap/>
            <w:vAlign w:val="bottom"/>
            <w:hideMark/>
          </w:tcPr>
          <w:p w:rsidR="006270FA" w:rsidRPr="006270FA" w:rsidRDefault="006270FA" w:rsidP="00DE7001">
            <w:pPr>
              <w:rPr>
                <w:snapToGrid/>
                <w:color w:val="000000"/>
                <w:sz w:val="14"/>
                <w:szCs w:val="14"/>
                <w:lang w:eastAsia="en-AU"/>
              </w:rPr>
            </w:pPr>
            <w:r w:rsidRPr="006270FA">
              <w:rPr>
                <w:snapToGrid/>
                <w:color w:val="000000"/>
                <w:sz w:val="14"/>
                <w:szCs w:val="14"/>
                <w:lang w:eastAsia="en-AU"/>
              </w:rPr>
              <w:t>Number of hospitals</w:t>
            </w:r>
          </w:p>
        </w:tc>
        <w:tc>
          <w:tcPr>
            <w:tcW w:w="561" w:type="pct"/>
            <w:tcBorders>
              <w:top w:val="nil"/>
              <w:left w:val="nil"/>
              <w:bottom w:val="nil"/>
              <w:right w:val="nil"/>
            </w:tcBorders>
            <w:shd w:val="clear" w:color="auto" w:fill="auto"/>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113</w:t>
            </w:r>
          </w:p>
        </w:tc>
        <w:tc>
          <w:tcPr>
            <w:tcW w:w="561" w:type="pct"/>
            <w:tcBorders>
              <w:top w:val="nil"/>
              <w:left w:val="nil"/>
              <w:bottom w:val="nil"/>
              <w:right w:val="nil"/>
            </w:tcBorders>
            <w:shd w:val="clear" w:color="auto" w:fill="auto"/>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82</w:t>
            </w:r>
          </w:p>
        </w:tc>
        <w:tc>
          <w:tcPr>
            <w:tcW w:w="561" w:type="pct"/>
            <w:tcBorders>
              <w:top w:val="nil"/>
              <w:left w:val="nil"/>
              <w:bottom w:val="nil"/>
              <w:right w:val="nil"/>
            </w:tcBorders>
            <w:shd w:val="clear" w:color="auto" w:fill="auto"/>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109</w:t>
            </w:r>
          </w:p>
        </w:tc>
        <w:tc>
          <w:tcPr>
            <w:tcW w:w="561" w:type="pct"/>
            <w:tcBorders>
              <w:top w:val="nil"/>
              <w:left w:val="nil"/>
              <w:bottom w:val="nil"/>
              <w:right w:val="nil"/>
            </w:tcBorders>
            <w:shd w:val="clear" w:color="auto" w:fill="auto"/>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110</w:t>
            </w:r>
          </w:p>
        </w:tc>
        <w:tc>
          <w:tcPr>
            <w:tcW w:w="561" w:type="pct"/>
            <w:tcBorders>
              <w:top w:val="nil"/>
              <w:left w:val="nil"/>
              <w:bottom w:val="nil"/>
              <w:right w:val="nil"/>
            </w:tcBorders>
            <w:shd w:val="clear" w:color="auto" w:fill="auto"/>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105</w:t>
            </w:r>
          </w:p>
        </w:tc>
        <w:tc>
          <w:tcPr>
            <w:tcW w:w="561" w:type="pct"/>
            <w:tcBorders>
              <w:top w:val="nil"/>
              <w:left w:val="nil"/>
              <w:bottom w:val="nil"/>
              <w:right w:val="nil"/>
            </w:tcBorders>
            <w:shd w:val="clear" w:color="auto" w:fill="auto"/>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95</w:t>
            </w:r>
          </w:p>
        </w:tc>
        <w:tc>
          <w:tcPr>
            <w:tcW w:w="561" w:type="pct"/>
            <w:tcBorders>
              <w:top w:val="nil"/>
              <w:left w:val="nil"/>
              <w:bottom w:val="nil"/>
              <w:right w:val="nil"/>
            </w:tcBorders>
            <w:shd w:val="clear" w:color="auto" w:fill="F4CACA" w:themeFill="text2" w:themeFillTint="33"/>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96</w:t>
            </w:r>
          </w:p>
        </w:tc>
      </w:tr>
      <w:tr w:rsidR="006270FA" w:rsidRPr="006270FA" w:rsidTr="00B06E18">
        <w:trPr>
          <w:trHeight w:val="324"/>
        </w:trPr>
        <w:tc>
          <w:tcPr>
            <w:tcW w:w="1073" w:type="pct"/>
            <w:tcBorders>
              <w:top w:val="nil"/>
              <w:left w:val="nil"/>
              <w:bottom w:val="nil"/>
              <w:right w:val="nil"/>
            </w:tcBorders>
            <w:shd w:val="clear" w:color="auto" w:fill="auto"/>
            <w:noWrap/>
            <w:vAlign w:val="bottom"/>
            <w:hideMark/>
          </w:tcPr>
          <w:p w:rsidR="006270FA" w:rsidRPr="006270FA" w:rsidRDefault="006270FA" w:rsidP="00DE7001">
            <w:pPr>
              <w:rPr>
                <w:snapToGrid/>
                <w:color w:val="000000"/>
                <w:sz w:val="14"/>
                <w:szCs w:val="14"/>
                <w:lang w:eastAsia="en-AU"/>
              </w:rPr>
            </w:pPr>
            <w:r w:rsidRPr="006270FA">
              <w:rPr>
                <w:snapToGrid/>
                <w:color w:val="000000"/>
                <w:sz w:val="14"/>
                <w:szCs w:val="14"/>
                <w:lang w:eastAsia="en-AU"/>
              </w:rPr>
              <w:t>Sample Separations</w:t>
            </w:r>
          </w:p>
        </w:tc>
        <w:tc>
          <w:tcPr>
            <w:tcW w:w="561" w:type="pct"/>
            <w:tcBorders>
              <w:top w:val="nil"/>
              <w:left w:val="nil"/>
              <w:bottom w:val="nil"/>
              <w:right w:val="nil"/>
            </w:tcBorders>
            <w:shd w:val="clear" w:color="auto" w:fill="auto"/>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1,240,388</w:t>
            </w:r>
          </w:p>
        </w:tc>
        <w:tc>
          <w:tcPr>
            <w:tcW w:w="561" w:type="pct"/>
            <w:tcBorders>
              <w:top w:val="nil"/>
              <w:left w:val="nil"/>
              <w:bottom w:val="nil"/>
              <w:right w:val="nil"/>
            </w:tcBorders>
            <w:shd w:val="clear" w:color="auto" w:fill="auto"/>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1,297,147</w:t>
            </w:r>
          </w:p>
        </w:tc>
        <w:tc>
          <w:tcPr>
            <w:tcW w:w="561" w:type="pct"/>
            <w:tcBorders>
              <w:top w:val="nil"/>
              <w:left w:val="nil"/>
              <w:bottom w:val="nil"/>
              <w:right w:val="nil"/>
            </w:tcBorders>
            <w:shd w:val="clear" w:color="auto" w:fill="auto"/>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1,607,678</w:t>
            </w:r>
          </w:p>
        </w:tc>
        <w:tc>
          <w:tcPr>
            <w:tcW w:w="561" w:type="pct"/>
            <w:tcBorders>
              <w:top w:val="nil"/>
              <w:left w:val="nil"/>
              <w:bottom w:val="nil"/>
              <w:right w:val="nil"/>
            </w:tcBorders>
            <w:shd w:val="clear" w:color="auto" w:fill="auto"/>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1,648,989</w:t>
            </w:r>
          </w:p>
        </w:tc>
        <w:tc>
          <w:tcPr>
            <w:tcW w:w="561" w:type="pct"/>
            <w:tcBorders>
              <w:top w:val="nil"/>
              <w:left w:val="nil"/>
              <w:bottom w:val="nil"/>
              <w:right w:val="nil"/>
            </w:tcBorders>
            <w:shd w:val="clear" w:color="auto" w:fill="auto"/>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1,775,059</w:t>
            </w:r>
          </w:p>
        </w:tc>
        <w:tc>
          <w:tcPr>
            <w:tcW w:w="561" w:type="pct"/>
            <w:tcBorders>
              <w:top w:val="nil"/>
              <w:left w:val="nil"/>
              <w:bottom w:val="nil"/>
              <w:right w:val="nil"/>
            </w:tcBorders>
            <w:shd w:val="clear" w:color="auto" w:fill="auto"/>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1,650,816</w:t>
            </w:r>
          </w:p>
        </w:tc>
        <w:tc>
          <w:tcPr>
            <w:tcW w:w="561" w:type="pct"/>
            <w:tcBorders>
              <w:top w:val="nil"/>
              <w:left w:val="nil"/>
              <w:bottom w:val="nil"/>
              <w:right w:val="nil"/>
            </w:tcBorders>
            <w:shd w:val="clear" w:color="auto" w:fill="F4CACA" w:themeFill="text2" w:themeFillTint="33"/>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1,697,311</w:t>
            </w:r>
          </w:p>
        </w:tc>
      </w:tr>
      <w:tr w:rsidR="006270FA" w:rsidRPr="006270FA" w:rsidTr="00B06E18">
        <w:trPr>
          <w:trHeight w:val="492"/>
        </w:trPr>
        <w:tc>
          <w:tcPr>
            <w:tcW w:w="1073" w:type="pct"/>
            <w:tcBorders>
              <w:top w:val="nil"/>
              <w:left w:val="nil"/>
              <w:bottom w:val="nil"/>
              <w:right w:val="nil"/>
            </w:tcBorders>
            <w:shd w:val="clear" w:color="auto" w:fill="auto"/>
            <w:vAlign w:val="bottom"/>
            <w:hideMark/>
          </w:tcPr>
          <w:p w:rsidR="006270FA" w:rsidRPr="006270FA" w:rsidRDefault="006270FA" w:rsidP="00DE7001">
            <w:pPr>
              <w:rPr>
                <w:snapToGrid/>
                <w:color w:val="000000"/>
                <w:sz w:val="14"/>
                <w:szCs w:val="14"/>
                <w:lang w:eastAsia="en-AU"/>
              </w:rPr>
            </w:pPr>
            <w:r w:rsidRPr="006270FA">
              <w:rPr>
                <w:snapToGrid/>
                <w:color w:val="000000"/>
                <w:sz w:val="14"/>
                <w:szCs w:val="14"/>
                <w:lang w:eastAsia="en-AU"/>
              </w:rPr>
              <w:t>Percentage of population separations</w:t>
            </w:r>
          </w:p>
        </w:tc>
        <w:tc>
          <w:tcPr>
            <w:tcW w:w="561" w:type="pct"/>
            <w:tcBorders>
              <w:top w:val="nil"/>
              <w:left w:val="nil"/>
              <w:bottom w:val="nil"/>
              <w:right w:val="nil"/>
            </w:tcBorders>
            <w:shd w:val="clear" w:color="auto" w:fill="auto"/>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65%</w:t>
            </w:r>
          </w:p>
        </w:tc>
        <w:tc>
          <w:tcPr>
            <w:tcW w:w="561" w:type="pct"/>
            <w:tcBorders>
              <w:top w:val="nil"/>
              <w:left w:val="nil"/>
              <w:bottom w:val="nil"/>
              <w:right w:val="nil"/>
            </w:tcBorders>
            <w:shd w:val="clear" w:color="auto" w:fill="auto"/>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59%</w:t>
            </w:r>
          </w:p>
        </w:tc>
        <w:tc>
          <w:tcPr>
            <w:tcW w:w="561" w:type="pct"/>
            <w:tcBorders>
              <w:top w:val="nil"/>
              <w:left w:val="nil"/>
              <w:bottom w:val="nil"/>
              <w:right w:val="nil"/>
            </w:tcBorders>
            <w:shd w:val="clear" w:color="auto" w:fill="auto"/>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72%</w:t>
            </w:r>
          </w:p>
        </w:tc>
        <w:tc>
          <w:tcPr>
            <w:tcW w:w="561" w:type="pct"/>
            <w:tcBorders>
              <w:top w:val="nil"/>
              <w:left w:val="nil"/>
              <w:bottom w:val="nil"/>
              <w:right w:val="nil"/>
            </w:tcBorders>
            <w:shd w:val="clear" w:color="auto" w:fill="auto"/>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71%</w:t>
            </w:r>
          </w:p>
        </w:tc>
        <w:tc>
          <w:tcPr>
            <w:tcW w:w="561" w:type="pct"/>
            <w:tcBorders>
              <w:top w:val="nil"/>
              <w:left w:val="nil"/>
              <w:bottom w:val="nil"/>
              <w:right w:val="nil"/>
            </w:tcBorders>
            <w:shd w:val="clear" w:color="auto" w:fill="auto"/>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66%</w:t>
            </w:r>
          </w:p>
        </w:tc>
        <w:tc>
          <w:tcPr>
            <w:tcW w:w="561" w:type="pct"/>
            <w:tcBorders>
              <w:top w:val="nil"/>
              <w:left w:val="nil"/>
              <w:bottom w:val="nil"/>
              <w:right w:val="nil"/>
            </w:tcBorders>
            <w:shd w:val="clear" w:color="auto" w:fill="auto"/>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60%</w:t>
            </w:r>
          </w:p>
        </w:tc>
        <w:tc>
          <w:tcPr>
            <w:tcW w:w="561" w:type="pct"/>
            <w:tcBorders>
              <w:top w:val="nil"/>
              <w:left w:val="nil"/>
              <w:bottom w:val="nil"/>
              <w:right w:val="nil"/>
            </w:tcBorders>
            <w:shd w:val="clear" w:color="auto" w:fill="F4CACA" w:themeFill="text2" w:themeFillTint="33"/>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60%</w:t>
            </w:r>
          </w:p>
        </w:tc>
      </w:tr>
      <w:tr w:rsidR="006270FA" w:rsidRPr="006270FA" w:rsidTr="00B06E18">
        <w:trPr>
          <w:trHeight w:val="324"/>
        </w:trPr>
        <w:tc>
          <w:tcPr>
            <w:tcW w:w="1073" w:type="pct"/>
            <w:tcBorders>
              <w:top w:val="nil"/>
              <w:left w:val="nil"/>
              <w:bottom w:val="single" w:sz="4" w:space="0" w:color="auto"/>
              <w:right w:val="nil"/>
            </w:tcBorders>
            <w:shd w:val="clear" w:color="auto" w:fill="auto"/>
            <w:noWrap/>
            <w:vAlign w:val="bottom"/>
            <w:hideMark/>
          </w:tcPr>
          <w:p w:rsidR="006270FA" w:rsidRPr="006270FA" w:rsidRDefault="006270FA" w:rsidP="00DE7001">
            <w:pPr>
              <w:rPr>
                <w:snapToGrid/>
                <w:color w:val="000000"/>
                <w:sz w:val="14"/>
                <w:szCs w:val="14"/>
                <w:lang w:eastAsia="en-AU"/>
              </w:rPr>
            </w:pPr>
            <w:r w:rsidRPr="006270FA">
              <w:rPr>
                <w:snapToGrid/>
                <w:color w:val="000000"/>
                <w:sz w:val="14"/>
                <w:szCs w:val="14"/>
                <w:lang w:eastAsia="en-AU"/>
              </w:rPr>
              <w:t>AR-DRG version</w:t>
            </w:r>
          </w:p>
        </w:tc>
        <w:tc>
          <w:tcPr>
            <w:tcW w:w="561" w:type="pct"/>
            <w:tcBorders>
              <w:top w:val="nil"/>
              <w:left w:val="nil"/>
              <w:bottom w:val="single" w:sz="4" w:space="0" w:color="auto"/>
              <w:right w:val="nil"/>
            </w:tcBorders>
            <w:shd w:val="clear" w:color="auto" w:fill="auto"/>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4.2</w:t>
            </w:r>
          </w:p>
        </w:tc>
        <w:tc>
          <w:tcPr>
            <w:tcW w:w="561" w:type="pct"/>
            <w:tcBorders>
              <w:top w:val="nil"/>
              <w:left w:val="nil"/>
              <w:bottom w:val="single" w:sz="4" w:space="0" w:color="auto"/>
              <w:right w:val="nil"/>
            </w:tcBorders>
            <w:shd w:val="clear" w:color="auto" w:fill="auto"/>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4.2</w:t>
            </w:r>
          </w:p>
        </w:tc>
        <w:tc>
          <w:tcPr>
            <w:tcW w:w="561" w:type="pct"/>
            <w:tcBorders>
              <w:top w:val="nil"/>
              <w:left w:val="nil"/>
              <w:bottom w:val="single" w:sz="4" w:space="0" w:color="auto"/>
              <w:right w:val="nil"/>
            </w:tcBorders>
            <w:shd w:val="clear" w:color="auto" w:fill="auto"/>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4.2</w:t>
            </w:r>
          </w:p>
        </w:tc>
        <w:tc>
          <w:tcPr>
            <w:tcW w:w="561" w:type="pct"/>
            <w:tcBorders>
              <w:top w:val="nil"/>
              <w:left w:val="nil"/>
              <w:bottom w:val="single" w:sz="4" w:space="0" w:color="auto"/>
              <w:right w:val="nil"/>
            </w:tcBorders>
            <w:shd w:val="clear" w:color="auto" w:fill="auto"/>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5.1</w:t>
            </w:r>
          </w:p>
        </w:tc>
        <w:tc>
          <w:tcPr>
            <w:tcW w:w="561" w:type="pct"/>
            <w:tcBorders>
              <w:top w:val="nil"/>
              <w:left w:val="nil"/>
              <w:bottom w:val="single" w:sz="4" w:space="0" w:color="auto"/>
              <w:right w:val="nil"/>
            </w:tcBorders>
            <w:shd w:val="clear" w:color="auto" w:fill="auto"/>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6.0x</w:t>
            </w:r>
          </w:p>
        </w:tc>
        <w:tc>
          <w:tcPr>
            <w:tcW w:w="561" w:type="pct"/>
            <w:tcBorders>
              <w:top w:val="nil"/>
              <w:left w:val="nil"/>
              <w:bottom w:val="single" w:sz="4" w:space="0" w:color="auto"/>
              <w:right w:val="nil"/>
            </w:tcBorders>
            <w:shd w:val="clear" w:color="auto" w:fill="auto"/>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6.0x</w:t>
            </w:r>
          </w:p>
        </w:tc>
        <w:tc>
          <w:tcPr>
            <w:tcW w:w="561" w:type="pct"/>
            <w:tcBorders>
              <w:top w:val="nil"/>
              <w:left w:val="nil"/>
              <w:bottom w:val="single" w:sz="4" w:space="0" w:color="auto"/>
              <w:right w:val="nil"/>
            </w:tcBorders>
            <w:shd w:val="clear" w:color="auto" w:fill="F4CACA" w:themeFill="text2" w:themeFillTint="33"/>
            <w:noWrap/>
            <w:vAlign w:val="bottom"/>
            <w:hideMark/>
          </w:tcPr>
          <w:p w:rsidR="006270FA" w:rsidRPr="006270FA" w:rsidRDefault="006270FA" w:rsidP="00DE7001">
            <w:pPr>
              <w:jc w:val="right"/>
              <w:rPr>
                <w:snapToGrid/>
                <w:color w:val="000000"/>
                <w:sz w:val="14"/>
                <w:szCs w:val="14"/>
                <w:lang w:eastAsia="en-AU"/>
              </w:rPr>
            </w:pPr>
            <w:r w:rsidRPr="006270FA">
              <w:rPr>
                <w:snapToGrid/>
                <w:color w:val="000000"/>
                <w:sz w:val="14"/>
                <w:szCs w:val="14"/>
                <w:lang w:eastAsia="en-AU"/>
              </w:rPr>
              <w:t>6.0x</w:t>
            </w:r>
          </w:p>
        </w:tc>
      </w:tr>
    </w:tbl>
    <w:p w:rsidR="006622CF" w:rsidRPr="000051B6" w:rsidRDefault="00492F7B" w:rsidP="00BD3468">
      <w:pPr>
        <w:spacing w:before="120"/>
      </w:pPr>
      <w:r w:rsidRPr="000051B6">
        <w:t xml:space="preserve">The 60% participation level represents </w:t>
      </w:r>
      <w:r w:rsidR="006622CF" w:rsidRPr="000051B6">
        <w:t xml:space="preserve">an increase of 3% in the sample separations compared to Round 17.  </w:t>
      </w:r>
      <w:r w:rsidRPr="000051B6">
        <w:t>One of the</w:t>
      </w:r>
      <w:r w:rsidR="008F3F24" w:rsidRPr="000051B6">
        <w:t xml:space="preserve"> reason</w:t>
      </w:r>
      <w:r w:rsidRPr="000051B6">
        <w:t>s</w:t>
      </w:r>
      <w:r w:rsidR="008F3F24" w:rsidRPr="000051B6">
        <w:t xml:space="preserve"> for this movement was </w:t>
      </w:r>
      <w:r w:rsidRPr="000051B6">
        <w:t xml:space="preserve">that </w:t>
      </w:r>
      <w:r w:rsidR="008F3F24" w:rsidRPr="000051B6">
        <w:t xml:space="preserve">Round 18 had 15% </w:t>
      </w:r>
      <w:r w:rsidRPr="000051B6">
        <w:t>more</w:t>
      </w:r>
      <w:r w:rsidR="008F3F24" w:rsidRPr="000051B6">
        <w:t xml:space="preserve"> same day separations compared to Round 17 thus impacting the </w:t>
      </w:r>
      <w:r w:rsidRPr="000051B6">
        <w:t xml:space="preserve">volume </w:t>
      </w:r>
      <w:r w:rsidR="008F3F24" w:rsidRPr="000051B6">
        <w:t xml:space="preserve">of </w:t>
      </w:r>
      <w:r w:rsidR="00F223A8" w:rsidRPr="000051B6">
        <w:t xml:space="preserve">separations </w:t>
      </w:r>
      <w:r w:rsidR="0057365D">
        <w:t>provided by</w:t>
      </w:r>
      <w:r w:rsidR="008F3F24" w:rsidRPr="000051B6">
        <w:t xml:space="preserve"> the sample hospitals</w:t>
      </w:r>
      <w:r w:rsidRPr="000051B6">
        <w:t xml:space="preserve">, with the higher volume </w:t>
      </w:r>
      <w:r w:rsidR="00F223A8" w:rsidRPr="000051B6">
        <w:t xml:space="preserve">of separations reported </w:t>
      </w:r>
      <w:r w:rsidRPr="000051B6">
        <w:t xml:space="preserve">in </w:t>
      </w:r>
      <w:r w:rsidR="008F3F24" w:rsidRPr="000051B6">
        <w:t>AR-</w:t>
      </w:r>
      <w:r w:rsidR="008F3F24" w:rsidRPr="000A2F07">
        <w:t xml:space="preserve">DRGs R63Z </w:t>
      </w:r>
      <w:r w:rsidR="00BB7907" w:rsidRPr="000A2F07">
        <w:t>–</w:t>
      </w:r>
      <w:r w:rsidR="008F3F24" w:rsidRPr="000A2F07">
        <w:t xml:space="preserve"> Chemotherapy</w:t>
      </w:r>
      <w:r w:rsidR="00BB7907" w:rsidRPr="000A2F07">
        <w:t xml:space="preserve"> (32,699), U60Z - Mental </w:t>
      </w:r>
      <w:r w:rsidR="0040384B" w:rsidRPr="000A2F07">
        <w:t>h</w:t>
      </w:r>
      <w:r w:rsidR="00BB7907" w:rsidRPr="000A2F07">
        <w:t>ealth, sameday, without ECT (13,795) and C16Z - Lens procedures (10,884)</w:t>
      </w:r>
      <w:r w:rsidR="008F3F24" w:rsidRPr="000A2F07">
        <w:t>.</w:t>
      </w:r>
    </w:p>
    <w:p w:rsidR="00720195" w:rsidRDefault="00720195" w:rsidP="001222BC">
      <w:pPr>
        <w:pStyle w:val="Heading2"/>
        <w:ind w:left="578" w:hanging="578"/>
      </w:pPr>
      <w:bookmarkStart w:id="17" w:name="_Toc435611207"/>
      <w:r>
        <w:t>Average Length of Stay (ALoS)</w:t>
      </w:r>
      <w:bookmarkEnd w:id="17"/>
    </w:p>
    <w:p w:rsidR="00EB79EC" w:rsidRPr="000051B6" w:rsidRDefault="006622CF" w:rsidP="0032402E">
      <w:r w:rsidRPr="000051B6">
        <w:t xml:space="preserve">Round 18 </w:t>
      </w:r>
      <w:r w:rsidR="00F223A8" w:rsidRPr="000051B6">
        <w:t>a</w:t>
      </w:r>
      <w:r w:rsidR="00DD75CB" w:rsidRPr="000051B6">
        <w:t xml:space="preserve">verage </w:t>
      </w:r>
      <w:r w:rsidR="00F223A8" w:rsidRPr="000051B6">
        <w:t xml:space="preserve">length </w:t>
      </w:r>
      <w:r w:rsidRPr="000051B6">
        <w:t>o</w:t>
      </w:r>
      <w:r w:rsidR="00DD75CB" w:rsidRPr="000051B6">
        <w:t xml:space="preserve">f </w:t>
      </w:r>
      <w:r w:rsidR="004B3DA8" w:rsidRPr="000051B6">
        <w:t>s</w:t>
      </w:r>
      <w:r w:rsidR="00DD75CB" w:rsidRPr="000051B6">
        <w:t>tay (ALoS)</w:t>
      </w:r>
      <w:r w:rsidRPr="000051B6">
        <w:t xml:space="preserve"> decreased from 2.53 days to 2.45 days which is a reduction of 3.1% compared to Round 17.  </w:t>
      </w:r>
      <w:r w:rsidR="00EB79EC" w:rsidRPr="000051B6">
        <w:t>The</w:t>
      </w:r>
      <w:r w:rsidR="00E357CD">
        <w:t xml:space="preserve"> data shows an </w:t>
      </w:r>
      <w:r w:rsidR="008F3F24" w:rsidRPr="000051B6">
        <w:t>increase in same day separations</w:t>
      </w:r>
      <w:r w:rsidR="00E357CD">
        <w:t xml:space="preserve"> compared to Round 17 which is </w:t>
      </w:r>
      <w:r w:rsidR="00524175">
        <w:t xml:space="preserve">a </w:t>
      </w:r>
      <w:r w:rsidR="00E357CD">
        <w:t xml:space="preserve">likely factor </w:t>
      </w:r>
      <w:r w:rsidR="00524175">
        <w:t>influencing this</w:t>
      </w:r>
      <w:r w:rsidR="00E357CD">
        <w:t xml:space="preserve"> reduction.  </w:t>
      </w:r>
      <w:r w:rsidR="0032402E">
        <w:t>In addition, published l</w:t>
      </w:r>
      <w:r w:rsidR="00E357CD">
        <w:t>iter</w:t>
      </w:r>
      <w:r w:rsidR="00E232DF">
        <w:t xml:space="preserve">ature </w:t>
      </w:r>
      <w:r w:rsidR="0032402E">
        <w:t>provides further evidence that this</w:t>
      </w:r>
      <w:r w:rsidR="00FA085C">
        <w:t xml:space="preserve"> downward trend in AL</w:t>
      </w:r>
      <w:r w:rsidR="00992D0E">
        <w:t>o</w:t>
      </w:r>
      <w:r w:rsidR="00FA085C">
        <w:t>S</w:t>
      </w:r>
      <w:r w:rsidR="0032402E">
        <w:t xml:space="preserve"> is expected.</w:t>
      </w:r>
      <w:r w:rsidR="00FA085C">
        <w:t xml:space="preserve"> </w:t>
      </w:r>
      <w:r w:rsidR="0032402E">
        <w:t>For example, the</w:t>
      </w:r>
      <w:r w:rsidR="00FA085C" w:rsidRPr="000051B6">
        <w:t xml:space="preserve"> Australian Institute of Health and Welfare</w:t>
      </w:r>
      <w:r w:rsidR="0032402E">
        <w:t xml:space="preserve"> reported</w:t>
      </w:r>
      <w:r w:rsidR="00FA085C">
        <w:t xml:space="preserve"> a sector annual average decrease in ALOS of 1.2%</w:t>
      </w:r>
      <w:r w:rsidR="00FA085C">
        <w:rPr>
          <w:rStyle w:val="FootnoteReference"/>
        </w:rPr>
        <w:footnoteReference w:id="2"/>
      </w:r>
      <w:r w:rsidR="00FA085C" w:rsidRPr="000051B6">
        <w:t>.</w:t>
      </w:r>
      <w:r w:rsidR="00FA085C">
        <w:t xml:space="preserve"> This </w:t>
      </w:r>
      <w:r w:rsidR="0032402E">
        <w:t>was</w:t>
      </w:r>
      <w:r w:rsidR="00FA085C">
        <w:t xml:space="preserve"> attributed</w:t>
      </w:r>
      <w:r w:rsidR="00E232DF">
        <w:t xml:space="preserve"> to</w:t>
      </w:r>
      <w:r w:rsidR="00E357CD">
        <w:t xml:space="preserve"> h</w:t>
      </w:r>
      <w:r w:rsidR="00EB79EC" w:rsidRPr="000051B6">
        <w:t xml:space="preserve">ospitals </w:t>
      </w:r>
      <w:r w:rsidR="00E357CD">
        <w:t xml:space="preserve">focusing on </w:t>
      </w:r>
      <w:r w:rsidR="00EB79EC" w:rsidRPr="000051B6">
        <w:t xml:space="preserve">efficiency strategies </w:t>
      </w:r>
      <w:r w:rsidR="00E232DF">
        <w:t>such as</w:t>
      </w:r>
      <w:r w:rsidR="00EB79EC" w:rsidRPr="000051B6">
        <w:t xml:space="preserve"> patient pathways/discharging planning;</w:t>
      </w:r>
      <w:r w:rsidR="00E357CD">
        <w:t xml:space="preserve"> and n</w:t>
      </w:r>
      <w:r w:rsidR="00EB79EC" w:rsidRPr="000051B6">
        <w:t xml:space="preserve">ew technologies and medical advancements enabling certain procedures to be performed quicker or with </w:t>
      </w:r>
      <w:r w:rsidR="007546DB" w:rsidRPr="000051B6">
        <w:t>shorten</w:t>
      </w:r>
      <w:r w:rsidR="00783350">
        <w:t>ed</w:t>
      </w:r>
      <w:r w:rsidR="00EB79EC" w:rsidRPr="000051B6">
        <w:t xml:space="preserve"> recover</w:t>
      </w:r>
      <w:r w:rsidR="007546DB" w:rsidRPr="000051B6">
        <w:t>y</w:t>
      </w:r>
      <w:r w:rsidR="00EB79EC" w:rsidRPr="000051B6">
        <w:t xml:space="preserve"> times.</w:t>
      </w:r>
    </w:p>
    <w:p w:rsidR="00C16833" w:rsidRPr="00FA085C" w:rsidRDefault="00C16833" w:rsidP="001222BC">
      <w:pPr>
        <w:pStyle w:val="Heading2"/>
        <w:ind w:left="578" w:hanging="578"/>
      </w:pPr>
      <w:bookmarkStart w:id="18" w:name="_Toc435611208"/>
      <w:r w:rsidRPr="00FA085C">
        <w:t>Key findings</w:t>
      </w:r>
      <w:bookmarkEnd w:id="18"/>
    </w:p>
    <w:p w:rsidR="00524175" w:rsidRPr="000051B6" w:rsidRDefault="00992D0E" w:rsidP="00524175">
      <w:pPr>
        <w:pStyle w:val="PwCNormal"/>
        <w:numPr>
          <w:ilvl w:val="0"/>
          <w:numId w:val="0"/>
        </w:numPr>
      </w:pPr>
      <w:r>
        <w:t xml:space="preserve">This section highlights the key findings of the Round 18 results for </w:t>
      </w:r>
      <w:r w:rsidR="009D244A">
        <w:t xml:space="preserve">the </w:t>
      </w:r>
      <w:r w:rsidR="00C16833">
        <w:t xml:space="preserve">top 20 </w:t>
      </w:r>
      <w:r>
        <w:t>AR-</w:t>
      </w:r>
      <w:r w:rsidR="009D244A">
        <w:t xml:space="preserve">DRGs by </w:t>
      </w:r>
      <w:r w:rsidR="00C16833" w:rsidRPr="000051B6">
        <w:t xml:space="preserve">cost weight, </w:t>
      </w:r>
      <w:r w:rsidR="004E52DF">
        <w:t>population-adjusted</w:t>
      </w:r>
      <w:r w:rsidR="00C16833" w:rsidRPr="000051B6">
        <w:t xml:space="preserve"> separations, cost weighted separations, and ALoS</w:t>
      </w:r>
      <w:r w:rsidR="009D244A">
        <w:t xml:space="preserve">. </w:t>
      </w:r>
    </w:p>
    <w:p w:rsidR="00EB79EC" w:rsidRPr="000051B6" w:rsidRDefault="00EB79EC" w:rsidP="00957686">
      <w:pPr>
        <w:pStyle w:val="Heading3"/>
      </w:pPr>
      <w:bookmarkStart w:id="19" w:name="_Ref433961066"/>
      <w:r w:rsidRPr="000051B6">
        <w:lastRenderedPageBreak/>
        <w:t>AR-DRGs by cost weight</w:t>
      </w:r>
      <w:bookmarkEnd w:id="19"/>
    </w:p>
    <w:p w:rsidR="00720195" w:rsidRPr="000051B6" w:rsidRDefault="004C0B34" w:rsidP="00720195">
      <w:pPr>
        <w:pStyle w:val="PwCNormal"/>
        <w:numPr>
          <w:ilvl w:val="0"/>
          <w:numId w:val="0"/>
        </w:numPr>
      </w:pPr>
      <w:r>
        <w:t xml:space="preserve">When analysing the top 20 AR-DRGs by cost weight, </w:t>
      </w:r>
      <w:r w:rsidR="005C0886">
        <w:t>65% were consistent between Round 17 and Round 18</w:t>
      </w:r>
      <w:r w:rsidR="00720195" w:rsidRPr="000051B6">
        <w:t xml:space="preserve"> with the top three being ranked on the top four last year.  These AR-DRGs </w:t>
      </w:r>
      <w:r w:rsidR="0032402E">
        <w:t>were</w:t>
      </w:r>
      <w:r w:rsidR="00720195" w:rsidRPr="000051B6">
        <w:t xml:space="preserve"> </w:t>
      </w:r>
      <w:r w:rsidR="00720195">
        <w:t>anticipated</w:t>
      </w:r>
      <w:r w:rsidR="00720195" w:rsidRPr="000051B6">
        <w:t xml:space="preserve"> to be included in this ranking due to the clinical nature of the patients</w:t>
      </w:r>
      <w:r>
        <w:t>, the</w:t>
      </w:r>
      <w:r w:rsidRPr="000051B6">
        <w:t xml:space="preserve"> high resource intensive treatments </w:t>
      </w:r>
      <w:r>
        <w:t>often requiring</w:t>
      </w:r>
      <w:r w:rsidRPr="000051B6">
        <w:t xml:space="preserve"> ventilation or high cost prosthetic implants.</w:t>
      </w:r>
    </w:p>
    <w:p w:rsidR="007A3322" w:rsidRPr="000051B6" w:rsidRDefault="007A3322" w:rsidP="007A3322">
      <w:pPr>
        <w:pStyle w:val="PwCNormal"/>
        <w:numPr>
          <w:ilvl w:val="0"/>
          <w:numId w:val="0"/>
        </w:numPr>
      </w:pPr>
      <w:r w:rsidRPr="000051B6">
        <w:t>The significant movement was A06D - Tracheostomy without catastrophic CC</w:t>
      </w:r>
      <w:r w:rsidR="004C0B34">
        <w:t>, which</w:t>
      </w:r>
      <w:r w:rsidRPr="000051B6">
        <w:t xml:space="preserve"> was ranked 18 </w:t>
      </w:r>
      <w:r w:rsidR="004C0B34">
        <w:t xml:space="preserve">in the current round </w:t>
      </w:r>
      <w:r w:rsidRPr="000051B6">
        <w:t>whereas in Round 17 it was ranked 6</w:t>
      </w:r>
      <w:r w:rsidR="00B06E18">
        <w:t>2</w:t>
      </w:r>
      <w:r w:rsidRPr="000051B6">
        <w:t xml:space="preserve">.  The reason for this movement </w:t>
      </w:r>
      <w:r w:rsidR="004C0B34">
        <w:t>wa</w:t>
      </w:r>
      <w:r w:rsidRPr="000051B6">
        <w:t xml:space="preserve">s an increase in </w:t>
      </w:r>
      <w:r w:rsidR="004C0B34">
        <w:t xml:space="preserve">the </w:t>
      </w:r>
      <w:r w:rsidRPr="000051B6">
        <w:t xml:space="preserve">critical care cost weight driven by the increase of feeder data being used rather than service weights, which represents a truer cost weight than previous years.  </w:t>
      </w:r>
      <w:r w:rsidR="004C0B34">
        <w:t xml:space="preserve">In addition, </w:t>
      </w:r>
      <w:r w:rsidRPr="000051B6">
        <w:t>P61Z – neonate, admitted weight &lt;750 grams was ranked number one in Round 17 but is masked in Round 18 as it has less than five sep</w:t>
      </w:r>
      <w:r w:rsidR="00C227AA">
        <w:t>arations coded to this AR-DRG.</w:t>
      </w:r>
    </w:p>
    <w:p w:rsidR="00771BA5" w:rsidRDefault="004C0B34" w:rsidP="00957686">
      <w:pPr>
        <w:pStyle w:val="PwCNormal"/>
        <w:numPr>
          <w:ilvl w:val="0"/>
          <w:numId w:val="0"/>
        </w:numPr>
      </w:pPr>
      <w:r>
        <w:t xml:space="preserve">The highest cost weight AR-DRG for Round 18 was </w:t>
      </w:r>
      <w:r w:rsidR="00957686" w:rsidRPr="000051B6">
        <w:t>A06A – Trache</w:t>
      </w:r>
      <w:r w:rsidR="00771BA5" w:rsidRPr="000051B6">
        <w:t>o</w:t>
      </w:r>
      <w:r w:rsidR="00957686" w:rsidRPr="000051B6">
        <w:t>stomy with ventilation &gt; 95 hours with catastrophic CC</w:t>
      </w:r>
      <w:r>
        <w:t>, with a c</w:t>
      </w:r>
      <w:r w:rsidR="00957686" w:rsidRPr="000051B6">
        <w:t>ost weight of 45.16</w:t>
      </w:r>
      <w:r>
        <w:t>. T</w:t>
      </w:r>
      <w:r w:rsidR="00957686" w:rsidRPr="000051B6">
        <w:t xml:space="preserve">his was ranked number two last year and is </w:t>
      </w:r>
      <w:r>
        <w:t xml:space="preserve">known to be a top ranking </w:t>
      </w:r>
      <w:r w:rsidR="00957686" w:rsidRPr="000051B6">
        <w:t>AR-DRG given it is a highly complex and resource intensive patient pathway.</w:t>
      </w:r>
    </w:p>
    <w:p w:rsidR="00570819" w:rsidRDefault="00570819" w:rsidP="00570819">
      <w:pPr>
        <w:pStyle w:val="Heading3"/>
      </w:pPr>
      <w:bookmarkStart w:id="20" w:name="_Toc432078940"/>
      <w:r w:rsidRPr="000051B6">
        <w:t xml:space="preserve">AR-DRGs by </w:t>
      </w:r>
      <w:r w:rsidR="004E52DF">
        <w:t>population-adjusted</w:t>
      </w:r>
      <w:r w:rsidRPr="000051B6">
        <w:t xml:space="preserve"> separations</w:t>
      </w:r>
    </w:p>
    <w:p w:rsidR="00EE6511" w:rsidRPr="000051B6" w:rsidRDefault="00B83F08" w:rsidP="00F20FDB">
      <w:pPr>
        <w:pStyle w:val="PwCNormal"/>
        <w:numPr>
          <w:ilvl w:val="0"/>
          <w:numId w:val="0"/>
        </w:numPr>
      </w:pPr>
      <w:r w:rsidRPr="00B83F08">
        <w:t xml:space="preserve">An analysis was performed to identify the top 20 AR-DRG’s by </w:t>
      </w:r>
      <w:r w:rsidR="004E52DF">
        <w:t>population-adjusted separations</w:t>
      </w:r>
      <w:r w:rsidRPr="00B83F08">
        <w:t xml:space="preserve">.   </w:t>
      </w:r>
      <w:r w:rsidR="004E52DF">
        <w:t xml:space="preserve">This is a measure of the volume of separations in the whole population (i.e. the number of separations in the Round 18 sample, adjusted using the weights to reflect the whole population).  </w:t>
      </w:r>
      <w:r w:rsidR="00F20FDB">
        <w:t>This analysis showed a 95%</w:t>
      </w:r>
      <w:r w:rsidR="00EE6511" w:rsidRPr="000051B6">
        <w:t xml:space="preserve"> </w:t>
      </w:r>
      <w:r w:rsidR="00F20FDB">
        <w:t>consistency between Round 17 and 18</w:t>
      </w:r>
      <w:r w:rsidR="00EE6511" w:rsidRPr="000051B6">
        <w:t xml:space="preserve"> with the top three being ranked in the same order as last year.</w:t>
      </w:r>
    </w:p>
    <w:p w:rsidR="00EE6511" w:rsidRDefault="00EE6511" w:rsidP="00EE6511">
      <w:pPr>
        <w:pStyle w:val="PwCNormal"/>
        <w:numPr>
          <w:ilvl w:val="0"/>
          <w:numId w:val="0"/>
        </w:numPr>
      </w:pPr>
      <w:r w:rsidRPr="000051B6">
        <w:t xml:space="preserve">The key </w:t>
      </w:r>
      <w:r>
        <w:t>change</w:t>
      </w:r>
      <w:r w:rsidRPr="000051B6">
        <w:t xml:space="preserve"> in Round 18 for the top 20 AR-DRGs was U60Z –Mental health, sameday, without ECT was ranked number 13 compared to Round 17 </w:t>
      </w:r>
      <w:r w:rsidR="00F20FDB">
        <w:t>where it was ranked</w:t>
      </w:r>
      <w:r w:rsidRPr="000051B6">
        <w:t xml:space="preserve"> 25</w:t>
      </w:r>
      <w:r w:rsidR="00F20FDB">
        <w:t>. T</w:t>
      </w:r>
      <w:r w:rsidRPr="000051B6">
        <w:t xml:space="preserve">his movement is influenced by the number of participating hospitals </w:t>
      </w:r>
      <w:r w:rsidR="00F20FDB">
        <w:t xml:space="preserve">this year </w:t>
      </w:r>
      <w:r w:rsidRPr="000051B6">
        <w:t>treating patients under this mental health AR-DRG.</w:t>
      </w:r>
    </w:p>
    <w:p w:rsidR="00570819" w:rsidRDefault="00570819" w:rsidP="00C227AA">
      <w:pPr>
        <w:pStyle w:val="PwCNormal"/>
        <w:numPr>
          <w:ilvl w:val="0"/>
          <w:numId w:val="0"/>
        </w:numPr>
      </w:pPr>
      <w:r w:rsidRPr="000051B6">
        <w:t xml:space="preserve">R63Z – Chemotherapy had the greatest number of </w:t>
      </w:r>
      <w:r w:rsidR="0063775F">
        <w:t>population-adjusted</w:t>
      </w:r>
      <w:r w:rsidRPr="000051B6">
        <w:t xml:space="preserve"> separa</w:t>
      </w:r>
      <w:r w:rsidR="00EE6511">
        <w:t xml:space="preserve">tions of 240,396 </w:t>
      </w:r>
      <w:r w:rsidR="00F20FDB">
        <w:t>and</w:t>
      </w:r>
      <w:r w:rsidRPr="000051B6">
        <w:t xml:space="preserve"> is expected to be number one considering the </w:t>
      </w:r>
      <w:r w:rsidR="00F20FDB">
        <w:t xml:space="preserve">high </w:t>
      </w:r>
      <w:r w:rsidRPr="000051B6">
        <w:t>frequency required of this treatment.</w:t>
      </w:r>
    </w:p>
    <w:bookmarkEnd w:id="20"/>
    <w:p w:rsidR="008C0260" w:rsidRPr="000051B6" w:rsidRDefault="008C0260" w:rsidP="008C0260">
      <w:pPr>
        <w:pStyle w:val="Heading3"/>
      </w:pPr>
      <w:r w:rsidRPr="000051B6">
        <w:t>AR-DRGs by cost weighted separations</w:t>
      </w:r>
    </w:p>
    <w:p w:rsidR="00695839" w:rsidRPr="000051B6" w:rsidRDefault="00695839" w:rsidP="00C227AA">
      <w:pPr>
        <w:spacing w:after="240"/>
      </w:pPr>
      <w:r>
        <w:t>A c</w:t>
      </w:r>
      <w:r w:rsidRPr="000051B6">
        <w:t>ost weighted separation refer</w:t>
      </w:r>
      <w:r w:rsidR="0032402E">
        <w:t>s</w:t>
      </w:r>
      <w:r w:rsidRPr="000051B6">
        <w:t xml:space="preserve"> to the number of </w:t>
      </w:r>
      <w:r w:rsidR="00070AF1">
        <w:t>population-adjusted</w:t>
      </w:r>
      <w:r w:rsidRPr="000051B6">
        <w:t xml:space="preserve"> separations multiplied by the cost weigh</w:t>
      </w:r>
      <w:r w:rsidR="00EE6511">
        <w:t>t for that AR-DRG</w:t>
      </w:r>
      <w:r w:rsidRPr="000051B6">
        <w:t xml:space="preserve">, and measures the total cost associated with that AR-DRG. </w:t>
      </w:r>
      <w:r w:rsidR="004D70FB">
        <w:t xml:space="preserve">These </w:t>
      </w:r>
      <w:r w:rsidRPr="000051B6">
        <w:t>AR-DRGs would either have a high number of separations (i.e. high volume) or have a high average cost per separation (i.e. high cost weight).</w:t>
      </w:r>
    </w:p>
    <w:p w:rsidR="004D70FB" w:rsidRDefault="00EE6511" w:rsidP="004D70FB">
      <w:pPr>
        <w:pStyle w:val="PwCNormal"/>
        <w:numPr>
          <w:ilvl w:val="0"/>
          <w:numId w:val="0"/>
        </w:numPr>
      </w:pPr>
      <w:r w:rsidRPr="000051B6">
        <w:t>The</w:t>
      </w:r>
      <w:r w:rsidR="004D70FB">
        <w:t xml:space="preserve"> results of the analysis show strong </w:t>
      </w:r>
      <w:r w:rsidRPr="000051B6">
        <w:t>consistenc</w:t>
      </w:r>
      <w:r w:rsidR="004D70FB">
        <w:t>y</w:t>
      </w:r>
      <w:r w:rsidRPr="000051B6">
        <w:t xml:space="preserve"> between </w:t>
      </w:r>
      <w:r w:rsidRPr="004D70FB">
        <w:t xml:space="preserve">Round 17 and Round 18 </w:t>
      </w:r>
      <w:r w:rsidR="004D70FB" w:rsidRPr="004D70FB">
        <w:t>with</w:t>
      </w:r>
      <w:r w:rsidRPr="004D70FB">
        <w:t xml:space="preserve"> the top 5 rankings </w:t>
      </w:r>
      <w:r w:rsidR="004D70FB" w:rsidRPr="004D70FB">
        <w:t>not changing</w:t>
      </w:r>
      <w:r w:rsidRPr="004D70FB">
        <w:t xml:space="preserve"> between years. </w:t>
      </w:r>
      <w:r w:rsidR="004D70FB" w:rsidRPr="004D70FB">
        <w:t xml:space="preserve">90% of the top 20 AR-DRGs </w:t>
      </w:r>
      <w:r w:rsidR="00992D0E" w:rsidRPr="004D70FB">
        <w:t>were orthopaedic</w:t>
      </w:r>
      <w:r w:rsidR="004D70FB" w:rsidRPr="004D70FB">
        <w:t>, neurology or cardiac procedures which require high cost prostheses or high volume treatments like chemotherapy.</w:t>
      </w:r>
      <w:r w:rsidR="00B83F08">
        <w:t xml:space="preserve"> The number one AR-DRG was </w:t>
      </w:r>
      <w:r w:rsidR="00B83F08" w:rsidRPr="000051B6">
        <w:t>I04B – Knee Replacement without catastrophic or severe complications</w:t>
      </w:r>
      <w:r w:rsidR="00B83F08">
        <w:t xml:space="preserve"> was ranked number one with a total cost weighted separations of 123,9</w:t>
      </w:r>
      <w:r w:rsidR="00B06E18">
        <w:t>20</w:t>
      </w:r>
      <w:r w:rsidR="00B83F08" w:rsidRPr="000051B6">
        <w:t xml:space="preserve">.  </w:t>
      </w:r>
    </w:p>
    <w:p w:rsidR="00EE6511" w:rsidRPr="000051B6" w:rsidRDefault="00EE6511" w:rsidP="00EE6511">
      <w:pPr>
        <w:pStyle w:val="PwCNormal"/>
        <w:numPr>
          <w:ilvl w:val="0"/>
          <w:numId w:val="0"/>
        </w:numPr>
      </w:pPr>
      <w:r w:rsidRPr="000051B6">
        <w:t xml:space="preserve">The key </w:t>
      </w:r>
      <w:r>
        <w:t>changes</w:t>
      </w:r>
      <w:r w:rsidRPr="000051B6">
        <w:t xml:space="preserve"> in Round 18 for the top 20 AR-DRGs were A12Z – Insertion of Neurostimulator Device </w:t>
      </w:r>
      <w:r w:rsidR="004D70FB">
        <w:t xml:space="preserve">which </w:t>
      </w:r>
      <w:r w:rsidRPr="000051B6">
        <w:t xml:space="preserve">was ranked number 22 in Round 17 compared to a ranking of 14 for Round 18.  </w:t>
      </w:r>
      <w:r w:rsidR="00495071">
        <w:t xml:space="preserve">Additionally </w:t>
      </w:r>
      <w:r w:rsidRPr="000051B6">
        <w:t>D40Z – Dental Extraction and Restorations was ranked 21 in Round 1</w:t>
      </w:r>
      <w:r>
        <w:t>7</w:t>
      </w:r>
      <w:r w:rsidRPr="000051B6">
        <w:t xml:space="preserve"> </w:t>
      </w:r>
      <w:r w:rsidR="004D70FB">
        <w:t xml:space="preserve">and </w:t>
      </w:r>
      <w:r w:rsidRPr="000051B6">
        <w:t>is now ranked 20 for Round 18.  T</w:t>
      </w:r>
      <w:r w:rsidR="004D70FB">
        <w:t>he reasons for these movements we</w:t>
      </w:r>
      <w:r w:rsidRPr="000051B6">
        <w:t>re</w:t>
      </w:r>
      <w:r w:rsidR="004D70FB">
        <w:t xml:space="preserve"> an increase in activity for the</w:t>
      </w:r>
      <w:r w:rsidRPr="000051B6">
        <w:t>s</w:t>
      </w:r>
      <w:r w:rsidR="004D70FB">
        <w:t>e</w:t>
      </w:r>
      <w:r w:rsidRPr="000051B6">
        <w:t xml:space="preserve"> treatment</w:t>
      </w:r>
      <w:r w:rsidR="004D70FB">
        <w:t>s</w:t>
      </w:r>
      <w:r w:rsidRPr="000051B6">
        <w:t xml:space="preserve"> by the participants.</w:t>
      </w:r>
    </w:p>
    <w:p w:rsidR="003A5B93" w:rsidRPr="000051B6" w:rsidRDefault="003A5B93" w:rsidP="00CD374B">
      <w:pPr>
        <w:pStyle w:val="Heading3"/>
      </w:pPr>
      <w:bookmarkStart w:id="21" w:name="_Ref433961083"/>
      <w:bookmarkStart w:id="22" w:name="_Ref416363853"/>
      <w:bookmarkStart w:id="23" w:name="_Ref416363860"/>
      <w:r w:rsidRPr="000051B6">
        <w:t>AR-DRGs by ALoS</w:t>
      </w:r>
      <w:bookmarkEnd w:id="21"/>
    </w:p>
    <w:p w:rsidR="00906196" w:rsidRPr="000051B6" w:rsidRDefault="00B83F08" w:rsidP="00C227AA">
      <w:pPr>
        <w:spacing w:after="240"/>
      </w:pPr>
      <w:r>
        <w:t>The analysis of the top AR-DRGs by AL</w:t>
      </w:r>
      <w:r w:rsidR="00783350">
        <w:t>o</w:t>
      </w:r>
      <w:r>
        <w:t xml:space="preserve">S show that </w:t>
      </w:r>
      <w:r w:rsidR="00495071" w:rsidRPr="000051B6">
        <w:t xml:space="preserve">70% </w:t>
      </w:r>
      <w:r>
        <w:t>were consistent between Round 17 and 18</w:t>
      </w:r>
      <w:r w:rsidR="00495071" w:rsidRPr="000051B6">
        <w:t xml:space="preserve">.  The top </w:t>
      </w:r>
      <w:r w:rsidR="00495071" w:rsidRPr="00906196">
        <w:t xml:space="preserve">one and two </w:t>
      </w:r>
      <w:r w:rsidRPr="00906196">
        <w:t>in</w:t>
      </w:r>
      <w:r w:rsidR="00495071" w:rsidRPr="00906196">
        <w:t xml:space="preserve"> Round 18 were ranked two and three in Round 17.</w:t>
      </w:r>
      <w:r w:rsidR="00906196" w:rsidRPr="00906196">
        <w:t xml:space="preserve"> The top ranking was P62Z – Neonate, admitted weight 750-999 grams which was ranked number two last year and represents the highly complex and resource intense needs of these patients.</w:t>
      </w:r>
    </w:p>
    <w:p w:rsidR="00637D91" w:rsidRPr="000051B6" w:rsidRDefault="00495071" w:rsidP="00637D91">
      <w:pPr>
        <w:pStyle w:val="PwCNormal"/>
        <w:numPr>
          <w:ilvl w:val="0"/>
          <w:numId w:val="0"/>
        </w:numPr>
        <w:spacing w:after="0"/>
      </w:pPr>
      <w:r w:rsidRPr="000051B6">
        <w:lastRenderedPageBreak/>
        <w:t xml:space="preserve">The key </w:t>
      </w:r>
      <w:r>
        <w:t>changes</w:t>
      </w:r>
      <w:r w:rsidRPr="000051B6">
        <w:t xml:space="preserve"> in Round 18 were I61A – Distal Femoral Fractures with CC was ranked 150 in Round 17 and is now ranked 18. One reason for this movement is that the complications/comorbidities are influencing the ALoS.  The other significant </w:t>
      </w:r>
      <w:r w:rsidR="00524175">
        <w:t>change</w:t>
      </w:r>
      <w:r w:rsidRPr="000051B6">
        <w:t xml:space="preserve"> was B60A – Acute Paraplegia/Quadriplegia with or without OR Procs with Cat CC </w:t>
      </w:r>
      <w:r w:rsidR="00B83F08">
        <w:t>which</w:t>
      </w:r>
      <w:r w:rsidRPr="000051B6">
        <w:t xml:space="preserve"> moved between Rounds from ranking 5 for Round 17 to ranking 17 for this Round, driven by a reduction in </w:t>
      </w:r>
      <w:r w:rsidR="00B83F08">
        <w:t>the range of ALoS</w:t>
      </w:r>
      <w:r w:rsidRPr="000051B6">
        <w:t>.</w:t>
      </w:r>
    </w:p>
    <w:p w:rsidR="00E006D7" w:rsidRPr="000051B6" w:rsidRDefault="00E006D7" w:rsidP="00B816C2">
      <w:pPr>
        <w:pStyle w:val="PwCNormal"/>
        <w:numPr>
          <w:ilvl w:val="0"/>
          <w:numId w:val="0"/>
        </w:numPr>
        <w:sectPr w:rsidR="00E006D7" w:rsidRPr="000051B6" w:rsidSect="006B3E10">
          <w:headerReference w:type="default" r:id="rId15"/>
          <w:headerReference w:type="first" r:id="rId16"/>
          <w:pgSz w:w="11907" w:h="16840" w:code="9"/>
          <w:pgMar w:top="1588" w:right="1843" w:bottom="1418" w:left="1843" w:header="567" w:footer="602" w:gutter="0"/>
          <w:cols w:space="227"/>
          <w:docGrid w:linePitch="360"/>
        </w:sectPr>
      </w:pPr>
    </w:p>
    <w:p w:rsidR="00247954" w:rsidRPr="000051B6" w:rsidRDefault="009270B5" w:rsidP="00535018">
      <w:pPr>
        <w:pStyle w:val="Heading1"/>
        <w:rPr>
          <w:rFonts w:asciiTheme="majorHAnsi" w:hAnsiTheme="majorHAnsi"/>
        </w:rPr>
      </w:pPr>
      <w:bookmarkStart w:id="24" w:name="_Ref416364200"/>
      <w:bookmarkStart w:id="25" w:name="_Toc435611209"/>
      <w:r w:rsidRPr="000051B6">
        <w:rPr>
          <w:rFonts w:asciiTheme="majorHAnsi" w:hAnsiTheme="majorHAnsi"/>
        </w:rPr>
        <w:lastRenderedPageBreak/>
        <w:t>Introduction</w:t>
      </w:r>
      <w:bookmarkEnd w:id="22"/>
      <w:bookmarkEnd w:id="23"/>
      <w:bookmarkEnd w:id="24"/>
      <w:bookmarkEnd w:id="25"/>
    </w:p>
    <w:p w:rsidR="004F0878" w:rsidRPr="000051B6" w:rsidRDefault="009270B5" w:rsidP="001222BC">
      <w:pPr>
        <w:pStyle w:val="Heading2"/>
        <w:spacing w:after="240"/>
        <w:ind w:left="578" w:hanging="578"/>
      </w:pPr>
      <w:bookmarkStart w:id="26" w:name="_Toc435611210"/>
      <w:r w:rsidRPr="000051B6">
        <w:t xml:space="preserve">Purpose </w:t>
      </w:r>
      <w:r w:rsidR="00032FB2" w:rsidRPr="000051B6">
        <w:t>of this report</w:t>
      </w:r>
      <w:bookmarkEnd w:id="26"/>
    </w:p>
    <w:p w:rsidR="00E168FA" w:rsidRPr="000051B6" w:rsidRDefault="0079205A" w:rsidP="00C227AA">
      <w:pPr>
        <w:pStyle w:val="BodyText"/>
      </w:pPr>
      <w:r w:rsidRPr="000051B6">
        <w:t xml:space="preserve">The Round 18 (2013-14) </w:t>
      </w:r>
      <w:r w:rsidR="008255A1" w:rsidRPr="000051B6">
        <w:t xml:space="preserve">private </w:t>
      </w:r>
      <w:r w:rsidR="0031569D" w:rsidRPr="000051B6">
        <w:t>s</w:t>
      </w:r>
      <w:r w:rsidR="002D317E" w:rsidRPr="000051B6">
        <w:t>ector</w:t>
      </w:r>
      <w:r w:rsidR="008255A1" w:rsidRPr="000051B6">
        <w:t xml:space="preserve"> National Hospital Cost Data Collection (NHCDC) </w:t>
      </w:r>
      <w:r w:rsidR="007439B9" w:rsidRPr="000051B6">
        <w:t>is</w:t>
      </w:r>
      <w:r w:rsidR="008255A1" w:rsidRPr="000051B6">
        <w:t xml:space="preserve"> a voluntary collection that produces a range of hospital cost and activity information </w:t>
      </w:r>
      <w:r w:rsidR="001762A0" w:rsidRPr="000051B6">
        <w:t xml:space="preserve">grouped </w:t>
      </w:r>
      <w:r w:rsidR="008255A1" w:rsidRPr="000051B6">
        <w:t>by Australian Refined Diagnosis Related Groups (AR-DRG).</w:t>
      </w:r>
      <w:r w:rsidR="00E168FA" w:rsidRPr="000051B6">
        <w:t xml:space="preserve"> </w:t>
      </w:r>
      <w:r w:rsidR="001762A0" w:rsidRPr="000051B6">
        <w:t xml:space="preserve">The </w:t>
      </w:r>
      <w:r w:rsidR="00442947" w:rsidRPr="000051B6">
        <w:t>Department of Health (DoH) defines a</w:t>
      </w:r>
      <w:r w:rsidR="001762A0" w:rsidRPr="000051B6">
        <w:t>n</w:t>
      </w:r>
      <w:r w:rsidR="00442947" w:rsidRPr="000051B6">
        <w:t xml:space="preserve"> </w:t>
      </w:r>
      <w:r w:rsidR="00E168FA" w:rsidRPr="000051B6">
        <w:t xml:space="preserve">AR-DRG </w:t>
      </w:r>
      <w:r w:rsidR="00442947" w:rsidRPr="000051B6">
        <w:t>as “</w:t>
      </w:r>
      <w:r w:rsidR="00E168FA" w:rsidRPr="000051B6">
        <w:t>a patient classification scheme which provides a means of relating the number and types of patients treated in a hospital to the resources required by the hospital, as represented by a code</w:t>
      </w:r>
      <w:r w:rsidR="00E168FA" w:rsidRPr="000051B6">
        <w:rPr>
          <w:rStyle w:val="FootnoteReference"/>
        </w:rPr>
        <w:footnoteReference w:id="3"/>
      </w:r>
      <w:r w:rsidR="00442947" w:rsidRPr="000051B6">
        <w:t>”</w:t>
      </w:r>
      <w:r w:rsidR="00E168FA" w:rsidRPr="000051B6">
        <w:t xml:space="preserve">.  The AR-DRG is derived from a range of data collected on admitted patients, including diagnosis and procedure information, classified using </w:t>
      </w:r>
      <w:r w:rsidR="002E33D0" w:rsidRPr="000051B6">
        <w:t>International Statistical Classification of Diseases and Related Health Problems, Tenth Revision, Australian Modification (</w:t>
      </w:r>
      <w:r w:rsidR="00E168FA" w:rsidRPr="000051B6">
        <w:t>ICD-10-AM</w:t>
      </w:r>
      <w:r w:rsidR="002E33D0" w:rsidRPr="000051B6">
        <w:t>)</w:t>
      </w:r>
      <w:r w:rsidR="00E168FA" w:rsidRPr="000051B6">
        <w:rPr>
          <w:rStyle w:val="FootnoteReference"/>
        </w:rPr>
        <w:footnoteReference w:id="4"/>
      </w:r>
      <w:r w:rsidR="002E33D0" w:rsidRPr="000051B6">
        <w:rPr>
          <w:rStyle w:val="FootnoteReference"/>
          <w:vertAlign w:val="baseline"/>
        </w:rPr>
        <w:t>.</w:t>
      </w:r>
    </w:p>
    <w:p w:rsidR="00815183" w:rsidRPr="000051B6" w:rsidRDefault="008255A1" w:rsidP="00E168FA">
      <w:pPr>
        <w:pStyle w:val="BodyText"/>
        <w:spacing w:after="0"/>
      </w:pPr>
      <w:r w:rsidRPr="000051B6">
        <w:t xml:space="preserve">This report documents the data, processes, methodology and results for acute admitted care provided by overnight private hospitals. </w:t>
      </w:r>
      <w:r w:rsidR="000A6874" w:rsidRPr="000051B6">
        <w:t xml:space="preserve">The results of the collection </w:t>
      </w:r>
      <w:r w:rsidR="0048777A" w:rsidRPr="000051B6">
        <w:t>are expressed as</w:t>
      </w:r>
      <w:r w:rsidR="000A6874" w:rsidRPr="000051B6">
        <w:t xml:space="preserve"> national cost weights </w:t>
      </w:r>
      <w:r w:rsidR="00815183" w:rsidRPr="000051B6">
        <w:t>b</w:t>
      </w:r>
      <w:r w:rsidR="000A6874" w:rsidRPr="000051B6">
        <w:t>y AR-DRG version 6.0x, and associated analytical tables.</w:t>
      </w:r>
    </w:p>
    <w:p w:rsidR="007D1132" w:rsidRPr="000051B6" w:rsidRDefault="003E74A5" w:rsidP="001222BC">
      <w:pPr>
        <w:pStyle w:val="Heading2"/>
        <w:spacing w:after="240"/>
        <w:ind w:left="578" w:hanging="578"/>
      </w:pPr>
      <w:bookmarkStart w:id="27" w:name="_Toc435611211"/>
      <w:r w:rsidRPr="000051B6">
        <w:t xml:space="preserve">Format of the </w:t>
      </w:r>
      <w:r w:rsidR="00C04FA6" w:rsidRPr="000051B6">
        <w:t>report</w:t>
      </w:r>
      <w:bookmarkEnd w:id="27"/>
      <w:r w:rsidRPr="000051B6">
        <w:t xml:space="preserve"> </w:t>
      </w:r>
    </w:p>
    <w:p w:rsidR="0043759A" w:rsidRPr="000051B6" w:rsidRDefault="000C33E8" w:rsidP="001222BC">
      <w:pPr>
        <w:pStyle w:val="CommentText"/>
        <w:spacing w:after="240"/>
      </w:pPr>
      <w:r w:rsidRPr="000051B6">
        <w:t xml:space="preserve">The report format is </w:t>
      </w:r>
      <w:r w:rsidR="007323AA" w:rsidRPr="000051B6">
        <w:t>structured</w:t>
      </w:r>
      <w:r w:rsidRPr="000051B6">
        <w:t xml:space="preserve"> </w:t>
      </w:r>
      <w:r w:rsidR="003D5326" w:rsidRPr="000051B6">
        <w:t xml:space="preserve">based </w:t>
      </w:r>
      <w:r w:rsidRPr="000051B6">
        <w:t xml:space="preserve">on Round 17 </w:t>
      </w:r>
      <w:r w:rsidR="002E33D0" w:rsidRPr="000051B6">
        <w:t xml:space="preserve">(2012-13) </w:t>
      </w:r>
      <w:r w:rsidRPr="000051B6">
        <w:t>privat</w:t>
      </w:r>
      <w:r w:rsidR="000B0029" w:rsidRPr="000051B6">
        <w:t>e overnight NHCDC which included</w:t>
      </w:r>
      <w:r w:rsidRPr="000051B6">
        <w:t xml:space="preserve"> </w:t>
      </w:r>
      <w:r w:rsidR="002F5C1D" w:rsidRPr="000051B6">
        <w:t>AR-</w:t>
      </w:r>
      <w:r w:rsidRPr="000051B6">
        <w:t>DRG aggregated data, cost weights and other cost relativities.</w:t>
      </w:r>
    </w:p>
    <w:p w:rsidR="007439B9" w:rsidRPr="000051B6" w:rsidRDefault="002F5C1D" w:rsidP="001222BC">
      <w:pPr>
        <w:pStyle w:val="BodyText"/>
      </w:pPr>
      <w:r w:rsidRPr="000051B6">
        <w:t>T</w:t>
      </w:r>
      <w:r w:rsidR="000C33E8" w:rsidRPr="000051B6">
        <w:t xml:space="preserve">he </w:t>
      </w:r>
      <w:r w:rsidRPr="000051B6">
        <w:t>AR-</w:t>
      </w:r>
      <w:r w:rsidR="007323AA" w:rsidRPr="000051B6">
        <w:t xml:space="preserve">DRG information </w:t>
      </w:r>
      <w:r w:rsidR="007439B9" w:rsidRPr="000051B6">
        <w:t>is</w:t>
      </w:r>
      <w:r w:rsidR="007323AA" w:rsidRPr="000051B6">
        <w:t xml:space="preserve"> displayed (as applicable) in the following </w:t>
      </w:r>
      <w:r w:rsidR="007439B9" w:rsidRPr="000051B6">
        <w:t>way</w:t>
      </w:r>
      <w:r w:rsidR="000C33E8" w:rsidRPr="000051B6">
        <w:t>:</w:t>
      </w:r>
    </w:p>
    <w:p w:rsidR="000C33E8" w:rsidRPr="000051B6" w:rsidRDefault="000C33E8" w:rsidP="00C71B05">
      <w:pPr>
        <w:pStyle w:val="ListParagraph"/>
        <w:numPr>
          <w:ilvl w:val="0"/>
          <w:numId w:val="31"/>
        </w:numPr>
        <w:ind w:left="851" w:hanging="284"/>
      </w:pPr>
      <w:r w:rsidRPr="000051B6">
        <w:t xml:space="preserve">Total </w:t>
      </w:r>
      <w:r w:rsidR="007D08AB" w:rsidRPr="000051B6">
        <w:t>cost weighted separation</w:t>
      </w:r>
      <w:r w:rsidRPr="000051B6">
        <w:t xml:space="preserve"> per AR-DRG;</w:t>
      </w:r>
    </w:p>
    <w:p w:rsidR="000C33E8" w:rsidRPr="000051B6" w:rsidRDefault="007D08AB" w:rsidP="00C71B05">
      <w:pPr>
        <w:pStyle w:val="ListParagraph"/>
        <w:numPr>
          <w:ilvl w:val="0"/>
          <w:numId w:val="31"/>
        </w:numPr>
        <w:ind w:left="851" w:hanging="284"/>
      </w:pPr>
      <w:r w:rsidRPr="000051B6">
        <w:t>Percentage of total DRG cost by t</w:t>
      </w:r>
      <w:r w:rsidR="007323AA" w:rsidRPr="000051B6">
        <w:t>otal</w:t>
      </w:r>
      <w:r w:rsidR="000C33E8" w:rsidRPr="000051B6">
        <w:t xml:space="preserve"> Operating Room</w:t>
      </w:r>
      <w:r w:rsidR="002D317E" w:rsidRPr="000051B6">
        <w:t xml:space="preserve"> (OR)</w:t>
      </w:r>
      <w:r w:rsidR="000C33E8" w:rsidRPr="000051B6">
        <w:t xml:space="preserve"> and Specialist Procedure Suites (SPS); </w:t>
      </w:r>
    </w:p>
    <w:p w:rsidR="000C33E8" w:rsidRPr="000051B6" w:rsidRDefault="007D08AB" w:rsidP="00C71B05">
      <w:pPr>
        <w:pStyle w:val="ListParagraph"/>
        <w:numPr>
          <w:ilvl w:val="0"/>
          <w:numId w:val="31"/>
        </w:numPr>
        <w:ind w:left="851" w:hanging="284"/>
      </w:pPr>
      <w:r w:rsidRPr="000051B6">
        <w:t>Percentage of total DRG cost by c</w:t>
      </w:r>
      <w:r w:rsidR="000C33E8" w:rsidRPr="000051B6">
        <w:t xml:space="preserve">ritical </w:t>
      </w:r>
      <w:r w:rsidRPr="000051B6">
        <w:t>c</w:t>
      </w:r>
      <w:r w:rsidR="000C33E8" w:rsidRPr="000051B6">
        <w:t>are;</w:t>
      </w:r>
    </w:p>
    <w:p w:rsidR="000C33E8" w:rsidRPr="000051B6" w:rsidRDefault="007D08AB" w:rsidP="00C71B05">
      <w:pPr>
        <w:pStyle w:val="ListParagraph"/>
        <w:numPr>
          <w:ilvl w:val="0"/>
          <w:numId w:val="31"/>
        </w:numPr>
        <w:ind w:left="851" w:hanging="284"/>
      </w:pPr>
      <w:r w:rsidRPr="000051B6">
        <w:t>Percentage of total DRG cost by p</w:t>
      </w:r>
      <w:r w:rsidR="000C33E8" w:rsidRPr="000051B6">
        <w:t xml:space="preserve">rostheses; and </w:t>
      </w:r>
    </w:p>
    <w:p w:rsidR="00BD3CE3" w:rsidRPr="000051B6" w:rsidRDefault="007D08AB" w:rsidP="001222BC">
      <w:pPr>
        <w:pStyle w:val="ListParagraph"/>
        <w:numPr>
          <w:ilvl w:val="0"/>
          <w:numId w:val="31"/>
        </w:numPr>
        <w:ind w:left="851" w:hanging="284"/>
      </w:pPr>
      <w:r w:rsidRPr="000051B6">
        <w:t>Percentage of total DRG cost by m</w:t>
      </w:r>
      <w:r w:rsidR="007323AA" w:rsidRPr="000051B6">
        <w:t>iscellaneous</w:t>
      </w:r>
      <w:r w:rsidR="000C33E8" w:rsidRPr="000051B6">
        <w:t>.</w:t>
      </w:r>
    </w:p>
    <w:p w:rsidR="00D6205F" w:rsidRPr="000051B6" w:rsidRDefault="007D08AB" w:rsidP="001222BC">
      <w:pPr>
        <w:pStyle w:val="ListBullet"/>
        <w:numPr>
          <w:ilvl w:val="0"/>
          <w:numId w:val="0"/>
        </w:numPr>
        <w:spacing w:before="240"/>
      </w:pPr>
      <w:r w:rsidRPr="000051B6">
        <w:t>F</w:t>
      </w:r>
      <w:r w:rsidR="007323AA" w:rsidRPr="000051B6">
        <w:t>or definitions</w:t>
      </w:r>
      <w:r w:rsidRPr="000051B6">
        <w:t xml:space="preserve"> of the cost buckets </w:t>
      </w:r>
      <w:r w:rsidR="007323AA" w:rsidRPr="000051B6">
        <w:t>please refer t</w:t>
      </w:r>
      <w:r w:rsidR="002E33D0" w:rsidRPr="000051B6">
        <w:t xml:space="preserve">o </w:t>
      </w:r>
      <w:r w:rsidR="002E33D0" w:rsidRPr="000051B6">
        <w:fldChar w:fldCharType="begin"/>
      </w:r>
      <w:r w:rsidR="002E33D0" w:rsidRPr="000051B6">
        <w:instrText xml:space="preserve"> REF _Ref431563279 \h </w:instrText>
      </w:r>
      <w:r w:rsidR="002E33D0" w:rsidRPr="000051B6">
        <w:fldChar w:fldCharType="separate"/>
      </w:r>
      <w:r w:rsidR="00E75057" w:rsidRPr="000051B6">
        <w:rPr>
          <w:rFonts w:asciiTheme="majorHAnsi" w:hAnsiTheme="majorHAnsi"/>
        </w:rPr>
        <w:t>Appendix E: Cost weight tables by AR-DRG</w:t>
      </w:r>
      <w:r w:rsidR="002E33D0" w:rsidRPr="000051B6">
        <w:fldChar w:fldCharType="end"/>
      </w:r>
      <w:r w:rsidR="005B63FC" w:rsidRPr="000051B6">
        <w:t xml:space="preserve"> or alternatively see Australian Hospital Patient Costing Standards version 3.1 (AHPCS v3.1) which is on IHPA website:</w:t>
      </w:r>
      <w:r w:rsidR="001222BC">
        <w:t xml:space="preserve"> </w:t>
      </w:r>
      <w:r w:rsidR="00FF42D5">
        <w:t>(</w:t>
      </w:r>
      <w:hyperlink r:id="rId17" w:history="1">
        <w:r w:rsidR="005B63FC" w:rsidRPr="000051B6">
          <w:rPr>
            <w:rStyle w:val="Hyperlink"/>
          </w:rPr>
          <w:t>http://www.ihpa.gov.au/internet/ihpa/publishing.nsf/Content/aust-costing-standards-2014-html</w:t>
        </w:r>
      </w:hyperlink>
      <w:r w:rsidR="00FF42D5">
        <w:t>).</w:t>
      </w:r>
    </w:p>
    <w:p w:rsidR="00DB2CCA" w:rsidRPr="000051B6" w:rsidRDefault="00DB2CCA" w:rsidP="001222BC">
      <w:pPr>
        <w:pStyle w:val="Heading2"/>
        <w:spacing w:after="240"/>
        <w:ind w:left="578" w:hanging="578"/>
      </w:pPr>
      <w:bookmarkStart w:id="28" w:name="_Toc435611212"/>
      <w:r w:rsidRPr="000051B6">
        <w:t xml:space="preserve">History of the private </w:t>
      </w:r>
      <w:r w:rsidR="0031569D" w:rsidRPr="000051B6">
        <w:t>s</w:t>
      </w:r>
      <w:r w:rsidR="002D317E" w:rsidRPr="000051B6">
        <w:t>ector</w:t>
      </w:r>
      <w:r w:rsidRPr="000051B6">
        <w:t xml:space="preserve"> NHCDC</w:t>
      </w:r>
      <w:bookmarkEnd w:id="28"/>
    </w:p>
    <w:p w:rsidR="00DB2CCA" w:rsidRPr="000051B6" w:rsidRDefault="00DB2CCA" w:rsidP="00DB2CCA">
      <w:pPr>
        <w:pStyle w:val="PwCNormal"/>
        <w:numPr>
          <w:ilvl w:val="0"/>
          <w:numId w:val="0"/>
        </w:numPr>
      </w:pPr>
      <w:r w:rsidRPr="000051B6">
        <w:t xml:space="preserve">Round 1 of the private </w:t>
      </w:r>
      <w:r w:rsidR="0031569D" w:rsidRPr="000051B6">
        <w:t>s</w:t>
      </w:r>
      <w:r w:rsidR="002D317E" w:rsidRPr="000051B6">
        <w:t>ector</w:t>
      </w:r>
      <w:r w:rsidRPr="000051B6">
        <w:t xml:space="preserve"> NHCDC was conducted in 1996-97 with 23 hospitals and 240,000 episodes being represented. Since then, the collection has grown steadily although no publication was released for round 8, 9, or Rounds 14 due to low participation rates. No collection was carried out for Round 10 or Round 15 (2010-11) as the </w:t>
      </w:r>
      <w:r w:rsidR="0031569D" w:rsidRPr="000051B6">
        <w:t>s</w:t>
      </w:r>
      <w:r w:rsidR="002D317E" w:rsidRPr="000051B6">
        <w:t>ector</w:t>
      </w:r>
      <w:r w:rsidRPr="000051B6">
        <w:t xml:space="preserve"> elected to bypass that year and move directly to the following round. T</w:t>
      </w:r>
      <w:r w:rsidR="00070BEA" w:rsidRPr="000051B6">
        <w:t>abl</w:t>
      </w:r>
      <w:r w:rsidRPr="000051B6">
        <w:t xml:space="preserve">e </w:t>
      </w:r>
      <w:r w:rsidR="00070BEA" w:rsidRPr="000051B6">
        <w:t xml:space="preserve">2 </w:t>
      </w:r>
      <w:r w:rsidRPr="000051B6">
        <w:t xml:space="preserve">below shows the participation rate for Round 18 and the last </w:t>
      </w:r>
      <w:r w:rsidR="00070BEA" w:rsidRPr="000051B6">
        <w:t>seven</w:t>
      </w:r>
      <w:r w:rsidRPr="000051B6">
        <w:t xml:space="preserve"> published rounds.</w:t>
      </w:r>
    </w:p>
    <w:p w:rsidR="00DB2CCA" w:rsidRDefault="00DB2CCA" w:rsidP="001222BC">
      <w:pPr>
        <w:pStyle w:val="Tablesheadings"/>
        <w:spacing w:after="240"/>
        <w:ind w:left="1418" w:hanging="1418"/>
        <w:rPr>
          <w:lang w:val="en-AU"/>
        </w:rPr>
      </w:pPr>
      <w:bookmarkStart w:id="29" w:name="_Toc432078941"/>
      <w:bookmarkStart w:id="30" w:name="_Toc435610608"/>
      <w:r w:rsidRPr="000051B6">
        <w:rPr>
          <w:lang w:val="en-AU"/>
        </w:rPr>
        <w:lastRenderedPageBreak/>
        <w:t xml:space="preserve">Table </w:t>
      </w:r>
      <w:r w:rsidR="006038DA" w:rsidRPr="000051B6">
        <w:rPr>
          <w:lang w:val="en-AU"/>
        </w:rPr>
        <w:t>2</w:t>
      </w:r>
      <w:r w:rsidRPr="000051B6">
        <w:rPr>
          <w:lang w:val="en-AU"/>
        </w:rPr>
        <w:tab/>
        <w:t>Summary of private hospital participation</w:t>
      </w:r>
      <w:bookmarkEnd w:id="29"/>
      <w:bookmarkEnd w:id="30"/>
      <w:r w:rsidRPr="000051B6">
        <w:rPr>
          <w:lang w:val="en-AU"/>
        </w:rPr>
        <w:t xml:space="preserve"> </w:t>
      </w:r>
    </w:p>
    <w:tbl>
      <w:tblPr>
        <w:tblW w:w="8180" w:type="dxa"/>
        <w:tblLook w:val="04A0" w:firstRow="1" w:lastRow="0" w:firstColumn="1" w:lastColumn="0" w:noHBand="0" w:noVBand="1"/>
        <w:tblCaption w:val="Table 2 summary of private hospital participation"/>
        <w:tblDescription w:val="Table 2 contains a summary of the private hospital participation in the NHCDC. Its columns span the Rounds from Round 7 to Round 18. Its rows are number of hospitals, sample separations, percentage of population separations and AR-DRG version."/>
      </w:tblPr>
      <w:tblGrid>
        <w:gridCol w:w="1756"/>
        <w:gridCol w:w="917"/>
        <w:gridCol w:w="918"/>
        <w:gridCol w:w="918"/>
        <w:gridCol w:w="918"/>
        <w:gridCol w:w="918"/>
        <w:gridCol w:w="918"/>
        <w:gridCol w:w="917"/>
      </w:tblGrid>
      <w:tr w:rsidR="006270FA" w:rsidRPr="006270FA" w:rsidTr="00B06E18">
        <w:trPr>
          <w:trHeight w:val="168"/>
        </w:trPr>
        <w:tc>
          <w:tcPr>
            <w:tcW w:w="1756" w:type="dxa"/>
            <w:vMerge w:val="restart"/>
            <w:tcBorders>
              <w:top w:val="single" w:sz="4" w:space="0" w:color="auto"/>
              <w:left w:val="nil"/>
              <w:bottom w:val="single" w:sz="4" w:space="0" w:color="000000"/>
              <w:right w:val="nil"/>
            </w:tcBorders>
            <w:shd w:val="clear" w:color="auto" w:fill="auto"/>
            <w:noWrap/>
            <w:hideMark/>
          </w:tcPr>
          <w:p w:rsidR="006270FA" w:rsidRPr="006270FA" w:rsidRDefault="006270FA" w:rsidP="006270FA">
            <w:pPr>
              <w:rPr>
                <w:b/>
                <w:bCs/>
                <w:snapToGrid/>
                <w:color w:val="A32020"/>
                <w:sz w:val="14"/>
                <w:szCs w:val="14"/>
                <w:lang w:eastAsia="en-AU"/>
              </w:rPr>
            </w:pPr>
            <w:r w:rsidRPr="006270FA">
              <w:rPr>
                <w:b/>
                <w:bCs/>
                <w:snapToGrid/>
                <w:color w:val="A32020"/>
                <w:sz w:val="14"/>
                <w:szCs w:val="14"/>
                <w:lang w:eastAsia="en-AU"/>
              </w:rPr>
              <w:t>Summary</w:t>
            </w:r>
          </w:p>
        </w:tc>
        <w:tc>
          <w:tcPr>
            <w:tcW w:w="917" w:type="dxa"/>
            <w:vMerge w:val="restart"/>
            <w:tcBorders>
              <w:top w:val="single" w:sz="4" w:space="0" w:color="auto"/>
              <w:left w:val="nil"/>
              <w:bottom w:val="single" w:sz="4" w:space="0" w:color="000000"/>
              <w:right w:val="nil"/>
            </w:tcBorders>
            <w:shd w:val="clear" w:color="auto" w:fill="auto"/>
            <w:hideMark/>
          </w:tcPr>
          <w:p w:rsidR="006270FA" w:rsidRPr="006270FA" w:rsidRDefault="006270FA" w:rsidP="006270FA">
            <w:pPr>
              <w:jc w:val="right"/>
              <w:rPr>
                <w:b/>
                <w:bCs/>
                <w:snapToGrid/>
                <w:color w:val="A32020"/>
                <w:sz w:val="14"/>
                <w:szCs w:val="14"/>
                <w:lang w:eastAsia="en-AU"/>
              </w:rPr>
            </w:pPr>
            <w:r w:rsidRPr="006270FA">
              <w:rPr>
                <w:b/>
                <w:bCs/>
                <w:snapToGrid/>
                <w:color w:val="A32020"/>
                <w:sz w:val="14"/>
                <w:szCs w:val="14"/>
                <w:lang w:eastAsia="en-AU"/>
              </w:rPr>
              <w:t>Round 7 2002-03</w:t>
            </w:r>
          </w:p>
        </w:tc>
        <w:tc>
          <w:tcPr>
            <w:tcW w:w="918" w:type="dxa"/>
            <w:vMerge w:val="restart"/>
            <w:tcBorders>
              <w:top w:val="single" w:sz="4" w:space="0" w:color="auto"/>
              <w:left w:val="nil"/>
              <w:bottom w:val="single" w:sz="4" w:space="0" w:color="000000"/>
              <w:right w:val="nil"/>
            </w:tcBorders>
            <w:shd w:val="clear" w:color="auto" w:fill="auto"/>
            <w:hideMark/>
          </w:tcPr>
          <w:p w:rsidR="006270FA" w:rsidRPr="006270FA" w:rsidRDefault="006270FA" w:rsidP="006270FA">
            <w:pPr>
              <w:jc w:val="right"/>
              <w:rPr>
                <w:b/>
                <w:bCs/>
                <w:snapToGrid/>
                <w:color w:val="A32020"/>
                <w:sz w:val="14"/>
                <w:szCs w:val="14"/>
                <w:lang w:eastAsia="en-AU"/>
              </w:rPr>
            </w:pPr>
            <w:r w:rsidRPr="006270FA">
              <w:rPr>
                <w:b/>
                <w:bCs/>
                <w:snapToGrid/>
                <w:color w:val="A32020"/>
                <w:sz w:val="14"/>
                <w:szCs w:val="14"/>
                <w:lang w:eastAsia="en-AU"/>
              </w:rPr>
              <w:t>Round 11 2006-07</w:t>
            </w:r>
          </w:p>
        </w:tc>
        <w:tc>
          <w:tcPr>
            <w:tcW w:w="918" w:type="dxa"/>
            <w:vMerge w:val="restart"/>
            <w:tcBorders>
              <w:top w:val="single" w:sz="4" w:space="0" w:color="auto"/>
              <w:left w:val="nil"/>
              <w:bottom w:val="single" w:sz="4" w:space="0" w:color="000000"/>
              <w:right w:val="nil"/>
            </w:tcBorders>
            <w:shd w:val="clear" w:color="auto" w:fill="auto"/>
            <w:hideMark/>
          </w:tcPr>
          <w:p w:rsidR="006270FA" w:rsidRPr="006270FA" w:rsidRDefault="006270FA" w:rsidP="006270FA">
            <w:pPr>
              <w:jc w:val="right"/>
              <w:rPr>
                <w:b/>
                <w:bCs/>
                <w:snapToGrid/>
                <w:color w:val="A32020"/>
                <w:sz w:val="14"/>
                <w:szCs w:val="14"/>
                <w:lang w:eastAsia="en-AU"/>
              </w:rPr>
            </w:pPr>
            <w:r w:rsidRPr="006270FA">
              <w:rPr>
                <w:b/>
                <w:bCs/>
                <w:snapToGrid/>
                <w:color w:val="A32020"/>
                <w:sz w:val="14"/>
                <w:szCs w:val="14"/>
                <w:lang w:eastAsia="en-AU"/>
              </w:rPr>
              <w:t>Round 12 2007-08</w:t>
            </w:r>
          </w:p>
        </w:tc>
        <w:tc>
          <w:tcPr>
            <w:tcW w:w="918" w:type="dxa"/>
            <w:vMerge w:val="restart"/>
            <w:tcBorders>
              <w:top w:val="single" w:sz="4" w:space="0" w:color="auto"/>
              <w:left w:val="nil"/>
              <w:bottom w:val="single" w:sz="4" w:space="0" w:color="000000"/>
              <w:right w:val="nil"/>
            </w:tcBorders>
            <w:shd w:val="clear" w:color="auto" w:fill="auto"/>
            <w:hideMark/>
          </w:tcPr>
          <w:p w:rsidR="006270FA" w:rsidRPr="006270FA" w:rsidRDefault="006270FA" w:rsidP="006270FA">
            <w:pPr>
              <w:jc w:val="right"/>
              <w:rPr>
                <w:b/>
                <w:bCs/>
                <w:snapToGrid/>
                <w:color w:val="A32020"/>
                <w:sz w:val="14"/>
                <w:szCs w:val="14"/>
                <w:lang w:eastAsia="en-AU"/>
              </w:rPr>
            </w:pPr>
            <w:r w:rsidRPr="006270FA">
              <w:rPr>
                <w:b/>
                <w:bCs/>
                <w:snapToGrid/>
                <w:color w:val="A32020"/>
                <w:sz w:val="14"/>
                <w:szCs w:val="14"/>
                <w:lang w:eastAsia="en-AU"/>
              </w:rPr>
              <w:t>Round 13 2008-09</w:t>
            </w:r>
          </w:p>
        </w:tc>
        <w:tc>
          <w:tcPr>
            <w:tcW w:w="918" w:type="dxa"/>
            <w:vMerge w:val="restart"/>
            <w:tcBorders>
              <w:top w:val="single" w:sz="4" w:space="0" w:color="auto"/>
              <w:left w:val="nil"/>
              <w:bottom w:val="single" w:sz="4" w:space="0" w:color="000000"/>
              <w:right w:val="nil"/>
            </w:tcBorders>
            <w:shd w:val="clear" w:color="auto" w:fill="auto"/>
            <w:hideMark/>
          </w:tcPr>
          <w:p w:rsidR="006270FA" w:rsidRPr="006270FA" w:rsidRDefault="006270FA" w:rsidP="006270FA">
            <w:pPr>
              <w:jc w:val="right"/>
              <w:rPr>
                <w:b/>
                <w:bCs/>
                <w:snapToGrid/>
                <w:color w:val="A32020"/>
                <w:sz w:val="14"/>
                <w:szCs w:val="14"/>
                <w:lang w:eastAsia="en-AU"/>
              </w:rPr>
            </w:pPr>
            <w:r w:rsidRPr="006270FA">
              <w:rPr>
                <w:b/>
                <w:bCs/>
                <w:snapToGrid/>
                <w:color w:val="A32020"/>
                <w:sz w:val="14"/>
                <w:szCs w:val="14"/>
                <w:lang w:eastAsia="en-AU"/>
              </w:rPr>
              <w:t>Round 16 2011-12</w:t>
            </w:r>
          </w:p>
        </w:tc>
        <w:tc>
          <w:tcPr>
            <w:tcW w:w="918" w:type="dxa"/>
            <w:vMerge w:val="restart"/>
            <w:tcBorders>
              <w:top w:val="single" w:sz="4" w:space="0" w:color="auto"/>
              <w:left w:val="nil"/>
              <w:bottom w:val="single" w:sz="4" w:space="0" w:color="000000"/>
              <w:right w:val="nil"/>
            </w:tcBorders>
            <w:shd w:val="clear" w:color="auto" w:fill="auto"/>
            <w:hideMark/>
          </w:tcPr>
          <w:p w:rsidR="006270FA" w:rsidRPr="006270FA" w:rsidRDefault="006270FA" w:rsidP="006270FA">
            <w:pPr>
              <w:jc w:val="right"/>
              <w:rPr>
                <w:b/>
                <w:bCs/>
                <w:snapToGrid/>
                <w:color w:val="A32020"/>
                <w:sz w:val="14"/>
                <w:szCs w:val="14"/>
                <w:lang w:eastAsia="en-AU"/>
              </w:rPr>
            </w:pPr>
            <w:r w:rsidRPr="006270FA">
              <w:rPr>
                <w:b/>
                <w:bCs/>
                <w:snapToGrid/>
                <w:color w:val="A32020"/>
                <w:sz w:val="14"/>
                <w:szCs w:val="14"/>
                <w:lang w:eastAsia="en-AU"/>
              </w:rPr>
              <w:t>Round 17 2012-13</w:t>
            </w:r>
          </w:p>
        </w:tc>
        <w:tc>
          <w:tcPr>
            <w:tcW w:w="917" w:type="dxa"/>
            <w:vMerge w:val="restart"/>
            <w:tcBorders>
              <w:top w:val="single" w:sz="4" w:space="0" w:color="auto"/>
              <w:left w:val="nil"/>
              <w:bottom w:val="single" w:sz="4" w:space="0" w:color="000000"/>
              <w:right w:val="nil"/>
            </w:tcBorders>
            <w:shd w:val="clear" w:color="auto" w:fill="F4CACA" w:themeFill="text2" w:themeFillTint="33"/>
            <w:hideMark/>
          </w:tcPr>
          <w:p w:rsidR="006270FA" w:rsidRPr="006270FA" w:rsidRDefault="006270FA" w:rsidP="006270FA">
            <w:pPr>
              <w:jc w:val="right"/>
              <w:rPr>
                <w:b/>
                <w:bCs/>
                <w:snapToGrid/>
                <w:color w:val="A32020"/>
                <w:sz w:val="14"/>
                <w:szCs w:val="14"/>
                <w:lang w:eastAsia="en-AU"/>
              </w:rPr>
            </w:pPr>
            <w:r w:rsidRPr="006270FA">
              <w:rPr>
                <w:b/>
                <w:bCs/>
                <w:snapToGrid/>
                <w:color w:val="A32020"/>
                <w:sz w:val="14"/>
                <w:szCs w:val="14"/>
                <w:lang w:eastAsia="en-AU"/>
              </w:rPr>
              <w:t>Round 18 2013-14</w:t>
            </w:r>
          </w:p>
        </w:tc>
      </w:tr>
      <w:tr w:rsidR="006270FA" w:rsidRPr="006270FA" w:rsidTr="00B06E18">
        <w:trPr>
          <w:trHeight w:val="168"/>
        </w:trPr>
        <w:tc>
          <w:tcPr>
            <w:tcW w:w="1756" w:type="dxa"/>
            <w:vMerge/>
            <w:tcBorders>
              <w:top w:val="single" w:sz="4" w:space="0" w:color="auto"/>
              <w:left w:val="nil"/>
              <w:bottom w:val="single" w:sz="4" w:space="0" w:color="000000"/>
              <w:right w:val="nil"/>
            </w:tcBorders>
            <w:vAlign w:val="center"/>
            <w:hideMark/>
          </w:tcPr>
          <w:p w:rsidR="006270FA" w:rsidRPr="006270FA" w:rsidRDefault="006270FA" w:rsidP="006270FA">
            <w:pPr>
              <w:rPr>
                <w:b/>
                <w:bCs/>
                <w:snapToGrid/>
                <w:color w:val="A32020"/>
                <w:sz w:val="14"/>
                <w:szCs w:val="14"/>
                <w:lang w:eastAsia="en-AU"/>
              </w:rPr>
            </w:pPr>
          </w:p>
        </w:tc>
        <w:tc>
          <w:tcPr>
            <w:tcW w:w="917" w:type="dxa"/>
            <w:vMerge/>
            <w:tcBorders>
              <w:top w:val="single" w:sz="4" w:space="0" w:color="auto"/>
              <w:left w:val="nil"/>
              <w:bottom w:val="single" w:sz="4" w:space="0" w:color="000000"/>
              <w:right w:val="nil"/>
            </w:tcBorders>
            <w:vAlign w:val="center"/>
            <w:hideMark/>
          </w:tcPr>
          <w:p w:rsidR="006270FA" w:rsidRPr="006270FA" w:rsidRDefault="006270FA" w:rsidP="006270FA">
            <w:pPr>
              <w:rPr>
                <w:b/>
                <w:bCs/>
                <w:snapToGrid/>
                <w:color w:val="A32020"/>
                <w:sz w:val="14"/>
                <w:szCs w:val="14"/>
                <w:lang w:eastAsia="en-AU"/>
              </w:rPr>
            </w:pPr>
          </w:p>
        </w:tc>
        <w:tc>
          <w:tcPr>
            <w:tcW w:w="918" w:type="dxa"/>
            <w:vMerge/>
            <w:tcBorders>
              <w:top w:val="single" w:sz="4" w:space="0" w:color="auto"/>
              <w:left w:val="nil"/>
              <w:bottom w:val="single" w:sz="4" w:space="0" w:color="000000"/>
              <w:right w:val="nil"/>
            </w:tcBorders>
            <w:vAlign w:val="center"/>
            <w:hideMark/>
          </w:tcPr>
          <w:p w:rsidR="006270FA" w:rsidRPr="006270FA" w:rsidRDefault="006270FA" w:rsidP="006270FA">
            <w:pPr>
              <w:rPr>
                <w:b/>
                <w:bCs/>
                <w:snapToGrid/>
                <w:color w:val="A32020"/>
                <w:sz w:val="14"/>
                <w:szCs w:val="14"/>
                <w:lang w:eastAsia="en-AU"/>
              </w:rPr>
            </w:pPr>
          </w:p>
        </w:tc>
        <w:tc>
          <w:tcPr>
            <w:tcW w:w="918" w:type="dxa"/>
            <w:vMerge/>
            <w:tcBorders>
              <w:top w:val="single" w:sz="4" w:space="0" w:color="auto"/>
              <w:left w:val="nil"/>
              <w:bottom w:val="single" w:sz="4" w:space="0" w:color="000000"/>
              <w:right w:val="nil"/>
            </w:tcBorders>
            <w:vAlign w:val="center"/>
            <w:hideMark/>
          </w:tcPr>
          <w:p w:rsidR="006270FA" w:rsidRPr="006270FA" w:rsidRDefault="006270FA" w:rsidP="006270FA">
            <w:pPr>
              <w:rPr>
                <w:b/>
                <w:bCs/>
                <w:snapToGrid/>
                <w:color w:val="A32020"/>
                <w:sz w:val="14"/>
                <w:szCs w:val="14"/>
                <w:lang w:eastAsia="en-AU"/>
              </w:rPr>
            </w:pPr>
          </w:p>
        </w:tc>
        <w:tc>
          <w:tcPr>
            <w:tcW w:w="918" w:type="dxa"/>
            <w:vMerge/>
            <w:tcBorders>
              <w:top w:val="single" w:sz="4" w:space="0" w:color="auto"/>
              <w:left w:val="nil"/>
              <w:bottom w:val="single" w:sz="4" w:space="0" w:color="000000"/>
              <w:right w:val="nil"/>
            </w:tcBorders>
            <w:vAlign w:val="center"/>
            <w:hideMark/>
          </w:tcPr>
          <w:p w:rsidR="006270FA" w:rsidRPr="006270FA" w:rsidRDefault="006270FA" w:rsidP="006270FA">
            <w:pPr>
              <w:rPr>
                <w:b/>
                <w:bCs/>
                <w:snapToGrid/>
                <w:color w:val="A32020"/>
                <w:sz w:val="14"/>
                <w:szCs w:val="14"/>
                <w:lang w:eastAsia="en-AU"/>
              </w:rPr>
            </w:pPr>
          </w:p>
        </w:tc>
        <w:tc>
          <w:tcPr>
            <w:tcW w:w="918" w:type="dxa"/>
            <w:vMerge/>
            <w:tcBorders>
              <w:top w:val="single" w:sz="4" w:space="0" w:color="auto"/>
              <w:left w:val="nil"/>
              <w:bottom w:val="single" w:sz="4" w:space="0" w:color="000000"/>
              <w:right w:val="nil"/>
            </w:tcBorders>
            <w:vAlign w:val="center"/>
            <w:hideMark/>
          </w:tcPr>
          <w:p w:rsidR="006270FA" w:rsidRPr="006270FA" w:rsidRDefault="006270FA" w:rsidP="006270FA">
            <w:pPr>
              <w:rPr>
                <w:b/>
                <w:bCs/>
                <w:snapToGrid/>
                <w:color w:val="A32020"/>
                <w:sz w:val="14"/>
                <w:szCs w:val="14"/>
                <w:lang w:eastAsia="en-AU"/>
              </w:rPr>
            </w:pPr>
          </w:p>
        </w:tc>
        <w:tc>
          <w:tcPr>
            <w:tcW w:w="918" w:type="dxa"/>
            <w:vMerge/>
            <w:tcBorders>
              <w:top w:val="single" w:sz="4" w:space="0" w:color="auto"/>
              <w:left w:val="nil"/>
              <w:bottom w:val="single" w:sz="4" w:space="0" w:color="000000"/>
              <w:right w:val="nil"/>
            </w:tcBorders>
            <w:vAlign w:val="center"/>
            <w:hideMark/>
          </w:tcPr>
          <w:p w:rsidR="006270FA" w:rsidRPr="006270FA" w:rsidRDefault="006270FA" w:rsidP="006270FA">
            <w:pPr>
              <w:rPr>
                <w:b/>
                <w:bCs/>
                <w:snapToGrid/>
                <w:color w:val="A32020"/>
                <w:sz w:val="14"/>
                <w:szCs w:val="14"/>
                <w:lang w:eastAsia="en-AU"/>
              </w:rPr>
            </w:pPr>
          </w:p>
        </w:tc>
        <w:tc>
          <w:tcPr>
            <w:tcW w:w="917" w:type="dxa"/>
            <w:vMerge/>
            <w:tcBorders>
              <w:top w:val="single" w:sz="4" w:space="0" w:color="auto"/>
              <w:left w:val="nil"/>
              <w:bottom w:val="single" w:sz="4" w:space="0" w:color="000000"/>
              <w:right w:val="nil"/>
            </w:tcBorders>
            <w:shd w:val="clear" w:color="auto" w:fill="F4CACA" w:themeFill="text2" w:themeFillTint="33"/>
            <w:vAlign w:val="center"/>
            <w:hideMark/>
          </w:tcPr>
          <w:p w:rsidR="006270FA" w:rsidRPr="006270FA" w:rsidRDefault="006270FA" w:rsidP="006270FA">
            <w:pPr>
              <w:rPr>
                <w:b/>
                <w:bCs/>
                <w:snapToGrid/>
                <w:color w:val="A32020"/>
                <w:sz w:val="14"/>
                <w:szCs w:val="14"/>
                <w:lang w:eastAsia="en-AU"/>
              </w:rPr>
            </w:pPr>
          </w:p>
        </w:tc>
      </w:tr>
      <w:tr w:rsidR="006270FA" w:rsidRPr="006270FA" w:rsidTr="00B06E18">
        <w:trPr>
          <w:trHeight w:val="360"/>
        </w:trPr>
        <w:tc>
          <w:tcPr>
            <w:tcW w:w="1756" w:type="dxa"/>
            <w:tcBorders>
              <w:top w:val="nil"/>
              <w:left w:val="nil"/>
              <w:bottom w:val="nil"/>
              <w:right w:val="nil"/>
            </w:tcBorders>
            <w:shd w:val="clear" w:color="auto" w:fill="auto"/>
            <w:noWrap/>
            <w:vAlign w:val="bottom"/>
            <w:hideMark/>
          </w:tcPr>
          <w:p w:rsidR="006270FA" w:rsidRPr="006270FA" w:rsidRDefault="006270FA" w:rsidP="006270FA">
            <w:pPr>
              <w:rPr>
                <w:snapToGrid/>
                <w:color w:val="000000"/>
                <w:sz w:val="14"/>
                <w:szCs w:val="14"/>
                <w:lang w:eastAsia="en-AU"/>
              </w:rPr>
            </w:pPr>
            <w:r w:rsidRPr="006270FA">
              <w:rPr>
                <w:snapToGrid/>
                <w:color w:val="000000"/>
                <w:sz w:val="14"/>
                <w:szCs w:val="14"/>
                <w:lang w:eastAsia="en-AU"/>
              </w:rPr>
              <w:t>Number of hospitals</w:t>
            </w:r>
          </w:p>
        </w:tc>
        <w:tc>
          <w:tcPr>
            <w:tcW w:w="917" w:type="dxa"/>
            <w:tcBorders>
              <w:top w:val="nil"/>
              <w:left w:val="nil"/>
              <w:bottom w:val="nil"/>
              <w:right w:val="nil"/>
            </w:tcBorders>
            <w:shd w:val="clear" w:color="auto" w:fill="auto"/>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113</w:t>
            </w:r>
          </w:p>
        </w:tc>
        <w:tc>
          <w:tcPr>
            <w:tcW w:w="918" w:type="dxa"/>
            <w:tcBorders>
              <w:top w:val="nil"/>
              <w:left w:val="nil"/>
              <w:bottom w:val="nil"/>
              <w:right w:val="nil"/>
            </w:tcBorders>
            <w:shd w:val="clear" w:color="auto" w:fill="auto"/>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82</w:t>
            </w:r>
          </w:p>
        </w:tc>
        <w:tc>
          <w:tcPr>
            <w:tcW w:w="918" w:type="dxa"/>
            <w:tcBorders>
              <w:top w:val="nil"/>
              <w:left w:val="nil"/>
              <w:bottom w:val="nil"/>
              <w:right w:val="nil"/>
            </w:tcBorders>
            <w:shd w:val="clear" w:color="auto" w:fill="auto"/>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109</w:t>
            </w:r>
          </w:p>
        </w:tc>
        <w:tc>
          <w:tcPr>
            <w:tcW w:w="918" w:type="dxa"/>
            <w:tcBorders>
              <w:top w:val="nil"/>
              <w:left w:val="nil"/>
              <w:bottom w:val="nil"/>
              <w:right w:val="nil"/>
            </w:tcBorders>
            <w:shd w:val="clear" w:color="auto" w:fill="auto"/>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110</w:t>
            </w:r>
          </w:p>
        </w:tc>
        <w:tc>
          <w:tcPr>
            <w:tcW w:w="918" w:type="dxa"/>
            <w:tcBorders>
              <w:top w:val="nil"/>
              <w:left w:val="nil"/>
              <w:bottom w:val="nil"/>
              <w:right w:val="nil"/>
            </w:tcBorders>
            <w:shd w:val="clear" w:color="auto" w:fill="auto"/>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105</w:t>
            </w:r>
          </w:p>
        </w:tc>
        <w:tc>
          <w:tcPr>
            <w:tcW w:w="918" w:type="dxa"/>
            <w:tcBorders>
              <w:top w:val="nil"/>
              <w:left w:val="nil"/>
              <w:bottom w:val="nil"/>
              <w:right w:val="nil"/>
            </w:tcBorders>
            <w:shd w:val="clear" w:color="auto" w:fill="auto"/>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95</w:t>
            </w:r>
          </w:p>
        </w:tc>
        <w:tc>
          <w:tcPr>
            <w:tcW w:w="917" w:type="dxa"/>
            <w:tcBorders>
              <w:top w:val="nil"/>
              <w:left w:val="nil"/>
              <w:bottom w:val="nil"/>
              <w:right w:val="nil"/>
            </w:tcBorders>
            <w:shd w:val="clear" w:color="auto" w:fill="F4CACA" w:themeFill="text2" w:themeFillTint="33"/>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96</w:t>
            </w:r>
          </w:p>
        </w:tc>
      </w:tr>
      <w:tr w:rsidR="006270FA" w:rsidRPr="006270FA" w:rsidTr="00B06E18">
        <w:trPr>
          <w:trHeight w:val="360"/>
        </w:trPr>
        <w:tc>
          <w:tcPr>
            <w:tcW w:w="1756" w:type="dxa"/>
            <w:tcBorders>
              <w:top w:val="nil"/>
              <w:left w:val="nil"/>
              <w:bottom w:val="nil"/>
              <w:right w:val="nil"/>
            </w:tcBorders>
            <w:shd w:val="clear" w:color="auto" w:fill="auto"/>
            <w:noWrap/>
            <w:vAlign w:val="bottom"/>
            <w:hideMark/>
          </w:tcPr>
          <w:p w:rsidR="006270FA" w:rsidRPr="006270FA" w:rsidRDefault="006270FA" w:rsidP="006270FA">
            <w:pPr>
              <w:rPr>
                <w:snapToGrid/>
                <w:color w:val="000000"/>
                <w:sz w:val="14"/>
                <w:szCs w:val="14"/>
                <w:lang w:eastAsia="en-AU"/>
              </w:rPr>
            </w:pPr>
            <w:r w:rsidRPr="006270FA">
              <w:rPr>
                <w:snapToGrid/>
                <w:color w:val="000000"/>
                <w:sz w:val="14"/>
                <w:szCs w:val="14"/>
                <w:lang w:eastAsia="en-AU"/>
              </w:rPr>
              <w:t>Sample Separations</w:t>
            </w:r>
          </w:p>
        </w:tc>
        <w:tc>
          <w:tcPr>
            <w:tcW w:w="917" w:type="dxa"/>
            <w:tcBorders>
              <w:top w:val="nil"/>
              <w:left w:val="nil"/>
              <w:bottom w:val="nil"/>
              <w:right w:val="nil"/>
            </w:tcBorders>
            <w:shd w:val="clear" w:color="auto" w:fill="auto"/>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1,240,388</w:t>
            </w:r>
          </w:p>
        </w:tc>
        <w:tc>
          <w:tcPr>
            <w:tcW w:w="918" w:type="dxa"/>
            <w:tcBorders>
              <w:top w:val="nil"/>
              <w:left w:val="nil"/>
              <w:bottom w:val="nil"/>
              <w:right w:val="nil"/>
            </w:tcBorders>
            <w:shd w:val="clear" w:color="auto" w:fill="auto"/>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1,297,147</w:t>
            </w:r>
          </w:p>
        </w:tc>
        <w:tc>
          <w:tcPr>
            <w:tcW w:w="918" w:type="dxa"/>
            <w:tcBorders>
              <w:top w:val="nil"/>
              <w:left w:val="nil"/>
              <w:bottom w:val="nil"/>
              <w:right w:val="nil"/>
            </w:tcBorders>
            <w:shd w:val="clear" w:color="auto" w:fill="auto"/>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1,607,678</w:t>
            </w:r>
          </w:p>
        </w:tc>
        <w:tc>
          <w:tcPr>
            <w:tcW w:w="918" w:type="dxa"/>
            <w:tcBorders>
              <w:top w:val="nil"/>
              <w:left w:val="nil"/>
              <w:bottom w:val="nil"/>
              <w:right w:val="nil"/>
            </w:tcBorders>
            <w:shd w:val="clear" w:color="auto" w:fill="auto"/>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1,648,989</w:t>
            </w:r>
          </w:p>
        </w:tc>
        <w:tc>
          <w:tcPr>
            <w:tcW w:w="918" w:type="dxa"/>
            <w:tcBorders>
              <w:top w:val="nil"/>
              <w:left w:val="nil"/>
              <w:bottom w:val="nil"/>
              <w:right w:val="nil"/>
            </w:tcBorders>
            <w:shd w:val="clear" w:color="auto" w:fill="auto"/>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1,775,059</w:t>
            </w:r>
          </w:p>
        </w:tc>
        <w:tc>
          <w:tcPr>
            <w:tcW w:w="918" w:type="dxa"/>
            <w:tcBorders>
              <w:top w:val="nil"/>
              <w:left w:val="nil"/>
              <w:bottom w:val="nil"/>
              <w:right w:val="nil"/>
            </w:tcBorders>
            <w:shd w:val="clear" w:color="auto" w:fill="auto"/>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1,650,816</w:t>
            </w:r>
          </w:p>
        </w:tc>
        <w:tc>
          <w:tcPr>
            <w:tcW w:w="917" w:type="dxa"/>
            <w:tcBorders>
              <w:top w:val="nil"/>
              <w:left w:val="nil"/>
              <w:bottom w:val="nil"/>
              <w:right w:val="nil"/>
            </w:tcBorders>
            <w:shd w:val="clear" w:color="auto" w:fill="F4CACA" w:themeFill="text2" w:themeFillTint="33"/>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1,697,311</w:t>
            </w:r>
          </w:p>
        </w:tc>
      </w:tr>
      <w:tr w:rsidR="006270FA" w:rsidRPr="006270FA" w:rsidTr="00B06E18">
        <w:trPr>
          <w:trHeight w:val="360"/>
        </w:trPr>
        <w:tc>
          <w:tcPr>
            <w:tcW w:w="1756" w:type="dxa"/>
            <w:tcBorders>
              <w:top w:val="nil"/>
              <w:left w:val="nil"/>
              <w:bottom w:val="nil"/>
              <w:right w:val="nil"/>
            </w:tcBorders>
            <w:shd w:val="clear" w:color="auto" w:fill="auto"/>
            <w:vAlign w:val="bottom"/>
            <w:hideMark/>
          </w:tcPr>
          <w:p w:rsidR="006270FA" w:rsidRPr="006270FA" w:rsidRDefault="006270FA" w:rsidP="006270FA">
            <w:pPr>
              <w:rPr>
                <w:snapToGrid/>
                <w:color w:val="000000"/>
                <w:sz w:val="14"/>
                <w:szCs w:val="14"/>
                <w:lang w:eastAsia="en-AU"/>
              </w:rPr>
            </w:pPr>
            <w:r w:rsidRPr="006270FA">
              <w:rPr>
                <w:snapToGrid/>
                <w:color w:val="000000"/>
                <w:sz w:val="14"/>
                <w:szCs w:val="14"/>
                <w:lang w:eastAsia="en-AU"/>
              </w:rPr>
              <w:t>Percentage of population separations</w:t>
            </w:r>
          </w:p>
        </w:tc>
        <w:tc>
          <w:tcPr>
            <w:tcW w:w="917" w:type="dxa"/>
            <w:tcBorders>
              <w:top w:val="nil"/>
              <w:left w:val="nil"/>
              <w:bottom w:val="nil"/>
              <w:right w:val="nil"/>
            </w:tcBorders>
            <w:shd w:val="clear" w:color="auto" w:fill="auto"/>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65%</w:t>
            </w:r>
          </w:p>
        </w:tc>
        <w:tc>
          <w:tcPr>
            <w:tcW w:w="918" w:type="dxa"/>
            <w:tcBorders>
              <w:top w:val="nil"/>
              <w:left w:val="nil"/>
              <w:bottom w:val="nil"/>
              <w:right w:val="nil"/>
            </w:tcBorders>
            <w:shd w:val="clear" w:color="auto" w:fill="auto"/>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59%</w:t>
            </w:r>
          </w:p>
        </w:tc>
        <w:tc>
          <w:tcPr>
            <w:tcW w:w="918" w:type="dxa"/>
            <w:tcBorders>
              <w:top w:val="nil"/>
              <w:left w:val="nil"/>
              <w:bottom w:val="nil"/>
              <w:right w:val="nil"/>
            </w:tcBorders>
            <w:shd w:val="clear" w:color="auto" w:fill="auto"/>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72%</w:t>
            </w:r>
          </w:p>
        </w:tc>
        <w:tc>
          <w:tcPr>
            <w:tcW w:w="918" w:type="dxa"/>
            <w:tcBorders>
              <w:top w:val="nil"/>
              <w:left w:val="nil"/>
              <w:bottom w:val="nil"/>
              <w:right w:val="nil"/>
            </w:tcBorders>
            <w:shd w:val="clear" w:color="auto" w:fill="auto"/>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71%</w:t>
            </w:r>
          </w:p>
        </w:tc>
        <w:tc>
          <w:tcPr>
            <w:tcW w:w="918" w:type="dxa"/>
            <w:tcBorders>
              <w:top w:val="nil"/>
              <w:left w:val="nil"/>
              <w:bottom w:val="nil"/>
              <w:right w:val="nil"/>
            </w:tcBorders>
            <w:shd w:val="clear" w:color="auto" w:fill="auto"/>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66%</w:t>
            </w:r>
          </w:p>
        </w:tc>
        <w:tc>
          <w:tcPr>
            <w:tcW w:w="918" w:type="dxa"/>
            <w:tcBorders>
              <w:top w:val="nil"/>
              <w:left w:val="nil"/>
              <w:bottom w:val="nil"/>
              <w:right w:val="nil"/>
            </w:tcBorders>
            <w:shd w:val="clear" w:color="auto" w:fill="auto"/>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60%</w:t>
            </w:r>
          </w:p>
        </w:tc>
        <w:tc>
          <w:tcPr>
            <w:tcW w:w="917" w:type="dxa"/>
            <w:tcBorders>
              <w:top w:val="nil"/>
              <w:left w:val="nil"/>
              <w:bottom w:val="nil"/>
              <w:right w:val="nil"/>
            </w:tcBorders>
            <w:shd w:val="clear" w:color="auto" w:fill="F4CACA" w:themeFill="text2" w:themeFillTint="33"/>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60%</w:t>
            </w:r>
          </w:p>
        </w:tc>
      </w:tr>
      <w:tr w:rsidR="006270FA" w:rsidRPr="006270FA" w:rsidTr="00B06E18">
        <w:trPr>
          <w:trHeight w:val="360"/>
        </w:trPr>
        <w:tc>
          <w:tcPr>
            <w:tcW w:w="1756" w:type="dxa"/>
            <w:tcBorders>
              <w:top w:val="nil"/>
              <w:left w:val="nil"/>
              <w:bottom w:val="single" w:sz="4" w:space="0" w:color="auto"/>
              <w:right w:val="nil"/>
            </w:tcBorders>
            <w:shd w:val="clear" w:color="auto" w:fill="auto"/>
            <w:noWrap/>
            <w:vAlign w:val="bottom"/>
            <w:hideMark/>
          </w:tcPr>
          <w:p w:rsidR="006270FA" w:rsidRPr="006270FA" w:rsidRDefault="006270FA" w:rsidP="006270FA">
            <w:pPr>
              <w:rPr>
                <w:snapToGrid/>
                <w:color w:val="000000"/>
                <w:sz w:val="14"/>
                <w:szCs w:val="14"/>
                <w:lang w:eastAsia="en-AU"/>
              </w:rPr>
            </w:pPr>
            <w:r w:rsidRPr="006270FA">
              <w:rPr>
                <w:snapToGrid/>
                <w:color w:val="000000"/>
                <w:sz w:val="14"/>
                <w:szCs w:val="14"/>
                <w:lang w:eastAsia="en-AU"/>
              </w:rPr>
              <w:t>AR-DRG version</w:t>
            </w:r>
          </w:p>
        </w:tc>
        <w:tc>
          <w:tcPr>
            <w:tcW w:w="917" w:type="dxa"/>
            <w:tcBorders>
              <w:top w:val="nil"/>
              <w:left w:val="nil"/>
              <w:bottom w:val="single" w:sz="4" w:space="0" w:color="auto"/>
              <w:right w:val="nil"/>
            </w:tcBorders>
            <w:shd w:val="clear" w:color="auto" w:fill="auto"/>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4.2</w:t>
            </w:r>
          </w:p>
        </w:tc>
        <w:tc>
          <w:tcPr>
            <w:tcW w:w="918" w:type="dxa"/>
            <w:tcBorders>
              <w:top w:val="nil"/>
              <w:left w:val="nil"/>
              <w:bottom w:val="single" w:sz="4" w:space="0" w:color="auto"/>
              <w:right w:val="nil"/>
            </w:tcBorders>
            <w:shd w:val="clear" w:color="auto" w:fill="auto"/>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4.2</w:t>
            </w:r>
          </w:p>
        </w:tc>
        <w:tc>
          <w:tcPr>
            <w:tcW w:w="918" w:type="dxa"/>
            <w:tcBorders>
              <w:top w:val="nil"/>
              <w:left w:val="nil"/>
              <w:bottom w:val="single" w:sz="4" w:space="0" w:color="auto"/>
              <w:right w:val="nil"/>
            </w:tcBorders>
            <w:shd w:val="clear" w:color="auto" w:fill="auto"/>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4.2</w:t>
            </w:r>
          </w:p>
        </w:tc>
        <w:tc>
          <w:tcPr>
            <w:tcW w:w="918" w:type="dxa"/>
            <w:tcBorders>
              <w:top w:val="nil"/>
              <w:left w:val="nil"/>
              <w:bottom w:val="single" w:sz="4" w:space="0" w:color="auto"/>
              <w:right w:val="nil"/>
            </w:tcBorders>
            <w:shd w:val="clear" w:color="auto" w:fill="auto"/>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5.1</w:t>
            </w:r>
          </w:p>
        </w:tc>
        <w:tc>
          <w:tcPr>
            <w:tcW w:w="918" w:type="dxa"/>
            <w:tcBorders>
              <w:top w:val="nil"/>
              <w:left w:val="nil"/>
              <w:bottom w:val="single" w:sz="4" w:space="0" w:color="auto"/>
              <w:right w:val="nil"/>
            </w:tcBorders>
            <w:shd w:val="clear" w:color="auto" w:fill="auto"/>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6.0x</w:t>
            </w:r>
          </w:p>
        </w:tc>
        <w:tc>
          <w:tcPr>
            <w:tcW w:w="918" w:type="dxa"/>
            <w:tcBorders>
              <w:top w:val="nil"/>
              <w:left w:val="nil"/>
              <w:bottom w:val="single" w:sz="4" w:space="0" w:color="auto"/>
              <w:right w:val="nil"/>
            </w:tcBorders>
            <w:shd w:val="clear" w:color="auto" w:fill="auto"/>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6.0x</w:t>
            </w:r>
          </w:p>
        </w:tc>
        <w:tc>
          <w:tcPr>
            <w:tcW w:w="917" w:type="dxa"/>
            <w:tcBorders>
              <w:top w:val="nil"/>
              <w:left w:val="nil"/>
              <w:bottom w:val="single" w:sz="4" w:space="0" w:color="auto"/>
              <w:right w:val="nil"/>
            </w:tcBorders>
            <w:shd w:val="clear" w:color="auto" w:fill="F4CACA" w:themeFill="text2" w:themeFillTint="33"/>
            <w:noWrap/>
            <w:vAlign w:val="bottom"/>
            <w:hideMark/>
          </w:tcPr>
          <w:p w:rsidR="006270FA" w:rsidRPr="006270FA" w:rsidRDefault="006270FA" w:rsidP="006270FA">
            <w:pPr>
              <w:jc w:val="right"/>
              <w:rPr>
                <w:snapToGrid/>
                <w:color w:val="000000"/>
                <w:sz w:val="14"/>
                <w:szCs w:val="14"/>
                <w:lang w:eastAsia="en-AU"/>
              </w:rPr>
            </w:pPr>
            <w:r w:rsidRPr="006270FA">
              <w:rPr>
                <w:snapToGrid/>
                <w:color w:val="000000"/>
                <w:sz w:val="14"/>
                <w:szCs w:val="14"/>
                <w:lang w:eastAsia="en-AU"/>
              </w:rPr>
              <w:t>6.0x</w:t>
            </w:r>
          </w:p>
        </w:tc>
      </w:tr>
    </w:tbl>
    <w:p w:rsidR="00D6205F" w:rsidRPr="000051B6" w:rsidRDefault="00D6205F" w:rsidP="001222BC">
      <w:pPr>
        <w:pStyle w:val="Heading2"/>
        <w:spacing w:after="240"/>
        <w:ind w:left="578" w:hanging="578"/>
      </w:pPr>
      <w:bookmarkStart w:id="31" w:name="_Toc435611213"/>
      <w:r w:rsidRPr="000051B6">
        <w:t xml:space="preserve">Background </w:t>
      </w:r>
      <w:r w:rsidR="006D316A" w:rsidRPr="000051B6">
        <w:t xml:space="preserve">statistics for the </w:t>
      </w:r>
      <w:r w:rsidR="0031569D" w:rsidRPr="000051B6">
        <w:t>s</w:t>
      </w:r>
      <w:r w:rsidR="002D317E" w:rsidRPr="000051B6">
        <w:t>ector</w:t>
      </w:r>
      <w:r w:rsidR="001762A0" w:rsidRPr="000051B6">
        <w:t xml:space="preserve"> for Round 18</w:t>
      </w:r>
      <w:r w:rsidR="00C14189" w:rsidRPr="000051B6">
        <w:t xml:space="preserve"> (</w:t>
      </w:r>
      <w:r w:rsidRPr="000051B6">
        <w:t>2013-14</w:t>
      </w:r>
      <w:r w:rsidR="00C14189" w:rsidRPr="000051B6">
        <w:t>)</w:t>
      </w:r>
      <w:bookmarkEnd w:id="31"/>
    </w:p>
    <w:p w:rsidR="00D6205F" w:rsidRPr="000051B6" w:rsidRDefault="00C14189" w:rsidP="00D6205F">
      <w:pPr>
        <w:pStyle w:val="ListBullet"/>
        <w:numPr>
          <w:ilvl w:val="0"/>
          <w:numId w:val="0"/>
        </w:numPr>
      </w:pPr>
      <w:r w:rsidRPr="000051B6">
        <w:t>T</w:t>
      </w:r>
      <w:r w:rsidR="00D6205F" w:rsidRPr="000051B6">
        <w:t>he Australian Bureau of Statistics (ABS)</w:t>
      </w:r>
      <w:r w:rsidR="00D6205F" w:rsidRPr="000051B6">
        <w:rPr>
          <w:rStyle w:val="FootnoteReference"/>
        </w:rPr>
        <w:footnoteReference w:id="5"/>
      </w:r>
      <w:r w:rsidRPr="000051B6">
        <w:t xml:space="preserve"> reported that </w:t>
      </w:r>
      <w:r w:rsidR="00D6205F" w:rsidRPr="000051B6">
        <w:t xml:space="preserve">there were 612 private hospitals operating in Australia in 2013-14, a net increase of 11 from 2012-13. There were four additional Acute and psychiatric </w:t>
      </w:r>
      <w:r w:rsidR="000B0029" w:rsidRPr="000051B6">
        <w:t>hospitals and seven additional f</w:t>
      </w:r>
      <w:r w:rsidR="00D6205F" w:rsidRPr="000051B6">
        <w:t xml:space="preserve">ree-standing day hospitals in 2013-14. </w:t>
      </w:r>
    </w:p>
    <w:p w:rsidR="001222BC" w:rsidRDefault="00D6205F" w:rsidP="00D6205F">
      <w:pPr>
        <w:pStyle w:val="ListBullet"/>
        <w:numPr>
          <w:ilvl w:val="0"/>
          <w:numId w:val="0"/>
        </w:numPr>
      </w:pPr>
      <w:r w:rsidRPr="000051B6">
        <w:t xml:space="preserve">There were 30,920 beds and chairs available in private hospitals in 2013-14. Acute and psychiatric hospitals accounted for 27,943 or 90.4% of all beds and chairs, with the remaining 2,977 located in </w:t>
      </w:r>
      <w:r w:rsidR="000B0029" w:rsidRPr="000051B6">
        <w:t>f</w:t>
      </w:r>
      <w:r w:rsidRPr="000051B6">
        <w:t>ree-standing day hospital facilities.</w:t>
      </w:r>
    </w:p>
    <w:p w:rsidR="001222BC" w:rsidRDefault="00D6205F" w:rsidP="00D6205F">
      <w:pPr>
        <w:pStyle w:val="ListBullet"/>
        <w:numPr>
          <w:ilvl w:val="0"/>
          <w:numId w:val="0"/>
        </w:numPr>
      </w:pPr>
      <w:r w:rsidRPr="000051B6">
        <w:t>There were over 4.3 million patient separations in 2013-14, with 74.1% of those separations reported by acute and psychiatric hospitals. Total patient separations increased by 4.0% from 2012-13 to 2013-14.</w:t>
      </w:r>
    </w:p>
    <w:p w:rsidR="00263ADB" w:rsidRPr="000051B6" w:rsidRDefault="00D6205F" w:rsidP="00D6205F">
      <w:pPr>
        <w:pStyle w:val="ListBullet"/>
        <w:numPr>
          <w:ilvl w:val="0"/>
          <w:numId w:val="0"/>
        </w:numPr>
      </w:pPr>
      <w:r w:rsidRPr="000051B6">
        <w:t>Private hospitals provi</w:t>
      </w:r>
      <w:r w:rsidR="000B0029" w:rsidRPr="000051B6">
        <w:t>ded close to 10 million patient</w:t>
      </w:r>
      <w:r w:rsidRPr="000051B6">
        <w:t xml:space="preserve"> days of care in 2013-14. Acute and psychiatric hospitals provided 8.8 million, or 88.7% of all patient days. Within acute and psychiatric hospitals, overnight-stay patients accounted for 6.</w:t>
      </w:r>
      <w:r w:rsidR="000B0029" w:rsidRPr="000051B6">
        <w:t>9 million patient days and same-</w:t>
      </w:r>
      <w:r w:rsidRPr="000051B6">
        <w:t>day patients accou</w:t>
      </w:r>
      <w:r w:rsidR="001222BC">
        <w:t>nted for a further 1.9 million.</w:t>
      </w:r>
    </w:p>
    <w:p w:rsidR="00D6205F" w:rsidRPr="000051B6" w:rsidRDefault="00D6205F" w:rsidP="00D6205F">
      <w:pPr>
        <w:pStyle w:val="ListBullet"/>
        <w:numPr>
          <w:ilvl w:val="0"/>
          <w:numId w:val="0"/>
        </w:numPr>
      </w:pPr>
      <w:r w:rsidRPr="000051B6">
        <w:t>Private hospitals reported a total of 1,448 operating theatres in 2013-14</w:t>
      </w:r>
      <w:r w:rsidR="000B0029" w:rsidRPr="000051B6">
        <w:t xml:space="preserve"> with 1,097 (75.8%) located in a</w:t>
      </w:r>
      <w:r w:rsidRPr="000051B6">
        <w:t>cute and psychiatric hospitals.</w:t>
      </w:r>
    </w:p>
    <w:p w:rsidR="00B740A3" w:rsidRPr="000051B6" w:rsidRDefault="00B740A3" w:rsidP="001222BC">
      <w:pPr>
        <w:pStyle w:val="Heading2"/>
        <w:spacing w:after="240"/>
        <w:ind w:left="578" w:hanging="578"/>
      </w:pPr>
      <w:bookmarkStart w:id="32" w:name="_Toc401133774"/>
      <w:bookmarkStart w:id="33" w:name="_Toc401133808"/>
      <w:bookmarkStart w:id="34" w:name="_Ref404224472"/>
      <w:bookmarkStart w:id="35" w:name="_Toc435611214"/>
      <w:r w:rsidRPr="000051B6">
        <w:t>Scope of this collection</w:t>
      </w:r>
      <w:bookmarkEnd w:id="32"/>
      <w:bookmarkEnd w:id="33"/>
      <w:bookmarkEnd w:id="34"/>
      <w:bookmarkEnd w:id="35"/>
    </w:p>
    <w:p w:rsidR="00C14189" w:rsidRPr="000051B6" w:rsidRDefault="00AC5B84" w:rsidP="00452AF1">
      <w:pPr>
        <w:pStyle w:val="BodyText"/>
      </w:pPr>
      <w:r w:rsidRPr="000051B6">
        <w:t xml:space="preserve">The scope of the private hospital overnight cost data collection </w:t>
      </w:r>
      <w:r w:rsidR="000B0029" w:rsidRPr="000051B6">
        <w:t>wa</w:t>
      </w:r>
      <w:r w:rsidRPr="000051B6">
        <w:t>s for admitted acute patients only.  This include</w:t>
      </w:r>
      <w:r w:rsidR="000B0029" w:rsidRPr="000051B6">
        <w:t>d</w:t>
      </w:r>
      <w:r w:rsidRPr="000051B6">
        <w:t xml:space="preserve"> patients that </w:t>
      </w:r>
      <w:r w:rsidR="000B0029" w:rsidRPr="000051B6">
        <w:t>we</w:t>
      </w:r>
      <w:r w:rsidRPr="000051B6">
        <w:t xml:space="preserve">re admitted to a hospital, </w:t>
      </w:r>
      <w:r w:rsidR="000B0029" w:rsidRPr="000051B6">
        <w:t>we</w:t>
      </w:r>
      <w:r w:rsidRPr="000051B6">
        <w:t xml:space="preserve">re </w:t>
      </w:r>
      <w:r w:rsidR="00D6205F" w:rsidRPr="000051B6">
        <w:t>classified under</w:t>
      </w:r>
      <w:r w:rsidRPr="000051B6">
        <w:t xml:space="preserve"> the AR-DRG classification and ha</w:t>
      </w:r>
      <w:r w:rsidR="000B0029" w:rsidRPr="000051B6">
        <w:t>d</w:t>
      </w:r>
      <w:r w:rsidRPr="000051B6">
        <w:t xml:space="preserve"> a care type of </w:t>
      </w:r>
      <w:r w:rsidR="005744D0" w:rsidRPr="000051B6">
        <w:t xml:space="preserve">acute admitted or </w:t>
      </w:r>
      <w:r w:rsidR="003277F2">
        <w:t xml:space="preserve">qualified </w:t>
      </w:r>
      <w:r w:rsidR="005744D0" w:rsidRPr="000051B6">
        <w:t>newborn</w:t>
      </w:r>
      <w:r w:rsidR="00C14189" w:rsidRPr="000051B6">
        <w:t xml:space="preserve"> (see section</w:t>
      </w:r>
      <w:r w:rsidR="005744D0" w:rsidRPr="000051B6">
        <w:t xml:space="preserve"> </w:t>
      </w:r>
      <w:r w:rsidR="005744D0" w:rsidRPr="000051B6">
        <w:fldChar w:fldCharType="begin"/>
      </w:r>
      <w:r w:rsidR="005744D0" w:rsidRPr="000051B6">
        <w:instrText xml:space="preserve"> REF _Ref431567066 \w \h </w:instrText>
      </w:r>
      <w:r w:rsidR="005744D0" w:rsidRPr="000051B6">
        <w:fldChar w:fldCharType="separate"/>
      </w:r>
      <w:r w:rsidR="00E75057">
        <w:t>2.6</w:t>
      </w:r>
      <w:r w:rsidR="005744D0" w:rsidRPr="000051B6">
        <w:fldChar w:fldCharType="end"/>
      </w:r>
      <w:r w:rsidR="007439B9" w:rsidRPr="000051B6">
        <w:t xml:space="preserve"> </w:t>
      </w:r>
      <w:r w:rsidR="005744D0" w:rsidRPr="000051B6">
        <w:fldChar w:fldCharType="begin"/>
      </w:r>
      <w:r w:rsidR="005744D0" w:rsidRPr="000051B6">
        <w:instrText xml:space="preserve"> REF _Ref431567057 \h </w:instrText>
      </w:r>
      <w:r w:rsidR="005744D0" w:rsidRPr="000051B6">
        <w:fldChar w:fldCharType="separate"/>
      </w:r>
      <w:r w:rsidR="00E75057" w:rsidRPr="000051B6">
        <w:t>Care types included in this collection</w:t>
      </w:r>
      <w:r w:rsidR="005744D0" w:rsidRPr="000051B6">
        <w:fldChar w:fldCharType="end"/>
      </w:r>
      <w:r w:rsidR="00C14189" w:rsidRPr="000051B6">
        <w:t>)</w:t>
      </w:r>
      <w:r w:rsidRPr="000051B6">
        <w:rPr>
          <w:rStyle w:val="FootnoteReference"/>
        </w:rPr>
        <w:footnoteReference w:id="6"/>
      </w:r>
      <w:r w:rsidR="001222BC">
        <w:t>.</w:t>
      </w:r>
    </w:p>
    <w:p w:rsidR="00E91EBA" w:rsidRPr="000051B6" w:rsidRDefault="00AC5B84" w:rsidP="001222BC">
      <w:pPr>
        <w:pStyle w:val="BodyText"/>
      </w:pPr>
      <w:r w:rsidRPr="000051B6">
        <w:t xml:space="preserve">Any private </w:t>
      </w:r>
      <w:r w:rsidR="0031569D" w:rsidRPr="000051B6">
        <w:t>s</w:t>
      </w:r>
      <w:r w:rsidR="002D317E" w:rsidRPr="000051B6">
        <w:t>ector</w:t>
      </w:r>
      <w:r w:rsidR="00886AE6" w:rsidRPr="000051B6">
        <w:t xml:space="preserve"> overnight </w:t>
      </w:r>
      <w:r w:rsidR="00D6205F" w:rsidRPr="000051B6">
        <w:t>facilities</w:t>
      </w:r>
      <w:r w:rsidRPr="000051B6">
        <w:t xml:space="preserve"> that ha</w:t>
      </w:r>
      <w:r w:rsidR="000B0029" w:rsidRPr="000051B6">
        <w:t>d</w:t>
      </w:r>
      <w:r w:rsidRPr="000051B6">
        <w:t xml:space="preserve"> admitted acute separations in the year 2013-14 financial year </w:t>
      </w:r>
      <w:r w:rsidR="000B0029" w:rsidRPr="000051B6">
        <w:t>we</w:t>
      </w:r>
      <w:r w:rsidRPr="000051B6">
        <w:t>re invited to participate. (Ple</w:t>
      </w:r>
      <w:r w:rsidR="000B0029" w:rsidRPr="000051B6">
        <w:t>ase note that stand alone same-</w:t>
      </w:r>
      <w:r w:rsidRPr="000051B6">
        <w:t xml:space="preserve">day facilities </w:t>
      </w:r>
      <w:r w:rsidR="000B0029" w:rsidRPr="000051B6">
        <w:t xml:space="preserve">fall under </w:t>
      </w:r>
      <w:r w:rsidRPr="000051B6">
        <w:t>a separate collection).</w:t>
      </w:r>
    </w:p>
    <w:p w:rsidR="007C67BF" w:rsidRPr="000051B6" w:rsidRDefault="00AC5B84" w:rsidP="00E91EBA">
      <w:pPr>
        <w:pStyle w:val="BodyText"/>
        <w:spacing w:after="0"/>
      </w:pPr>
      <w:r w:rsidRPr="000051B6">
        <w:lastRenderedPageBreak/>
        <w:t xml:space="preserve">For this report the classification of an overnight hospital </w:t>
      </w:r>
      <w:r w:rsidR="004C394C" w:rsidRPr="000051B6">
        <w:t>wa</w:t>
      </w:r>
      <w:r w:rsidRPr="000051B6">
        <w:t>s having performed over 200 acute admitted separations within the financial year 2013-14</w:t>
      </w:r>
      <w:r w:rsidR="007C67BF" w:rsidRPr="000051B6">
        <w:t xml:space="preserve">. </w:t>
      </w:r>
      <w:r w:rsidR="00374319" w:rsidRPr="000051B6">
        <w:t xml:space="preserve">This defines the population from </w:t>
      </w:r>
      <w:r w:rsidR="00A55313" w:rsidRPr="000051B6">
        <w:t>w</w:t>
      </w:r>
      <w:r w:rsidR="000B0029" w:rsidRPr="000051B6">
        <w:t>hich the sample was</w:t>
      </w:r>
      <w:r w:rsidR="00374319" w:rsidRPr="000051B6">
        <w:t xml:space="preserve"> drawn. </w:t>
      </w:r>
    </w:p>
    <w:p w:rsidR="00D5212A" w:rsidRPr="000051B6" w:rsidRDefault="006D316A" w:rsidP="001222BC">
      <w:pPr>
        <w:pStyle w:val="Heading2"/>
        <w:spacing w:after="240"/>
        <w:ind w:left="578" w:hanging="578"/>
      </w:pPr>
      <w:bookmarkStart w:id="36" w:name="_Ref431567057"/>
      <w:bookmarkStart w:id="37" w:name="_Ref431567066"/>
      <w:bookmarkStart w:id="38" w:name="_Toc435611215"/>
      <w:r w:rsidRPr="000051B6">
        <w:t>Care t</w:t>
      </w:r>
      <w:r w:rsidR="00D5212A" w:rsidRPr="000051B6">
        <w:t>ypes included in this collection</w:t>
      </w:r>
      <w:bookmarkEnd w:id="36"/>
      <w:bookmarkEnd w:id="37"/>
      <w:bookmarkEnd w:id="38"/>
    </w:p>
    <w:p w:rsidR="00A64FC1" w:rsidRPr="000051B6" w:rsidRDefault="00A20851" w:rsidP="007825DC">
      <w:pPr>
        <w:spacing w:after="240"/>
      </w:pPr>
      <w:r w:rsidRPr="000051B6">
        <w:t>Acute admitted care</w:t>
      </w:r>
      <w:r w:rsidR="00D5212A" w:rsidRPr="000051B6">
        <w:t xml:space="preserve"> type 1.0</w:t>
      </w:r>
      <w:r w:rsidRPr="000051B6">
        <w:t xml:space="preserve"> </w:t>
      </w:r>
      <w:r w:rsidR="00481975" w:rsidRPr="000051B6">
        <w:t xml:space="preserve">is </w:t>
      </w:r>
      <w:r w:rsidR="00565C5F" w:rsidRPr="000051B6">
        <w:t xml:space="preserve">defined </w:t>
      </w:r>
      <w:r w:rsidRPr="000051B6">
        <w:t xml:space="preserve">by </w:t>
      </w:r>
      <w:r w:rsidR="00A55313" w:rsidRPr="000051B6">
        <w:t>DoH</w:t>
      </w:r>
      <w:r w:rsidRPr="000051B6">
        <w:rPr>
          <w:rStyle w:val="FootnoteReference"/>
        </w:rPr>
        <w:footnoteReference w:id="7"/>
      </w:r>
      <w:r w:rsidR="00886AE6" w:rsidRPr="000051B6">
        <w:t xml:space="preserve"> as </w:t>
      </w:r>
      <w:r w:rsidRPr="000051B6">
        <w:t>“Acute care is care in which the clinical intent or treatment goal is to: manage labour (obstetric); cure illness or provide definitive treatment of injury; perform surgery; relieve symptoms of illness or injury (excluding palliative care); reduce severity of an illness or injury; protect against exacerbation and/or complication of an illness and/or injury which could threaten life or normal function; perform diagnostic or therapeutic procedures.”</w:t>
      </w:r>
    </w:p>
    <w:p w:rsidR="00A64FC1" w:rsidRPr="000051B6" w:rsidRDefault="00263ADB" w:rsidP="00A64FC1">
      <w:r w:rsidRPr="000051B6">
        <w:t>Newborn care type</w:t>
      </w:r>
      <w:r w:rsidR="00D5212A" w:rsidRPr="000051B6">
        <w:t xml:space="preserve"> 7.0</w:t>
      </w:r>
      <w:r w:rsidR="00A64FC1" w:rsidRPr="000051B6">
        <w:t xml:space="preserve"> is defined by DoH</w:t>
      </w:r>
      <w:r w:rsidR="00A64FC1" w:rsidRPr="000051B6">
        <w:rPr>
          <w:rStyle w:val="FootnoteReference"/>
        </w:rPr>
        <w:footnoteReference w:id="8"/>
      </w:r>
      <w:r w:rsidR="00A64FC1" w:rsidRPr="000051B6">
        <w:t xml:space="preserve">  as “Newborn care is initiated when the patient is born in hospital or is nine days old or less at the time of admission. Newborn care continues until the care type changes or the patient is separated:</w:t>
      </w:r>
    </w:p>
    <w:p w:rsidR="00A64FC1" w:rsidRPr="000051B6" w:rsidRDefault="00A64FC1" w:rsidP="00C71B05">
      <w:pPr>
        <w:pStyle w:val="ListParagraph"/>
        <w:numPr>
          <w:ilvl w:val="0"/>
          <w:numId w:val="31"/>
        </w:numPr>
        <w:ind w:left="851" w:hanging="284"/>
      </w:pPr>
      <w:r w:rsidRPr="000051B6">
        <w:t>Patients who turn 10 days of age and do not require clinical care are separated and, if they remain in the hospital, are designated as boarders.</w:t>
      </w:r>
    </w:p>
    <w:p w:rsidR="00A64FC1" w:rsidRPr="000051B6" w:rsidRDefault="00A64FC1" w:rsidP="00C71B05">
      <w:pPr>
        <w:pStyle w:val="ListParagraph"/>
        <w:numPr>
          <w:ilvl w:val="0"/>
          <w:numId w:val="31"/>
        </w:numPr>
        <w:ind w:left="851" w:hanging="284"/>
      </w:pPr>
      <w:r w:rsidRPr="000051B6">
        <w:t>Patients who turn 10 days of age and require clinical care continue in a newborn episode of care until separated.</w:t>
      </w:r>
    </w:p>
    <w:p w:rsidR="00A64FC1" w:rsidRPr="000051B6" w:rsidRDefault="00A64FC1" w:rsidP="00C71B05">
      <w:pPr>
        <w:pStyle w:val="ListParagraph"/>
        <w:numPr>
          <w:ilvl w:val="0"/>
          <w:numId w:val="31"/>
        </w:numPr>
        <w:ind w:left="851" w:hanging="284"/>
      </w:pPr>
      <w:r w:rsidRPr="000051B6">
        <w:t>Patients aged less than 10 days and not admitted at birth (e.g. transferred from another hospital) are admitted with newborn care type.</w:t>
      </w:r>
    </w:p>
    <w:p w:rsidR="00D5212A" w:rsidRPr="000051B6" w:rsidRDefault="00A64FC1" w:rsidP="00C71B05">
      <w:pPr>
        <w:pStyle w:val="ListParagraph"/>
        <w:numPr>
          <w:ilvl w:val="0"/>
          <w:numId w:val="31"/>
        </w:numPr>
        <w:ind w:left="851" w:hanging="284"/>
      </w:pPr>
      <w:r w:rsidRPr="000051B6">
        <w:t>Patients aged greater than 9 days not previously admitted (</w:t>
      </w:r>
      <w:r w:rsidR="00D5212A" w:rsidRPr="000051B6">
        <w:t>e.g.</w:t>
      </w:r>
      <w:r w:rsidRPr="000051B6">
        <w:t xml:space="preserve"> transferred from another hospital) are either boarders or admitted with </w:t>
      </w:r>
      <w:r w:rsidR="00D5212A" w:rsidRPr="000051B6">
        <w:t>an acute care type.</w:t>
      </w:r>
    </w:p>
    <w:p w:rsidR="00A64FC1" w:rsidRPr="000051B6" w:rsidRDefault="00D5212A" w:rsidP="00C71B05">
      <w:pPr>
        <w:pStyle w:val="ListParagraph"/>
        <w:numPr>
          <w:ilvl w:val="0"/>
          <w:numId w:val="31"/>
        </w:numPr>
        <w:ind w:left="851" w:hanging="284"/>
      </w:pPr>
      <w:r w:rsidRPr="000051B6">
        <w:t>Within a</w:t>
      </w:r>
      <w:r w:rsidR="00A64FC1" w:rsidRPr="000051B6">
        <w:t xml:space="preserve"> newborn episode of care, until the baby turns 10 days of age, each day is either a qualified or unqualified day</w:t>
      </w:r>
      <w:r w:rsidRPr="000051B6">
        <w:t>.</w:t>
      </w:r>
    </w:p>
    <w:p w:rsidR="00D5212A" w:rsidRPr="000051B6" w:rsidRDefault="00D5212A" w:rsidP="007825DC">
      <w:pPr>
        <w:pStyle w:val="ListParagraph"/>
        <w:numPr>
          <w:ilvl w:val="0"/>
          <w:numId w:val="31"/>
        </w:numPr>
        <w:ind w:left="851" w:hanging="284"/>
      </w:pPr>
      <w:r w:rsidRPr="000051B6">
        <w:t>A</w:t>
      </w:r>
      <w:r w:rsidR="00A64FC1" w:rsidRPr="000051B6">
        <w:t xml:space="preserve"> newborn is qualified when it meets at least one of the criteria detailed in Newborn qualification status.</w:t>
      </w:r>
    </w:p>
    <w:p w:rsidR="00886AE6" w:rsidRPr="000051B6" w:rsidRDefault="00A64FC1" w:rsidP="007825DC">
      <w:pPr>
        <w:pStyle w:val="ListBullet"/>
        <w:numPr>
          <w:ilvl w:val="0"/>
          <w:numId w:val="0"/>
        </w:numPr>
        <w:spacing w:before="240" w:after="0"/>
      </w:pPr>
      <w:r w:rsidRPr="000051B6">
        <w:t>Within a newborn episode of care, each day after the baby turns 10 days of age is counted as a qualified patient day. Newborn qualified days are equivalent to acute days and may be denoted as such.</w:t>
      </w:r>
      <w:r w:rsidR="00292C9D" w:rsidRPr="000051B6">
        <w:t>”</w:t>
      </w:r>
    </w:p>
    <w:p w:rsidR="00D5212A" w:rsidRPr="000051B6" w:rsidRDefault="00D5212A" w:rsidP="001222BC">
      <w:pPr>
        <w:pStyle w:val="Heading2"/>
        <w:spacing w:after="240"/>
      </w:pPr>
      <w:bookmarkStart w:id="39" w:name="_Ref432079162"/>
      <w:bookmarkStart w:id="40" w:name="_Ref432079169"/>
      <w:bookmarkStart w:id="41" w:name="_Toc435611216"/>
      <w:r w:rsidRPr="000051B6">
        <w:t>In or out of scope separation</w:t>
      </w:r>
      <w:bookmarkEnd w:id="39"/>
      <w:bookmarkEnd w:id="40"/>
      <w:bookmarkEnd w:id="41"/>
    </w:p>
    <w:p w:rsidR="00E83750" w:rsidRPr="000051B6" w:rsidRDefault="00D6205F" w:rsidP="001222BC">
      <w:pPr>
        <w:pStyle w:val="ListBullet"/>
        <w:numPr>
          <w:ilvl w:val="0"/>
          <w:numId w:val="0"/>
        </w:numPr>
      </w:pPr>
      <w:r w:rsidRPr="000051B6">
        <w:t>For this report a</w:t>
      </w:r>
      <w:r w:rsidR="00263ADB" w:rsidRPr="000051B6">
        <w:t>n</w:t>
      </w:r>
      <w:r w:rsidRPr="000051B6">
        <w:t xml:space="preserve"> </w:t>
      </w:r>
      <w:r w:rsidR="00263ADB" w:rsidRPr="000051B6">
        <w:t xml:space="preserve">acute admitted </w:t>
      </w:r>
      <w:r w:rsidRPr="000051B6">
        <w:t xml:space="preserve">separation is defined as in or out of scope based on </w:t>
      </w:r>
      <w:r w:rsidR="007439B9" w:rsidRPr="000051B6">
        <w:t xml:space="preserve">the care </w:t>
      </w:r>
      <w:r w:rsidR="00E83750" w:rsidRPr="000051B6">
        <w:t>type of the patient</w:t>
      </w:r>
      <w:r w:rsidR="007439B9" w:rsidRPr="000051B6">
        <w:t xml:space="preserve"> and the four admission and discharge scenarios</w:t>
      </w:r>
      <w:r w:rsidR="00E83750" w:rsidRPr="000051B6">
        <w:t>.</w:t>
      </w:r>
    </w:p>
    <w:p w:rsidR="007439B9" w:rsidRPr="000051B6" w:rsidRDefault="007439B9" w:rsidP="00E83750">
      <w:pPr>
        <w:pStyle w:val="ListBullet"/>
        <w:numPr>
          <w:ilvl w:val="0"/>
          <w:numId w:val="0"/>
        </w:numPr>
        <w:spacing w:after="0"/>
        <w:rPr>
          <w:color w:val="A32020" w:themeColor="text2"/>
        </w:rPr>
      </w:pPr>
      <w:r w:rsidRPr="000051B6">
        <w:rPr>
          <w:color w:val="A32020" w:themeColor="text2"/>
        </w:rPr>
        <w:t>Care Type</w:t>
      </w:r>
    </w:p>
    <w:p w:rsidR="00992D0E" w:rsidRPr="007825DC" w:rsidRDefault="00E83750" w:rsidP="007825DC">
      <w:pPr>
        <w:pStyle w:val="ListBullet"/>
        <w:numPr>
          <w:ilvl w:val="0"/>
          <w:numId w:val="0"/>
        </w:numPr>
      </w:pPr>
      <w:r w:rsidRPr="000051B6">
        <w:t>Firstly, the costs and separations associated with acute admitted care and newborn care with qualified care days (as defined in previous section) are in scope.  Therefore these separations are included in the calculation of the AR-DRG cost weights. The costs associated with unqualified neonate separations</w:t>
      </w:r>
      <w:r w:rsidRPr="000051B6">
        <w:rPr>
          <w:rStyle w:val="FootnoteReference"/>
        </w:rPr>
        <w:footnoteReference w:id="9"/>
      </w:r>
      <w:r w:rsidRPr="000051B6">
        <w:t xml:space="preserve"> have been included in the costs of care on an adjusted basis.  This is the neonate adjustment please refer to</w:t>
      </w:r>
      <w:r w:rsidR="00992D0E">
        <w:t xml:space="preserve"> </w:t>
      </w:r>
      <w:r w:rsidR="00992D0E">
        <w:fldChar w:fldCharType="begin"/>
      </w:r>
      <w:r w:rsidR="00992D0E">
        <w:instrText xml:space="preserve"> REF _Ref433966171 \h </w:instrText>
      </w:r>
      <w:r w:rsidR="00992D0E">
        <w:fldChar w:fldCharType="separate"/>
      </w:r>
      <w:r w:rsidR="00E75057" w:rsidRPr="000051B6">
        <w:rPr>
          <w:rFonts w:asciiTheme="majorHAnsi" w:hAnsiTheme="majorHAnsi"/>
        </w:rPr>
        <w:t xml:space="preserve">Appendix C: </w:t>
      </w:r>
      <w:r w:rsidR="00E75057">
        <w:rPr>
          <w:rFonts w:asciiTheme="majorHAnsi" w:hAnsiTheme="majorHAnsi"/>
        </w:rPr>
        <w:t>Detailed methodology</w:t>
      </w:r>
      <w:r w:rsidR="00992D0E">
        <w:fldChar w:fldCharType="end"/>
      </w:r>
      <w:r w:rsidR="001A481E" w:rsidRPr="000051B6">
        <w:t xml:space="preserve">  </w:t>
      </w:r>
      <w:r w:rsidR="00992D0E">
        <w:t>for details on the neonatal adjustment</w:t>
      </w:r>
      <w:r w:rsidR="001222BC">
        <w:t>.</w:t>
      </w:r>
      <w:r w:rsidR="00992D0E">
        <w:rPr>
          <w:color w:val="A32020" w:themeColor="text2"/>
        </w:rPr>
        <w:br w:type="page"/>
      </w:r>
    </w:p>
    <w:p w:rsidR="007439B9" w:rsidRPr="000051B6" w:rsidRDefault="007439B9" w:rsidP="007439B9">
      <w:pPr>
        <w:pStyle w:val="ListBullet"/>
        <w:numPr>
          <w:ilvl w:val="0"/>
          <w:numId w:val="0"/>
        </w:numPr>
        <w:spacing w:after="0"/>
      </w:pPr>
      <w:r w:rsidRPr="000051B6">
        <w:rPr>
          <w:color w:val="A32020" w:themeColor="text2"/>
        </w:rPr>
        <w:lastRenderedPageBreak/>
        <w:t>Four admission and discharge scenarios</w:t>
      </w:r>
    </w:p>
    <w:p w:rsidR="007439B9" w:rsidRPr="000051B6" w:rsidRDefault="00E83750" w:rsidP="007825DC">
      <w:pPr>
        <w:pStyle w:val="ListBullet"/>
        <w:numPr>
          <w:ilvl w:val="0"/>
          <w:numId w:val="0"/>
        </w:numPr>
      </w:pPr>
      <w:r w:rsidRPr="000051B6">
        <w:t xml:space="preserve">Secondly, the following scenarios below and as illustrated in </w:t>
      </w:r>
      <w:r w:rsidR="00070BEA" w:rsidRPr="000051B6">
        <w:t xml:space="preserve">figure 1 </w:t>
      </w:r>
      <w:r w:rsidRPr="000051B6">
        <w:t>are taken into account.</w:t>
      </w:r>
    </w:p>
    <w:p w:rsidR="007439B9" w:rsidRPr="000051B6" w:rsidRDefault="007439B9" w:rsidP="007439B9">
      <w:pPr>
        <w:pStyle w:val="ListBullet"/>
        <w:numPr>
          <w:ilvl w:val="0"/>
          <w:numId w:val="0"/>
        </w:numPr>
        <w:spacing w:after="0"/>
        <w:rPr>
          <w:color w:val="A32020" w:themeColor="text2"/>
        </w:rPr>
      </w:pPr>
      <w:r w:rsidRPr="000051B6">
        <w:rPr>
          <w:color w:val="A32020" w:themeColor="text2"/>
        </w:rPr>
        <w:t>In scope</w:t>
      </w:r>
    </w:p>
    <w:p w:rsidR="00FD77C8" w:rsidRPr="000051B6" w:rsidRDefault="00FD77C8" w:rsidP="007825DC">
      <w:pPr>
        <w:pStyle w:val="ListBullet"/>
        <w:numPr>
          <w:ilvl w:val="0"/>
          <w:numId w:val="0"/>
        </w:numPr>
      </w:pPr>
      <w:r w:rsidRPr="000051B6">
        <w:t xml:space="preserve">Scenario 1: Admitted and discharged within </w:t>
      </w:r>
      <w:r w:rsidR="007439B9" w:rsidRPr="000051B6">
        <w:t xml:space="preserve">financial year </w:t>
      </w:r>
      <w:r w:rsidRPr="000051B6">
        <w:t>2013-14 these se</w:t>
      </w:r>
      <w:r w:rsidR="007439B9" w:rsidRPr="000051B6">
        <w:t xml:space="preserve">parations are in scope for this </w:t>
      </w:r>
      <w:r w:rsidRPr="000051B6">
        <w:t>study.</w:t>
      </w:r>
    </w:p>
    <w:p w:rsidR="00FD77C8" w:rsidRPr="000051B6" w:rsidRDefault="00FD77C8" w:rsidP="007825DC">
      <w:pPr>
        <w:pStyle w:val="ListBullet"/>
        <w:numPr>
          <w:ilvl w:val="0"/>
          <w:numId w:val="0"/>
        </w:numPr>
      </w:pPr>
      <w:r w:rsidRPr="000051B6">
        <w:t xml:space="preserve">Scenario 2: Admitted in a prior year and discharged within </w:t>
      </w:r>
      <w:r w:rsidR="007439B9" w:rsidRPr="000051B6">
        <w:t xml:space="preserve">financial year </w:t>
      </w:r>
      <w:r w:rsidRPr="000051B6">
        <w:t>2013-14 these separations are in scope for this study.</w:t>
      </w:r>
    </w:p>
    <w:p w:rsidR="007439B9" w:rsidRPr="000051B6" w:rsidRDefault="007439B9" w:rsidP="007439B9">
      <w:pPr>
        <w:pStyle w:val="ListBullet"/>
        <w:numPr>
          <w:ilvl w:val="0"/>
          <w:numId w:val="0"/>
        </w:numPr>
        <w:spacing w:after="0"/>
        <w:rPr>
          <w:color w:val="A32020" w:themeColor="text2"/>
        </w:rPr>
      </w:pPr>
      <w:r w:rsidRPr="000051B6">
        <w:rPr>
          <w:color w:val="A32020" w:themeColor="text2"/>
        </w:rPr>
        <w:t>Out of scope</w:t>
      </w:r>
    </w:p>
    <w:p w:rsidR="00FD77C8" w:rsidRPr="000051B6" w:rsidRDefault="00FD77C8" w:rsidP="007825DC">
      <w:pPr>
        <w:pStyle w:val="ListBullet"/>
        <w:numPr>
          <w:ilvl w:val="0"/>
          <w:numId w:val="0"/>
        </w:numPr>
      </w:pPr>
      <w:r w:rsidRPr="000051B6">
        <w:t>Scenario 3: Admitted within 2013-14 however not discharged at 30 June 2014 these separations are classified as work in progress (WIP) patients and therefore are out of scope for the study.</w:t>
      </w:r>
    </w:p>
    <w:p w:rsidR="00FD77C8" w:rsidRPr="000051B6" w:rsidRDefault="00FD77C8" w:rsidP="007825DC">
      <w:pPr>
        <w:pStyle w:val="ListBullet"/>
        <w:numPr>
          <w:ilvl w:val="0"/>
          <w:numId w:val="0"/>
        </w:numPr>
      </w:pPr>
      <w:r w:rsidRPr="000051B6">
        <w:t>Scenario 4: Admitted in a prior year however not discharged at 30 June 2014 these separations are classified as work in progress (WIP) patients and therefore are out of scope for the study.</w:t>
      </w:r>
    </w:p>
    <w:p w:rsidR="00263ADB" w:rsidRPr="000051B6" w:rsidRDefault="00DD521B" w:rsidP="007825DC">
      <w:pPr>
        <w:pStyle w:val="Figureheadings"/>
        <w:spacing w:after="240"/>
        <w:rPr>
          <w:lang w:val="en-AU"/>
        </w:rPr>
      </w:pPr>
      <w:bookmarkStart w:id="42" w:name="_Toc435610622"/>
      <w:r w:rsidRPr="000051B6">
        <w:rPr>
          <w:lang w:val="en-AU"/>
        </w:rPr>
        <w:t>Figure 1</w:t>
      </w:r>
      <w:r w:rsidR="00263ADB" w:rsidRPr="000051B6">
        <w:rPr>
          <w:lang w:val="en-AU"/>
        </w:rPr>
        <w:t xml:space="preserve"> </w:t>
      </w:r>
      <w:r w:rsidRPr="000051B6">
        <w:rPr>
          <w:lang w:val="en-AU"/>
        </w:rPr>
        <w:tab/>
      </w:r>
      <w:r w:rsidR="00FD77C8" w:rsidRPr="000051B6">
        <w:rPr>
          <w:lang w:val="en-AU"/>
        </w:rPr>
        <w:t>In or out of scope</w:t>
      </w:r>
      <w:r w:rsidR="00E83750" w:rsidRPr="000051B6">
        <w:rPr>
          <w:lang w:val="en-AU"/>
        </w:rPr>
        <w:t xml:space="preserve"> separations</w:t>
      </w:r>
      <w:bookmarkEnd w:id="42"/>
      <w:r w:rsidR="00263ADB" w:rsidRPr="000051B6">
        <w:rPr>
          <w:lang w:val="en-AU"/>
        </w:rPr>
        <w:t xml:space="preserve"> </w:t>
      </w:r>
    </w:p>
    <w:p w:rsidR="00FD77C8" w:rsidRPr="000051B6" w:rsidRDefault="007439B9" w:rsidP="00FD77C8">
      <w:pPr>
        <w:pStyle w:val="ListBullet"/>
        <w:numPr>
          <w:ilvl w:val="0"/>
          <w:numId w:val="0"/>
        </w:numPr>
        <w:spacing w:after="0"/>
        <w:rPr>
          <w:b/>
          <w:bCs/>
        </w:rPr>
      </w:pPr>
      <w:r w:rsidRPr="000051B6">
        <w:rPr>
          <w:noProof/>
          <w:lang w:eastAsia="en-AU"/>
        </w:rPr>
        <w:drawing>
          <wp:inline distT="0" distB="0" distL="0" distR="0" wp14:anchorId="39FB9A92" wp14:editId="0465A278">
            <wp:extent cx="5220335" cy="1249655"/>
            <wp:effectExtent l="0" t="0" r="0" b="8255"/>
            <wp:docPr id="6" name="Picture 6" descr="Figure 1 details the 4 scenarios described in the preceding text. It indicates the separation’s date of admission, discharge and whether or not that separation would be in or out of the scope of the collection." title="Figure 1 in or out of scope sepa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20335" cy="1249655"/>
                    </a:xfrm>
                    <a:prstGeom prst="rect">
                      <a:avLst/>
                    </a:prstGeom>
                    <a:noFill/>
                    <a:ln>
                      <a:noFill/>
                    </a:ln>
                  </pic:spPr>
                </pic:pic>
              </a:graphicData>
            </a:graphic>
          </wp:inline>
        </w:drawing>
      </w:r>
    </w:p>
    <w:p w:rsidR="004E1661" w:rsidRPr="000051B6" w:rsidRDefault="004E1661" w:rsidP="00E83750">
      <w:pPr>
        <w:pStyle w:val="ListBullet"/>
        <w:numPr>
          <w:ilvl w:val="0"/>
          <w:numId w:val="0"/>
        </w:numPr>
        <w:spacing w:after="0"/>
        <w:ind w:left="567"/>
      </w:pPr>
    </w:p>
    <w:p w:rsidR="00D5212A" w:rsidRPr="000051B6" w:rsidRDefault="00D5212A" w:rsidP="001222BC">
      <w:pPr>
        <w:pStyle w:val="Heading2"/>
        <w:spacing w:after="240"/>
      </w:pPr>
      <w:bookmarkStart w:id="43" w:name="_Toc435611217"/>
      <w:r w:rsidRPr="000051B6">
        <w:t xml:space="preserve">In- </w:t>
      </w:r>
      <w:r w:rsidR="006D316A" w:rsidRPr="000051B6">
        <w:t>s</w:t>
      </w:r>
      <w:r w:rsidRPr="000051B6">
        <w:t xml:space="preserve">cope </w:t>
      </w:r>
      <w:r w:rsidR="006D316A" w:rsidRPr="000051B6">
        <w:t>c</w:t>
      </w:r>
      <w:r w:rsidRPr="000051B6">
        <w:t>osts</w:t>
      </w:r>
      <w:bookmarkEnd w:id="43"/>
    </w:p>
    <w:p w:rsidR="00A13211" w:rsidRPr="000051B6" w:rsidRDefault="00A13211" w:rsidP="00A13211">
      <w:pPr>
        <w:pStyle w:val="BodyText"/>
      </w:pPr>
      <w:r w:rsidRPr="000051B6">
        <w:t xml:space="preserve">The </w:t>
      </w:r>
      <w:r w:rsidR="00760FD2" w:rsidRPr="000051B6">
        <w:t>Australian Hospital Patient Costing Standards version 3.1 (AHPCS v3.1</w:t>
      </w:r>
      <w:r w:rsidR="004754A2" w:rsidRPr="000051B6">
        <w:t>)</w:t>
      </w:r>
      <w:r w:rsidR="00760FD2" w:rsidRPr="000051B6">
        <w:rPr>
          <w:vertAlign w:val="superscript"/>
        </w:rPr>
        <w:footnoteReference w:id="10"/>
      </w:r>
      <w:r w:rsidRPr="000051B6">
        <w:t xml:space="preserve"> defines product costs in scope </w:t>
      </w:r>
      <w:r w:rsidR="00DC632F" w:rsidRPr="000051B6">
        <w:t>as</w:t>
      </w:r>
      <w:r w:rsidRPr="000051B6">
        <w:t xml:space="preserve"> “all costs incurred by, or on behalf of the hospital, that are necessarily incurred in the production of patient and non-patient products, subject to the specific exclusion that the costs of time provided by medical specialists to treat private patients that are not directly met by the hospital, are not to be imputed.”</w:t>
      </w:r>
      <w:r w:rsidRPr="000051B6">
        <w:rPr>
          <w:rStyle w:val="FootnoteReference"/>
        </w:rPr>
        <w:footnoteReference w:id="11"/>
      </w:r>
      <w:r w:rsidRPr="000051B6">
        <w:t xml:space="preserve"> This include</w:t>
      </w:r>
      <w:r w:rsidR="004C394C" w:rsidRPr="000051B6">
        <w:t>s</w:t>
      </w:r>
      <w:r w:rsidRPr="000051B6">
        <w:t xml:space="preserve"> non-cash </w:t>
      </w:r>
      <w:r w:rsidR="00DC632F" w:rsidRPr="000051B6">
        <w:t>expenditure items</w:t>
      </w:r>
      <w:r w:rsidRPr="000051B6">
        <w:t xml:space="preserve"> </w:t>
      </w:r>
      <w:r w:rsidR="004C394C" w:rsidRPr="000051B6">
        <w:t>such as</w:t>
      </w:r>
      <w:r w:rsidRPr="000051B6">
        <w:t xml:space="preserve"> depreciation.</w:t>
      </w:r>
    </w:p>
    <w:p w:rsidR="00C20207" w:rsidRPr="000051B6" w:rsidRDefault="00DC632F" w:rsidP="00452AF1">
      <w:pPr>
        <w:pStyle w:val="BodyText"/>
      </w:pPr>
      <w:r w:rsidRPr="000051B6">
        <w:t xml:space="preserve">Private hospital participants </w:t>
      </w:r>
      <w:r w:rsidR="007439B9" w:rsidRPr="000051B6">
        <w:t>were</w:t>
      </w:r>
      <w:r w:rsidRPr="000051B6">
        <w:t xml:space="preserve"> </w:t>
      </w:r>
      <w:r w:rsidR="00544B43" w:rsidRPr="000051B6">
        <w:t xml:space="preserve">requested to submit </w:t>
      </w:r>
      <w:r w:rsidRPr="000051B6">
        <w:t xml:space="preserve">their data </w:t>
      </w:r>
      <w:r w:rsidR="004C394C" w:rsidRPr="000051B6">
        <w:t>in compliance</w:t>
      </w:r>
      <w:r w:rsidR="00544B43" w:rsidRPr="000051B6">
        <w:t xml:space="preserve"> with </w:t>
      </w:r>
      <w:r w:rsidR="00B058D2" w:rsidRPr="000051B6">
        <w:t xml:space="preserve">the AHPCS </w:t>
      </w:r>
      <w:r w:rsidRPr="000051B6">
        <w:t>v3.1</w:t>
      </w:r>
      <w:r w:rsidR="00B058D2" w:rsidRPr="000051B6">
        <w:t xml:space="preserve"> </w:t>
      </w:r>
      <w:r w:rsidR="00AB05D4" w:rsidRPr="000051B6">
        <w:t xml:space="preserve">to </w:t>
      </w:r>
      <w:r w:rsidR="00151CF3" w:rsidRPr="000051B6">
        <w:t xml:space="preserve">support </w:t>
      </w:r>
      <w:r w:rsidR="00AB05D4" w:rsidRPr="000051B6">
        <w:t xml:space="preserve">consistency </w:t>
      </w:r>
      <w:r w:rsidR="009F2FAE" w:rsidRPr="000051B6">
        <w:t xml:space="preserve">in </w:t>
      </w:r>
      <w:r w:rsidRPr="000051B6">
        <w:t>output of this collection</w:t>
      </w:r>
      <w:r w:rsidR="00AB05D4" w:rsidRPr="000051B6">
        <w:t>.</w:t>
      </w:r>
    </w:p>
    <w:p w:rsidR="0085577A" w:rsidRPr="000051B6" w:rsidRDefault="003B7471" w:rsidP="00452AF1">
      <w:pPr>
        <w:pStyle w:val="BodyText"/>
      </w:pPr>
      <w:r w:rsidRPr="000051B6">
        <w:t xml:space="preserve">Some of the hospitals </w:t>
      </w:r>
      <w:r w:rsidR="00DC632F" w:rsidRPr="000051B6">
        <w:t>participating in this round submitted</w:t>
      </w:r>
      <w:r w:rsidRPr="000051B6">
        <w:t xml:space="preserve"> </w:t>
      </w:r>
      <w:r w:rsidR="004E1661" w:rsidRPr="000051B6">
        <w:t>financial data</w:t>
      </w:r>
      <w:r w:rsidRPr="000051B6">
        <w:t xml:space="preserve"> </w:t>
      </w:r>
      <w:r w:rsidR="00DC632F" w:rsidRPr="000051B6">
        <w:t>for non-</w:t>
      </w:r>
      <w:r w:rsidR="004E1661" w:rsidRPr="000051B6">
        <w:t>a</w:t>
      </w:r>
      <w:r w:rsidR="00DC632F" w:rsidRPr="000051B6">
        <w:t>cute admitted care types for example Outpatients</w:t>
      </w:r>
      <w:r w:rsidRPr="000051B6">
        <w:t>.</w:t>
      </w:r>
      <w:r w:rsidR="00DC632F" w:rsidRPr="000051B6">
        <w:t xml:space="preserve"> These non-admitted acute care types are out of scope for Round 18, th</w:t>
      </w:r>
      <w:r w:rsidR="004C394C" w:rsidRPr="000051B6">
        <w:t>erefore their associated financial</w:t>
      </w:r>
      <w:r w:rsidR="00DC632F" w:rsidRPr="000051B6">
        <w:t xml:space="preserve"> and activity data </w:t>
      </w:r>
      <w:r w:rsidR="004C394C" w:rsidRPr="000051B6">
        <w:t>has been</w:t>
      </w:r>
      <w:r w:rsidR="007825DC">
        <w:t xml:space="preserve"> removed.</w:t>
      </w:r>
    </w:p>
    <w:p w:rsidR="00992D0E" w:rsidRDefault="00992D0E">
      <w:pPr>
        <w:rPr>
          <w:rFonts w:asciiTheme="majorHAnsi" w:hAnsiTheme="majorHAnsi"/>
          <w:b/>
          <w:bCs/>
          <w:i/>
          <w:iCs/>
          <w:color w:val="A32020" w:themeColor="text2"/>
          <w:sz w:val="32"/>
          <w:szCs w:val="36"/>
        </w:rPr>
      </w:pPr>
      <w:r>
        <w:br w:type="page"/>
      </w:r>
    </w:p>
    <w:p w:rsidR="003B3ED4" w:rsidRPr="000051B6" w:rsidRDefault="00725DA6" w:rsidP="001222BC">
      <w:pPr>
        <w:pStyle w:val="Heading2"/>
        <w:spacing w:after="240"/>
      </w:pPr>
      <w:bookmarkStart w:id="44" w:name="_Toc435611218"/>
      <w:r w:rsidRPr="000051B6">
        <w:lastRenderedPageBreak/>
        <w:t xml:space="preserve">Public and private </w:t>
      </w:r>
      <w:r w:rsidR="0031569D" w:rsidRPr="000051B6">
        <w:t>s</w:t>
      </w:r>
      <w:r w:rsidR="002D317E" w:rsidRPr="000051B6">
        <w:t>ector</w:t>
      </w:r>
      <w:r w:rsidRPr="000051B6">
        <w:t xml:space="preserve"> differences</w:t>
      </w:r>
      <w:bookmarkEnd w:id="44"/>
    </w:p>
    <w:p w:rsidR="00DC632F" w:rsidRPr="000051B6" w:rsidRDefault="00F23230" w:rsidP="007439B9">
      <w:pPr>
        <w:pStyle w:val="PwCNormal"/>
        <w:numPr>
          <w:ilvl w:val="0"/>
          <w:numId w:val="0"/>
        </w:numPr>
        <w:spacing w:after="0"/>
      </w:pPr>
      <w:r w:rsidRPr="000051B6">
        <w:t>This report does not seek to compare</w:t>
      </w:r>
      <w:r w:rsidR="00F028AD" w:rsidRPr="000051B6">
        <w:t xml:space="preserve"> the average cost per separation between the public and private </w:t>
      </w:r>
      <w:r w:rsidR="0031569D" w:rsidRPr="000051B6">
        <w:t>s</w:t>
      </w:r>
      <w:r w:rsidR="002D317E" w:rsidRPr="000051B6">
        <w:t>ector</w:t>
      </w:r>
      <w:r w:rsidR="00F028AD" w:rsidRPr="000051B6">
        <w:t xml:space="preserve">s, as the </w:t>
      </w:r>
      <w:r w:rsidR="00C44FA9" w:rsidRPr="000051B6">
        <w:t>scope</w:t>
      </w:r>
      <w:r w:rsidR="00F028AD" w:rsidRPr="000051B6">
        <w:t xml:space="preserve"> of costs between the two </w:t>
      </w:r>
      <w:r w:rsidR="0031569D" w:rsidRPr="000051B6">
        <w:t>s</w:t>
      </w:r>
      <w:r w:rsidR="002D317E" w:rsidRPr="000051B6">
        <w:t>ector</w:t>
      </w:r>
      <w:r w:rsidR="00F028AD" w:rsidRPr="000051B6">
        <w:t xml:space="preserve">s is different. </w:t>
      </w:r>
      <w:r w:rsidR="00365903" w:rsidRPr="000051B6">
        <w:t xml:space="preserve">Many of the cost items present in the public </w:t>
      </w:r>
      <w:r w:rsidR="0031569D" w:rsidRPr="000051B6">
        <w:t>s</w:t>
      </w:r>
      <w:r w:rsidR="002D317E" w:rsidRPr="000051B6">
        <w:t>ector</w:t>
      </w:r>
      <w:r w:rsidR="00365903" w:rsidRPr="000051B6">
        <w:t xml:space="preserve"> such as </w:t>
      </w:r>
      <w:r w:rsidR="00DC632F" w:rsidRPr="000051B6">
        <w:t xml:space="preserve">Pathology or </w:t>
      </w:r>
      <w:r w:rsidR="00365903" w:rsidRPr="000051B6">
        <w:t xml:space="preserve">Imaging are not equally represented in Private </w:t>
      </w:r>
      <w:r w:rsidR="005541D7" w:rsidRPr="000051B6">
        <w:t xml:space="preserve">Hospital </w:t>
      </w:r>
      <w:r w:rsidR="00365903" w:rsidRPr="000051B6">
        <w:t xml:space="preserve">general ledgers. </w:t>
      </w:r>
      <w:r w:rsidR="00696347" w:rsidRPr="000051B6">
        <w:t xml:space="preserve">In addition, the costs of medical specialists are usually not captured in private hospital general ledgers. </w:t>
      </w:r>
      <w:r w:rsidR="00F028AD" w:rsidRPr="000051B6">
        <w:t xml:space="preserve">For example, </w:t>
      </w:r>
      <w:r w:rsidR="00696347" w:rsidRPr="000051B6">
        <w:t>these</w:t>
      </w:r>
      <w:r w:rsidR="00F028AD" w:rsidRPr="000051B6">
        <w:t xml:space="preserve"> costs are generally not reported for the private </w:t>
      </w:r>
      <w:r w:rsidR="0031569D" w:rsidRPr="000051B6">
        <w:t>s</w:t>
      </w:r>
      <w:r w:rsidR="002D317E" w:rsidRPr="000051B6">
        <w:t>ector</w:t>
      </w:r>
      <w:r w:rsidR="00F028AD" w:rsidRPr="000051B6">
        <w:t xml:space="preserve"> because the majority of hospitals </w:t>
      </w:r>
      <w:r w:rsidR="00C44FA9" w:rsidRPr="000051B6">
        <w:t xml:space="preserve">do not provide these services directly </w:t>
      </w:r>
      <w:r w:rsidR="009B15D8" w:rsidRPr="000051B6">
        <w:t xml:space="preserve">and patients pay for these services </w:t>
      </w:r>
      <w:r w:rsidR="00C44FA9" w:rsidRPr="000051B6">
        <w:t>separately</w:t>
      </w:r>
      <w:r w:rsidR="007825DC">
        <w:t>.</w:t>
      </w:r>
    </w:p>
    <w:p w:rsidR="00DC632F" w:rsidRPr="000051B6" w:rsidRDefault="00DB2CCA" w:rsidP="001222BC">
      <w:pPr>
        <w:pStyle w:val="Heading2"/>
        <w:spacing w:after="240"/>
      </w:pPr>
      <w:r w:rsidRPr="000051B6">
        <w:t xml:space="preserve"> </w:t>
      </w:r>
      <w:bookmarkStart w:id="45" w:name="_Toc435611219"/>
      <w:r w:rsidR="004F3859" w:rsidRPr="000051B6">
        <w:t>Confidentiality of data</w:t>
      </w:r>
      <w:bookmarkEnd w:id="45"/>
    </w:p>
    <w:p w:rsidR="00DB2CCA" w:rsidRPr="000051B6" w:rsidRDefault="00225BF4" w:rsidP="00DE7F72">
      <w:pPr>
        <w:pStyle w:val="PwCNormal"/>
        <w:numPr>
          <w:ilvl w:val="0"/>
          <w:numId w:val="0"/>
        </w:numPr>
        <w:spacing w:after="0"/>
      </w:pPr>
      <w:r w:rsidRPr="000051B6">
        <w:t xml:space="preserve">Due to the commercial nature of the </w:t>
      </w:r>
      <w:r w:rsidR="0031569D" w:rsidRPr="000051B6">
        <w:t>s</w:t>
      </w:r>
      <w:r w:rsidR="002D317E" w:rsidRPr="000051B6">
        <w:t>ector</w:t>
      </w:r>
      <w:r w:rsidRPr="000051B6">
        <w:t>, all participating hospitals in Round 1</w:t>
      </w:r>
      <w:r w:rsidR="00DC632F" w:rsidRPr="000051B6">
        <w:t>8</w:t>
      </w:r>
      <w:r w:rsidRPr="000051B6">
        <w:t xml:space="preserve"> are </w:t>
      </w:r>
      <w:r w:rsidR="00DB2CCA" w:rsidRPr="000051B6">
        <w:t>requested to sign a confidential</w:t>
      </w:r>
      <w:r w:rsidR="00563517" w:rsidRPr="000051B6">
        <w:t>ity</w:t>
      </w:r>
      <w:r w:rsidR="00DB2CCA" w:rsidRPr="000051B6">
        <w:t xml:space="preserve"> agreement before any final reports are released.  </w:t>
      </w:r>
    </w:p>
    <w:p w:rsidR="00276654" w:rsidRPr="000051B6" w:rsidRDefault="00225BF4" w:rsidP="00276654">
      <w:pPr>
        <w:pStyle w:val="PwCNormal"/>
        <w:numPr>
          <w:ilvl w:val="0"/>
          <w:numId w:val="0"/>
        </w:numPr>
        <w:rPr>
          <w:rFonts w:cs="Georgia"/>
          <w:snapToGrid/>
          <w:color w:val="000000"/>
          <w:lang w:eastAsia="en-AU"/>
        </w:rPr>
      </w:pPr>
      <w:r w:rsidRPr="000051B6">
        <w:t>Where a cost weight reported for a</w:t>
      </w:r>
      <w:r w:rsidR="00C12962" w:rsidRPr="000051B6">
        <w:t>n</w:t>
      </w:r>
      <w:r w:rsidRPr="000051B6">
        <w:t xml:space="preserve"> </w:t>
      </w:r>
      <w:r w:rsidR="00276654" w:rsidRPr="000051B6">
        <w:t>AR-</w:t>
      </w:r>
      <w:r w:rsidRPr="000051B6">
        <w:t xml:space="preserve">DRG is based on less than five </w:t>
      </w:r>
      <w:r w:rsidR="00070AF1">
        <w:t xml:space="preserve">population-adjusted </w:t>
      </w:r>
      <w:r w:rsidRPr="000051B6">
        <w:t>separations, the figures for this cost weight have been replaced by asterisks (*****)</w:t>
      </w:r>
      <w:r w:rsidR="00276654" w:rsidRPr="000051B6">
        <w:t xml:space="preserve">.  </w:t>
      </w:r>
      <w:r w:rsidR="00276654" w:rsidRPr="000051B6">
        <w:rPr>
          <w:rFonts w:cs="Georgia"/>
          <w:snapToGrid/>
          <w:color w:val="000000"/>
          <w:lang w:eastAsia="en-AU"/>
        </w:rPr>
        <w:t>If the number of contributing hospitals for a particular AR-DRG is less than three, the figures for this cost weight have b</w:t>
      </w:r>
      <w:r w:rsidR="007825DC">
        <w:rPr>
          <w:rFonts w:cs="Georgia"/>
          <w:snapToGrid/>
          <w:color w:val="000000"/>
          <w:lang w:eastAsia="en-AU"/>
        </w:rPr>
        <w:t>een replaced by dashes (-----).</w:t>
      </w:r>
    </w:p>
    <w:p w:rsidR="004F3859" w:rsidRPr="000051B6" w:rsidRDefault="007439B9" w:rsidP="00DC632F">
      <w:pPr>
        <w:pStyle w:val="PwCNormal"/>
        <w:numPr>
          <w:ilvl w:val="0"/>
          <w:numId w:val="0"/>
        </w:numPr>
      </w:pPr>
      <w:r w:rsidRPr="000051B6">
        <w:t>For</w:t>
      </w:r>
      <w:r w:rsidR="00276654" w:rsidRPr="000051B6">
        <w:t xml:space="preserve"> the cost weight table appendix </w:t>
      </w:r>
      <w:r w:rsidRPr="000051B6">
        <w:t>we have removed the</w:t>
      </w:r>
      <w:r w:rsidR="00276654" w:rsidRPr="000051B6">
        <w:t xml:space="preserve"> column that showed the</w:t>
      </w:r>
      <w:r w:rsidRPr="000051B6">
        <w:t xml:space="preserve"> number of hospitals associated with an AR-DRG</w:t>
      </w:r>
      <w:r w:rsidR="00276654" w:rsidRPr="000051B6">
        <w:t>.  This decision was</w:t>
      </w:r>
      <w:r w:rsidRPr="000051B6">
        <w:t xml:space="preserve"> based on feedback received</w:t>
      </w:r>
      <w:r w:rsidR="00E61B15" w:rsidRPr="000051B6">
        <w:t xml:space="preserve"> fro</w:t>
      </w:r>
      <w:r w:rsidRPr="000051B6">
        <w:t xml:space="preserve">m the </w:t>
      </w:r>
      <w:r w:rsidR="0031569D" w:rsidRPr="000051B6">
        <w:t>s</w:t>
      </w:r>
      <w:r w:rsidR="002D317E" w:rsidRPr="000051B6">
        <w:t>ector</w:t>
      </w:r>
      <w:r w:rsidRPr="000051B6">
        <w:t xml:space="preserve"> </w:t>
      </w:r>
      <w:r w:rsidR="00E61B15" w:rsidRPr="000051B6">
        <w:t>in relation to hospitals being identifiable.</w:t>
      </w:r>
    </w:p>
    <w:p w:rsidR="00D522E6" w:rsidRPr="000051B6" w:rsidRDefault="00DC632F" w:rsidP="001222BC">
      <w:pPr>
        <w:pStyle w:val="Heading2"/>
        <w:spacing w:after="240"/>
      </w:pPr>
      <w:bookmarkStart w:id="46" w:name="_Toc435611220"/>
      <w:r w:rsidRPr="000051B6">
        <w:t>Reliance</w:t>
      </w:r>
      <w:r w:rsidR="00D522E6" w:rsidRPr="000051B6">
        <w:t xml:space="preserve"> and limitations</w:t>
      </w:r>
      <w:bookmarkEnd w:id="46"/>
    </w:p>
    <w:p w:rsidR="00DD34CA" w:rsidRPr="000051B6" w:rsidRDefault="00992D0E" w:rsidP="007825DC">
      <w:pPr>
        <w:pStyle w:val="PwCNormal"/>
        <w:numPr>
          <w:ilvl w:val="0"/>
          <w:numId w:val="0"/>
        </w:numPr>
      </w:pPr>
      <w:bookmarkStart w:id="47" w:name="_Toc356304670"/>
      <w:bookmarkStart w:id="48" w:name="_Toc356304671"/>
      <w:bookmarkStart w:id="49" w:name="_Toc356304672"/>
      <w:bookmarkStart w:id="50" w:name="_Toc356304673"/>
      <w:bookmarkStart w:id="51" w:name="_Toc356304674"/>
      <w:bookmarkStart w:id="52" w:name="_Toc356304675"/>
      <w:bookmarkStart w:id="53" w:name="_Toc356304676"/>
      <w:bookmarkStart w:id="54" w:name="_Toc356304677"/>
      <w:bookmarkEnd w:id="47"/>
      <w:bookmarkEnd w:id="48"/>
      <w:bookmarkEnd w:id="49"/>
      <w:bookmarkEnd w:id="50"/>
      <w:bookmarkEnd w:id="51"/>
      <w:bookmarkEnd w:id="52"/>
      <w:bookmarkEnd w:id="53"/>
      <w:bookmarkEnd w:id="54"/>
      <w:r>
        <w:t>D</w:t>
      </w:r>
      <w:r w:rsidR="008C0350" w:rsidRPr="000051B6">
        <w:t xml:space="preserve">ata </w:t>
      </w:r>
      <w:r w:rsidR="00C72A79" w:rsidRPr="000051B6">
        <w:t xml:space="preserve">quality assurance </w:t>
      </w:r>
      <w:r w:rsidR="005D0910" w:rsidRPr="000051B6">
        <w:t xml:space="preserve">checks and reasonableness tests </w:t>
      </w:r>
      <w:r w:rsidR="008C0350" w:rsidRPr="000051B6">
        <w:t>have been performed a</w:t>
      </w:r>
      <w:r w:rsidR="005D0910" w:rsidRPr="000051B6">
        <w:t xml:space="preserve">t </w:t>
      </w:r>
      <w:r w:rsidR="008C0350" w:rsidRPr="000051B6">
        <w:t xml:space="preserve">three </w:t>
      </w:r>
      <w:r w:rsidR="005D0910" w:rsidRPr="000051B6">
        <w:t xml:space="preserve">stages of the </w:t>
      </w:r>
      <w:r w:rsidR="00DB2CCA" w:rsidRPr="000051B6">
        <w:t>project</w:t>
      </w:r>
      <w:r w:rsidR="005D0910" w:rsidRPr="000051B6">
        <w:t xml:space="preserve">: at data </w:t>
      </w:r>
      <w:r w:rsidR="00025CA9" w:rsidRPr="000051B6">
        <w:t>collection</w:t>
      </w:r>
      <w:r w:rsidR="005D0910" w:rsidRPr="000051B6">
        <w:t xml:space="preserve">, during the costing process and on </w:t>
      </w:r>
      <w:r w:rsidR="00DB2CCA" w:rsidRPr="000051B6">
        <w:t>costed output</w:t>
      </w:r>
      <w:r w:rsidR="005D0910" w:rsidRPr="000051B6">
        <w:t xml:space="preserve">. </w:t>
      </w:r>
      <w:r w:rsidR="00DB2CCA" w:rsidRPr="000051B6">
        <w:t xml:space="preserve"> These quality assurance reviews do not constitute a</w:t>
      </w:r>
      <w:r w:rsidR="00674FCE" w:rsidRPr="000051B6">
        <w:t xml:space="preserve"> formal</w:t>
      </w:r>
      <w:r w:rsidR="00DB2CCA" w:rsidRPr="000051B6">
        <w:t xml:space="preserve"> audit </w:t>
      </w:r>
      <w:r w:rsidR="00DD34CA" w:rsidRPr="000051B6">
        <w:t>process;</w:t>
      </w:r>
      <w:r w:rsidR="00674FCE" w:rsidRPr="000051B6">
        <w:t xml:space="preserve"> they only serve as a reasonableness test on information supplied</w:t>
      </w:r>
      <w:r w:rsidR="005D0910" w:rsidRPr="000051B6">
        <w:t xml:space="preserve">. </w:t>
      </w:r>
    </w:p>
    <w:p w:rsidR="00DE7F72" w:rsidRPr="000051B6" w:rsidRDefault="005D0910" w:rsidP="007825DC">
      <w:pPr>
        <w:spacing w:after="240"/>
      </w:pPr>
      <w:r w:rsidRPr="000051B6">
        <w:t xml:space="preserve">The collection also required </w:t>
      </w:r>
      <w:r w:rsidR="004754A2" w:rsidRPr="000051B6">
        <w:t>approval</w:t>
      </w:r>
      <w:r w:rsidRPr="000051B6">
        <w:t xml:space="preserve"> from hospitals during the </w:t>
      </w:r>
      <w:r w:rsidR="004754A2" w:rsidRPr="000051B6">
        <w:t xml:space="preserve">data collection and </w:t>
      </w:r>
      <w:r w:rsidRPr="000051B6">
        <w:t xml:space="preserve">costing </w:t>
      </w:r>
      <w:r w:rsidR="004754A2" w:rsidRPr="000051B6">
        <w:t>phases of the collection</w:t>
      </w:r>
      <w:r w:rsidRPr="000051B6">
        <w:t xml:space="preserve">. A description of the checks is provided </w:t>
      </w:r>
      <w:r w:rsidR="00025CA9" w:rsidRPr="000051B6">
        <w:t xml:space="preserve">in </w:t>
      </w:r>
      <w:r w:rsidR="00D65E24">
        <w:fldChar w:fldCharType="begin"/>
      </w:r>
      <w:r w:rsidR="00D65E24">
        <w:instrText xml:space="preserve"> REF _Ref433966171 \h </w:instrText>
      </w:r>
      <w:r w:rsidR="00D65E24">
        <w:fldChar w:fldCharType="separate"/>
      </w:r>
      <w:r w:rsidR="00E75057" w:rsidRPr="000051B6">
        <w:rPr>
          <w:rFonts w:asciiTheme="majorHAnsi" w:hAnsiTheme="majorHAnsi"/>
        </w:rPr>
        <w:t xml:space="preserve">Appendix C: </w:t>
      </w:r>
      <w:r w:rsidR="00E75057">
        <w:rPr>
          <w:rFonts w:asciiTheme="majorHAnsi" w:hAnsiTheme="majorHAnsi"/>
        </w:rPr>
        <w:t>Detailed methodology</w:t>
      </w:r>
      <w:r w:rsidR="00D65E24">
        <w:fldChar w:fldCharType="end"/>
      </w:r>
      <w:r w:rsidR="00D65E24">
        <w:t>.</w:t>
      </w:r>
    </w:p>
    <w:p w:rsidR="008C0350" w:rsidRDefault="005D0910" w:rsidP="007825DC">
      <w:pPr>
        <w:pStyle w:val="BodyText"/>
      </w:pPr>
      <w:r w:rsidRPr="000051B6">
        <w:t xml:space="preserve">The following areas can have a material impact on the reported costs and cost weights. </w:t>
      </w:r>
      <w:r w:rsidR="008C0350" w:rsidRPr="000051B6">
        <w:t>The costing process relies on information provided by hospitals in the following areas:</w:t>
      </w:r>
    </w:p>
    <w:p w:rsidR="005668E2" w:rsidRPr="0079205A" w:rsidRDefault="005668E2" w:rsidP="005668E2">
      <w:pPr>
        <w:pStyle w:val="ChapterNumberedList1"/>
        <w:numPr>
          <w:ilvl w:val="0"/>
          <w:numId w:val="26"/>
        </w:numPr>
        <w:tabs>
          <w:tab w:val="clear" w:pos="851"/>
          <w:tab w:val="num" w:pos="567"/>
        </w:tabs>
        <w:ind w:left="567" w:hanging="567"/>
        <w:rPr>
          <w:lang w:val="en-GB"/>
        </w:rPr>
      </w:pPr>
      <w:r>
        <w:rPr>
          <w:lang w:val="en-GB"/>
        </w:rPr>
        <w:t>All participants’ understanding and compl</w:t>
      </w:r>
      <w:r w:rsidR="00E357CD">
        <w:rPr>
          <w:lang w:val="en-GB"/>
        </w:rPr>
        <w:t xml:space="preserve">ying </w:t>
      </w:r>
      <w:r>
        <w:rPr>
          <w:lang w:val="en-GB"/>
        </w:rPr>
        <w:t>with the A</w:t>
      </w:r>
      <w:r w:rsidRPr="0079205A">
        <w:rPr>
          <w:lang w:val="en-GB"/>
        </w:rPr>
        <w:t>HPCS v3.1</w:t>
      </w:r>
      <w:r>
        <w:rPr>
          <w:lang w:val="en-GB"/>
        </w:rPr>
        <w:t>.</w:t>
      </w:r>
    </w:p>
    <w:p w:rsidR="005668E2" w:rsidRDefault="005668E2" w:rsidP="005668E2">
      <w:pPr>
        <w:pStyle w:val="ChapterNumberedList1"/>
        <w:numPr>
          <w:ilvl w:val="0"/>
          <w:numId w:val="26"/>
        </w:numPr>
        <w:tabs>
          <w:tab w:val="clear" w:pos="851"/>
          <w:tab w:val="num" w:pos="567"/>
        </w:tabs>
        <w:ind w:left="567" w:hanging="567"/>
        <w:rPr>
          <w:lang w:val="en-GB"/>
        </w:rPr>
      </w:pPr>
      <w:r w:rsidRPr="00943B73">
        <w:rPr>
          <w:lang w:val="en-GB"/>
        </w:rPr>
        <w:t>Mapping of general ledger to cost buckets which are tested pre-costing and post-costing for anomalies.</w:t>
      </w:r>
    </w:p>
    <w:p w:rsidR="005668E2" w:rsidRPr="000051B6" w:rsidRDefault="005668E2" w:rsidP="005668E2">
      <w:pPr>
        <w:pStyle w:val="BodyText"/>
        <w:numPr>
          <w:ilvl w:val="0"/>
          <w:numId w:val="26"/>
        </w:numPr>
        <w:tabs>
          <w:tab w:val="clear" w:pos="851"/>
          <w:tab w:val="num" w:pos="567"/>
        </w:tabs>
        <w:ind w:left="567" w:hanging="567"/>
      </w:pPr>
      <w:r w:rsidRPr="00356E4E">
        <w:rPr>
          <w:lang w:val="en-GB"/>
        </w:rPr>
        <w:t>Incorrect percentage allocation of cost centres to care areas, for example cost centre called “Outpatients” being split 80% to Acute Care and 20% to Emergency Department.  If the allocation is incorrect then this will affect the dollars being costed for Acute Care and thus under/overstate the cost of treating these patients.</w:t>
      </w:r>
    </w:p>
    <w:p w:rsidR="005668E2" w:rsidRDefault="005668E2">
      <w:pPr>
        <w:rPr>
          <w:rFonts w:asciiTheme="majorHAnsi" w:hAnsiTheme="majorHAnsi"/>
          <w:b/>
          <w:i/>
          <w:sz w:val="56"/>
        </w:rPr>
      </w:pPr>
      <w:bookmarkStart w:id="55" w:name="_Ref416363871"/>
      <w:bookmarkStart w:id="56" w:name="_Ref416363882"/>
      <w:bookmarkStart w:id="57" w:name="_Ref416364220"/>
      <w:r>
        <w:rPr>
          <w:rFonts w:asciiTheme="majorHAnsi" w:hAnsiTheme="majorHAnsi"/>
        </w:rPr>
        <w:br w:type="page"/>
      </w:r>
    </w:p>
    <w:p w:rsidR="002F6082" w:rsidRPr="000051B6" w:rsidRDefault="00075C1A" w:rsidP="00535018">
      <w:pPr>
        <w:pStyle w:val="Heading1"/>
        <w:rPr>
          <w:rFonts w:asciiTheme="majorHAnsi" w:hAnsiTheme="majorHAnsi"/>
        </w:rPr>
      </w:pPr>
      <w:bookmarkStart w:id="58" w:name="_Toc435611221"/>
      <w:r w:rsidRPr="000051B6">
        <w:rPr>
          <w:rFonts w:asciiTheme="majorHAnsi" w:hAnsiTheme="majorHAnsi"/>
        </w:rPr>
        <w:lastRenderedPageBreak/>
        <w:t>M</w:t>
      </w:r>
      <w:r w:rsidR="00B31D68" w:rsidRPr="000051B6">
        <w:rPr>
          <w:rFonts w:asciiTheme="majorHAnsi" w:hAnsiTheme="majorHAnsi"/>
        </w:rPr>
        <w:t>ethodology</w:t>
      </w:r>
      <w:bookmarkEnd w:id="55"/>
      <w:bookmarkEnd w:id="56"/>
      <w:bookmarkEnd w:id="57"/>
      <w:r w:rsidR="00E357CD">
        <w:rPr>
          <w:rFonts w:asciiTheme="majorHAnsi" w:hAnsiTheme="majorHAnsi"/>
        </w:rPr>
        <w:t xml:space="preserve"> Summary</w:t>
      </w:r>
      <w:bookmarkEnd w:id="58"/>
    </w:p>
    <w:p w:rsidR="007422A0" w:rsidRPr="000051B6" w:rsidRDefault="007422A0" w:rsidP="001222BC">
      <w:pPr>
        <w:pStyle w:val="Heading2"/>
        <w:spacing w:after="240"/>
      </w:pPr>
      <w:bookmarkStart w:id="59" w:name="_Toc435611222"/>
      <w:r w:rsidRPr="000051B6">
        <w:t>Identifying the minimum sample size</w:t>
      </w:r>
      <w:bookmarkEnd w:id="59"/>
    </w:p>
    <w:p w:rsidR="00B050A1" w:rsidRPr="000051B6" w:rsidRDefault="00B050A1" w:rsidP="007825DC">
      <w:pPr>
        <w:spacing w:after="240"/>
      </w:pPr>
      <w:r w:rsidRPr="000051B6">
        <w:t xml:space="preserve">In September 2012 </w:t>
      </w:r>
      <w:r w:rsidR="006C409E" w:rsidRPr="000051B6">
        <w:t xml:space="preserve">IHPA engaged PwC to review the methodology for calculating the minimum sample size </w:t>
      </w:r>
      <w:r w:rsidRPr="000051B6">
        <w:t>to have a valid and reliable pr</w:t>
      </w:r>
      <w:r w:rsidR="006C409E" w:rsidRPr="000051B6">
        <w:t xml:space="preserve">ivate </w:t>
      </w:r>
      <w:r w:rsidR="0031569D" w:rsidRPr="000051B6">
        <w:t>s</w:t>
      </w:r>
      <w:r w:rsidR="002D317E" w:rsidRPr="000051B6">
        <w:t>ector</w:t>
      </w:r>
      <w:r w:rsidR="006C409E" w:rsidRPr="000051B6">
        <w:t xml:space="preserve"> NHCDC collection (see </w:t>
      </w:r>
      <w:r w:rsidR="00BD3CE3" w:rsidRPr="000051B6">
        <w:fldChar w:fldCharType="begin"/>
      </w:r>
      <w:r w:rsidR="00BD3CE3" w:rsidRPr="000051B6">
        <w:instrText xml:space="preserve"> REF _Ref430159724 \h  \* MERGEFORMAT </w:instrText>
      </w:r>
      <w:r w:rsidR="00BD3CE3" w:rsidRPr="000051B6">
        <w:fldChar w:fldCharType="separate"/>
      </w:r>
      <w:r w:rsidR="00E75057" w:rsidRPr="000051B6">
        <w:rPr>
          <w:rFonts w:asciiTheme="majorHAnsi" w:hAnsiTheme="majorHAnsi"/>
        </w:rPr>
        <w:t xml:space="preserve">Appendix A: Analysis </w:t>
      </w:r>
      <w:r w:rsidR="00E75057">
        <w:rPr>
          <w:rFonts w:asciiTheme="majorHAnsi" w:hAnsiTheme="majorHAnsi"/>
        </w:rPr>
        <w:t>p</w:t>
      </w:r>
      <w:r w:rsidR="00E75057" w:rsidRPr="000051B6">
        <w:rPr>
          <w:rFonts w:asciiTheme="majorHAnsi" w:hAnsiTheme="majorHAnsi"/>
        </w:rPr>
        <w:t>erformed to determine the minimum sample size</w:t>
      </w:r>
      <w:r w:rsidR="00BD3CE3" w:rsidRPr="000051B6">
        <w:fldChar w:fldCharType="end"/>
      </w:r>
      <w:r w:rsidR="00BD3CE3" w:rsidRPr="000051B6">
        <w:t xml:space="preserve"> </w:t>
      </w:r>
      <w:r w:rsidR="006C409E" w:rsidRPr="000051B6">
        <w:t>for further details)</w:t>
      </w:r>
      <w:r w:rsidR="00036787" w:rsidRPr="000051B6">
        <w:t xml:space="preserve">.  This review was requested by the Private </w:t>
      </w:r>
      <w:r w:rsidR="0031569D" w:rsidRPr="000051B6">
        <w:t>s</w:t>
      </w:r>
      <w:r w:rsidR="002D317E" w:rsidRPr="000051B6">
        <w:t>ector</w:t>
      </w:r>
      <w:r w:rsidR="00036787" w:rsidRPr="000051B6">
        <w:t xml:space="preserve"> to ensure the v</w:t>
      </w:r>
      <w:r w:rsidR="00E94F75" w:rsidRPr="000051B6">
        <w:t>alidity and reliability of the collection</w:t>
      </w:r>
      <w:r w:rsidR="00036787" w:rsidRPr="000051B6">
        <w:t>.</w:t>
      </w:r>
    </w:p>
    <w:p w:rsidR="00B050A1" w:rsidRPr="000051B6" w:rsidRDefault="006C409E" w:rsidP="007825DC">
      <w:pPr>
        <w:spacing w:after="240"/>
        <w:rPr>
          <w:rFonts w:cs="Georgia"/>
          <w:snapToGrid/>
          <w:lang w:eastAsia="en-AU"/>
        </w:rPr>
      </w:pPr>
      <w:r w:rsidRPr="000051B6">
        <w:rPr>
          <w:rFonts w:cs="Georgia"/>
          <w:snapToGrid/>
          <w:lang w:eastAsia="en-AU"/>
        </w:rPr>
        <w:t xml:space="preserve">The </w:t>
      </w:r>
      <w:r w:rsidR="00B050A1" w:rsidRPr="000051B6">
        <w:rPr>
          <w:rFonts w:cs="Georgia"/>
          <w:snapToGrid/>
          <w:lang w:eastAsia="en-AU"/>
        </w:rPr>
        <w:t xml:space="preserve">calculations </w:t>
      </w:r>
      <w:r w:rsidRPr="000051B6">
        <w:rPr>
          <w:rFonts w:cs="Georgia"/>
          <w:snapToGrid/>
          <w:lang w:eastAsia="en-AU"/>
        </w:rPr>
        <w:t xml:space="preserve">were </w:t>
      </w:r>
      <w:r w:rsidR="00B050A1" w:rsidRPr="000051B6">
        <w:rPr>
          <w:rFonts w:cs="Georgia"/>
          <w:snapToGrid/>
          <w:lang w:eastAsia="en-AU"/>
        </w:rPr>
        <w:t>based on</w:t>
      </w:r>
      <w:r w:rsidR="00F05261" w:rsidRPr="000051B6">
        <w:rPr>
          <w:rFonts w:cs="Georgia"/>
          <w:snapToGrid/>
          <w:lang w:eastAsia="en-AU"/>
        </w:rPr>
        <w:t xml:space="preserve"> data received from </w:t>
      </w:r>
      <w:r w:rsidR="00B050A1" w:rsidRPr="000051B6">
        <w:rPr>
          <w:rFonts w:cs="Georgia"/>
          <w:snapToGrid/>
          <w:lang w:eastAsia="en-AU"/>
        </w:rPr>
        <w:t>I</w:t>
      </w:r>
      <w:r w:rsidR="00F05261" w:rsidRPr="000051B6">
        <w:rPr>
          <w:rFonts w:cs="Georgia"/>
          <w:snapToGrid/>
          <w:lang w:eastAsia="en-AU"/>
        </w:rPr>
        <w:t xml:space="preserve">HPA, the </w:t>
      </w:r>
      <w:r w:rsidR="00B050A1" w:rsidRPr="000051B6">
        <w:rPr>
          <w:rFonts w:cs="Georgia"/>
          <w:snapToGrid/>
          <w:lang w:eastAsia="en-AU"/>
        </w:rPr>
        <w:t>DoH</w:t>
      </w:r>
      <w:r w:rsidR="00F05261" w:rsidRPr="000051B6">
        <w:rPr>
          <w:rFonts w:cs="Georgia"/>
          <w:snapToGrid/>
          <w:lang w:eastAsia="en-AU"/>
        </w:rPr>
        <w:t xml:space="preserve"> and </w:t>
      </w:r>
      <w:r w:rsidR="00B050A1" w:rsidRPr="000051B6">
        <w:rPr>
          <w:rFonts w:cs="Georgia"/>
          <w:snapToGrid/>
          <w:lang w:eastAsia="en-AU"/>
        </w:rPr>
        <w:t xml:space="preserve">PHDB </w:t>
      </w:r>
      <w:r w:rsidR="00074721" w:rsidRPr="000051B6">
        <w:rPr>
          <w:rFonts w:cs="Georgia"/>
          <w:snapToGrid/>
          <w:lang w:eastAsia="en-AU"/>
        </w:rPr>
        <w:t xml:space="preserve">in 2012 </w:t>
      </w:r>
      <w:r w:rsidR="00B050A1" w:rsidRPr="000051B6">
        <w:rPr>
          <w:rFonts w:cs="Georgia"/>
          <w:snapToGrid/>
          <w:lang w:eastAsia="en-AU"/>
        </w:rPr>
        <w:t xml:space="preserve">to determine the number of separations, number of hospitals and number of hospital </w:t>
      </w:r>
      <w:r w:rsidR="007825DC">
        <w:rPr>
          <w:rFonts w:cs="Georgia"/>
          <w:snapToGrid/>
          <w:lang w:eastAsia="en-AU"/>
        </w:rPr>
        <w:t>groups required to participate.</w:t>
      </w:r>
    </w:p>
    <w:p w:rsidR="006C409E" w:rsidRPr="000051B6" w:rsidRDefault="006C409E" w:rsidP="006C409E">
      <w:pPr>
        <w:pStyle w:val="PwCNormal"/>
        <w:numPr>
          <w:ilvl w:val="0"/>
          <w:numId w:val="0"/>
        </w:numPr>
        <w:spacing w:after="0"/>
        <w:rPr>
          <w:lang w:eastAsia="en-AU"/>
        </w:rPr>
      </w:pPr>
      <w:r w:rsidRPr="000051B6">
        <w:rPr>
          <w:lang w:eastAsia="en-AU"/>
        </w:rPr>
        <w:t>The conclusion of this re-evaluation</w:t>
      </w:r>
      <w:r w:rsidR="007E4D4F" w:rsidRPr="000051B6">
        <w:rPr>
          <w:lang w:eastAsia="en-AU"/>
        </w:rPr>
        <w:t xml:space="preserve"> based on 2012 data</w:t>
      </w:r>
      <w:r w:rsidRPr="000051B6">
        <w:rPr>
          <w:lang w:eastAsia="en-AU"/>
        </w:rPr>
        <w:t xml:space="preserve"> was:</w:t>
      </w:r>
    </w:p>
    <w:p w:rsidR="006C409E" w:rsidRPr="000051B6" w:rsidRDefault="006C409E" w:rsidP="00C71B05">
      <w:pPr>
        <w:pStyle w:val="ListParagraph"/>
        <w:numPr>
          <w:ilvl w:val="0"/>
          <w:numId w:val="31"/>
        </w:numPr>
        <w:rPr>
          <w:rFonts w:cs="Georgia"/>
          <w:snapToGrid/>
          <w:lang w:eastAsia="en-AU"/>
        </w:rPr>
      </w:pPr>
      <w:r w:rsidRPr="000051B6">
        <w:rPr>
          <w:rFonts w:cs="Georgia"/>
          <w:snapToGrid/>
          <w:lang w:eastAsia="en-AU"/>
        </w:rPr>
        <w:t xml:space="preserve">Approximately 60% of all separations are required in order to achieve a 95% confidence level and 4% acceptable margin of error. </w:t>
      </w:r>
    </w:p>
    <w:p w:rsidR="006C409E" w:rsidRPr="000051B6" w:rsidRDefault="006C409E" w:rsidP="00C71B05">
      <w:pPr>
        <w:pStyle w:val="ListParagraph"/>
        <w:numPr>
          <w:ilvl w:val="0"/>
          <w:numId w:val="31"/>
        </w:numPr>
        <w:rPr>
          <w:rFonts w:cs="Georgia"/>
          <w:snapToGrid/>
          <w:lang w:eastAsia="en-AU"/>
        </w:rPr>
      </w:pPr>
      <w:r w:rsidRPr="000051B6">
        <w:rPr>
          <w:rFonts w:cs="Georgia"/>
          <w:snapToGrid/>
          <w:lang w:eastAsia="en-AU"/>
        </w:rPr>
        <w:t xml:space="preserve">The 95% confidence level and 4% margin of error parameters have been informed by considering participation levels in historic publications. </w:t>
      </w:r>
    </w:p>
    <w:p w:rsidR="006C409E" w:rsidRPr="007825DC" w:rsidRDefault="006C409E" w:rsidP="006C409E">
      <w:pPr>
        <w:pStyle w:val="ListParagraph"/>
        <w:numPr>
          <w:ilvl w:val="0"/>
          <w:numId w:val="31"/>
        </w:numPr>
        <w:rPr>
          <w:rFonts w:cs="Georgia"/>
          <w:snapToGrid/>
          <w:lang w:eastAsia="en-AU"/>
        </w:rPr>
      </w:pPr>
      <w:r w:rsidRPr="000051B6">
        <w:rPr>
          <w:rFonts w:cs="Georgia"/>
          <w:snapToGrid/>
          <w:lang w:eastAsia="en-AU"/>
        </w:rPr>
        <w:t>The collection should include approximately 90 hospitals and 10 hospitals ‘groups’ (of 2 or more hospitals) to be representative.</w:t>
      </w:r>
    </w:p>
    <w:p w:rsidR="00BD3CE3" w:rsidRPr="000051B6" w:rsidRDefault="006C409E" w:rsidP="007825DC">
      <w:pPr>
        <w:pStyle w:val="PwCNormal"/>
        <w:numPr>
          <w:ilvl w:val="0"/>
          <w:numId w:val="0"/>
        </w:numPr>
        <w:spacing w:before="240"/>
        <w:rPr>
          <w:lang w:eastAsia="en-AU"/>
        </w:rPr>
      </w:pPr>
      <w:r w:rsidRPr="000051B6">
        <w:rPr>
          <w:lang w:eastAsia="en-AU"/>
        </w:rPr>
        <w:t xml:space="preserve">These minimum targets were used as the condition on which the Round 18 collection would go ahead.  </w:t>
      </w:r>
      <w:r w:rsidR="001B6E0E" w:rsidRPr="000051B6">
        <w:rPr>
          <w:lang w:eastAsia="en-AU"/>
        </w:rPr>
        <w:t xml:space="preserve">It should be noted </w:t>
      </w:r>
      <w:r w:rsidR="00E94F75" w:rsidRPr="000051B6">
        <w:rPr>
          <w:lang w:eastAsia="en-AU"/>
        </w:rPr>
        <w:t xml:space="preserve">that </w:t>
      </w:r>
      <w:r w:rsidR="001B6E0E" w:rsidRPr="000051B6">
        <w:rPr>
          <w:lang w:eastAsia="en-AU"/>
        </w:rPr>
        <w:t xml:space="preserve">these criteria are based on 2012 data </w:t>
      </w:r>
      <w:r w:rsidR="00E94F75" w:rsidRPr="000051B6">
        <w:rPr>
          <w:lang w:eastAsia="en-AU"/>
        </w:rPr>
        <w:t xml:space="preserve">and </w:t>
      </w:r>
      <w:r w:rsidR="001B6E0E" w:rsidRPr="000051B6">
        <w:rPr>
          <w:lang w:eastAsia="en-AU"/>
        </w:rPr>
        <w:t xml:space="preserve">no adjustments have been made to account for any significant </w:t>
      </w:r>
      <w:r w:rsidR="0031569D" w:rsidRPr="000051B6">
        <w:rPr>
          <w:lang w:eastAsia="en-AU"/>
        </w:rPr>
        <w:t>s</w:t>
      </w:r>
      <w:r w:rsidR="002D317E" w:rsidRPr="000051B6">
        <w:rPr>
          <w:lang w:eastAsia="en-AU"/>
        </w:rPr>
        <w:t>ector</w:t>
      </w:r>
      <w:r w:rsidR="001B6E0E" w:rsidRPr="000051B6">
        <w:rPr>
          <w:lang w:eastAsia="en-AU"/>
        </w:rPr>
        <w:t xml:space="preserve"> or market changes</w:t>
      </w:r>
      <w:r w:rsidR="00E94F75" w:rsidRPr="000051B6">
        <w:rPr>
          <w:lang w:eastAsia="en-AU"/>
        </w:rPr>
        <w:t xml:space="preserve"> for this round 18 collection and associated reports</w:t>
      </w:r>
      <w:r w:rsidR="001B6E0E" w:rsidRPr="000051B6">
        <w:rPr>
          <w:lang w:eastAsia="en-AU"/>
        </w:rPr>
        <w:t xml:space="preserve">. </w:t>
      </w:r>
    </w:p>
    <w:p w:rsidR="006C409E" w:rsidRPr="000051B6" w:rsidRDefault="00BD3CE3" w:rsidP="006C409E">
      <w:pPr>
        <w:pStyle w:val="PwCNormal"/>
        <w:numPr>
          <w:ilvl w:val="0"/>
          <w:numId w:val="0"/>
        </w:numPr>
        <w:rPr>
          <w:lang w:eastAsia="en-AU"/>
        </w:rPr>
      </w:pPr>
      <w:r w:rsidRPr="000051B6">
        <w:rPr>
          <w:lang w:eastAsia="en-AU"/>
        </w:rPr>
        <w:t xml:space="preserve">For Round 18 the participation rate was </w:t>
      </w:r>
      <w:r w:rsidR="001B6E0E" w:rsidRPr="000051B6">
        <w:rPr>
          <w:lang w:eastAsia="en-AU"/>
        </w:rPr>
        <w:t>60%</w:t>
      </w:r>
      <w:r w:rsidR="001D5313" w:rsidRPr="000051B6">
        <w:rPr>
          <w:lang w:eastAsia="en-AU"/>
        </w:rPr>
        <w:t xml:space="preserve">, </w:t>
      </w:r>
      <w:r w:rsidRPr="000051B6">
        <w:rPr>
          <w:lang w:eastAsia="en-AU"/>
        </w:rPr>
        <w:t>9</w:t>
      </w:r>
      <w:r w:rsidR="001B6E0E" w:rsidRPr="000051B6">
        <w:rPr>
          <w:lang w:eastAsia="en-AU"/>
        </w:rPr>
        <w:t>6</w:t>
      </w:r>
      <w:r w:rsidRPr="000051B6">
        <w:rPr>
          <w:lang w:eastAsia="en-AU"/>
        </w:rPr>
        <w:t xml:space="preserve"> hospitals</w:t>
      </w:r>
      <w:r w:rsidR="001D5313" w:rsidRPr="000051B6">
        <w:rPr>
          <w:lang w:eastAsia="en-AU"/>
        </w:rPr>
        <w:t xml:space="preserve"> and 19 groups</w:t>
      </w:r>
      <w:r w:rsidRPr="000051B6">
        <w:rPr>
          <w:lang w:eastAsia="en-AU"/>
        </w:rPr>
        <w:t xml:space="preserve"> therefore the collection </w:t>
      </w:r>
      <w:r w:rsidR="00E2247B" w:rsidRPr="000051B6">
        <w:rPr>
          <w:lang w:eastAsia="en-AU"/>
        </w:rPr>
        <w:t>proceeded</w:t>
      </w:r>
      <w:r w:rsidRPr="000051B6">
        <w:rPr>
          <w:lang w:eastAsia="en-AU"/>
        </w:rPr>
        <w:t>.</w:t>
      </w:r>
    </w:p>
    <w:p w:rsidR="008230B2" w:rsidRPr="000051B6" w:rsidRDefault="00930A6A" w:rsidP="001222BC">
      <w:pPr>
        <w:pStyle w:val="Heading2"/>
        <w:spacing w:after="240"/>
      </w:pPr>
      <w:r w:rsidRPr="000051B6">
        <w:t xml:space="preserve"> </w:t>
      </w:r>
      <w:bookmarkStart w:id="60" w:name="_Toc435611223"/>
      <w:r w:rsidR="00BD3CE3" w:rsidRPr="000051B6">
        <w:t xml:space="preserve">Changes to Round 18 </w:t>
      </w:r>
      <w:r w:rsidR="006D316A" w:rsidRPr="000051B6">
        <w:t>c</w:t>
      </w:r>
      <w:r w:rsidR="00BD3CE3" w:rsidRPr="000051B6">
        <w:t>ollection</w:t>
      </w:r>
      <w:bookmarkEnd w:id="60"/>
      <w:r w:rsidR="00F65076" w:rsidRPr="000051B6">
        <w:t xml:space="preserve"> </w:t>
      </w:r>
    </w:p>
    <w:p w:rsidR="008230B2" w:rsidRPr="000051B6" w:rsidRDefault="008230B2" w:rsidP="007825DC">
      <w:pPr>
        <w:spacing w:after="240"/>
      </w:pPr>
      <w:r w:rsidRPr="000051B6">
        <w:t xml:space="preserve">The methodology applied for Round 18 is mostly consistent with that of prior year with the exception of the improvements described in </w:t>
      </w:r>
      <w:r w:rsidR="00E2247B" w:rsidRPr="000051B6">
        <w:t>the sections below (</w:t>
      </w:r>
      <w:r w:rsidR="00E2247B" w:rsidRPr="000051B6">
        <w:fldChar w:fldCharType="begin"/>
      </w:r>
      <w:r w:rsidR="00E2247B" w:rsidRPr="000051B6">
        <w:instrText xml:space="preserve"> REF _Ref431565075 \w \h </w:instrText>
      </w:r>
      <w:r w:rsidR="002C6C7F" w:rsidRPr="000051B6">
        <w:instrText xml:space="preserve"> \* MERGEFORMAT </w:instrText>
      </w:r>
      <w:r w:rsidR="00E2247B" w:rsidRPr="000051B6">
        <w:fldChar w:fldCharType="separate"/>
      </w:r>
      <w:r w:rsidR="00E75057">
        <w:t>3.2.1</w:t>
      </w:r>
      <w:r w:rsidR="00E2247B" w:rsidRPr="000051B6">
        <w:fldChar w:fldCharType="end"/>
      </w:r>
      <w:r w:rsidRPr="000051B6">
        <w:t>.</w:t>
      </w:r>
      <w:r w:rsidR="00E2247B" w:rsidRPr="000051B6">
        <w:t xml:space="preserve"> to </w:t>
      </w:r>
      <w:r w:rsidR="00E2247B" w:rsidRPr="000051B6">
        <w:fldChar w:fldCharType="begin"/>
      </w:r>
      <w:r w:rsidR="00E2247B" w:rsidRPr="000051B6">
        <w:instrText xml:space="preserve"> REF _Ref431565106 \w \h </w:instrText>
      </w:r>
      <w:r w:rsidR="002C6C7F" w:rsidRPr="000051B6">
        <w:instrText xml:space="preserve"> \* MERGEFORMAT </w:instrText>
      </w:r>
      <w:r w:rsidR="00E2247B" w:rsidRPr="000051B6">
        <w:fldChar w:fldCharType="separate"/>
      </w:r>
      <w:r w:rsidR="00E75057">
        <w:t>3.2.5</w:t>
      </w:r>
      <w:r w:rsidR="00E2247B" w:rsidRPr="000051B6">
        <w:fldChar w:fldCharType="end"/>
      </w:r>
      <w:r w:rsidR="00E2247B" w:rsidRPr="000051B6">
        <w:t>).</w:t>
      </w:r>
    </w:p>
    <w:p w:rsidR="008230B2" w:rsidRPr="000051B6" w:rsidRDefault="008230B2" w:rsidP="007825DC">
      <w:pPr>
        <w:pStyle w:val="PwCNormal"/>
        <w:numPr>
          <w:ilvl w:val="0"/>
          <w:numId w:val="0"/>
        </w:numPr>
        <w:rPr>
          <w:lang w:eastAsia="en-AU"/>
        </w:rPr>
      </w:pPr>
      <w:r w:rsidRPr="000051B6">
        <w:rPr>
          <w:lang w:eastAsia="en-AU"/>
        </w:rPr>
        <w:t xml:space="preserve">In January 2015, IHPA consulted with Private Hospitals around the private </w:t>
      </w:r>
      <w:r w:rsidR="0031569D" w:rsidRPr="000051B6">
        <w:rPr>
          <w:lang w:eastAsia="en-AU"/>
        </w:rPr>
        <w:t>s</w:t>
      </w:r>
      <w:r w:rsidR="002D317E" w:rsidRPr="000051B6">
        <w:rPr>
          <w:lang w:eastAsia="en-AU"/>
        </w:rPr>
        <w:t>ector</w:t>
      </w:r>
      <w:r w:rsidRPr="000051B6">
        <w:rPr>
          <w:lang w:eastAsia="en-AU"/>
        </w:rPr>
        <w:t xml:space="preserve"> NHCDC process and requested hospitals to express their intention to participate in Round 18. As a result of this forum, it was agreed with the </w:t>
      </w:r>
      <w:r w:rsidR="0031569D" w:rsidRPr="000051B6">
        <w:rPr>
          <w:lang w:eastAsia="en-AU"/>
        </w:rPr>
        <w:t>s</w:t>
      </w:r>
      <w:r w:rsidR="002D317E" w:rsidRPr="000051B6">
        <w:rPr>
          <w:lang w:eastAsia="en-AU"/>
        </w:rPr>
        <w:t>ector</w:t>
      </w:r>
      <w:r w:rsidRPr="000051B6">
        <w:rPr>
          <w:lang w:eastAsia="en-AU"/>
        </w:rPr>
        <w:t xml:space="preserve"> that AR-DRG versio</w:t>
      </w:r>
      <w:r w:rsidR="007825DC">
        <w:rPr>
          <w:lang w:eastAsia="en-AU"/>
        </w:rPr>
        <w:t>n 6.0x continue to be utilised.</w:t>
      </w:r>
    </w:p>
    <w:p w:rsidR="00BD3CE3" w:rsidRPr="000051B6" w:rsidRDefault="00F65076" w:rsidP="00930A6A">
      <w:pPr>
        <w:pStyle w:val="Heading3"/>
        <w:rPr>
          <w:rFonts w:asciiTheme="majorHAnsi" w:hAnsiTheme="majorHAnsi"/>
        </w:rPr>
      </w:pPr>
      <w:bookmarkStart w:id="61" w:name="_Ref431565075"/>
      <w:r w:rsidRPr="000051B6">
        <w:rPr>
          <w:rFonts w:asciiTheme="majorHAnsi" w:hAnsiTheme="majorHAnsi"/>
        </w:rPr>
        <w:t xml:space="preserve">Data </w:t>
      </w:r>
      <w:r w:rsidR="006D316A" w:rsidRPr="000051B6">
        <w:rPr>
          <w:rFonts w:asciiTheme="majorHAnsi" w:hAnsiTheme="majorHAnsi"/>
        </w:rPr>
        <w:t>i</w:t>
      </w:r>
      <w:r w:rsidRPr="000051B6">
        <w:rPr>
          <w:rFonts w:asciiTheme="majorHAnsi" w:hAnsiTheme="majorHAnsi"/>
        </w:rPr>
        <w:t>tems</w:t>
      </w:r>
      <w:bookmarkEnd w:id="61"/>
    </w:p>
    <w:p w:rsidR="00BD3CE3" w:rsidRPr="000051B6" w:rsidRDefault="00EF2949" w:rsidP="00BD3CE3">
      <w:pPr>
        <w:pStyle w:val="PwCNormal"/>
        <w:numPr>
          <w:ilvl w:val="0"/>
          <w:numId w:val="0"/>
        </w:numPr>
        <w:rPr>
          <w:lang w:eastAsia="en-AU"/>
        </w:rPr>
      </w:pPr>
      <w:r w:rsidRPr="000051B6">
        <w:rPr>
          <w:lang w:eastAsia="en-AU"/>
        </w:rPr>
        <w:t>There were</w:t>
      </w:r>
      <w:r w:rsidR="00487A5E" w:rsidRPr="000051B6">
        <w:rPr>
          <w:lang w:eastAsia="en-AU"/>
        </w:rPr>
        <w:t xml:space="preserve"> minor changes to the data item</w:t>
      </w:r>
      <w:r w:rsidRPr="000051B6">
        <w:rPr>
          <w:lang w:eastAsia="en-AU"/>
        </w:rPr>
        <w:t xml:space="preserve"> files that hospitals submit</w:t>
      </w:r>
      <w:r w:rsidR="00BB3D2A" w:rsidRPr="000051B6">
        <w:rPr>
          <w:lang w:eastAsia="en-AU"/>
        </w:rPr>
        <w:t>ted</w:t>
      </w:r>
      <w:r w:rsidRPr="000051B6">
        <w:rPr>
          <w:lang w:eastAsia="en-AU"/>
        </w:rPr>
        <w:t xml:space="preserve"> during the data collection phase of the project</w:t>
      </w:r>
      <w:r w:rsidR="00E94F75" w:rsidRPr="000051B6">
        <w:rPr>
          <w:lang w:eastAsia="en-AU"/>
        </w:rPr>
        <w:t>.  These changes were to data items 1 and 3 t</w:t>
      </w:r>
      <w:r w:rsidR="00BD3CE3" w:rsidRPr="000051B6">
        <w:rPr>
          <w:lang w:eastAsia="en-AU"/>
        </w:rPr>
        <w:t xml:space="preserve">o enable </w:t>
      </w:r>
      <w:r w:rsidR="00E94F75" w:rsidRPr="000051B6">
        <w:rPr>
          <w:lang w:eastAsia="en-AU"/>
        </w:rPr>
        <w:t xml:space="preserve">the </w:t>
      </w:r>
      <w:r w:rsidR="00BD3CE3" w:rsidRPr="000051B6">
        <w:rPr>
          <w:lang w:eastAsia="en-AU"/>
        </w:rPr>
        <w:t>collectio</w:t>
      </w:r>
      <w:r w:rsidR="007825DC">
        <w:rPr>
          <w:lang w:eastAsia="en-AU"/>
        </w:rPr>
        <w:t>n of more accurate information.</w:t>
      </w:r>
    </w:p>
    <w:p w:rsidR="00F65076" w:rsidRPr="000051B6" w:rsidRDefault="006D316A" w:rsidP="00F65076">
      <w:pPr>
        <w:pStyle w:val="Default"/>
        <w:rPr>
          <w:sz w:val="20"/>
          <w:szCs w:val="20"/>
        </w:rPr>
      </w:pPr>
      <w:r w:rsidRPr="000051B6">
        <w:rPr>
          <w:b/>
          <w:bCs/>
          <w:sz w:val="20"/>
          <w:szCs w:val="20"/>
        </w:rPr>
        <w:t>Data i</w:t>
      </w:r>
      <w:r w:rsidR="00F65076" w:rsidRPr="000051B6">
        <w:rPr>
          <w:b/>
          <w:bCs/>
          <w:sz w:val="20"/>
          <w:szCs w:val="20"/>
        </w:rPr>
        <w:t>tem 1</w:t>
      </w:r>
      <w:r w:rsidR="00E2247B" w:rsidRPr="000051B6">
        <w:rPr>
          <w:b/>
          <w:bCs/>
          <w:sz w:val="20"/>
          <w:szCs w:val="20"/>
        </w:rPr>
        <w:t>a and 1b</w:t>
      </w:r>
      <w:r w:rsidR="00F65076" w:rsidRPr="000051B6">
        <w:rPr>
          <w:b/>
          <w:bCs/>
          <w:sz w:val="20"/>
          <w:szCs w:val="20"/>
        </w:rPr>
        <w:t xml:space="preserve"> changes: </w:t>
      </w:r>
    </w:p>
    <w:p w:rsidR="00E65775" w:rsidRPr="000051B6" w:rsidRDefault="00E94F75" w:rsidP="007825DC">
      <w:pPr>
        <w:pStyle w:val="Default"/>
        <w:spacing w:after="240"/>
        <w:rPr>
          <w:sz w:val="20"/>
          <w:szCs w:val="20"/>
        </w:rPr>
      </w:pPr>
      <w:r w:rsidRPr="000051B6">
        <w:rPr>
          <w:sz w:val="20"/>
          <w:szCs w:val="20"/>
        </w:rPr>
        <w:t>D</w:t>
      </w:r>
      <w:r w:rsidR="00E2247B" w:rsidRPr="000051B6">
        <w:rPr>
          <w:sz w:val="20"/>
          <w:szCs w:val="20"/>
        </w:rPr>
        <w:t>ata item 1 was split into two separate files</w:t>
      </w:r>
      <w:r w:rsidRPr="000051B6">
        <w:rPr>
          <w:sz w:val="20"/>
          <w:szCs w:val="20"/>
        </w:rPr>
        <w:t xml:space="preserve"> dat</w:t>
      </w:r>
      <w:r w:rsidR="003274EB" w:rsidRPr="000051B6">
        <w:rPr>
          <w:sz w:val="20"/>
          <w:szCs w:val="20"/>
        </w:rPr>
        <w:t>a</w:t>
      </w:r>
      <w:r w:rsidRPr="000051B6">
        <w:rPr>
          <w:sz w:val="20"/>
          <w:szCs w:val="20"/>
        </w:rPr>
        <w:t xml:space="preserve"> item 1a and 1b</w:t>
      </w:r>
      <w:r w:rsidR="007825DC">
        <w:rPr>
          <w:sz w:val="20"/>
          <w:szCs w:val="20"/>
        </w:rPr>
        <w:t>.</w:t>
      </w:r>
    </w:p>
    <w:p w:rsidR="00E2247B" w:rsidRPr="000051B6" w:rsidRDefault="00E2247B" w:rsidP="007825DC">
      <w:pPr>
        <w:pStyle w:val="Default"/>
        <w:spacing w:after="240"/>
        <w:rPr>
          <w:sz w:val="20"/>
          <w:szCs w:val="20"/>
        </w:rPr>
      </w:pPr>
      <w:r w:rsidRPr="000051B6">
        <w:rPr>
          <w:sz w:val="20"/>
          <w:szCs w:val="20"/>
        </w:rPr>
        <w:t>Data item 1a was the general ledger which showed the cost centres, account codes, account type (revenue or expenditure), dollar amount and how the amount is allocated as a percentage to the hospital product (for example a</w:t>
      </w:r>
      <w:r w:rsidR="007825DC">
        <w:rPr>
          <w:sz w:val="20"/>
          <w:szCs w:val="20"/>
        </w:rPr>
        <w:t>cute 90% and outpatients 10%).</w:t>
      </w:r>
    </w:p>
    <w:p w:rsidR="00F65076" w:rsidRPr="000051B6" w:rsidRDefault="00E2247B" w:rsidP="007825DC">
      <w:pPr>
        <w:pStyle w:val="Default"/>
        <w:spacing w:after="240"/>
        <w:rPr>
          <w:sz w:val="20"/>
          <w:szCs w:val="20"/>
        </w:rPr>
      </w:pPr>
      <w:r w:rsidRPr="000051B6">
        <w:rPr>
          <w:sz w:val="20"/>
          <w:szCs w:val="20"/>
        </w:rPr>
        <w:t xml:space="preserve">Data item 1b </w:t>
      </w:r>
      <w:r w:rsidR="00074721" w:rsidRPr="000051B6">
        <w:rPr>
          <w:sz w:val="20"/>
          <w:szCs w:val="20"/>
        </w:rPr>
        <w:t xml:space="preserve">contained </w:t>
      </w:r>
      <w:r w:rsidRPr="000051B6">
        <w:rPr>
          <w:sz w:val="20"/>
          <w:szCs w:val="20"/>
        </w:rPr>
        <w:t>the allocations units</w:t>
      </w:r>
      <w:r w:rsidR="00E65775" w:rsidRPr="000051B6">
        <w:rPr>
          <w:sz w:val="20"/>
          <w:szCs w:val="20"/>
        </w:rPr>
        <w:t xml:space="preserve"> </w:t>
      </w:r>
      <w:r w:rsidR="00074721" w:rsidRPr="000051B6">
        <w:rPr>
          <w:sz w:val="20"/>
          <w:szCs w:val="20"/>
        </w:rPr>
        <w:t>should the participants elect to utilise different allocation methods in the costing process</w:t>
      </w:r>
      <w:r w:rsidR="00E65775" w:rsidRPr="000051B6">
        <w:rPr>
          <w:sz w:val="20"/>
          <w:szCs w:val="20"/>
        </w:rPr>
        <w:t>.  If this data item was not submitted then overhead costs were allocated by the s</w:t>
      </w:r>
      <w:r w:rsidR="007825DC">
        <w:rPr>
          <w:sz w:val="20"/>
          <w:szCs w:val="20"/>
        </w:rPr>
        <w:t>hare of total expenses method.</w:t>
      </w:r>
    </w:p>
    <w:p w:rsidR="00F65076" w:rsidRPr="000051B6" w:rsidRDefault="006D316A" w:rsidP="00F65076">
      <w:pPr>
        <w:pStyle w:val="Default"/>
        <w:rPr>
          <w:sz w:val="20"/>
          <w:szCs w:val="20"/>
        </w:rPr>
      </w:pPr>
      <w:r w:rsidRPr="000051B6">
        <w:rPr>
          <w:b/>
          <w:bCs/>
          <w:sz w:val="20"/>
          <w:szCs w:val="20"/>
        </w:rPr>
        <w:lastRenderedPageBreak/>
        <w:t>Data i</w:t>
      </w:r>
      <w:r w:rsidR="00F65076" w:rsidRPr="000051B6">
        <w:rPr>
          <w:b/>
          <w:bCs/>
          <w:sz w:val="20"/>
          <w:szCs w:val="20"/>
        </w:rPr>
        <w:t>tem 3</w:t>
      </w:r>
      <w:r w:rsidR="00DC75B0" w:rsidRPr="000051B6">
        <w:rPr>
          <w:b/>
          <w:bCs/>
          <w:sz w:val="20"/>
          <w:szCs w:val="20"/>
        </w:rPr>
        <w:t xml:space="preserve">a and 3b </w:t>
      </w:r>
      <w:r w:rsidR="00F65076" w:rsidRPr="000051B6">
        <w:rPr>
          <w:b/>
          <w:bCs/>
          <w:sz w:val="20"/>
          <w:szCs w:val="20"/>
        </w:rPr>
        <w:t xml:space="preserve">changes: </w:t>
      </w:r>
    </w:p>
    <w:p w:rsidR="009E6BAE" w:rsidRPr="000051B6" w:rsidRDefault="00E94F75" w:rsidP="007825DC">
      <w:pPr>
        <w:pStyle w:val="Default"/>
        <w:spacing w:after="240"/>
        <w:rPr>
          <w:sz w:val="20"/>
          <w:szCs w:val="20"/>
        </w:rPr>
      </w:pPr>
      <w:r w:rsidRPr="000051B6">
        <w:rPr>
          <w:sz w:val="20"/>
          <w:szCs w:val="20"/>
        </w:rPr>
        <w:t>D</w:t>
      </w:r>
      <w:r w:rsidR="009E6BAE" w:rsidRPr="000051B6">
        <w:rPr>
          <w:sz w:val="20"/>
          <w:szCs w:val="20"/>
        </w:rPr>
        <w:t>ata item 3a was the cost centre mapping file in which each cost centre was given a description, and its cost was allocated according to what proportion of the cost belonged in each care area.</w:t>
      </w:r>
    </w:p>
    <w:p w:rsidR="009E6BAE" w:rsidRPr="000051B6" w:rsidRDefault="009E6BAE" w:rsidP="007825DC">
      <w:pPr>
        <w:pStyle w:val="Default"/>
        <w:spacing w:after="240"/>
        <w:rPr>
          <w:sz w:val="20"/>
          <w:szCs w:val="20"/>
        </w:rPr>
      </w:pPr>
      <w:r w:rsidRPr="000051B6">
        <w:rPr>
          <w:sz w:val="20"/>
          <w:szCs w:val="20"/>
        </w:rPr>
        <w:t>Data item 3b handled overhead allocation mapping. Each overhead care area was mapped to the overhead allocation statistic that best reflected how that overhead cost should be allocated to cost centres (for example, non-clinical salaries overhead could be allocated by full time equivalent</w:t>
      </w:r>
      <w:r w:rsidR="00074721" w:rsidRPr="000051B6">
        <w:rPr>
          <w:sz w:val="20"/>
          <w:szCs w:val="20"/>
        </w:rPr>
        <w:t xml:space="preserve"> staff numbers</w:t>
      </w:r>
      <w:r w:rsidRPr="000051B6">
        <w:rPr>
          <w:sz w:val="20"/>
          <w:szCs w:val="20"/>
        </w:rPr>
        <w:t>).</w:t>
      </w:r>
    </w:p>
    <w:p w:rsidR="00F65076" w:rsidRPr="000051B6" w:rsidRDefault="006226CD" w:rsidP="006226CD">
      <w:pPr>
        <w:pStyle w:val="Heading3"/>
        <w:rPr>
          <w:rFonts w:asciiTheme="majorHAnsi" w:hAnsiTheme="majorHAnsi"/>
        </w:rPr>
      </w:pPr>
      <w:r w:rsidRPr="000051B6">
        <w:rPr>
          <w:rFonts w:asciiTheme="majorHAnsi" w:hAnsiTheme="majorHAnsi"/>
        </w:rPr>
        <w:t>S</w:t>
      </w:r>
      <w:r w:rsidR="000E4B8C" w:rsidRPr="000051B6">
        <w:rPr>
          <w:rFonts w:asciiTheme="majorHAnsi" w:hAnsiTheme="majorHAnsi"/>
        </w:rPr>
        <w:t>ubmission via website</w:t>
      </w:r>
    </w:p>
    <w:p w:rsidR="00E138EE" w:rsidRPr="000051B6" w:rsidRDefault="00E138EE" w:rsidP="000E4B8C">
      <w:pPr>
        <w:pStyle w:val="PwCNormal"/>
        <w:numPr>
          <w:ilvl w:val="0"/>
          <w:numId w:val="0"/>
        </w:numPr>
      </w:pPr>
      <w:r w:rsidRPr="000051B6">
        <w:t>F</w:t>
      </w:r>
      <w:r w:rsidR="000E4B8C" w:rsidRPr="000051B6">
        <w:t xml:space="preserve">or Round 18 </w:t>
      </w:r>
      <w:r w:rsidR="00E357CD">
        <w:t>it was agreed</w:t>
      </w:r>
      <w:r w:rsidR="000E4B8C" w:rsidRPr="000051B6">
        <w:t xml:space="preserve"> that hospitals </w:t>
      </w:r>
      <w:r w:rsidR="00E07AFE" w:rsidRPr="000051B6">
        <w:t>did not</w:t>
      </w:r>
      <w:r w:rsidR="000E4B8C" w:rsidRPr="000051B6">
        <w:t xml:space="preserve"> send files via email due to the commercially sensitive and confidential </w:t>
      </w:r>
      <w:r w:rsidR="00E07AFE" w:rsidRPr="000051B6">
        <w:t>nature of the data.  D</w:t>
      </w:r>
      <w:r w:rsidR="000E4B8C" w:rsidRPr="000051B6">
        <w:t xml:space="preserve">ata was submitted by the hospitals via the NHCDC website or </w:t>
      </w:r>
      <w:r w:rsidR="00E07AFE" w:rsidRPr="000051B6">
        <w:t>Enterprise Data Warehouse (</w:t>
      </w:r>
      <w:r w:rsidR="000E4B8C" w:rsidRPr="000051B6">
        <w:t>EDW</w:t>
      </w:r>
      <w:r w:rsidR="00E07AFE" w:rsidRPr="000051B6">
        <w:t>)</w:t>
      </w:r>
      <w:r w:rsidR="000E4B8C" w:rsidRPr="000051B6">
        <w:t xml:space="preserve"> drop boxes where each stakeholder was able to access their own hospital account via a unique login</w:t>
      </w:r>
      <w:r w:rsidR="00E07AFE" w:rsidRPr="000051B6">
        <w:t xml:space="preserve"> with password protection and other security protocols in place</w:t>
      </w:r>
      <w:r w:rsidR="007825DC">
        <w:t>.</w:t>
      </w:r>
    </w:p>
    <w:p w:rsidR="00F65076" w:rsidRPr="000051B6" w:rsidRDefault="003274EB" w:rsidP="006226CD">
      <w:pPr>
        <w:pStyle w:val="Heading3"/>
        <w:rPr>
          <w:rFonts w:asciiTheme="majorHAnsi" w:hAnsiTheme="majorHAnsi"/>
        </w:rPr>
      </w:pPr>
      <w:r w:rsidRPr="000051B6">
        <w:rPr>
          <w:rFonts w:asciiTheme="majorHAnsi" w:hAnsiTheme="majorHAnsi"/>
        </w:rPr>
        <w:t>Changes to validation</w:t>
      </w:r>
    </w:p>
    <w:p w:rsidR="005C5BD5" w:rsidRPr="000051B6" w:rsidRDefault="005C5BD5" w:rsidP="000E4B8C">
      <w:pPr>
        <w:pStyle w:val="PwCNormal"/>
        <w:numPr>
          <w:ilvl w:val="0"/>
          <w:numId w:val="0"/>
        </w:numPr>
      </w:pPr>
      <w:r w:rsidRPr="000051B6">
        <w:t xml:space="preserve">The NHCDC website </w:t>
      </w:r>
      <w:r w:rsidR="00E07AFE" w:rsidRPr="000051B6">
        <w:t xml:space="preserve">conducted </w:t>
      </w:r>
      <w:r w:rsidRPr="000051B6">
        <w:t>data validation and reasonable</w:t>
      </w:r>
      <w:r w:rsidR="00E07AFE" w:rsidRPr="000051B6">
        <w:t>ness</w:t>
      </w:r>
      <w:r w:rsidRPr="000051B6">
        <w:t xml:space="preserve"> test</w:t>
      </w:r>
      <w:r w:rsidR="00487A5E" w:rsidRPr="000051B6">
        <w:t>s</w:t>
      </w:r>
      <w:r w:rsidRPr="000051B6">
        <w:t xml:space="preserve"> over the submitted data item csv files to ensure the data received </w:t>
      </w:r>
      <w:r w:rsidR="00E07AFE" w:rsidRPr="000051B6">
        <w:t>wa</w:t>
      </w:r>
      <w:r w:rsidRPr="000051B6">
        <w:t xml:space="preserve">s of a high quality before going through to the pre-quality assurance review stage (see section </w:t>
      </w:r>
      <w:r w:rsidR="007E4D4F" w:rsidRPr="000051B6">
        <w:fldChar w:fldCharType="begin"/>
      </w:r>
      <w:r w:rsidR="007E4D4F" w:rsidRPr="000051B6">
        <w:instrText xml:space="preserve"> REF _Ref431564747 \w \h </w:instrText>
      </w:r>
      <w:r w:rsidR="007E4D4F" w:rsidRPr="000051B6">
        <w:fldChar w:fldCharType="separate"/>
      </w:r>
      <w:r w:rsidR="00E75057">
        <w:t>0</w:t>
      </w:r>
      <w:r w:rsidR="007E4D4F" w:rsidRPr="000051B6">
        <w:fldChar w:fldCharType="end"/>
      </w:r>
      <w:r w:rsidRPr="000051B6">
        <w:fldChar w:fldCharType="begin"/>
      </w:r>
      <w:r w:rsidRPr="000051B6">
        <w:instrText xml:space="preserve"> REF _Ref430163241 \h  \* MERGEFORMAT </w:instrText>
      </w:r>
      <w:r w:rsidRPr="000051B6">
        <w:fldChar w:fldCharType="separate"/>
      </w:r>
      <w:r w:rsidR="00E75057" w:rsidRPr="00E75057">
        <w:t>Stages of the private sector NHCDC</w:t>
      </w:r>
      <w:r w:rsidRPr="000051B6">
        <w:fldChar w:fldCharType="end"/>
      </w:r>
      <w:r w:rsidRPr="000051B6">
        <w:t xml:space="preserve"> for further details).   The additional validation checks undertaken this year were:</w:t>
      </w:r>
    </w:p>
    <w:p w:rsidR="007825DC" w:rsidRDefault="00E07AFE" w:rsidP="007825DC">
      <w:pPr>
        <w:pStyle w:val="ListParagraph"/>
        <w:numPr>
          <w:ilvl w:val="0"/>
          <w:numId w:val="31"/>
        </w:numPr>
        <w:spacing w:after="240"/>
      </w:pPr>
      <w:r w:rsidRPr="000051B6">
        <w:t>The start and end times for each encounter in the f</w:t>
      </w:r>
      <w:r w:rsidR="005C5BD5" w:rsidRPr="000051B6">
        <w:t>eeder data files</w:t>
      </w:r>
      <w:r w:rsidR="00B9739D" w:rsidRPr="000051B6">
        <w:t xml:space="preserve"> (p</w:t>
      </w:r>
      <w:r w:rsidRPr="000051B6">
        <w:t xml:space="preserve">rosthetics, </w:t>
      </w:r>
      <w:r w:rsidR="00B9739D" w:rsidRPr="000051B6">
        <w:t>o</w:t>
      </w:r>
      <w:r w:rsidRPr="000051B6">
        <w:t xml:space="preserve">perating </w:t>
      </w:r>
      <w:r w:rsidR="00B9739D" w:rsidRPr="000051B6">
        <w:t xml:space="preserve">room and critical care) were compared to </w:t>
      </w:r>
      <w:r w:rsidR="005C5BD5" w:rsidRPr="000051B6">
        <w:t xml:space="preserve">encounter file start and end times.  If there was a difference this was flagged to the user and </w:t>
      </w:r>
      <w:r w:rsidR="00494582" w:rsidRPr="000051B6">
        <w:t xml:space="preserve">the user </w:t>
      </w:r>
      <w:r w:rsidR="00B9739D" w:rsidRPr="000051B6">
        <w:t>n</w:t>
      </w:r>
      <w:r w:rsidR="00494582" w:rsidRPr="000051B6">
        <w:t>eed</w:t>
      </w:r>
      <w:r w:rsidR="00B9739D" w:rsidRPr="000051B6">
        <w:t>ed</w:t>
      </w:r>
      <w:r w:rsidR="00494582" w:rsidRPr="000051B6">
        <w:t xml:space="preserve"> to review the files and make the necessary changes and then re-submit the files.</w:t>
      </w:r>
    </w:p>
    <w:p w:rsidR="007825DC" w:rsidRPr="000051B6" w:rsidRDefault="007825DC" w:rsidP="007825DC">
      <w:pPr>
        <w:pStyle w:val="ListParagraph"/>
        <w:spacing w:after="240"/>
      </w:pPr>
    </w:p>
    <w:p w:rsidR="005C5BD5" w:rsidRPr="000051B6" w:rsidRDefault="00B9739D" w:rsidP="007825DC">
      <w:pPr>
        <w:pStyle w:val="ListParagraph"/>
        <w:numPr>
          <w:ilvl w:val="0"/>
          <w:numId w:val="31"/>
        </w:numPr>
        <w:spacing w:after="240"/>
      </w:pPr>
      <w:r w:rsidRPr="000051B6">
        <w:t xml:space="preserve">An </w:t>
      </w:r>
      <w:r w:rsidR="004169FD" w:rsidRPr="000051B6">
        <w:t>AR-</w:t>
      </w:r>
      <w:r w:rsidR="00494582" w:rsidRPr="000051B6">
        <w:t>DRG version validation</w:t>
      </w:r>
      <w:r w:rsidRPr="000051B6">
        <w:t xml:space="preserve"> </w:t>
      </w:r>
      <w:r w:rsidR="00872B88" w:rsidRPr="000051B6">
        <w:t xml:space="preserve">was performed </w:t>
      </w:r>
      <w:r w:rsidRPr="000051B6">
        <w:t>which</w:t>
      </w:r>
      <w:r w:rsidR="00494582" w:rsidRPr="000051B6">
        <w:t xml:space="preserve"> compare</w:t>
      </w:r>
      <w:r w:rsidRPr="000051B6">
        <w:t>d</w:t>
      </w:r>
      <w:r w:rsidR="00494582" w:rsidRPr="000051B6">
        <w:t xml:space="preserve"> the elected </w:t>
      </w:r>
      <w:r w:rsidR="004169FD" w:rsidRPr="000051B6">
        <w:t>AR-</w:t>
      </w:r>
      <w:r w:rsidR="00494582" w:rsidRPr="000051B6">
        <w:t xml:space="preserve">DRG version </w:t>
      </w:r>
      <w:r w:rsidRPr="000051B6">
        <w:t>made by</w:t>
      </w:r>
      <w:r w:rsidR="004169FD" w:rsidRPr="000051B6">
        <w:t xml:space="preserve"> th</w:t>
      </w:r>
      <w:r w:rsidRPr="000051B6">
        <w:t>e hospital to the actual AR-DRG</w:t>
      </w:r>
      <w:r w:rsidR="004169FD" w:rsidRPr="000051B6">
        <w:t>s submitted in the data item 4 file.  If these d</w:t>
      </w:r>
      <w:r w:rsidRPr="000051B6">
        <w:t>id</w:t>
      </w:r>
      <w:r w:rsidR="004169FD" w:rsidRPr="000051B6">
        <w:t xml:space="preserve"> not match the master version of AR-DRG v6.0x</w:t>
      </w:r>
      <w:r w:rsidRPr="000051B6">
        <w:t>,</w:t>
      </w:r>
      <w:r w:rsidR="00494582" w:rsidRPr="000051B6">
        <w:t xml:space="preserve"> </w:t>
      </w:r>
      <w:r w:rsidR="004169FD" w:rsidRPr="000051B6">
        <w:t xml:space="preserve">this </w:t>
      </w:r>
      <w:r w:rsidRPr="000051B6">
        <w:t>wa</w:t>
      </w:r>
      <w:r w:rsidR="004169FD" w:rsidRPr="000051B6">
        <w:t xml:space="preserve">s flagged to the user and the user </w:t>
      </w:r>
      <w:r w:rsidRPr="000051B6">
        <w:t>had</w:t>
      </w:r>
      <w:r w:rsidR="004169FD" w:rsidRPr="000051B6">
        <w:t xml:space="preserve"> to review the files </w:t>
      </w:r>
      <w:r w:rsidR="006A31F0" w:rsidRPr="000051B6">
        <w:t>a</w:t>
      </w:r>
      <w:r w:rsidR="004169FD" w:rsidRPr="000051B6">
        <w:t>nd make the necessary changes and then re-submit the files.</w:t>
      </w:r>
    </w:p>
    <w:p w:rsidR="006A31F0" w:rsidRPr="000051B6" w:rsidRDefault="00BD7EF4" w:rsidP="006226CD">
      <w:pPr>
        <w:pStyle w:val="Heading3"/>
      </w:pPr>
      <w:r w:rsidRPr="000051B6">
        <w:t>C</w:t>
      </w:r>
      <w:r w:rsidR="006A31F0" w:rsidRPr="000051B6">
        <w:t>hanges to the AHPCS v</w:t>
      </w:r>
      <w:r w:rsidRPr="000051B6">
        <w:t xml:space="preserve">ersion </w:t>
      </w:r>
      <w:r w:rsidR="006A31F0" w:rsidRPr="000051B6">
        <w:t>3.1</w:t>
      </w:r>
      <w:r w:rsidRPr="000051B6">
        <w:t xml:space="preserve"> compared to version 2.0</w:t>
      </w:r>
    </w:p>
    <w:p w:rsidR="00616A26" w:rsidRPr="000051B6" w:rsidRDefault="00BD7EF4" w:rsidP="00BD7EF4">
      <w:pPr>
        <w:pStyle w:val="PwCNormal"/>
        <w:numPr>
          <w:ilvl w:val="0"/>
          <w:numId w:val="0"/>
        </w:numPr>
      </w:pPr>
      <w:r w:rsidRPr="000051B6">
        <w:t xml:space="preserve">The </w:t>
      </w:r>
      <w:r w:rsidR="00616A26" w:rsidRPr="000051B6">
        <w:t>major changes have been amendments, development of new standards, a</w:t>
      </w:r>
      <w:r w:rsidR="00C227AA">
        <w:t>nd reinstatement of standards.</w:t>
      </w:r>
    </w:p>
    <w:p w:rsidR="00BD7EF4" w:rsidRPr="000051B6" w:rsidRDefault="00616A26" w:rsidP="00616A26">
      <w:pPr>
        <w:pStyle w:val="PwCNormal"/>
        <w:numPr>
          <w:ilvl w:val="0"/>
          <w:numId w:val="0"/>
        </w:numPr>
        <w:spacing w:after="0"/>
      </w:pPr>
      <w:r w:rsidRPr="000051B6">
        <w:t xml:space="preserve">The following </w:t>
      </w:r>
      <w:r w:rsidR="00872B88" w:rsidRPr="000051B6">
        <w:t xml:space="preserve">standards were </w:t>
      </w:r>
      <w:r w:rsidR="00BD7EF4" w:rsidRPr="000051B6">
        <w:t>amended</w:t>
      </w:r>
      <w:r w:rsidR="005362EE" w:rsidRPr="000051B6">
        <w:rPr>
          <w:rStyle w:val="FootnoteReference"/>
        </w:rPr>
        <w:footnoteReference w:id="12"/>
      </w:r>
      <w:r w:rsidR="00BD7EF4" w:rsidRPr="000051B6">
        <w:t>:</w:t>
      </w:r>
    </w:p>
    <w:p w:rsidR="00BD7EF4" w:rsidRPr="000051B6" w:rsidRDefault="0053404C" w:rsidP="007825DC">
      <w:pPr>
        <w:pStyle w:val="ListParagraph"/>
        <w:numPr>
          <w:ilvl w:val="0"/>
          <w:numId w:val="31"/>
        </w:numPr>
      </w:pPr>
      <w:r w:rsidRPr="000051B6">
        <w:t>GL 4A.002 Critical Care d</w:t>
      </w:r>
      <w:r w:rsidR="00BD7EF4" w:rsidRPr="000051B6">
        <w:t>efinition</w:t>
      </w:r>
      <w:r w:rsidRPr="000051B6">
        <w:t xml:space="preserve"> (page 38)</w:t>
      </w:r>
      <w:r w:rsidR="00BD7EF4" w:rsidRPr="000051B6">
        <w:t xml:space="preserve"> - to define the critical care areas for costing purposes.</w:t>
      </w:r>
    </w:p>
    <w:p w:rsidR="005362EE" w:rsidRPr="000051B6" w:rsidRDefault="0053404C" w:rsidP="00A445EA">
      <w:pPr>
        <w:pStyle w:val="ListParagraph"/>
        <w:numPr>
          <w:ilvl w:val="0"/>
          <w:numId w:val="31"/>
        </w:numPr>
      </w:pPr>
      <w:r w:rsidRPr="000051B6">
        <w:t>COST 3.004 Final c</w:t>
      </w:r>
      <w:r w:rsidR="00BD7EF4" w:rsidRPr="000051B6">
        <w:t xml:space="preserve">ost </w:t>
      </w:r>
      <w:r w:rsidRPr="000051B6">
        <w:t>a</w:t>
      </w:r>
      <w:r w:rsidR="00BD7EF4" w:rsidRPr="000051B6">
        <w:t xml:space="preserve">llocation to </w:t>
      </w:r>
      <w:r w:rsidRPr="000051B6">
        <w:t>patient and other p</w:t>
      </w:r>
      <w:r w:rsidR="00BD7EF4" w:rsidRPr="000051B6">
        <w:t>roducts</w:t>
      </w:r>
      <w:r w:rsidR="00E94F75" w:rsidRPr="000051B6">
        <w:t xml:space="preserve"> </w:t>
      </w:r>
      <w:r w:rsidRPr="000051B6">
        <w:t>(pages 47-49) –</w:t>
      </w:r>
      <w:r w:rsidR="00BD7EF4" w:rsidRPr="000051B6">
        <w:t xml:space="preserve"> to aim for consistency between hospitals including use of service weights and </w:t>
      </w:r>
      <w:r w:rsidR="00872B88" w:rsidRPr="000051B6">
        <w:t xml:space="preserve">to provide </w:t>
      </w:r>
      <w:r w:rsidR="00BD7EF4" w:rsidRPr="000051B6">
        <w:t>clarity about consultation liaison services.</w:t>
      </w:r>
    </w:p>
    <w:p w:rsidR="007825DC" w:rsidRPr="000051B6" w:rsidRDefault="00BD7EF4" w:rsidP="007825DC">
      <w:pPr>
        <w:pStyle w:val="PwCNormal"/>
        <w:numPr>
          <w:ilvl w:val="0"/>
          <w:numId w:val="40"/>
        </w:numPr>
        <w:spacing w:after="0"/>
      </w:pPr>
      <w:r w:rsidRPr="000051B6">
        <w:t xml:space="preserve">COST 3A.001 </w:t>
      </w:r>
      <w:r w:rsidR="0053404C" w:rsidRPr="000051B6">
        <w:t>Allocating Clinical Salary and Wages to patients and other products (pages 50-51)</w:t>
      </w:r>
      <w:r w:rsidRPr="000051B6">
        <w:t xml:space="preserve"> – to provide guidance on the costing of consultation liaison services.</w:t>
      </w:r>
    </w:p>
    <w:p w:rsidR="00BD7EF4" w:rsidRPr="000051B6" w:rsidRDefault="00BD7EF4" w:rsidP="007825DC">
      <w:pPr>
        <w:pStyle w:val="PwCNormal"/>
        <w:numPr>
          <w:ilvl w:val="0"/>
          <w:numId w:val="40"/>
        </w:numPr>
        <w:spacing w:after="0"/>
      </w:pPr>
      <w:r w:rsidRPr="000051B6">
        <w:t xml:space="preserve">COST 5.002 Treatment of Work-In-Progress Costs </w:t>
      </w:r>
      <w:r w:rsidR="0053404C" w:rsidRPr="000051B6">
        <w:t xml:space="preserve">(pages 56-57) </w:t>
      </w:r>
      <w:r w:rsidRPr="000051B6">
        <w:t xml:space="preserve">– to address current issues of work-in-progress and long stay patients. </w:t>
      </w:r>
    </w:p>
    <w:p w:rsidR="00BD7EF4" w:rsidRPr="000051B6" w:rsidRDefault="00616A26" w:rsidP="007825DC">
      <w:pPr>
        <w:pStyle w:val="PwCNormal"/>
        <w:numPr>
          <w:ilvl w:val="0"/>
          <w:numId w:val="40"/>
        </w:numPr>
        <w:spacing w:after="0"/>
      </w:pPr>
      <w:r w:rsidRPr="000051B6">
        <w:t>Attachment E:</w:t>
      </w:r>
      <w:r w:rsidR="00BD7EF4" w:rsidRPr="000051B6">
        <w:t xml:space="preserve"> Final Cost Allocation </w:t>
      </w:r>
      <w:r w:rsidRPr="000051B6">
        <w:t>(pages 107-114)</w:t>
      </w:r>
      <w:r w:rsidR="00BD7EF4" w:rsidRPr="000051B6">
        <w:t>– to</w:t>
      </w:r>
      <w:r w:rsidRPr="000051B6">
        <w:t xml:space="preserve"> provide a more precise process</w:t>
      </w:r>
      <w:r w:rsidR="00872B88" w:rsidRPr="000051B6">
        <w:t xml:space="preserve"> in the costing allocations</w:t>
      </w:r>
    </w:p>
    <w:p w:rsidR="00A445EA" w:rsidRDefault="00A445EA">
      <w:r>
        <w:br w:type="page"/>
      </w:r>
    </w:p>
    <w:p w:rsidR="00BD7EF4" w:rsidRPr="000051B6" w:rsidRDefault="00BD7EF4" w:rsidP="00BD7EF4">
      <w:pPr>
        <w:pStyle w:val="PwCNormal"/>
        <w:numPr>
          <w:ilvl w:val="0"/>
          <w:numId w:val="0"/>
        </w:numPr>
      </w:pPr>
      <w:r w:rsidRPr="000051B6">
        <w:lastRenderedPageBreak/>
        <w:t xml:space="preserve">The following </w:t>
      </w:r>
      <w:r w:rsidR="00616A26" w:rsidRPr="000051B6">
        <w:t>are</w:t>
      </w:r>
      <w:r w:rsidRPr="000051B6">
        <w:t xml:space="preserve"> </w:t>
      </w:r>
      <w:r w:rsidR="00872B88" w:rsidRPr="000051B6">
        <w:t xml:space="preserve">new </w:t>
      </w:r>
      <w:r w:rsidRPr="000051B6">
        <w:t>or reinstated</w:t>
      </w:r>
      <w:r w:rsidR="00616A26" w:rsidRPr="000051B6">
        <w:t xml:space="preserve"> standards</w:t>
      </w:r>
      <w:r w:rsidRPr="000051B6">
        <w:t>:</w:t>
      </w:r>
    </w:p>
    <w:p w:rsidR="00BD7EF4" w:rsidRPr="000051B6" w:rsidRDefault="00BD7EF4" w:rsidP="00C71B05">
      <w:pPr>
        <w:pStyle w:val="PwCNormal"/>
        <w:numPr>
          <w:ilvl w:val="0"/>
          <w:numId w:val="40"/>
        </w:numPr>
      </w:pPr>
      <w:r w:rsidRPr="000051B6">
        <w:t>COST 3A.002 Allocation of Medical Costs for Private and Public Patients</w:t>
      </w:r>
      <w:r w:rsidR="00616A26" w:rsidRPr="000051B6">
        <w:t xml:space="preserve"> (pages 52-54)</w:t>
      </w:r>
      <w:r w:rsidRPr="000051B6">
        <w:t xml:space="preserve"> – to ensure appropriate allocation of private medical costs. </w:t>
      </w:r>
    </w:p>
    <w:p w:rsidR="00BD7EF4" w:rsidRPr="000051B6" w:rsidRDefault="00BD7EF4" w:rsidP="00C71B05">
      <w:pPr>
        <w:pStyle w:val="PwCNormal"/>
        <w:numPr>
          <w:ilvl w:val="0"/>
          <w:numId w:val="40"/>
        </w:numPr>
      </w:pPr>
      <w:r w:rsidRPr="000051B6">
        <w:t>REP 1.002 Reporting of Patient Costs</w:t>
      </w:r>
      <w:r w:rsidR="00736AD9" w:rsidRPr="000051B6">
        <w:t xml:space="preserve"> (page 73)</w:t>
      </w:r>
      <w:r w:rsidRPr="000051B6">
        <w:t xml:space="preserve"> – to reinstate this standard.</w:t>
      </w:r>
    </w:p>
    <w:p w:rsidR="00974E41" w:rsidRPr="000051B6" w:rsidRDefault="006226CD" w:rsidP="006226CD">
      <w:pPr>
        <w:pStyle w:val="Heading3"/>
        <w:rPr>
          <w:rFonts w:asciiTheme="majorHAnsi" w:hAnsiTheme="majorHAnsi"/>
        </w:rPr>
      </w:pPr>
      <w:bookmarkStart w:id="62" w:name="_Ref431565106"/>
      <w:r w:rsidRPr="000051B6">
        <w:rPr>
          <w:rFonts w:asciiTheme="majorHAnsi" w:hAnsiTheme="majorHAnsi"/>
        </w:rPr>
        <w:t>P</w:t>
      </w:r>
      <w:r w:rsidR="006D316A" w:rsidRPr="000051B6">
        <w:rPr>
          <w:rFonts w:asciiTheme="majorHAnsi" w:hAnsiTheme="majorHAnsi"/>
        </w:rPr>
        <w:t>re-q</w:t>
      </w:r>
      <w:r w:rsidR="00974E41" w:rsidRPr="000051B6">
        <w:rPr>
          <w:rFonts w:asciiTheme="majorHAnsi" w:hAnsiTheme="majorHAnsi"/>
        </w:rPr>
        <w:t xml:space="preserve">uality </w:t>
      </w:r>
      <w:r w:rsidR="006D316A" w:rsidRPr="000051B6">
        <w:rPr>
          <w:rFonts w:asciiTheme="majorHAnsi" w:hAnsiTheme="majorHAnsi"/>
        </w:rPr>
        <w:t>a</w:t>
      </w:r>
      <w:r w:rsidR="00974E41" w:rsidRPr="000051B6">
        <w:rPr>
          <w:rFonts w:asciiTheme="majorHAnsi" w:hAnsiTheme="majorHAnsi"/>
        </w:rPr>
        <w:t xml:space="preserve">ssurance </w:t>
      </w:r>
      <w:r w:rsidR="006D316A" w:rsidRPr="000051B6">
        <w:rPr>
          <w:rFonts w:asciiTheme="majorHAnsi" w:hAnsiTheme="majorHAnsi"/>
        </w:rPr>
        <w:t>c</w:t>
      </w:r>
      <w:r w:rsidR="00974E41" w:rsidRPr="000051B6">
        <w:rPr>
          <w:rFonts w:asciiTheme="majorHAnsi" w:hAnsiTheme="majorHAnsi"/>
        </w:rPr>
        <w:t xml:space="preserve">heck </w:t>
      </w:r>
      <w:r w:rsidR="006D316A" w:rsidRPr="000051B6">
        <w:rPr>
          <w:rFonts w:asciiTheme="majorHAnsi" w:hAnsiTheme="majorHAnsi"/>
        </w:rPr>
        <w:t>i</w:t>
      </w:r>
      <w:r w:rsidR="00974E41" w:rsidRPr="000051B6">
        <w:rPr>
          <w:rFonts w:asciiTheme="majorHAnsi" w:hAnsiTheme="majorHAnsi"/>
        </w:rPr>
        <w:t>mprovements</w:t>
      </w:r>
      <w:bookmarkEnd w:id="62"/>
    </w:p>
    <w:p w:rsidR="00974E41" w:rsidRPr="000051B6" w:rsidRDefault="00974E41" w:rsidP="00974E41">
      <w:pPr>
        <w:pStyle w:val="PwCNormal"/>
        <w:numPr>
          <w:ilvl w:val="0"/>
          <w:numId w:val="0"/>
        </w:numPr>
      </w:pPr>
      <w:r w:rsidRPr="000051B6">
        <w:t xml:space="preserve">The main objective in increasing the checks </w:t>
      </w:r>
      <w:r w:rsidR="008533EA" w:rsidRPr="000051B6">
        <w:t>in</w:t>
      </w:r>
      <w:r w:rsidRPr="000051B6">
        <w:t xml:space="preserve"> this review stage</w:t>
      </w:r>
      <w:r w:rsidR="002D317E" w:rsidRPr="000051B6">
        <w:t xml:space="preserve"> </w:t>
      </w:r>
      <w:r w:rsidR="008533EA" w:rsidRPr="000051B6">
        <w:t xml:space="preserve">was </w:t>
      </w:r>
      <w:r w:rsidRPr="000051B6">
        <w:t>to improve the quality of the data before start</w:t>
      </w:r>
      <w:r w:rsidR="008533EA" w:rsidRPr="000051B6">
        <w:t>ing</w:t>
      </w:r>
      <w:r w:rsidRPr="000051B6">
        <w:t xml:space="preserve"> the costing phase.  The improvements were: </w:t>
      </w:r>
    </w:p>
    <w:p w:rsidR="005470DB" w:rsidRPr="000051B6" w:rsidRDefault="00872B88" w:rsidP="00C71B05">
      <w:pPr>
        <w:pStyle w:val="ListParagraph"/>
        <w:numPr>
          <w:ilvl w:val="0"/>
          <w:numId w:val="31"/>
        </w:numPr>
      </w:pPr>
      <w:r w:rsidRPr="000051B6">
        <w:t>The provision of a n</w:t>
      </w:r>
      <w:r w:rsidR="00974E41" w:rsidRPr="000051B6">
        <w:t>ew sum</w:t>
      </w:r>
      <w:r w:rsidR="005470DB" w:rsidRPr="000051B6">
        <w:t xml:space="preserve">mary page </w:t>
      </w:r>
      <w:r w:rsidRPr="000051B6">
        <w:t xml:space="preserve">to participants </w:t>
      </w:r>
      <w:r w:rsidR="005470DB" w:rsidRPr="000051B6">
        <w:t>highlighting areas for review</w:t>
      </w:r>
    </w:p>
    <w:p w:rsidR="005470DB" w:rsidRPr="000051B6" w:rsidRDefault="00CE1AB5" w:rsidP="00C71B05">
      <w:pPr>
        <w:pStyle w:val="ListParagraph"/>
        <w:numPr>
          <w:ilvl w:val="0"/>
          <w:numId w:val="31"/>
        </w:numPr>
      </w:pPr>
      <w:r w:rsidRPr="000051B6">
        <w:t xml:space="preserve">Additional </w:t>
      </w:r>
      <w:r w:rsidR="005470DB" w:rsidRPr="000051B6">
        <w:t>quality assurance tests</w:t>
      </w:r>
      <w:r w:rsidRPr="000051B6">
        <w:t xml:space="preserve"> checking for</w:t>
      </w:r>
      <w:r w:rsidR="005470DB" w:rsidRPr="000051B6">
        <w:t xml:space="preserve"> negative</w:t>
      </w:r>
      <w:r w:rsidRPr="000051B6">
        <w:t xml:space="preserve"> costs</w:t>
      </w:r>
      <w:r w:rsidR="005470DB" w:rsidRPr="000051B6">
        <w:t xml:space="preserve"> in the </w:t>
      </w:r>
      <w:r w:rsidR="00A16E0B" w:rsidRPr="000051B6">
        <w:t>General Ledger (</w:t>
      </w:r>
      <w:r w:rsidR="005470DB" w:rsidRPr="000051B6">
        <w:t>GL</w:t>
      </w:r>
      <w:r w:rsidR="00A16E0B" w:rsidRPr="000051B6">
        <w:t>)</w:t>
      </w:r>
      <w:r w:rsidR="005470DB" w:rsidRPr="000051B6">
        <w:t xml:space="preserve"> and </w:t>
      </w:r>
      <w:r w:rsidRPr="000051B6">
        <w:t xml:space="preserve">other </w:t>
      </w:r>
      <w:r w:rsidR="00974E41" w:rsidRPr="000051B6">
        <w:t>reconciliation</w:t>
      </w:r>
      <w:r w:rsidR="005470DB" w:rsidRPr="000051B6">
        <w:t xml:space="preserve"> checks for each table</w:t>
      </w:r>
    </w:p>
    <w:p w:rsidR="005470DB" w:rsidRPr="000051B6" w:rsidRDefault="005470DB" w:rsidP="00C71B05">
      <w:pPr>
        <w:pStyle w:val="ListParagraph"/>
        <w:numPr>
          <w:ilvl w:val="0"/>
          <w:numId w:val="31"/>
        </w:numPr>
      </w:pPr>
      <w:r w:rsidRPr="000051B6">
        <w:t>Reconciliation checks throughout the</w:t>
      </w:r>
      <w:r w:rsidR="00CE1AB5" w:rsidRPr="000051B6">
        <w:t xml:space="preserve"> pre-quality</w:t>
      </w:r>
      <w:r w:rsidRPr="000051B6">
        <w:t xml:space="preserve"> </w:t>
      </w:r>
      <w:r w:rsidR="00CE1AB5" w:rsidRPr="000051B6">
        <w:t xml:space="preserve">assurance </w:t>
      </w:r>
      <w:r w:rsidRPr="000051B6">
        <w:t>document, indicated by a green dot or red cross.</w:t>
      </w:r>
    </w:p>
    <w:p w:rsidR="00480011" w:rsidRPr="000051B6" w:rsidRDefault="005470DB" w:rsidP="001222BC">
      <w:pPr>
        <w:pStyle w:val="Heading2"/>
        <w:spacing w:after="240"/>
      </w:pPr>
      <w:bookmarkStart w:id="63" w:name="_Toc435611224"/>
      <w:r w:rsidRPr="000051B6">
        <w:t xml:space="preserve">Reliability of the </w:t>
      </w:r>
      <w:r w:rsidR="00B85EA8" w:rsidRPr="000051B6">
        <w:t>Hospital Casemix Protocol (HCP) and Private Hospital Data Bureau (PHDB)</w:t>
      </w:r>
      <w:bookmarkEnd w:id="63"/>
    </w:p>
    <w:p w:rsidR="00C813DD" w:rsidRPr="000051B6" w:rsidRDefault="00C813DD" w:rsidP="00A445EA">
      <w:pPr>
        <w:spacing w:after="240"/>
      </w:pPr>
      <w:r w:rsidRPr="000051B6">
        <w:t xml:space="preserve">In March 2015 a meeting was held between IHPA, DoH and PwC to discuss known </w:t>
      </w:r>
      <w:r w:rsidR="00992D0E">
        <w:t xml:space="preserve">12 </w:t>
      </w:r>
      <w:r w:rsidRPr="000051B6">
        <w:t>issues with the PHDB and HCP datasets.  Through</w:t>
      </w:r>
      <w:r w:rsidR="00CE1AB5" w:rsidRPr="000051B6">
        <w:t>out</w:t>
      </w:r>
      <w:r w:rsidRPr="000051B6">
        <w:t xml:space="preserve"> 2013-14 DoH </w:t>
      </w:r>
      <w:r w:rsidR="00B13379" w:rsidRPr="000051B6">
        <w:t>worked</w:t>
      </w:r>
      <w:r w:rsidRPr="000051B6">
        <w:t xml:space="preserve"> on</w:t>
      </w:r>
      <w:r w:rsidR="00B13379" w:rsidRPr="000051B6">
        <w:t xml:space="preserve"> the known</w:t>
      </w:r>
      <w:r w:rsidRPr="000051B6">
        <w:t xml:space="preserve"> data quality</w:t>
      </w:r>
      <w:r w:rsidR="00B13379" w:rsidRPr="000051B6">
        <w:t xml:space="preserve"> issue</w:t>
      </w:r>
      <w:r w:rsidRPr="000051B6">
        <w:t xml:space="preserve"> in reducing the number of duplicate records in PHDB dataset, </w:t>
      </w:r>
      <w:r w:rsidR="00B13379" w:rsidRPr="000051B6">
        <w:t xml:space="preserve">which was an </w:t>
      </w:r>
      <w:r w:rsidRPr="000051B6">
        <w:t xml:space="preserve">excellent step </w:t>
      </w:r>
      <w:r w:rsidR="00CE1AB5" w:rsidRPr="000051B6">
        <w:t>to</w:t>
      </w:r>
      <w:r w:rsidRPr="000051B6">
        <w:t xml:space="preserve"> improv</w:t>
      </w:r>
      <w:r w:rsidR="00CE1AB5" w:rsidRPr="000051B6">
        <w:t>ing</w:t>
      </w:r>
      <w:r w:rsidRPr="000051B6">
        <w:t xml:space="preserve"> the quality and accuracy of the data.</w:t>
      </w:r>
    </w:p>
    <w:p w:rsidR="00C813DD" w:rsidRPr="000051B6" w:rsidRDefault="005362EE" w:rsidP="00A445EA">
      <w:pPr>
        <w:spacing w:after="240"/>
      </w:pPr>
      <w:r w:rsidRPr="000051B6">
        <w:t xml:space="preserve">These </w:t>
      </w:r>
      <w:r w:rsidR="00C813DD" w:rsidRPr="000051B6">
        <w:t xml:space="preserve">issues were identified in Round 17 </w:t>
      </w:r>
      <w:r w:rsidR="00CE1AB5" w:rsidRPr="000051B6">
        <w:t xml:space="preserve">but </w:t>
      </w:r>
      <w:r w:rsidR="00C813DD" w:rsidRPr="000051B6">
        <w:t xml:space="preserve">are still relevant in Round 18 and </w:t>
      </w:r>
      <w:r w:rsidRPr="000051B6">
        <w:t>have</w:t>
      </w:r>
      <w:r w:rsidR="00C813DD" w:rsidRPr="000051B6">
        <w:t xml:space="preserve"> impact</w:t>
      </w:r>
      <w:r w:rsidRPr="000051B6">
        <w:t>ed</w:t>
      </w:r>
      <w:r w:rsidR="00C813DD" w:rsidRPr="000051B6">
        <w:t xml:space="preserve"> on the accuracy of the costed output.  </w:t>
      </w:r>
    </w:p>
    <w:p w:rsidR="003738C0" w:rsidRDefault="00C813DD" w:rsidP="00A445EA">
      <w:pPr>
        <w:spacing w:after="240"/>
      </w:pPr>
      <w:r w:rsidRPr="000051B6">
        <w:t xml:space="preserve">For further details of how these issues were dealt with in Round 18 please see </w:t>
      </w:r>
      <w:r w:rsidR="00EF23C9" w:rsidRPr="000051B6">
        <w:fldChar w:fldCharType="begin"/>
      </w:r>
      <w:r w:rsidR="00EF23C9" w:rsidRPr="000051B6">
        <w:instrText xml:space="preserve"> REF _Ref430242964 \h  \* MERGEFORMAT </w:instrText>
      </w:r>
      <w:r w:rsidR="00EF23C9" w:rsidRPr="000051B6">
        <w:fldChar w:fldCharType="separate"/>
      </w:r>
      <w:r w:rsidR="00E75057" w:rsidRPr="000051B6">
        <w:rPr>
          <w:rFonts w:asciiTheme="majorHAnsi" w:hAnsiTheme="majorHAnsi"/>
        </w:rPr>
        <w:t>Appendix B: PHDB and HCP data quality issues for Round 18</w:t>
      </w:r>
      <w:r w:rsidR="00EF23C9" w:rsidRPr="000051B6">
        <w:fldChar w:fldCharType="end"/>
      </w:r>
      <w:r w:rsidR="00EF23C9" w:rsidRPr="000051B6">
        <w:t>.</w:t>
      </w:r>
      <w:r w:rsidRPr="000051B6">
        <w:t xml:space="preserve"> </w:t>
      </w:r>
    </w:p>
    <w:p w:rsidR="00992D0E" w:rsidRDefault="00992D0E" w:rsidP="001222BC">
      <w:pPr>
        <w:pStyle w:val="Heading2"/>
        <w:spacing w:after="240"/>
      </w:pPr>
      <w:bookmarkStart w:id="64" w:name="_Toc435611225"/>
      <w:r>
        <w:t>Stages of the Collection</w:t>
      </w:r>
      <w:bookmarkEnd w:id="64"/>
    </w:p>
    <w:p w:rsidR="00930A6A" w:rsidRDefault="00D65E24" w:rsidP="00A10969">
      <w:pPr>
        <w:pStyle w:val="PwCNormal"/>
        <w:numPr>
          <w:ilvl w:val="0"/>
          <w:numId w:val="0"/>
        </w:numPr>
      </w:pPr>
      <w:r>
        <w:t>There were eight stages of the collection for more details about this p</w:t>
      </w:r>
      <w:r w:rsidR="003738C0">
        <w:t xml:space="preserve">lease refer to </w:t>
      </w:r>
      <w:r w:rsidR="003738C0">
        <w:fldChar w:fldCharType="begin"/>
      </w:r>
      <w:r w:rsidR="003738C0">
        <w:instrText xml:space="preserve"> REF _Ref433966171 \h </w:instrText>
      </w:r>
      <w:r w:rsidR="003738C0">
        <w:fldChar w:fldCharType="separate"/>
      </w:r>
      <w:r w:rsidR="00E75057" w:rsidRPr="000051B6">
        <w:rPr>
          <w:rFonts w:asciiTheme="majorHAnsi" w:hAnsiTheme="majorHAnsi"/>
        </w:rPr>
        <w:t xml:space="preserve">Appendix C: </w:t>
      </w:r>
      <w:r w:rsidR="00E75057">
        <w:rPr>
          <w:rFonts w:asciiTheme="majorHAnsi" w:hAnsiTheme="majorHAnsi"/>
        </w:rPr>
        <w:t>Detailed methodology</w:t>
      </w:r>
      <w:r w:rsidR="003738C0">
        <w:fldChar w:fldCharType="end"/>
      </w:r>
      <w:r w:rsidR="003738C0">
        <w:t>.</w:t>
      </w:r>
    </w:p>
    <w:p w:rsidR="009D3375" w:rsidRDefault="00F170C5" w:rsidP="009D3375">
      <w:pPr>
        <w:pStyle w:val="BodyText"/>
        <w:spacing w:line="240" w:lineRule="atLeast"/>
      </w:pPr>
      <w:r>
        <w:t>A</w:t>
      </w:r>
      <w:r w:rsidR="009D3375">
        <w:t xml:space="preserve"> </w:t>
      </w:r>
      <w:r w:rsidR="00DB0E55">
        <w:t xml:space="preserve">review </w:t>
      </w:r>
      <w:r w:rsidR="00AD02FA">
        <w:t xml:space="preserve">was performed of </w:t>
      </w:r>
      <w:r w:rsidR="00DB0E55">
        <w:t xml:space="preserve">all AR-DRGs for flipping.  AR-DRG flipping is where the cost weight is higher than </w:t>
      </w:r>
      <w:r w:rsidR="00DB0E55" w:rsidRPr="00563C19">
        <w:t xml:space="preserve">expected for the complexity of the </w:t>
      </w:r>
      <w:r w:rsidR="00DB0E55">
        <w:t>AR-</w:t>
      </w:r>
      <w:r w:rsidR="00DB0E55" w:rsidRPr="00563C19">
        <w:t xml:space="preserve">DRG as indicated by the last alphabetic letter in the </w:t>
      </w:r>
      <w:r w:rsidR="00DB0E55">
        <w:t>AR-</w:t>
      </w:r>
      <w:r w:rsidR="00DB0E55" w:rsidRPr="00563C19">
        <w:t xml:space="preserve">DRG </w:t>
      </w:r>
      <w:r w:rsidR="00DB0E55">
        <w:t>family</w:t>
      </w:r>
      <w:r w:rsidR="00DB0E55" w:rsidRPr="00563C19">
        <w:t xml:space="preserve">.  For example I04A </w:t>
      </w:r>
      <w:r w:rsidR="00DB0E55">
        <w:t>is a</w:t>
      </w:r>
      <w:r w:rsidR="00DB0E55" w:rsidRPr="00563C19">
        <w:t xml:space="preserve"> higher complexity than I04B.  </w:t>
      </w:r>
      <w:r w:rsidR="00DB0E55">
        <w:t>Therefore the cost weight for I04A is expected to be higher than I04B</w:t>
      </w:r>
      <w:r w:rsidR="00DB0E55" w:rsidRPr="00563C19">
        <w:t>.</w:t>
      </w:r>
      <w:r w:rsidR="00DB0E55">
        <w:t xml:space="preserve"> If this is not the case then this is referred to as AR-DRG flipping.  </w:t>
      </w:r>
      <w:bookmarkStart w:id="65" w:name="_GoBack"/>
      <w:bookmarkEnd w:id="65"/>
      <w:r w:rsidR="00DB0E55">
        <w:t xml:space="preserve">In Round 18 there </w:t>
      </w:r>
      <w:r w:rsidR="009D3375">
        <w:t>were</w:t>
      </w:r>
      <w:r w:rsidR="00DB0E55">
        <w:t xml:space="preserve"> a small </w:t>
      </w:r>
      <w:r w:rsidR="009D3375">
        <w:t>number</w:t>
      </w:r>
      <w:r w:rsidR="00DB0E55">
        <w:t xml:space="preserve"> of these instances which were analysed and discussed with the key stakeholders about the appropriate treatment.  </w:t>
      </w:r>
      <w:r w:rsidR="009D3375">
        <w:t xml:space="preserve">After discussions with affected stakeholders, including reviewing patient data, it was agreed that a number of these encounters should have been coded to a high complexity AR-DRG and therefore this was changed in the data.  </w:t>
      </w:r>
    </w:p>
    <w:p w:rsidR="009D3375" w:rsidRDefault="009D3375" w:rsidP="009D3375">
      <w:pPr>
        <w:pStyle w:val="BodyText"/>
        <w:spacing w:line="240" w:lineRule="atLeast"/>
      </w:pPr>
      <w:r>
        <w:t>There were a remaining 6 encounters were i</w:t>
      </w:r>
      <w:r w:rsidR="00DB0E55">
        <w:t>t was decided</w:t>
      </w:r>
      <w:r>
        <w:t xml:space="preserve"> with key stakeholders</w:t>
      </w:r>
      <w:r w:rsidR="00DB0E55">
        <w:t xml:space="preserve"> that these records should be removed </w:t>
      </w:r>
      <w:r>
        <w:t xml:space="preserve">from the collection, to reverse the AR-DRG flipping, </w:t>
      </w:r>
      <w:r w:rsidR="00DB0E55">
        <w:t>as the</w:t>
      </w:r>
      <w:r>
        <w:t>se</w:t>
      </w:r>
      <w:r w:rsidR="00DB0E55">
        <w:t xml:space="preserve"> were all low cost outliers</w:t>
      </w:r>
      <w:r>
        <w:t>.</w:t>
      </w:r>
    </w:p>
    <w:p w:rsidR="00D65E24" w:rsidRDefault="009D3375" w:rsidP="00424A56">
      <w:pPr>
        <w:pStyle w:val="BodyText"/>
        <w:spacing w:line="240" w:lineRule="atLeast"/>
        <w:rPr>
          <w:rFonts w:asciiTheme="majorHAnsi" w:hAnsiTheme="majorHAnsi"/>
          <w:b/>
          <w:i/>
          <w:sz w:val="56"/>
        </w:rPr>
      </w:pPr>
      <w:r>
        <w:t>The</w:t>
      </w:r>
      <w:r w:rsidRPr="000051B6">
        <w:t xml:space="preserve"> only flipped AR-DRG</w:t>
      </w:r>
      <w:r>
        <w:t>s</w:t>
      </w:r>
      <w:r w:rsidRPr="000051B6">
        <w:t xml:space="preserve"> remaining </w:t>
      </w:r>
      <w:r>
        <w:t xml:space="preserve">for this collection are </w:t>
      </w:r>
      <w:r w:rsidRPr="000051B6">
        <w:t xml:space="preserve">P60A&amp;B (P60A - Neonate without Sig OR </w:t>
      </w:r>
      <w:proofErr w:type="spellStart"/>
      <w:r w:rsidRPr="000051B6">
        <w:t>Proc</w:t>
      </w:r>
      <w:proofErr w:type="spellEnd"/>
      <w:r w:rsidRPr="000051B6">
        <w:t xml:space="preserve">, Died or Transferred to Acute Facility &lt;5 Days and P60B - Neonate without Sig OR </w:t>
      </w:r>
      <w:proofErr w:type="spellStart"/>
      <w:r w:rsidRPr="000051B6">
        <w:t>Proc</w:t>
      </w:r>
      <w:proofErr w:type="spellEnd"/>
      <w:r w:rsidRPr="000051B6">
        <w:t xml:space="preserve">, Died or Transferred to Acute Facility </w:t>
      </w:r>
      <w:proofErr w:type="spellStart"/>
      <w:r w:rsidRPr="000051B6">
        <w:t>Sameday</w:t>
      </w:r>
      <w:proofErr w:type="spellEnd"/>
      <w:r w:rsidRPr="000051B6">
        <w:t xml:space="preserve">).  This is the same </w:t>
      </w:r>
      <w:r w:rsidR="004840F1">
        <w:t>t</w:t>
      </w:r>
      <w:r w:rsidRPr="000051B6">
        <w:t>reatment as Round 17 and the reason for not changing these AR-DRGs is P60A is for newborn neonates wh</w:t>
      </w:r>
      <w:r>
        <w:t>ereas P60B is for non-newborns.</w:t>
      </w:r>
      <w:bookmarkStart w:id="66" w:name="_Ref416363893"/>
      <w:bookmarkStart w:id="67" w:name="_Ref416363900"/>
      <w:bookmarkStart w:id="68" w:name="_Ref416363912"/>
      <w:bookmarkStart w:id="69" w:name="_Ref416363934"/>
      <w:bookmarkStart w:id="70" w:name="_Ref416363939"/>
      <w:bookmarkStart w:id="71" w:name="_Ref416364254"/>
      <w:bookmarkStart w:id="72" w:name="_Ref416364523"/>
      <w:r w:rsidR="00D65E24">
        <w:rPr>
          <w:rFonts w:asciiTheme="majorHAnsi" w:hAnsiTheme="majorHAnsi"/>
        </w:rPr>
        <w:br w:type="page"/>
      </w:r>
    </w:p>
    <w:p w:rsidR="004F3859" w:rsidRPr="000051B6" w:rsidRDefault="005A1129" w:rsidP="00535018">
      <w:pPr>
        <w:pStyle w:val="Heading1"/>
        <w:rPr>
          <w:rFonts w:asciiTheme="majorHAnsi" w:hAnsiTheme="majorHAnsi"/>
        </w:rPr>
      </w:pPr>
      <w:bookmarkStart w:id="73" w:name="_Toc435611226"/>
      <w:r w:rsidRPr="000051B6">
        <w:rPr>
          <w:rFonts w:asciiTheme="majorHAnsi" w:hAnsiTheme="majorHAnsi"/>
        </w:rPr>
        <w:lastRenderedPageBreak/>
        <w:t>Summary of results</w:t>
      </w:r>
      <w:bookmarkEnd w:id="66"/>
      <w:bookmarkEnd w:id="67"/>
      <w:bookmarkEnd w:id="68"/>
      <w:bookmarkEnd w:id="69"/>
      <w:bookmarkEnd w:id="70"/>
      <w:bookmarkEnd w:id="71"/>
      <w:bookmarkEnd w:id="72"/>
      <w:bookmarkEnd w:id="73"/>
    </w:p>
    <w:p w:rsidR="00875AFD" w:rsidRPr="000051B6" w:rsidRDefault="004E7491" w:rsidP="001222BC">
      <w:pPr>
        <w:pStyle w:val="Heading2"/>
        <w:spacing w:after="240"/>
      </w:pPr>
      <w:bookmarkStart w:id="74" w:name="_Ref433272076"/>
      <w:bookmarkStart w:id="75" w:name="_Ref433272082"/>
      <w:bookmarkStart w:id="76" w:name="_Toc435611227"/>
      <w:r w:rsidRPr="000051B6">
        <w:t>Summary of Round 1</w:t>
      </w:r>
      <w:r w:rsidR="00070BEA" w:rsidRPr="000051B6">
        <w:t>8</w:t>
      </w:r>
      <w:r w:rsidR="006D316A" w:rsidRPr="000051B6">
        <w:t xml:space="preserve"> s</w:t>
      </w:r>
      <w:r w:rsidRPr="000051B6">
        <w:t xml:space="preserve">ample to </w:t>
      </w:r>
      <w:r w:rsidR="006D316A" w:rsidRPr="000051B6">
        <w:t>p</w:t>
      </w:r>
      <w:r w:rsidRPr="000051B6">
        <w:t>opulation</w:t>
      </w:r>
      <w:bookmarkEnd w:id="74"/>
      <w:bookmarkEnd w:id="75"/>
      <w:bookmarkEnd w:id="76"/>
    </w:p>
    <w:p w:rsidR="00DF53E2" w:rsidRPr="000051B6" w:rsidRDefault="006E1791" w:rsidP="00A445EA">
      <w:pPr>
        <w:pStyle w:val="BodyText"/>
      </w:pPr>
      <w:r w:rsidRPr="000051B6">
        <w:t xml:space="preserve">The population of hospitals for the NHCDC is defined as all multi-day private hospitals with at least 200 acute admitted separations. </w:t>
      </w:r>
      <w:r w:rsidR="00DF53E2" w:rsidRPr="000051B6">
        <w:t>Over the years, participation levels have varied from 59% of separations (Round 11, 2006-07) to a peak of 72% of separations in Round 12 (2007-08) (se</w:t>
      </w:r>
      <w:r w:rsidR="00A445EA">
        <w:t>e table 3 for further details).</w:t>
      </w:r>
    </w:p>
    <w:p w:rsidR="006E1791" w:rsidRPr="000051B6" w:rsidRDefault="006E1791" w:rsidP="00A445EA">
      <w:pPr>
        <w:spacing w:after="240"/>
      </w:pPr>
      <w:r w:rsidRPr="000051B6">
        <w:t>In Round 1</w:t>
      </w:r>
      <w:r w:rsidR="00070BEA" w:rsidRPr="000051B6">
        <w:t>8</w:t>
      </w:r>
      <w:r w:rsidRPr="000051B6">
        <w:t xml:space="preserve"> there were 2</w:t>
      </w:r>
      <w:r w:rsidR="00070BEA" w:rsidRPr="000051B6">
        <w:t>35</w:t>
      </w:r>
      <w:r w:rsidRPr="000051B6">
        <w:t xml:space="preserve"> hospitals eligible to participate. Of these </w:t>
      </w:r>
      <w:r w:rsidR="00070BEA" w:rsidRPr="000051B6">
        <w:t>235 hospitals, 96 participated in Round 18</w:t>
      </w:r>
      <w:r w:rsidRPr="000051B6">
        <w:t>, which re</w:t>
      </w:r>
      <w:r w:rsidR="00070BEA" w:rsidRPr="000051B6">
        <w:t>presents 4</w:t>
      </w:r>
      <w:r w:rsidR="00DF53E2" w:rsidRPr="000051B6">
        <w:t>1</w:t>
      </w:r>
      <w:r w:rsidRPr="000051B6">
        <w:t>% of the populat</w:t>
      </w:r>
      <w:r w:rsidR="00DF53E2" w:rsidRPr="000051B6">
        <w:t xml:space="preserve">ion of in-scope hospitals. This is a </w:t>
      </w:r>
      <w:r w:rsidR="001E66DC" w:rsidRPr="000051B6">
        <w:t>1</w:t>
      </w:r>
      <w:r w:rsidR="00DF53E2" w:rsidRPr="000051B6">
        <w:t xml:space="preserve">% increase compared to </w:t>
      </w:r>
      <w:r w:rsidR="0052122C" w:rsidRPr="000051B6">
        <w:t xml:space="preserve">the </w:t>
      </w:r>
      <w:r w:rsidR="00DF53E2" w:rsidRPr="000051B6">
        <w:t>Round 17 (financial year 2012-13) participant level</w:t>
      </w:r>
      <w:r w:rsidR="00D60707">
        <w:t xml:space="preserve"> (shown in table 3)</w:t>
      </w:r>
      <w:r w:rsidR="00A445EA">
        <w:t>.</w:t>
      </w:r>
    </w:p>
    <w:p w:rsidR="00DF53E2" w:rsidRPr="000051B6" w:rsidRDefault="006E1791" w:rsidP="00A445EA">
      <w:pPr>
        <w:pStyle w:val="BodyText"/>
      </w:pPr>
      <w:r w:rsidRPr="000051B6">
        <w:t xml:space="preserve">The population of separations is defined as all acute admitted separations performed at these </w:t>
      </w:r>
      <w:r w:rsidR="00DF53E2" w:rsidRPr="000051B6">
        <w:t xml:space="preserve">235 </w:t>
      </w:r>
      <w:r w:rsidRPr="000051B6">
        <w:t xml:space="preserve">hospitals, which </w:t>
      </w:r>
      <w:r w:rsidR="00DF53E2" w:rsidRPr="000051B6">
        <w:t>were</w:t>
      </w:r>
      <w:r w:rsidRPr="000051B6">
        <w:t xml:space="preserve"> </w:t>
      </w:r>
      <w:r w:rsidR="00B06E18">
        <w:t>2,827,996</w:t>
      </w:r>
      <w:r w:rsidRPr="000051B6">
        <w:t xml:space="preserve"> in 201</w:t>
      </w:r>
      <w:r w:rsidR="00DF53E2" w:rsidRPr="000051B6">
        <w:t>3-14</w:t>
      </w:r>
      <w:r w:rsidRPr="000051B6">
        <w:t>.</w:t>
      </w:r>
    </w:p>
    <w:p w:rsidR="00DF53E2" w:rsidRPr="000051B6" w:rsidRDefault="00CA5478" w:rsidP="00A445EA">
      <w:pPr>
        <w:pStyle w:val="BodyText"/>
      </w:pPr>
      <w:r w:rsidRPr="000051B6">
        <w:t xml:space="preserve">The number </w:t>
      </w:r>
      <w:r w:rsidR="00FC6202" w:rsidRPr="000051B6">
        <w:t>of in-scope sample separations in Round 1</w:t>
      </w:r>
      <w:r w:rsidR="00DF53E2" w:rsidRPr="000051B6">
        <w:t>8</w:t>
      </w:r>
      <w:r w:rsidR="00FC6202" w:rsidRPr="000051B6">
        <w:t xml:space="preserve"> was 1,</w:t>
      </w:r>
      <w:r w:rsidR="00B06E18">
        <w:t>697,311</w:t>
      </w:r>
      <w:r w:rsidR="00FC6202" w:rsidRPr="000051B6">
        <w:t xml:space="preserve"> which represent 60% of the population of in-scope separations. </w:t>
      </w:r>
      <w:r w:rsidR="00DF53E2" w:rsidRPr="000051B6">
        <w:t xml:space="preserve">This is an increase </w:t>
      </w:r>
      <w:r w:rsidR="00635D1A" w:rsidRPr="000051B6">
        <w:t xml:space="preserve">of </w:t>
      </w:r>
      <w:r w:rsidR="00DF53E2" w:rsidRPr="000051B6">
        <w:t>3</w:t>
      </w:r>
      <w:r w:rsidR="00635D1A" w:rsidRPr="000051B6">
        <w:t xml:space="preserve">% in </w:t>
      </w:r>
      <w:r w:rsidR="00DF53E2" w:rsidRPr="000051B6">
        <w:t>the sample separations</w:t>
      </w:r>
      <w:r w:rsidR="00635D1A" w:rsidRPr="000051B6">
        <w:t xml:space="preserve"> compared to the Round 1</w:t>
      </w:r>
      <w:r w:rsidR="00DF53E2" w:rsidRPr="000051B6">
        <w:t>7</w:t>
      </w:r>
      <w:r w:rsidR="00D60707">
        <w:t xml:space="preserve"> (shown in table 3)</w:t>
      </w:r>
      <w:r w:rsidR="00635D1A" w:rsidRPr="000051B6">
        <w:t>.</w:t>
      </w:r>
    </w:p>
    <w:p w:rsidR="0052122C" w:rsidRPr="000051B6" w:rsidRDefault="0052122C" w:rsidP="00A445EA">
      <w:pPr>
        <w:spacing w:before="240" w:after="240"/>
      </w:pPr>
      <w:r w:rsidRPr="000051B6">
        <w:t xml:space="preserve">The average number of separations per participant increased by </w:t>
      </w:r>
      <w:r w:rsidR="00144311" w:rsidRPr="000051B6">
        <w:t>748</w:t>
      </w:r>
      <w:r w:rsidRPr="000051B6">
        <w:t xml:space="preserve"> separations (from 11,286 to 12,034) between Rounds 17 and 18.</w:t>
      </w:r>
    </w:p>
    <w:p w:rsidR="00875AFD" w:rsidRDefault="00670666" w:rsidP="00A445EA">
      <w:pPr>
        <w:pStyle w:val="Tablesheadings"/>
        <w:spacing w:after="240"/>
        <w:ind w:left="1418" w:hanging="1418"/>
        <w:rPr>
          <w:lang w:val="en-AU"/>
        </w:rPr>
      </w:pPr>
      <w:bookmarkStart w:id="77" w:name="_Ref353931865"/>
      <w:bookmarkStart w:id="78" w:name="_Toc432078942"/>
      <w:bookmarkStart w:id="79" w:name="_Toc435610609"/>
      <w:r w:rsidRPr="000051B6">
        <w:rPr>
          <w:lang w:val="en-AU"/>
        </w:rPr>
        <w:t xml:space="preserve">Table </w:t>
      </w:r>
      <w:r w:rsidR="006038DA" w:rsidRPr="000051B6">
        <w:rPr>
          <w:lang w:val="en-AU"/>
        </w:rPr>
        <w:t>3</w:t>
      </w:r>
      <w:bookmarkEnd w:id="77"/>
      <w:r w:rsidR="004E7491" w:rsidRPr="000051B6">
        <w:rPr>
          <w:lang w:val="en-AU"/>
        </w:rPr>
        <w:tab/>
        <w:t>Comparison of separations and hospitals, Round 7 (2002</w:t>
      </w:r>
      <w:r w:rsidR="00DF53E2" w:rsidRPr="000051B6">
        <w:rPr>
          <w:lang w:val="en-AU"/>
        </w:rPr>
        <w:t>-</w:t>
      </w:r>
      <w:r w:rsidR="004E7491" w:rsidRPr="000051B6">
        <w:rPr>
          <w:lang w:val="en-AU"/>
        </w:rPr>
        <w:t>03) to Round 1</w:t>
      </w:r>
      <w:r w:rsidR="00B37AF4" w:rsidRPr="000051B6">
        <w:rPr>
          <w:lang w:val="en-AU"/>
        </w:rPr>
        <w:t>8</w:t>
      </w:r>
      <w:r w:rsidR="00342685" w:rsidRPr="000051B6">
        <w:rPr>
          <w:lang w:val="en-AU"/>
        </w:rPr>
        <w:t xml:space="preserve"> </w:t>
      </w:r>
      <w:r w:rsidR="004E7491" w:rsidRPr="000051B6">
        <w:rPr>
          <w:lang w:val="en-AU"/>
        </w:rPr>
        <w:t>(201</w:t>
      </w:r>
      <w:r w:rsidR="00B37AF4" w:rsidRPr="000051B6">
        <w:rPr>
          <w:lang w:val="en-AU"/>
        </w:rPr>
        <w:t>3</w:t>
      </w:r>
      <w:r w:rsidR="00DF53E2" w:rsidRPr="000051B6">
        <w:rPr>
          <w:lang w:val="en-AU"/>
        </w:rPr>
        <w:t>-</w:t>
      </w:r>
      <w:r w:rsidR="004E7491" w:rsidRPr="000051B6">
        <w:rPr>
          <w:lang w:val="en-AU"/>
        </w:rPr>
        <w:t>1</w:t>
      </w:r>
      <w:r w:rsidR="00B37AF4" w:rsidRPr="000051B6">
        <w:rPr>
          <w:lang w:val="en-AU"/>
        </w:rPr>
        <w:t>4</w:t>
      </w:r>
      <w:r w:rsidR="004E7491" w:rsidRPr="000051B6">
        <w:rPr>
          <w:lang w:val="en-AU"/>
        </w:rPr>
        <w:t>)</w:t>
      </w:r>
      <w:bookmarkEnd w:id="78"/>
      <w:bookmarkEnd w:id="79"/>
    </w:p>
    <w:tbl>
      <w:tblPr>
        <w:tblW w:w="8180" w:type="dxa"/>
        <w:tblLook w:val="04A0" w:firstRow="1" w:lastRow="0" w:firstColumn="1" w:lastColumn="0" w:noHBand="0" w:noVBand="1"/>
        <w:tblCaption w:val="Table 3 comparison of separations and hospitals"/>
        <w:tblDescription w:val="Table 3 contains comparison of several key statistics across different rounds. The columns are for Rounds 7 (2002-03) to Round 18 (2013-14). The rows compare number of separations, number of hospitals, average number of separations per participant and per population hospital and average length of stay."/>
      </w:tblPr>
      <w:tblGrid>
        <w:gridCol w:w="1756"/>
        <w:gridCol w:w="917"/>
        <w:gridCol w:w="917"/>
        <w:gridCol w:w="918"/>
        <w:gridCol w:w="918"/>
        <w:gridCol w:w="918"/>
        <w:gridCol w:w="918"/>
        <w:gridCol w:w="918"/>
      </w:tblGrid>
      <w:tr w:rsidR="00CA10DF" w:rsidRPr="00CA10DF" w:rsidTr="00B06E18">
        <w:trPr>
          <w:trHeight w:val="300"/>
        </w:trPr>
        <w:tc>
          <w:tcPr>
            <w:tcW w:w="1756" w:type="dxa"/>
            <w:vMerge w:val="restart"/>
            <w:tcBorders>
              <w:top w:val="single" w:sz="4" w:space="0" w:color="auto"/>
              <w:left w:val="nil"/>
              <w:bottom w:val="single" w:sz="4" w:space="0" w:color="000000"/>
              <w:right w:val="nil"/>
            </w:tcBorders>
            <w:shd w:val="clear" w:color="auto" w:fill="auto"/>
            <w:noWrap/>
            <w:hideMark/>
          </w:tcPr>
          <w:p w:rsidR="00CA10DF" w:rsidRPr="00CA10DF" w:rsidRDefault="00CA10DF" w:rsidP="00CA10DF">
            <w:pPr>
              <w:rPr>
                <w:b/>
                <w:bCs/>
                <w:snapToGrid/>
                <w:color w:val="A32020"/>
                <w:sz w:val="14"/>
                <w:szCs w:val="14"/>
                <w:lang w:eastAsia="en-AU"/>
              </w:rPr>
            </w:pPr>
            <w:bookmarkStart w:id="80" w:name="OLE_LINK1"/>
            <w:r w:rsidRPr="00CA10DF">
              <w:rPr>
                <w:b/>
                <w:bCs/>
                <w:snapToGrid/>
                <w:color w:val="A32020"/>
                <w:sz w:val="14"/>
                <w:szCs w:val="14"/>
                <w:lang w:eastAsia="en-AU"/>
              </w:rPr>
              <w:t>Key Statistic</w:t>
            </w:r>
          </w:p>
        </w:tc>
        <w:tc>
          <w:tcPr>
            <w:tcW w:w="917" w:type="dxa"/>
            <w:vMerge w:val="restart"/>
            <w:tcBorders>
              <w:top w:val="single" w:sz="4" w:space="0" w:color="auto"/>
              <w:left w:val="nil"/>
              <w:bottom w:val="single" w:sz="4" w:space="0" w:color="000000"/>
              <w:right w:val="nil"/>
            </w:tcBorders>
            <w:shd w:val="clear" w:color="auto" w:fill="auto"/>
            <w:hideMark/>
          </w:tcPr>
          <w:p w:rsidR="00CA10DF" w:rsidRPr="00CA10DF" w:rsidRDefault="00CA10DF" w:rsidP="00CA10DF">
            <w:pPr>
              <w:jc w:val="right"/>
              <w:rPr>
                <w:b/>
                <w:bCs/>
                <w:snapToGrid/>
                <w:color w:val="A32020"/>
                <w:sz w:val="14"/>
                <w:szCs w:val="14"/>
                <w:lang w:eastAsia="en-AU"/>
              </w:rPr>
            </w:pPr>
            <w:r w:rsidRPr="00CA10DF">
              <w:rPr>
                <w:b/>
                <w:bCs/>
                <w:snapToGrid/>
                <w:color w:val="A32020"/>
                <w:sz w:val="14"/>
                <w:szCs w:val="14"/>
                <w:lang w:eastAsia="en-AU"/>
              </w:rPr>
              <w:t>Round 7 2002-03</w:t>
            </w:r>
          </w:p>
        </w:tc>
        <w:tc>
          <w:tcPr>
            <w:tcW w:w="917" w:type="dxa"/>
            <w:vMerge w:val="restart"/>
            <w:tcBorders>
              <w:top w:val="single" w:sz="4" w:space="0" w:color="auto"/>
              <w:left w:val="nil"/>
              <w:bottom w:val="single" w:sz="4" w:space="0" w:color="000000"/>
              <w:right w:val="nil"/>
            </w:tcBorders>
            <w:shd w:val="clear" w:color="auto" w:fill="auto"/>
            <w:hideMark/>
          </w:tcPr>
          <w:p w:rsidR="00CA10DF" w:rsidRPr="00CA10DF" w:rsidRDefault="00CA10DF" w:rsidP="00CA10DF">
            <w:pPr>
              <w:jc w:val="right"/>
              <w:rPr>
                <w:b/>
                <w:bCs/>
                <w:snapToGrid/>
                <w:color w:val="A32020"/>
                <w:sz w:val="14"/>
                <w:szCs w:val="14"/>
                <w:lang w:eastAsia="en-AU"/>
              </w:rPr>
            </w:pPr>
            <w:r w:rsidRPr="00CA10DF">
              <w:rPr>
                <w:b/>
                <w:bCs/>
                <w:snapToGrid/>
                <w:color w:val="A32020"/>
                <w:sz w:val="14"/>
                <w:szCs w:val="14"/>
                <w:lang w:eastAsia="en-AU"/>
              </w:rPr>
              <w:t>Round 11 2006-07</w:t>
            </w:r>
          </w:p>
        </w:tc>
        <w:tc>
          <w:tcPr>
            <w:tcW w:w="918" w:type="dxa"/>
            <w:vMerge w:val="restart"/>
            <w:tcBorders>
              <w:top w:val="single" w:sz="4" w:space="0" w:color="auto"/>
              <w:left w:val="nil"/>
              <w:bottom w:val="single" w:sz="4" w:space="0" w:color="000000"/>
              <w:right w:val="nil"/>
            </w:tcBorders>
            <w:shd w:val="clear" w:color="auto" w:fill="auto"/>
            <w:hideMark/>
          </w:tcPr>
          <w:p w:rsidR="00CA10DF" w:rsidRPr="00CA10DF" w:rsidRDefault="00CA10DF" w:rsidP="00CA10DF">
            <w:pPr>
              <w:jc w:val="right"/>
              <w:rPr>
                <w:b/>
                <w:bCs/>
                <w:snapToGrid/>
                <w:color w:val="A32020"/>
                <w:sz w:val="14"/>
                <w:szCs w:val="14"/>
                <w:lang w:eastAsia="en-AU"/>
              </w:rPr>
            </w:pPr>
            <w:r w:rsidRPr="00CA10DF">
              <w:rPr>
                <w:b/>
                <w:bCs/>
                <w:snapToGrid/>
                <w:color w:val="A32020"/>
                <w:sz w:val="14"/>
                <w:szCs w:val="14"/>
                <w:lang w:eastAsia="en-AU"/>
              </w:rPr>
              <w:t>Round 12 2007-08</w:t>
            </w:r>
          </w:p>
        </w:tc>
        <w:tc>
          <w:tcPr>
            <w:tcW w:w="918" w:type="dxa"/>
            <w:vMerge w:val="restart"/>
            <w:tcBorders>
              <w:top w:val="single" w:sz="4" w:space="0" w:color="auto"/>
              <w:left w:val="nil"/>
              <w:bottom w:val="single" w:sz="4" w:space="0" w:color="000000"/>
              <w:right w:val="nil"/>
            </w:tcBorders>
            <w:shd w:val="clear" w:color="auto" w:fill="auto"/>
            <w:hideMark/>
          </w:tcPr>
          <w:p w:rsidR="00CA10DF" w:rsidRPr="00CA10DF" w:rsidRDefault="00CA10DF" w:rsidP="00CA10DF">
            <w:pPr>
              <w:jc w:val="right"/>
              <w:rPr>
                <w:b/>
                <w:bCs/>
                <w:snapToGrid/>
                <w:color w:val="A32020"/>
                <w:sz w:val="14"/>
                <w:szCs w:val="14"/>
                <w:lang w:eastAsia="en-AU"/>
              </w:rPr>
            </w:pPr>
            <w:r w:rsidRPr="00CA10DF">
              <w:rPr>
                <w:b/>
                <w:bCs/>
                <w:snapToGrid/>
                <w:color w:val="A32020"/>
                <w:sz w:val="14"/>
                <w:szCs w:val="14"/>
                <w:lang w:eastAsia="en-AU"/>
              </w:rPr>
              <w:t>Round 13 2008-09</w:t>
            </w:r>
          </w:p>
        </w:tc>
        <w:tc>
          <w:tcPr>
            <w:tcW w:w="918" w:type="dxa"/>
            <w:vMerge w:val="restart"/>
            <w:tcBorders>
              <w:top w:val="single" w:sz="4" w:space="0" w:color="auto"/>
              <w:left w:val="nil"/>
              <w:bottom w:val="single" w:sz="4" w:space="0" w:color="000000"/>
              <w:right w:val="nil"/>
            </w:tcBorders>
            <w:shd w:val="clear" w:color="auto" w:fill="auto"/>
            <w:hideMark/>
          </w:tcPr>
          <w:p w:rsidR="00CA10DF" w:rsidRPr="00CA10DF" w:rsidRDefault="00CA10DF" w:rsidP="00CA10DF">
            <w:pPr>
              <w:jc w:val="right"/>
              <w:rPr>
                <w:b/>
                <w:bCs/>
                <w:snapToGrid/>
                <w:color w:val="A32020"/>
                <w:sz w:val="14"/>
                <w:szCs w:val="14"/>
                <w:lang w:eastAsia="en-AU"/>
              </w:rPr>
            </w:pPr>
            <w:r w:rsidRPr="00CA10DF">
              <w:rPr>
                <w:b/>
                <w:bCs/>
                <w:snapToGrid/>
                <w:color w:val="A32020"/>
                <w:sz w:val="14"/>
                <w:szCs w:val="14"/>
                <w:lang w:eastAsia="en-AU"/>
              </w:rPr>
              <w:t>Round 16 2011-12</w:t>
            </w:r>
          </w:p>
        </w:tc>
        <w:tc>
          <w:tcPr>
            <w:tcW w:w="918" w:type="dxa"/>
            <w:vMerge w:val="restart"/>
            <w:tcBorders>
              <w:top w:val="single" w:sz="4" w:space="0" w:color="auto"/>
              <w:left w:val="nil"/>
              <w:bottom w:val="single" w:sz="4" w:space="0" w:color="000000"/>
              <w:right w:val="nil"/>
            </w:tcBorders>
            <w:shd w:val="clear" w:color="auto" w:fill="auto"/>
            <w:hideMark/>
          </w:tcPr>
          <w:p w:rsidR="00CA10DF" w:rsidRPr="00CA10DF" w:rsidRDefault="00CA10DF" w:rsidP="00CA10DF">
            <w:pPr>
              <w:jc w:val="right"/>
              <w:rPr>
                <w:b/>
                <w:bCs/>
                <w:snapToGrid/>
                <w:color w:val="A32020"/>
                <w:sz w:val="14"/>
                <w:szCs w:val="14"/>
                <w:lang w:eastAsia="en-AU"/>
              </w:rPr>
            </w:pPr>
            <w:r w:rsidRPr="00CA10DF">
              <w:rPr>
                <w:b/>
                <w:bCs/>
                <w:snapToGrid/>
                <w:color w:val="A32020"/>
                <w:sz w:val="14"/>
                <w:szCs w:val="14"/>
                <w:lang w:eastAsia="en-AU"/>
              </w:rPr>
              <w:t>Round 17 2012-13</w:t>
            </w:r>
          </w:p>
        </w:tc>
        <w:tc>
          <w:tcPr>
            <w:tcW w:w="918" w:type="dxa"/>
            <w:vMerge w:val="restart"/>
            <w:tcBorders>
              <w:top w:val="single" w:sz="4" w:space="0" w:color="auto"/>
              <w:left w:val="nil"/>
              <w:bottom w:val="single" w:sz="4" w:space="0" w:color="000000"/>
              <w:right w:val="nil"/>
            </w:tcBorders>
            <w:shd w:val="clear" w:color="auto" w:fill="F4CACA" w:themeFill="text2" w:themeFillTint="33"/>
            <w:hideMark/>
          </w:tcPr>
          <w:p w:rsidR="00CA10DF" w:rsidRPr="00CA10DF" w:rsidRDefault="00CA10DF" w:rsidP="00CA10DF">
            <w:pPr>
              <w:jc w:val="right"/>
              <w:rPr>
                <w:b/>
                <w:bCs/>
                <w:snapToGrid/>
                <w:color w:val="A32020"/>
                <w:sz w:val="14"/>
                <w:szCs w:val="14"/>
                <w:lang w:eastAsia="en-AU"/>
              </w:rPr>
            </w:pPr>
            <w:r w:rsidRPr="00CA10DF">
              <w:rPr>
                <w:b/>
                <w:bCs/>
                <w:snapToGrid/>
                <w:color w:val="A32020"/>
                <w:sz w:val="14"/>
                <w:szCs w:val="14"/>
                <w:lang w:eastAsia="en-AU"/>
              </w:rPr>
              <w:t>Round 18 2013-14</w:t>
            </w:r>
          </w:p>
        </w:tc>
      </w:tr>
      <w:tr w:rsidR="00CA10DF" w:rsidRPr="00CA10DF" w:rsidTr="00B06E18">
        <w:trPr>
          <w:trHeight w:val="168"/>
        </w:trPr>
        <w:tc>
          <w:tcPr>
            <w:tcW w:w="1756" w:type="dxa"/>
            <w:vMerge/>
            <w:tcBorders>
              <w:top w:val="single" w:sz="4" w:space="0" w:color="auto"/>
              <w:left w:val="nil"/>
              <w:bottom w:val="single" w:sz="4" w:space="0" w:color="000000"/>
              <w:right w:val="nil"/>
            </w:tcBorders>
            <w:vAlign w:val="center"/>
            <w:hideMark/>
          </w:tcPr>
          <w:p w:rsidR="00CA10DF" w:rsidRPr="00CA10DF" w:rsidRDefault="00CA10DF" w:rsidP="00CA10DF">
            <w:pPr>
              <w:rPr>
                <w:b/>
                <w:bCs/>
                <w:snapToGrid/>
                <w:color w:val="A32020"/>
                <w:sz w:val="14"/>
                <w:szCs w:val="14"/>
                <w:lang w:eastAsia="en-AU"/>
              </w:rPr>
            </w:pPr>
          </w:p>
        </w:tc>
        <w:tc>
          <w:tcPr>
            <w:tcW w:w="917" w:type="dxa"/>
            <w:vMerge/>
            <w:tcBorders>
              <w:top w:val="single" w:sz="4" w:space="0" w:color="auto"/>
              <w:left w:val="nil"/>
              <w:bottom w:val="single" w:sz="4" w:space="0" w:color="000000"/>
              <w:right w:val="nil"/>
            </w:tcBorders>
            <w:vAlign w:val="center"/>
            <w:hideMark/>
          </w:tcPr>
          <w:p w:rsidR="00CA10DF" w:rsidRPr="00CA10DF" w:rsidRDefault="00CA10DF" w:rsidP="00CA10DF">
            <w:pPr>
              <w:rPr>
                <w:b/>
                <w:bCs/>
                <w:snapToGrid/>
                <w:color w:val="A32020"/>
                <w:sz w:val="14"/>
                <w:szCs w:val="14"/>
                <w:lang w:eastAsia="en-AU"/>
              </w:rPr>
            </w:pPr>
          </w:p>
        </w:tc>
        <w:tc>
          <w:tcPr>
            <w:tcW w:w="917" w:type="dxa"/>
            <w:vMerge/>
            <w:tcBorders>
              <w:top w:val="single" w:sz="4" w:space="0" w:color="auto"/>
              <w:left w:val="nil"/>
              <w:bottom w:val="single" w:sz="4" w:space="0" w:color="000000"/>
              <w:right w:val="nil"/>
            </w:tcBorders>
            <w:vAlign w:val="center"/>
            <w:hideMark/>
          </w:tcPr>
          <w:p w:rsidR="00CA10DF" w:rsidRPr="00CA10DF" w:rsidRDefault="00CA10DF" w:rsidP="00CA10DF">
            <w:pPr>
              <w:rPr>
                <w:b/>
                <w:bCs/>
                <w:snapToGrid/>
                <w:color w:val="A32020"/>
                <w:sz w:val="14"/>
                <w:szCs w:val="14"/>
                <w:lang w:eastAsia="en-AU"/>
              </w:rPr>
            </w:pPr>
          </w:p>
        </w:tc>
        <w:tc>
          <w:tcPr>
            <w:tcW w:w="918" w:type="dxa"/>
            <w:vMerge/>
            <w:tcBorders>
              <w:top w:val="single" w:sz="4" w:space="0" w:color="auto"/>
              <w:left w:val="nil"/>
              <w:bottom w:val="single" w:sz="4" w:space="0" w:color="000000"/>
              <w:right w:val="nil"/>
            </w:tcBorders>
            <w:vAlign w:val="center"/>
            <w:hideMark/>
          </w:tcPr>
          <w:p w:rsidR="00CA10DF" w:rsidRPr="00CA10DF" w:rsidRDefault="00CA10DF" w:rsidP="00CA10DF">
            <w:pPr>
              <w:rPr>
                <w:b/>
                <w:bCs/>
                <w:snapToGrid/>
                <w:color w:val="A32020"/>
                <w:sz w:val="14"/>
                <w:szCs w:val="14"/>
                <w:lang w:eastAsia="en-AU"/>
              </w:rPr>
            </w:pPr>
          </w:p>
        </w:tc>
        <w:tc>
          <w:tcPr>
            <w:tcW w:w="918" w:type="dxa"/>
            <w:vMerge/>
            <w:tcBorders>
              <w:top w:val="single" w:sz="4" w:space="0" w:color="auto"/>
              <w:left w:val="nil"/>
              <w:bottom w:val="single" w:sz="4" w:space="0" w:color="000000"/>
              <w:right w:val="nil"/>
            </w:tcBorders>
            <w:vAlign w:val="center"/>
            <w:hideMark/>
          </w:tcPr>
          <w:p w:rsidR="00CA10DF" w:rsidRPr="00CA10DF" w:rsidRDefault="00CA10DF" w:rsidP="00CA10DF">
            <w:pPr>
              <w:rPr>
                <w:b/>
                <w:bCs/>
                <w:snapToGrid/>
                <w:color w:val="A32020"/>
                <w:sz w:val="14"/>
                <w:szCs w:val="14"/>
                <w:lang w:eastAsia="en-AU"/>
              </w:rPr>
            </w:pPr>
          </w:p>
        </w:tc>
        <w:tc>
          <w:tcPr>
            <w:tcW w:w="918" w:type="dxa"/>
            <w:vMerge/>
            <w:tcBorders>
              <w:top w:val="single" w:sz="4" w:space="0" w:color="auto"/>
              <w:left w:val="nil"/>
              <w:bottom w:val="single" w:sz="4" w:space="0" w:color="000000"/>
              <w:right w:val="nil"/>
            </w:tcBorders>
            <w:vAlign w:val="center"/>
            <w:hideMark/>
          </w:tcPr>
          <w:p w:rsidR="00CA10DF" w:rsidRPr="00CA10DF" w:rsidRDefault="00CA10DF" w:rsidP="00CA10DF">
            <w:pPr>
              <w:rPr>
                <w:b/>
                <w:bCs/>
                <w:snapToGrid/>
                <w:color w:val="A32020"/>
                <w:sz w:val="14"/>
                <w:szCs w:val="14"/>
                <w:lang w:eastAsia="en-AU"/>
              </w:rPr>
            </w:pPr>
          </w:p>
        </w:tc>
        <w:tc>
          <w:tcPr>
            <w:tcW w:w="918" w:type="dxa"/>
            <w:vMerge/>
            <w:tcBorders>
              <w:top w:val="single" w:sz="4" w:space="0" w:color="auto"/>
              <w:left w:val="nil"/>
              <w:bottom w:val="single" w:sz="4" w:space="0" w:color="000000"/>
              <w:right w:val="nil"/>
            </w:tcBorders>
            <w:vAlign w:val="center"/>
            <w:hideMark/>
          </w:tcPr>
          <w:p w:rsidR="00CA10DF" w:rsidRPr="00CA10DF" w:rsidRDefault="00CA10DF" w:rsidP="00CA10DF">
            <w:pPr>
              <w:rPr>
                <w:b/>
                <w:bCs/>
                <w:snapToGrid/>
                <w:color w:val="A32020"/>
                <w:sz w:val="14"/>
                <w:szCs w:val="14"/>
                <w:lang w:eastAsia="en-AU"/>
              </w:rPr>
            </w:pPr>
          </w:p>
        </w:tc>
        <w:tc>
          <w:tcPr>
            <w:tcW w:w="918" w:type="dxa"/>
            <w:vMerge/>
            <w:tcBorders>
              <w:top w:val="single" w:sz="4" w:space="0" w:color="auto"/>
              <w:left w:val="nil"/>
              <w:bottom w:val="single" w:sz="4" w:space="0" w:color="000000"/>
              <w:right w:val="nil"/>
            </w:tcBorders>
            <w:shd w:val="clear" w:color="auto" w:fill="F4CACA" w:themeFill="text2" w:themeFillTint="33"/>
            <w:vAlign w:val="center"/>
            <w:hideMark/>
          </w:tcPr>
          <w:p w:rsidR="00CA10DF" w:rsidRPr="00CA10DF" w:rsidRDefault="00CA10DF" w:rsidP="00CA10DF">
            <w:pPr>
              <w:rPr>
                <w:b/>
                <w:bCs/>
                <w:snapToGrid/>
                <w:color w:val="A32020"/>
                <w:sz w:val="14"/>
                <w:szCs w:val="14"/>
                <w:lang w:eastAsia="en-AU"/>
              </w:rPr>
            </w:pPr>
          </w:p>
        </w:tc>
      </w:tr>
      <w:tr w:rsidR="00CA10DF" w:rsidRPr="00CA10DF" w:rsidTr="00B06E18">
        <w:trPr>
          <w:trHeight w:val="168"/>
        </w:trPr>
        <w:tc>
          <w:tcPr>
            <w:tcW w:w="1756" w:type="dxa"/>
            <w:tcBorders>
              <w:top w:val="nil"/>
              <w:left w:val="nil"/>
              <w:bottom w:val="nil"/>
              <w:right w:val="nil"/>
            </w:tcBorders>
            <w:shd w:val="clear" w:color="auto" w:fill="auto"/>
            <w:hideMark/>
          </w:tcPr>
          <w:p w:rsidR="00CA10DF" w:rsidRPr="00CA10DF" w:rsidRDefault="00CA10DF" w:rsidP="00CA10DF">
            <w:pPr>
              <w:rPr>
                <w:snapToGrid/>
                <w:color w:val="000000"/>
                <w:sz w:val="14"/>
                <w:szCs w:val="14"/>
                <w:lang w:eastAsia="en-AU"/>
              </w:rPr>
            </w:pPr>
            <w:r w:rsidRPr="00CA10DF">
              <w:rPr>
                <w:snapToGrid/>
                <w:color w:val="000000"/>
                <w:sz w:val="14"/>
                <w:szCs w:val="14"/>
                <w:lang w:eastAsia="en-AU"/>
              </w:rPr>
              <w:t>Sample separations</w:t>
            </w:r>
          </w:p>
        </w:tc>
        <w:tc>
          <w:tcPr>
            <w:tcW w:w="917"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1,240,388</w:t>
            </w:r>
          </w:p>
        </w:tc>
        <w:tc>
          <w:tcPr>
            <w:tcW w:w="917"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1,297,147</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1,607,678</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1,648,989</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1,775,059</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1,650,816</w:t>
            </w:r>
          </w:p>
        </w:tc>
        <w:tc>
          <w:tcPr>
            <w:tcW w:w="918" w:type="dxa"/>
            <w:tcBorders>
              <w:top w:val="nil"/>
              <w:left w:val="nil"/>
              <w:bottom w:val="nil"/>
              <w:right w:val="nil"/>
            </w:tcBorders>
            <w:shd w:val="clear" w:color="auto" w:fill="F4CACA" w:themeFill="text2" w:themeFillTint="33"/>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1,697,311</w:t>
            </w:r>
          </w:p>
        </w:tc>
      </w:tr>
      <w:tr w:rsidR="00CA10DF" w:rsidRPr="00CA10DF" w:rsidTr="00B06E18">
        <w:trPr>
          <w:trHeight w:val="348"/>
        </w:trPr>
        <w:tc>
          <w:tcPr>
            <w:tcW w:w="1756" w:type="dxa"/>
            <w:tcBorders>
              <w:top w:val="nil"/>
              <w:left w:val="nil"/>
              <w:bottom w:val="nil"/>
              <w:right w:val="nil"/>
            </w:tcBorders>
            <w:shd w:val="clear" w:color="auto" w:fill="auto"/>
            <w:hideMark/>
          </w:tcPr>
          <w:p w:rsidR="00CA10DF" w:rsidRPr="00CA10DF" w:rsidRDefault="00CA10DF" w:rsidP="00CA10DF">
            <w:pPr>
              <w:rPr>
                <w:snapToGrid/>
                <w:color w:val="000000"/>
                <w:sz w:val="14"/>
                <w:szCs w:val="14"/>
                <w:lang w:eastAsia="en-AU"/>
              </w:rPr>
            </w:pPr>
            <w:r w:rsidRPr="00CA10DF">
              <w:rPr>
                <w:snapToGrid/>
                <w:color w:val="000000"/>
                <w:sz w:val="14"/>
                <w:szCs w:val="14"/>
                <w:lang w:eastAsia="en-AU"/>
              </w:rPr>
              <w:t>% increase</w:t>
            </w:r>
          </w:p>
        </w:tc>
        <w:tc>
          <w:tcPr>
            <w:tcW w:w="917"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28%</w:t>
            </w:r>
          </w:p>
        </w:tc>
        <w:tc>
          <w:tcPr>
            <w:tcW w:w="917"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5%</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24%</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3%</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8%</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-7%</w:t>
            </w:r>
          </w:p>
        </w:tc>
        <w:tc>
          <w:tcPr>
            <w:tcW w:w="918" w:type="dxa"/>
            <w:tcBorders>
              <w:top w:val="nil"/>
              <w:left w:val="nil"/>
              <w:bottom w:val="nil"/>
              <w:right w:val="nil"/>
            </w:tcBorders>
            <w:shd w:val="clear" w:color="auto" w:fill="F4CACA" w:themeFill="text2" w:themeFillTint="33"/>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3%</w:t>
            </w:r>
          </w:p>
        </w:tc>
      </w:tr>
      <w:tr w:rsidR="00CA10DF" w:rsidRPr="00CA10DF" w:rsidTr="00B06E18">
        <w:trPr>
          <w:trHeight w:val="168"/>
        </w:trPr>
        <w:tc>
          <w:tcPr>
            <w:tcW w:w="1756" w:type="dxa"/>
            <w:tcBorders>
              <w:top w:val="nil"/>
              <w:left w:val="nil"/>
              <w:bottom w:val="nil"/>
              <w:right w:val="nil"/>
            </w:tcBorders>
            <w:shd w:val="clear" w:color="auto" w:fill="auto"/>
            <w:hideMark/>
          </w:tcPr>
          <w:p w:rsidR="00CA10DF" w:rsidRPr="00CA10DF" w:rsidRDefault="00CA10DF" w:rsidP="00CA10DF">
            <w:pPr>
              <w:rPr>
                <w:snapToGrid/>
                <w:color w:val="000000"/>
                <w:sz w:val="14"/>
                <w:szCs w:val="14"/>
                <w:lang w:eastAsia="en-AU"/>
              </w:rPr>
            </w:pPr>
            <w:r w:rsidRPr="00CA10DF">
              <w:rPr>
                <w:snapToGrid/>
                <w:color w:val="000000"/>
                <w:sz w:val="14"/>
                <w:szCs w:val="14"/>
                <w:lang w:eastAsia="en-AU"/>
              </w:rPr>
              <w:t>Population separations</w:t>
            </w:r>
          </w:p>
        </w:tc>
        <w:tc>
          <w:tcPr>
            <w:tcW w:w="917"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1,903,975</w:t>
            </w:r>
          </w:p>
        </w:tc>
        <w:tc>
          <w:tcPr>
            <w:tcW w:w="917"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2,192,314</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2,248,324</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2,328,814</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2,703,667</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2,753,670</w:t>
            </w:r>
          </w:p>
        </w:tc>
        <w:tc>
          <w:tcPr>
            <w:tcW w:w="918" w:type="dxa"/>
            <w:tcBorders>
              <w:top w:val="nil"/>
              <w:left w:val="nil"/>
              <w:bottom w:val="nil"/>
              <w:right w:val="nil"/>
            </w:tcBorders>
            <w:shd w:val="clear" w:color="auto" w:fill="F4CACA" w:themeFill="text2" w:themeFillTint="33"/>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2,827,996</w:t>
            </w:r>
          </w:p>
        </w:tc>
      </w:tr>
      <w:tr w:rsidR="00CA10DF" w:rsidRPr="00CA10DF" w:rsidTr="00B06E18">
        <w:trPr>
          <w:trHeight w:val="336"/>
        </w:trPr>
        <w:tc>
          <w:tcPr>
            <w:tcW w:w="1756" w:type="dxa"/>
            <w:tcBorders>
              <w:top w:val="nil"/>
              <w:left w:val="nil"/>
              <w:bottom w:val="nil"/>
              <w:right w:val="nil"/>
            </w:tcBorders>
            <w:shd w:val="clear" w:color="auto" w:fill="auto"/>
            <w:hideMark/>
          </w:tcPr>
          <w:p w:rsidR="00CA10DF" w:rsidRPr="00CA10DF" w:rsidRDefault="00CA10DF" w:rsidP="00CA10DF">
            <w:pPr>
              <w:rPr>
                <w:snapToGrid/>
                <w:color w:val="000000"/>
                <w:sz w:val="14"/>
                <w:szCs w:val="14"/>
                <w:lang w:eastAsia="en-AU"/>
              </w:rPr>
            </w:pPr>
            <w:r w:rsidRPr="00CA10DF">
              <w:rPr>
                <w:snapToGrid/>
                <w:color w:val="000000"/>
                <w:sz w:val="14"/>
                <w:szCs w:val="14"/>
                <w:lang w:eastAsia="en-AU"/>
              </w:rPr>
              <w:t>% sample to population</w:t>
            </w:r>
          </w:p>
        </w:tc>
        <w:tc>
          <w:tcPr>
            <w:tcW w:w="917"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65%</w:t>
            </w:r>
          </w:p>
        </w:tc>
        <w:tc>
          <w:tcPr>
            <w:tcW w:w="917"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59%</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72%</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71%</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66%</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60%</w:t>
            </w:r>
          </w:p>
        </w:tc>
        <w:tc>
          <w:tcPr>
            <w:tcW w:w="918" w:type="dxa"/>
            <w:tcBorders>
              <w:top w:val="nil"/>
              <w:left w:val="nil"/>
              <w:bottom w:val="nil"/>
              <w:right w:val="nil"/>
            </w:tcBorders>
            <w:shd w:val="clear" w:color="auto" w:fill="F4CACA" w:themeFill="text2" w:themeFillTint="33"/>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60%</w:t>
            </w:r>
          </w:p>
        </w:tc>
      </w:tr>
      <w:tr w:rsidR="00CA10DF" w:rsidRPr="00CA10DF" w:rsidTr="00B06E18">
        <w:trPr>
          <w:trHeight w:val="168"/>
        </w:trPr>
        <w:tc>
          <w:tcPr>
            <w:tcW w:w="1756" w:type="dxa"/>
            <w:tcBorders>
              <w:top w:val="nil"/>
              <w:left w:val="nil"/>
              <w:bottom w:val="nil"/>
              <w:right w:val="nil"/>
            </w:tcBorders>
            <w:shd w:val="clear" w:color="auto" w:fill="auto"/>
            <w:hideMark/>
          </w:tcPr>
          <w:p w:rsidR="00CA10DF" w:rsidRPr="00CA10DF" w:rsidRDefault="00CA10DF" w:rsidP="00CA10DF">
            <w:pPr>
              <w:rPr>
                <w:snapToGrid/>
                <w:color w:val="000000"/>
                <w:sz w:val="14"/>
                <w:szCs w:val="14"/>
                <w:lang w:eastAsia="en-AU"/>
              </w:rPr>
            </w:pPr>
            <w:r w:rsidRPr="00CA10DF">
              <w:rPr>
                <w:snapToGrid/>
                <w:color w:val="000000"/>
                <w:sz w:val="14"/>
                <w:szCs w:val="14"/>
                <w:lang w:eastAsia="en-AU"/>
              </w:rPr>
              <w:t>Sample hospitals</w:t>
            </w:r>
          </w:p>
        </w:tc>
        <w:tc>
          <w:tcPr>
            <w:tcW w:w="917"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113</w:t>
            </w:r>
          </w:p>
        </w:tc>
        <w:tc>
          <w:tcPr>
            <w:tcW w:w="917"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82</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109</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110</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105</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95</w:t>
            </w:r>
          </w:p>
        </w:tc>
        <w:tc>
          <w:tcPr>
            <w:tcW w:w="918" w:type="dxa"/>
            <w:tcBorders>
              <w:top w:val="nil"/>
              <w:left w:val="nil"/>
              <w:bottom w:val="nil"/>
              <w:right w:val="nil"/>
            </w:tcBorders>
            <w:shd w:val="clear" w:color="auto" w:fill="F4CACA" w:themeFill="text2" w:themeFillTint="33"/>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96</w:t>
            </w:r>
          </w:p>
        </w:tc>
      </w:tr>
      <w:tr w:rsidR="00CA10DF" w:rsidRPr="00CA10DF" w:rsidTr="00B06E18">
        <w:trPr>
          <w:trHeight w:val="168"/>
        </w:trPr>
        <w:tc>
          <w:tcPr>
            <w:tcW w:w="1756" w:type="dxa"/>
            <w:tcBorders>
              <w:top w:val="nil"/>
              <w:left w:val="nil"/>
              <w:bottom w:val="nil"/>
              <w:right w:val="nil"/>
            </w:tcBorders>
            <w:shd w:val="clear" w:color="auto" w:fill="auto"/>
            <w:hideMark/>
          </w:tcPr>
          <w:p w:rsidR="00CA10DF" w:rsidRPr="00CA10DF" w:rsidRDefault="00CA10DF" w:rsidP="00CA10DF">
            <w:pPr>
              <w:rPr>
                <w:snapToGrid/>
                <w:color w:val="000000"/>
                <w:sz w:val="14"/>
                <w:szCs w:val="14"/>
                <w:lang w:eastAsia="en-AU"/>
              </w:rPr>
            </w:pPr>
            <w:r w:rsidRPr="00CA10DF">
              <w:rPr>
                <w:snapToGrid/>
                <w:color w:val="000000"/>
                <w:sz w:val="14"/>
                <w:szCs w:val="14"/>
                <w:lang w:eastAsia="en-AU"/>
              </w:rPr>
              <w:t>% increase</w:t>
            </w:r>
          </w:p>
        </w:tc>
        <w:tc>
          <w:tcPr>
            <w:tcW w:w="917"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36%</w:t>
            </w:r>
          </w:p>
        </w:tc>
        <w:tc>
          <w:tcPr>
            <w:tcW w:w="917"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-27%</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33%</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-5%</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-10%</w:t>
            </w:r>
          </w:p>
        </w:tc>
        <w:tc>
          <w:tcPr>
            <w:tcW w:w="918" w:type="dxa"/>
            <w:tcBorders>
              <w:top w:val="nil"/>
              <w:left w:val="nil"/>
              <w:bottom w:val="nil"/>
              <w:right w:val="nil"/>
            </w:tcBorders>
            <w:shd w:val="clear" w:color="auto" w:fill="F4CACA" w:themeFill="text2" w:themeFillTint="33"/>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w:t>
            </w:r>
          </w:p>
        </w:tc>
      </w:tr>
      <w:tr w:rsidR="00CA10DF" w:rsidRPr="00CA10DF" w:rsidTr="00B06E18">
        <w:trPr>
          <w:trHeight w:val="168"/>
        </w:trPr>
        <w:tc>
          <w:tcPr>
            <w:tcW w:w="1756" w:type="dxa"/>
            <w:tcBorders>
              <w:top w:val="nil"/>
              <w:left w:val="nil"/>
              <w:bottom w:val="nil"/>
              <w:right w:val="nil"/>
            </w:tcBorders>
            <w:shd w:val="clear" w:color="auto" w:fill="auto"/>
            <w:hideMark/>
          </w:tcPr>
          <w:p w:rsidR="00CA10DF" w:rsidRPr="00CA10DF" w:rsidRDefault="00CA10DF" w:rsidP="00CA10DF">
            <w:pPr>
              <w:rPr>
                <w:snapToGrid/>
                <w:color w:val="000000"/>
                <w:sz w:val="14"/>
                <w:szCs w:val="14"/>
                <w:lang w:eastAsia="en-AU"/>
              </w:rPr>
            </w:pPr>
            <w:r w:rsidRPr="00CA10DF">
              <w:rPr>
                <w:snapToGrid/>
                <w:color w:val="000000"/>
                <w:sz w:val="14"/>
                <w:szCs w:val="14"/>
                <w:lang w:eastAsia="en-AU"/>
              </w:rPr>
              <w:t>Population hospitals</w:t>
            </w:r>
          </w:p>
        </w:tc>
        <w:tc>
          <w:tcPr>
            <w:tcW w:w="917"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221</w:t>
            </w:r>
          </w:p>
        </w:tc>
        <w:tc>
          <w:tcPr>
            <w:tcW w:w="917"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229</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229</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226</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248</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244</w:t>
            </w:r>
          </w:p>
        </w:tc>
        <w:tc>
          <w:tcPr>
            <w:tcW w:w="918" w:type="dxa"/>
            <w:tcBorders>
              <w:top w:val="nil"/>
              <w:left w:val="nil"/>
              <w:bottom w:val="nil"/>
              <w:right w:val="nil"/>
            </w:tcBorders>
            <w:shd w:val="clear" w:color="auto" w:fill="F4CACA" w:themeFill="text2" w:themeFillTint="33"/>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235</w:t>
            </w:r>
          </w:p>
        </w:tc>
      </w:tr>
      <w:tr w:rsidR="00CA10DF" w:rsidRPr="00CA10DF" w:rsidTr="00B06E18">
        <w:trPr>
          <w:trHeight w:val="336"/>
        </w:trPr>
        <w:tc>
          <w:tcPr>
            <w:tcW w:w="1756" w:type="dxa"/>
            <w:tcBorders>
              <w:top w:val="nil"/>
              <w:left w:val="nil"/>
              <w:bottom w:val="single" w:sz="4" w:space="0" w:color="auto"/>
              <w:right w:val="nil"/>
            </w:tcBorders>
            <w:shd w:val="clear" w:color="auto" w:fill="auto"/>
            <w:hideMark/>
          </w:tcPr>
          <w:p w:rsidR="00CA10DF" w:rsidRPr="00CA10DF" w:rsidRDefault="00CA10DF" w:rsidP="00CA10DF">
            <w:pPr>
              <w:rPr>
                <w:snapToGrid/>
                <w:color w:val="000000"/>
                <w:sz w:val="14"/>
                <w:szCs w:val="14"/>
                <w:lang w:eastAsia="en-AU"/>
              </w:rPr>
            </w:pPr>
            <w:r w:rsidRPr="00CA10DF">
              <w:rPr>
                <w:snapToGrid/>
                <w:color w:val="000000"/>
                <w:sz w:val="14"/>
                <w:szCs w:val="14"/>
                <w:lang w:eastAsia="en-AU"/>
              </w:rPr>
              <w:t>% sample to population</w:t>
            </w:r>
          </w:p>
        </w:tc>
        <w:tc>
          <w:tcPr>
            <w:tcW w:w="917" w:type="dxa"/>
            <w:tcBorders>
              <w:top w:val="nil"/>
              <w:left w:val="nil"/>
              <w:bottom w:val="single" w:sz="4" w:space="0" w:color="auto"/>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51%</w:t>
            </w:r>
          </w:p>
        </w:tc>
        <w:tc>
          <w:tcPr>
            <w:tcW w:w="917" w:type="dxa"/>
            <w:tcBorders>
              <w:top w:val="nil"/>
              <w:left w:val="nil"/>
              <w:bottom w:val="single" w:sz="4" w:space="0" w:color="auto"/>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36%</w:t>
            </w:r>
          </w:p>
        </w:tc>
        <w:tc>
          <w:tcPr>
            <w:tcW w:w="918" w:type="dxa"/>
            <w:tcBorders>
              <w:top w:val="nil"/>
              <w:left w:val="nil"/>
              <w:bottom w:val="single" w:sz="4" w:space="0" w:color="auto"/>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48%</w:t>
            </w:r>
          </w:p>
        </w:tc>
        <w:tc>
          <w:tcPr>
            <w:tcW w:w="918" w:type="dxa"/>
            <w:tcBorders>
              <w:top w:val="nil"/>
              <w:left w:val="nil"/>
              <w:bottom w:val="single" w:sz="4" w:space="0" w:color="auto"/>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49%</w:t>
            </w:r>
          </w:p>
        </w:tc>
        <w:tc>
          <w:tcPr>
            <w:tcW w:w="918" w:type="dxa"/>
            <w:tcBorders>
              <w:top w:val="nil"/>
              <w:left w:val="nil"/>
              <w:bottom w:val="single" w:sz="4" w:space="0" w:color="auto"/>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42%</w:t>
            </w:r>
          </w:p>
        </w:tc>
        <w:tc>
          <w:tcPr>
            <w:tcW w:w="918" w:type="dxa"/>
            <w:tcBorders>
              <w:top w:val="nil"/>
              <w:left w:val="nil"/>
              <w:bottom w:val="single" w:sz="4" w:space="0" w:color="auto"/>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39%</w:t>
            </w:r>
          </w:p>
        </w:tc>
        <w:tc>
          <w:tcPr>
            <w:tcW w:w="918" w:type="dxa"/>
            <w:tcBorders>
              <w:top w:val="nil"/>
              <w:left w:val="nil"/>
              <w:bottom w:val="single" w:sz="4" w:space="0" w:color="auto"/>
              <w:right w:val="nil"/>
            </w:tcBorders>
            <w:shd w:val="clear" w:color="auto" w:fill="F4CACA" w:themeFill="text2" w:themeFillTint="33"/>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41%</w:t>
            </w:r>
          </w:p>
        </w:tc>
      </w:tr>
      <w:tr w:rsidR="00CA10DF" w:rsidRPr="00CA10DF" w:rsidTr="00B06E18">
        <w:trPr>
          <w:trHeight w:val="504"/>
        </w:trPr>
        <w:tc>
          <w:tcPr>
            <w:tcW w:w="1756" w:type="dxa"/>
            <w:tcBorders>
              <w:top w:val="nil"/>
              <w:left w:val="nil"/>
              <w:bottom w:val="nil"/>
              <w:right w:val="nil"/>
            </w:tcBorders>
            <w:shd w:val="clear" w:color="auto" w:fill="auto"/>
            <w:hideMark/>
          </w:tcPr>
          <w:p w:rsidR="00CA10DF" w:rsidRPr="00CA10DF" w:rsidRDefault="00CA10DF" w:rsidP="00CA10DF">
            <w:pPr>
              <w:rPr>
                <w:snapToGrid/>
                <w:color w:val="000000"/>
                <w:sz w:val="14"/>
                <w:szCs w:val="14"/>
                <w:lang w:eastAsia="en-AU"/>
              </w:rPr>
            </w:pPr>
            <w:r w:rsidRPr="00CA10DF">
              <w:rPr>
                <w:snapToGrid/>
                <w:color w:val="000000"/>
                <w:sz w:val="14"/>
                <w:szCs w:val="14"/>
                <w:lang w:eastAsia="en-AU"/>
              </w:rPr>
              <w:t>Average number of separations per participant</w:t>
            </w:r>
          </w:p>
        </w:tc>
        <w:tc>
          <w:tcPr>
            <w:tcW w:w="917"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10,977</w:t>
            </w:r>
          </w:p>
        </w:tc>
        <w:tc>
          <w:tcPr>
            <w:tcW w:w="917"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15,819</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14,749</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14,991</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16,905</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17,377</w:t>
            </w:r>
          </w:p>
        </w:tc>
        <w:tc>
          <w:tcPr>
            <w:tcW w:w="918" w:type="dxa"/>
            <w:tcBorders>
              <w:top w:val="nil"/>
              <w:left w:val="nil"/>
              <w:bottom w:val="nil"/>
              <w:right w:val="nil"/>
            </w:tcBorders>
            <w:shd w:val="clear" w:color="auto" w:fill="F4CACA" w:themeFill="text2" w:themeFillTint="33"/>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17,680</w:t>
            </w:r>
          </w:p>
        </w:tc>
      </w:tr>
      <w:tr w:rsidR="00CA10DF" w:rsidRPr="00CA10DF" w:rsidTr="00B06E18">
        <w:trPr>
          <w:trHeight w:val="672"/>
        </w:trPr>
        <w:tc>
          <w:tcPr>
            <w:tcW w:w="1756" w:type="dxa"/>
            <w:tcBorders>
              <w:top w:val="nil"/>
              <w:left w:val="nil"/>
              <w:bottom w:val="nil"/>
              <w:right w:val="nil"/>
            </w:tcBorders>
            <w:shd w:val="clear" w:color="auto" w:fill="auto"/>
            <w:hideMark/>
          </w:tcPr>
          <w:p w:rsidR="00CA10DF" w:rsidRPr="00CA10DF" w:rsidRDefault="00CA10DF" w:rsidP="00CA10DF">
            <w:pPr>
              <w:rPr>
                <w:snapToGrid/>
                <w:color w:val="000000"/>
                <w:sz w:val="14"/>
                <w:szCs w:val="14"/>
                <w:lang w:eastAsia="en-AU"/>
              </w:rPr>
            </w:pPr>
            <w:r w:rsidRPr="00CA10DF">
              <w:rPr>
                <w:snapToGrid/>
                <w:color w:val="000000"/>
                <w:sz w:val="14"/>
                <w:szCs w:val="14"/>
                <w:lang w:eastAsia="en-AU"/>
              </w:rPr>
              <w:t>Average number of separations per population hospital</w:t>
            </w:r>
          </w:p>
        </w:tc>
        <w:tc>
          <w:tcPr>
            <w:tcW w:w="917"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8,615</w:t>
            </w:r>
          </w:p>
        </w:tc>
        <w:tc>
          <w:tcPr>
            <w:tcW w:w="917"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9,573</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9,818</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10,304</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10,902</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11,286</w:t>
            </w:r>
          </w:p>
        </w:tc>
        <w:tc>
          <w:tcPr>
            <w:tcW w:w="918" w:type="dxa"/>
            <w:tcBorders>
              <w:top w:val="nil"/>
              <w:left w:val="nil"/>
              <w:bottom w:val="nil"/>
              <w:right w:val="nil"/>
            </w:tcBorders>
            <w:shd w:val="clear" w:color="auto" w:fill="F4CACA" w:themeFill="text2" w:themeFillTint="33"/>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12,034</w:t>
            </w:r>
          </w:p>
        </w:tc>
      </w:tr>
      <w:tr w:rsidR="00CA10DF" w:rsidRPr="00CA10DF" w:rsidTr="00B06E18">
        <w:trPr>
          <w:trHeight w:val="168"/>
        </w:trPr>
        <w:tc>
          <w:tcPr>
            <w:tcW w:w="1756" w:type="dxa"/>
            <w:tcBorders>
              <w:top w:val="single" w:sz="4" w:space="0" w:color="auto"/>
              <w:left w:val="nil"/>
              <w:bottom w:val="nil"/>
              <w:right w:val="nil"/>
            </w:tcBorders>
            <w:shd w:val="clear" w:color="auto" w:fill="auto"/>
            <w:hideMark/>
          </w:tcPr>
          <w:p w:rsidR="00CA10DF" w:rsidRPr="00CA10DF" w:rsidRDefault="00CA10DF" w:rsidP="00CA10DF">
            <w:pPr>
              <w:rPr>
                <w:snapToGrid/>
                <w:color w:val="000000"/>
                <w:sz w:val="14"/>
                <w:szCs w:val="14"/>
                <w:lang w:eastAsia="en-AU"/>
              </w:rPr>
            </w:pPr>
            <w:r w:rsidRPr="00CA10DF">
              <w:rPr>
                <w:snapToGrid/>
                <w:color w:val="000000"/>
                <w:sz w:val="14"/>
                <w:szCs w:val="14"/>
                <w:lang w:eastAsia="en-AU"/>
              </w:rPr>
              <w:t>Average length of stay</w:t>
            </w:r>
          </w:p>
        </w:tc>
        <w:tc>
          <w:tcPr>
            <w:tcW w:w="917" w:type="dxa"/>
            <w:tcBorders>
              <w:top w:val="single" w:sz="4" w:space="0" w:color="auto"/>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2.97</w:t>
            </w:r>
          </w:p>
        </w:tc>
        <w:tc>
          <w:tcPr>
            <w:tcW w:w="917" w:type="dxa"/>
            <w:tcBorders>
              <w:top w:val="single" w:sz="4" w:space="0" w:color="auto"/>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2.88</w:t>
            </w:r>
          </w:p>
        </w:tc>
        <w:tc>
          <w:tcPr>
            <w:tcW w:w="918" w:type="dxa"/>
            <w:tcBorders>
              <w:top w:val="single" w:sz="4" w:space="0" w:color="auto"/>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2.62</w:t>
            </w:r>
          </w:p>
        </w:tc>
        <w:tc>
          <w:tcPr>
            <w:tcW w:w="918" w:type="dxa"/>
            <w:tcBorders>
              <w:top w:val="single" w:sz="4" w:space="0" w:color="auto"/>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2.57</w:t>
            </w:r>
          </w:p>
        </w:tc>
        <w:tc>
          <w:tcPr>
            <w:tcW w:w="918" w:type="dxa"/>
            <w:tcBorders>
              <w:top w:val="single" w:sz="4" w:space="0" w:color="auto"/>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2.51</w:t>
            </w:r>
          </w:p>
        </w:tc>
        <w:tc>
          <w:tcPr>
            <w:tcW w:w="918" w:type="dxa"/>
            <w:tcBorders>
              <w:top w:val="single" w:sz="4" w:space="0" w:color="auto"/>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2.53</w:t>
            </w:r>
          </w:p>
        </w:tc>
        <w:tc>
          <w:tcPr>
            <w:tcW w:w="918" w:type="dxa"/>
            <w:tcBorders>
              <w:top w:val="single" w:sz="4" w:space="0" w:color="auto"/>
              <w:left w:val="nil"/>
              <w:bottom w:val="nil"/>
              <w:right w:val="nil"/>
            </w:tcBorders>
            <w:shd w:val="clear" w:color="auto" w:fill="F4CACA" w:themeFill="text2" w:themeFillTint="33"/>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2.45</w:t>
            </w:r>
          </w:p>
        </w:tc>
      </w:tr>
      <w:tr w:rsidR="00CA10DF" w:rsidRPr="00CA10DF" w:rsidTr="00B06E18">
        <w:trPr>
          <w:trHeight w:val="336"/>
        </w:trPr>
        <w:tc>
          <w:tcPr>
            <w:tcW w:w="1756" w:type="dxa"/>
            <w:tcBorders>
              <w:top w:val="nil"/>
              <w:left w:val="nil"/>
              <w:bottom w:val="nil"/>
              <w:right w:val="nil"/>
            </w:tcBorders>
            <w:shd w:val="clear" w:color="auto" w:fill="auto"/>
            <w:hideMark/>
          </w:tcPr>
          <w:p w:rsidR="00CA10DF" w:rsidRPr="00CA10DF" w:rsidRDefault="00CA10DF" w:rsidP="00CA10DF">
            <w:pPr>
              <w:rPr>
                <w:snapToGrid/>
                <w:color w:val="000000"/>
                <w:sz w:val="14"/>
                <w:szCs w:val="14"/>
                <w:lang w:eastAsia="en-AU"/>
              </w:rPr>
            </w:pPr>
            <w:r w:rsidRPr="00CA10DF">
              <w:rPr>
                <w:snapToGrid/>
                <w:color w:val="000000"/>
                <w:sz w:val="14"/>
                <w:szCs w:val="14"/>
                <w:lang w:eastAsia="en-AU"/>
              </w:rPr>
              <w:t>% change</w:t>
            </w:r>
          </w:p>
        </w:tc>
        <w:tc>
          <w:tcPr>
            <w:tcW w:w="917"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N/A</w:t>
            </w:r>
          </w:p>
        </w:tc>
        <w:tc>
          <w:tcPr>
            <w:tcW w:w="917"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-3.0%</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-9.0%</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-1.9%</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-2.2%</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0.5%</w:t>
            </w:r>
          </w:p>
        </w:tc>
        <w:tc>
          <w:tcPr>
            <w:tcW w:w="918" w:type="dxa"/>
            <w:tcBorders>
              <w:top w:val="nil"/>
              <w:left w:val="nil"/>
              <w:bottom w:val="nil"/>
              <w:right w:val="nil"/>
            </w:tcBorders>
            <w:shd w:val="clear" w:color="auto" w:fill="F4CACA" w:themeFill="text2" w:themeFillTint="33"/>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-3.1%</w:t>
            </w:r>
          </w:p>
        </w:tc>
      </w:tr>
      <w:tr w:rsidR="00CA10DF" w:rsidRPr="00CA10DF" w:rsidTr="00B06E18">
        <w:trPr>
          <w:trHeight w:val="168"/>
        </w:trPr>
        <w:tc>
          <w:tcPr>
            <w:tcW w:w="1756" w:type="dxa"/>
            <w:tcBorders>
              <w:top w:val="nil"/>
              <w:left w:val="nil"/>
              <w:bottom w:val="nil"/>
              <w:right w:val="nil"/>
            </w:tcBorders>
            <w:shd w:val="clear" w:color="auto" w:fill="auto"/>
            <w:hideMark/>
          </w:tcPr>
          <w:p w:rsidR="00CA10DF" w:rsidRPr="00CA10DF" w:rsidRDefault="00CA10DF" w:rsidP="00CA10DF">
            <w:pPr>
              <w:rPr>
                <w:snapToGrid/>
                <w:color w:val="000000"/>
                <w:sz w:val="14"/>
                <w:szCs w:val="14"/>
                <w:lang w:eastAsia="en-AU"/>
              </w:rPr>
            </w:pPr>
            <w:r w:rsidRPr="00CA10DF">
              <w:rPr>
                <w:snapToGrid/>
                <w:color w:val="000000"/>
                <w:sz w:val="14"/>
                <w:szCs w:val="14"/>
                <w:lang w:eastAsia="en-AU"/>
              </w:rPr>
              <w:t>Overnight ALoS</w:t>
            </w:r>
          </w:p>
        </w:tc>
        <w:tc>
          <w:tcPr>
            <w:tcW w:w="917" w:type="dxa"/>
            <w:tcBorders>
              <w:top w:val="nil"/>
              <w:left w:val="nil"/>
              <w:bottom w:val="nil"/>
              <w:right w:val="nil"/>
            </w:tcBorders>
            <w:shd w:val="clear" w:color="000000" w:fill="D9D9D9"/>
            <w:noWrap/>
            <w:hideMark/>
          </w:tcPr>
          <w:p w:rsidR="00CA10DF" w:rsidRPr="00CA10DF" w:rsidRDefault="00CA10DF" w:rsidP="00CA10DF">
            <w:pPr>
              <w:rPr>
                <w:snapToGrid/>
                <w:color w:val="000000"/>
                <w:sz w:val="14"/>
                <w:szCs w:val="14"/>
                <w:lang w:eastAsia="en-AU"/>
              </w:rPr>
            </w:pPr>
            <w:r w:rsidRPr="00CA10DF">
              <w:rPr>
                <w:snapToGrid/>
                <w:color w:val="000000"/>
                <w:sz w:val="14"/>
                <w:szCs w:val="14"/>
                <w:lang w:eastAsia="en-AU"/>
              </w:rPr>
              <w:t>unknown</w:t>
            </w:r>
          </w:p>
        </w:tc>
        <w:tc>
          <w:tcPr>
            <w:tcW w:w="917" w:type="dxa"/>
            <w:tcBorders>
              <w:top w:val="nil"/>
              <w:left w:val="nil"/>
              <w:bottom w:val="nil"/>
              <w:right w:val="nil"/>
            </w:tcBorders>
            <w:shd w:val="clear" w:color="000000" w:fill="D9D9D9"/>
            <w:noWrap/>
            <w:hideMark/>
          </w:tcPr>
          <w:p w:rsidR="00CA10DF" w:rsidRPr="00CA10DF" w:rsidRDefault="00CA10DF" w:rsidP="00CA10DF">
            <w:pPr>
              <w:rPr>
                <w:snapToGrid/>
                <w:color w:val="000000"/>
                <w:sz w:val="14"/>
                <w:szCs w:val="14"/>
                <w:lang w:eastAsia="en-AU"/>
              </w:rPr>
            </w:pPr>
            <w:r w:rsidRPr="00CA10DF">
              <w:rPr>
                <w:snapToGrid/>
                <w:color w:val="000000"/>
                <w:sz w:val="14"/>
                <w:szCs w:val="14"/>
                <w:lang w:eastAsia="en-AU"/>
              </w:rPr>
              <w:t>unknown</w:t>
            </w:r>
          </w:p>
        </w:tc>
        <w:tc>
          <w:tcPr>
            <w:tcW w:w="918" w:type="dxa"/>
            <w:tcBorders>
              <w:top w:val="nil"/>
              <w:left w:val="nil"/>
              <w:bottom w:val="nil"/>
              <w:right w:val="nil"/>
            </w:tcBorders>
            <w:shd w:val="clear" w:color="000000" w:fill="D9D9D9"/>
            <w:noWrap/>
            <w:hideMark/>
          </w:tcPr>
          <w:p w:rsidR="00CA10DF" w:rsidRPr="00CA10DF" w:rsidRDefault="00CA10DF" w:rsidP="00CA10DF">
            <w:pPr>
              <w:rPr>
                <w:snapToGrid/>
                <w:color w:val="000000"/>
                <w:sz w:val="14"/>
                <w:szCs w:val="14"/>
                <w:lang w:eastAsia="en-AU"/>
              </w:rPr>
            </w:pPr>
            <w:r w:rsidRPr="00CA10DF">
              <w:rPr>
                <w:snapToGrid/>
                <w:color w:val="000000"/>
                <w:sz w:val="14"/>
                <w:szCs w:val="14"/>
                <w:lang w:eastAsia="en-AU"/>
              </w:rPr>
              <w:t>unknown</w:t>
            </w:r>
          </w:p>
        </w:tc>
        <w:tc>
          <w:tcPr>
            <w:tcW w:w="918" w:type="dxa"/>
            <w:tcBorders>
              <w:top w:val="nil"/>
              <w:left w:val="nil"/>
              <w:bottom w:val="nil"/>
              <w:right w:val="nil"/>
            </w:tcBorders>
            <w:shd w:val="clear" w:color="000000" w:fill="D9D9D9"/>
            <w:noWrap/>
            <w:hideMark/>
          </w:tcPr>
          <w:p w:rsidR="00CA10DF" w:rsidRPr="00CA10DF" w:rsidRDefault="00CA10DF" w:rsidP="00CA10DF">
            <w:pPr>
              <w:rPr>
                <w:snapToGrid/>
                <w:color w:val="000000"/>
                <w:sz w:val="14"/>
                <w:szCs w:val="14"/>
                <w:lang w:eastAsia="en-AU"/>
              </w:rPr>
            </w:pPr>
            <w:r w:rsidRPr="00CA10DF">
              <w:rPr>
                <w:snapToGrid/>
                <w:color w:val="000000"/>
                <w:sz w:val="14"/>
                <w:szCs w:val="14"/>
                <w:lang w:eastAsia="en-AU"/>
              </w:rPr>
              <w:t>unknown</w:t>
            </w:r>
          </w:p>
        </w:tc>
        <w:tc>
          <w:tcPr>
            <w:tcW w:w="918" w:type="dxa"/>
            <w:tcBorders>
              <w:top w:val="nil"/>
              <w:left w:val="nil"/>
              <w:bottom w:val="nil"/>
              <w:right w:val="nil"/>
            </w:tcBorders>
            <w:shd w:val="clear" w:color="000000" w:fill="D9D9D9"/>
            <w:noWrap/>
            <w:hideMark/>
          </w:tcPr>
          <w:p w:rsidR="00CA10DF" w:rsidRPr="00CA10DF" w:rsidRDefault="00CA10DF" w:rsidP="00CA10DF">
            <w:pPr>
              <w:rPr>
                <w:snapToGrid/>
                <w:color w:val="000000"/>
                <w:sz w:val="14"/>
                <w:szCs w:val="14"/>
                <w:lang w:eastAsia="en-AU"/>
              </w:rPr>
            </w:pPr>
            <w:r w:rsidRPr="00CA10DF">
              <w:rPr>
                <w:snapToGrid/>
                <w:color w:val="000000"/>
                <w:sz w:val="14"/>
                <w:szCs w:val="14"/>
                <w:lang w:eastAsia="en-AU"/>
              </w:rPr>
              <w:t>unknown</w:t>
            </w:r>
          </w:p>
        </w:tc>
        <w:tc>
          <w:tcPr>
            <w:tcW w:w="918" w:type="dxa"/>
            <w:tcBorders>
              <w:top w:val="nil"/>
              <w:left w:val="nil"/>
              <w:bottom w:val="nil"/>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4.42</w:t>
            </w:r>
          </w:p>
        </w:tc>
        <w:tc>
          <w:tcPr>
            <w:tcW w:w="918" w:type="dxa"/>
            <w:tcBorders>
              <w:top w:val="nil"/>
              <w:left w:val="nil"/>
              <w:bottom w:val="nil"/>
              <w:right w:val="nil"/>
            </w:tcBorders>
            <w:shd w:val="clear" w:color="auto" w:fill="F4CACA" w:themeFill="text2" w:themeFillTint="33"/>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4.38</w:t>
            </w:r>
          </w:p>
        </w:tc>
      </w:tr>
      <w:tr w:rsidR="00CA10DF" w:rsidRPr="00CA10DF" w:rsidTr="00B06E18">
        <w:trPr>
          <w:trHeight w:val="168"/>
        </w:trPr>
        <w:tc>
          <w:tcPr>
            <w:tcW w:w="1756" w:type="dxa"/>
            <w:tcBorders>
              <w:top w:val="nil"/>
              <w:left w:val="nil"/>
              <w:bottom w:val="single" w:sz="4" w:space="0" w:color="auto"/>
              <w:right w:val="nil"/>
            </w:tcBorders>
            <w:shd w:val="clear" w:color="auto" w:fill="auto"/>
            <w:hideMark/>
          </w:tcPr>
          <w:p w:rsidR="00CA10DF" w:rsidRPr="00CA10DF" w:rsidRDefault="00CA10DF" w:rsidP="00CA10DF">
            <w:pPr>
              <w:rPr>
                <w:snapToGrid/>
                <w:color w:val="000000"/>
                <w:sz w:val="14"/>
                <w:szCs w:val="14"/>
                <w:lang w:eastAsia="en-AU"/>
              </w:rPr>
            </w:pPr>
            <w:r w:rsidRPr="00CA10DF">
              <w:rPr>
                <w:snapToGrid/>
                <w:color w:val="000000"/>
                <w:sz w:val="14"/>
                <w:szCs w:val="14"/>
                <w:lang w:eastAsia="en-AU"/>
              </w:rPr>
              <w:t>Sameday ALoS</w:t>
            </w:r>
          </w:p>
        </w:tc>
        <w:tc>
          <w:tcPr>
            <w:tcW w:w="917" w:type="dxa"/>
            <w:tcBorders>
              <w:top w:val="nil"/>
              <w:left w:val="nil"/>
              <w:bottom w:val="single" w:sz="4" w:space="0" w:color="auto"/>
              <w:right w:val="nil"/>
            </w:tcBorders>
            <w:shd w:val="clear" w:color="000000" w:fill="D9D9D9"/>
            <w:noWrap/>
            <w:hideMark/>
          </w:tcPr>
          <w:p w:rsidR="00CA10DF" w:rsidRPr="00CA10DF" w:rsidRDefault="00CA10DF" w:rsidP="00CA10DF">
            <w:pPr>
              <w:rPr>
                <w:snapToGrid/>
                <w:color w:val="000000"/>
                <w:sz w:val="14"/>
                <w:szCs w:val="14"/>
                <w:lang w:eastAsia="en-AU"/>
              </w:rPr>
            </w:pPr>
            <w:r w:rsidRPr="00CA10DF">
              <w:rPr>
                <w:snapToGrid/>
                <w:color w:val="000000"/>
                <w:sz w:val="14"/>
                <w:szCs w:val="14"/>
                <w:lang w:eastAsia="en-AU"/>
              </w:rPr>
              <w:t>unknown</w:t>
            </w:r>
          </w:p>
        </w:tc>
        <w:tc>
          <w:tcPr>
            <w:tcW w:w="917" w:type="dxa"/>
            <w:tcBorders>
              <w:top w:val="nil"/>
              <w:left w:val="nil"/>
              <w:bottom w:val="single" w:sz="4" w:space="0" w:color="auto"/>
              <w:right w:val="nil"/>
            </w:tcBorders>
            <w:shd w:val="clear" w:color="000000" w:fill="D9D9D9"/>
            <w:noWrap/>
            <w:hideMark/>
          </w:tcPr>
          <w:p w:rsidR="00CA10DF" w:rsidRPr="00CA10DF" w:rsidRDefault="00CA10DF" w:rsidP="00CA10DF">
            <w:pPr>
              <w:rPr>
                <w:snapToGrid/>
                <w:color w:val="000000"/>
                <w:sz w:val="14"/>
                <w:szCs w:val="14"/>
                <w:lang w:eastAsia="en-AU"/>
              </w:rPr>
            </w:pPr>
            <w:r w:rsidRPr="00CA10DF">
              <w:rPr>
                <w:snapToGrid/>
                <w:color w:val="000000"/>
                <w:sz w:val="14"/>
                <w:szCs w:val="14"/>
                <w:lang w:eastAsia="en-AU"/>
              </w:rPr>
              <w:t>unknown</w:t>
            </w:r>
          </w:p>
        </w:tc>
        <w:tc>
          <w:tcPr>
            <w:tcW w:w="918" w:type="dxa"/>
            <w:tcBorders>
              <w:top w:val="nil"/>
              <w:left w:val="nil"/>
              <w:bottom w:val="single" w:sz="4" w:space="0" w:color="auto"/>
              <w:right w:val="nil"/>
            </w:tcBorders>
            <w:shd w:val="clear" w:color="000000" w:fill="D9D9D9"/>
            <w:noWrap/>
            <w:hideMark/>
          </w:tcPr>
          <w:p w:rsidR="00CA10DF" w:rsidRPr="00CA10DF" w:rsidRDefault="00CA10DF" w:rsidP="00CA10DF">
            <w:pPr>
              <w:rPr>
                <w:snapToGrid/>
                <w:color w:val="000000"/>
                <w:sz w:val="14"/>
                <w:szCs w:val="14"/>
                <w:lang w:eastAsia="en-AU"/>
              </w:rPr>
            </w:pPr>
            <w:r w:rsidRPr="00CA10DF">
              <w:rPr>
                <w:snapToGrid/>
                <w:color w:val="000000"/>
                <w:sz w:val="14"/>
                <w:szCs w:val="14"/>
                <w:lang w:eastAsia="en-AU"/>
              </w:rPr>
              <w:t>unknown</w:t>
            </w:r>
          </w:p>
        </w:tc>
        <w:tc>
          <w:tcPr>
            <w:tcW w:w="918" w:type="dxa"/>
            <w:tcBorders>
              <w:top w:val="nil"/>
              <w:left w:val="nil"/>
              <w:bottom w:val="single" w:sz="4" w:space="0" w:color="auto"/>
              <w:right w:val="nil"/>
            </w:tcBorders>
            <w:shd w:val="clear" w:color="000000" w:fill="D9D9D9"/>
            <w:noWrap/>
            <w:hideMark/>
          </w:tcPr>
          <w:p w:rsidR="00CA10DF" w:rsidRPr="00CA10DF" w:rsidRDefault="00CA10DF" w:rsidP="00CA10DF">
            <w:pPr>
              <w:rPr>
                <w:snapToGrid/>
                <w:color w:val="000000"/>
                <w:sz w:val="14"/>
                <w:szCs w:val="14"/>
                <w:lang w:eastAsia="en-AU"/>
              </w:rPr>
            </w:pPr>
            <w:r w:rsidRPr="00CA10DF">
              <w:rPr>
                <w:snapToGrid/>
                <w:color w:val="000000"/>
                <w:sz w:val="14"/>
                <w:szCs w:val="14"/>
                <w:lang w:eastAsia="en-AU"/>
              </w:rPr>
              <w:t>unknown</w:t>
            </w:r>
          </w:p>
        </w:tc>
        <w:tc>
          <w:tcPr>
            <w:tcW w:w="918" w:type="dxa"/>
            <w:tcBorders>
              <w:top w:val="nil"/>
              <w:left w:val="nil"/>
              <w:bottom w:val="single" w:sz="4" w:space="0" w:color="auto"/>
              <w:right w:val="nil"/>
            </w:tcBorders>
            <w:shd w:val="clear" w:color="000000" w:fill="D9D9D9"/>
            <w:noWrap/>
            <w:hideMark/>
          </w:tcPr>
          <w:p w:rsidR="00CA10DF" w:rsidRPr="00CA10DF" w:rsidRDefault="00CA10DF" w:rsidP="00CA10DF">
            <w:pPr>
              <w:rPr>
                <w:snapToGrid/>
                <w:color w:val="000000"/>
                <w:sz w:val="14"/>
                <w:szCs w:val="14"/>
                <w:lang w:eastAsia="en-AU"/>
              </w:rPr>
            </w:pPr>
            <w:r w:rsidRPr="00CA10DF">
              <w:rPr>
                <w:snapToGrid/>
                <w:color w:val="000000"/>
                <w:sz w:val="14"/>
                <w:szCs w:val="14"/>
                <w:lang w:eastAsia="en-AU"/>
              </w:rPr>
              <w:t>unknown</w:t>
            </w:r>
          </w:p>
        </w:tc>
        <w:tc>
          <w:tcPr>
            <w:tcW w:w="918" w:type="dxa"/>
            <w:tcBorders>
              <w:top w:val="nil"/>
              <w:left w:val="nil"/>
              <w:bottom w:val="single" w:sz="4" w:space="0" w:color="auto"/>
              <w:right w:val="nil"/>
            </w:tcBorders>
            <w:shd w:val="clear" w:color="auto" w:fill="auto"/>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1.00</w:t>
            </w:r>
          </w:p>
        </w:tc>
        <w:tc>
          <w:tcPr>
            <w:tcW w:w="918" w:type="dxa"/>
            <w:tcBorders>
              <w:top w:val="nil"/>
              <w:left w:val="nil"/>
              <w:bottom w:val="single" w:sz="4" w:space="0" w:color="auto"/>
              <w:right w:val="nil"/>
            </w:tcBorders>
            <w:shd w:val="clear" w:color="auto" w:fill="F4CACA" w:themeFill="text2" w:themeFillTint="33"/>
            <w:noWrap/>
            <w:hideMark/>
          </w:tcPr>
          <w:p w:rsidR="00CA10DF" w:rsidRPr="00CA10DF" w:rsidRDefault="00CA10DF" w:rsidP="00CA10DF">
            <w:pPr>
              <w:jc w:val="right"/>
              <w:rPr>
                <w:snapToGrid/>
                <w:color w:val="000000"/>
                <w:sz w:val="14"/>
                <w:szCs w:val="14"/>
                <w:lang w:eastAsia="en-AU"/>
              </w:rPr>
            </w:pPr>
            <w:r w:rsidRPr="00CA10DF">
              <w:rPr>
                <w:snapToGrid/>
                <w:color w:val="000000"/>
                <w:sz w:val="14"/>
                <w:szCs w:val="14"/>
                <w:lang w:eastAsia="en-AU"/>
              </w:rPr>
              <w:t>1.00</w:t>
            </w:r>
          </w:p>
        </w:tc>
      </w:tr>
    </w:tbl>
    <w:p w:rsidR="0052122C" w:rsidRPr="000051B6" w:rsidRDefault="00DF53E2" w:rsidP="007B7EAC">
      <w:pPr>
        <w:spacing w:before="240"/>
      </w:pPr>
      <w:r w:rsidRPr="000051B6">
        <w:t>Round 18 ALoS decreased from 2.53 days to 2.45 days which is a reduction of 3.1% compared to Round 17</w:t>
      </w:r>
      <w:r w:rsidR="00D60707">
        <w:t xml:space="preserve"> (see table 3)</w:t>
      </w:r>
      <w:r w:rsidRPr="000051B6">
        <w:t xml:space="preserve">.  </w:t>
      </w:r>
      <w:r w:rsidR="00304717" w:rsidRPr="000051B6">
        <w:t xml:space="preserve">A reason for this movement was Round 18 had 15% </w:t>
      </w:r>
      <w:r w:rsidR="0052122C" w:rsidRPr="000051B6">
        <w:t xml:space="preserve">more </w:t>
      </w:r>
      <w:r w:rsidR="00304717" w:rsidRPr="000051B6">
        <w:t>same day separations</w:t>
      </w:r>
      <w:r w:rsidR="0052122C" w:rsidRPr="000051B6">
        <w:t xml:space="preserve"> reported</w:t>
      </w:r>
      <w:r w:rsidR="00304717" w:rsidRPr="000051B6">
        <w:t xml:space="preserve"> compared to Round 17 thus impacting the ALoS given the </w:t>
      </w:r>
      <w:r w:rsidR="0052122C" w:rsidRPr="000051B6">
        <w:t xml:space="preserve">short stay </w:t>
      </w:r>
      <w:r w:rsidR="00304717" w:rsidRPr="000051B6">
        <w:t>nature of these patients.</w:t>
      </w:r>
      <w:r w:rsidR="001E66DC" w:rsidRPr="000051B6">
        <w:t xml:space="preserve"> </w:t>
      </w:r>
    </w:p>
    <w:p w:rsidR="002E23BB" w:rsidRPr="000051B6" w:rsidRDefault="008A658B" w:rsidP="002E23BB">
      <w:pPr>
        <w:spacing w:before="240"/>
      </w:pPr>
      <w:r>
        <w:t xml:space="preserve">Table </w:t>
      </w:r>
      <w:r w:rsidR="00D60707">
        <w:t>3</w:t>
      </w:r>
      <w:r>
        <w:t xml:space="preserve"> shows the ALo</w:t>
      </w:r>
      <w:r w:rsidR="00492F7B" w:rsidRPr="000051B6">
        <w:t xml:space="preserve">S over the past 6 years, with the trend showing a decrease </w:t>
      </w:r>
      <w:r w:rsidR="002E23BB" w:rsidRPr="000051B6">
        <w:t>of 18% since 2006.</w:t>
      </w:r>
      <w:r>
        <w:t xml:space="preserve"> </w:t>
      </w:r>
      <w:r w:rsidR="00D60707">
        <w:t>Literature in the public domain supports a reduction in ALoS to h</w:t>
      </w:r>
      <w:r w:rsidR="00D60707" w:rsidRPr="000051B6">
        <w:t xml:space="preserve">ospitals </w:t>
      </w:r>
      <w:r w:rsidR="00D60707">
        <w:t xml:space="preserve">focusing on </w:t>
      </w:r>
      <w:r w:rsidR="00D60707" w:rsidRPr="000051B6">
        <w:t xml:space="preserve">efficiency strategies </w:t>
      </w:r>
      <w:r w:rsidR="00D60707">
        <w:t>for example</w:t>
      </w:r>
      <w:r w:rsidR="00D60707" w:rsidRPr="000051B6">
        <w:t xml:space="preserve"> patient pathways/discharging planning;</w:t>
      </w:r>
      <w:r w:rsidR="00D60707">
        <w:t xml:space="preserve"> AR-DRG changing from overnight to same day classifications; and n</w:t>
      </w:r>
      <w:r w:rsidR="00D60707" w:rsidRPr="000051B6">
        <w:t>ew technologies and medical advancements enabling certain procedures to be performed quicker or with shorten recovery times</w:t>
      </w:r>
    </w:p>
    <w:p w:rsidR="008B347F" w:rsidRPr="000051B6" w:rsidRDefault="008B347F" w:rsidP="001222BC">
      <w:pPr>
        <w:pStyle w:val="Heading2"/>
        <w:spacing w:after="240"/>
      </w:pPr>
      <w:bookmarkStart w:id="81" w:name="_Toc355118820"/>
      <w:bookmarkStart w:id="82" w:name="_Toc355166877"/>
      <w:bookmarkStart w:id="83" w:name="_Toc355166982"/>
      <w:bookmarkStart w:id="84" w:name="_Toc355167030"/>
      <w:bookmarkStart w:id="85" w:name="_Toc355167060"/>
      <w:bookmarkStart w:id="86" w:name="_Toc355172499"/>
      <w:bookmarkStart w:id="87" w:name="_Toc355172564"/>
      <w:bookmarkStart w:id="88" w:name="_Toc355172596"/>
      <w:bookmarkStart w:id="89" w:name="_Toc355172628"/>
      <w:bookmarkStart w:id="90" w:name="_Toc355172661"/>
      <w:bookmarkStart w:id="91" w:name="_Toc435611228"/>
      <w:bookmarkEnd w:id="80"/>
      <w:bookmarkEnd w:id="81"/>
      <w:bookmarkEnd w:id="82"/>
      <w:bookmarkEnd w:id="83"/>
      <w:bookmarkEnd w:id="84"/>
      <w:bookmarkEnd w:id="85"/>
      <w:bookmarkEnd w:id="86"/>
      <w:bookmarkEnd w:id="87"/>
      <w:bookmarkEnd w:id="88"/>
      <w:bookmarkEnd w:id="89"/>
      <w:bookmarkEnd w:id="90"/>
      <w:r w:rsidRPr="000051B6">
        <w:lastRenderedPageBreak/>
        <w:t>Comparison of cost-bucket</w:t>
      </w:r>
      <w:r w:rsidR="00D65E24">
        <w:t>s</w:t>
      </w:r>
      <w:r w:rsidRPr="000051B6">
        <w:t xml:space="preserve"> to Round 1</w:t>
      </w:r>
      <w:r w:rsidR="00765370" w:rsidRPr="000051B6">
        <w:t>7</w:t>
      </w:r>
      <w:bookmarkEnd w:id="91"/>
    </w:p>
    <w:p w:rsidR="00304717" w:rsidRPr="000051B6" w:rsidRDefault="00304717" w:rsidP="00304717">
      <w:pPr>
        <w:pStyle w:val="Heading3"/>
      </w:pPr>
      <w:r w:rsidRPr="000051B6">
        <w:t>Background</w:t>
      </w:r>
    </w:p>
    <w:p w:rsidR="00276654" w:rsidRPr="000051B6" w:rsidRDefault="001320BE" w:rsidP="00A445EA">
      <w:pPr>
        <w:pStyle w:val="BodyText"/>
      </w:pPr>
      <w:r w:rsidRPr="000051B6">
        <w:t xml:space="preserve">In Round 16 the private hospital </w:t>
      </w:r>
      <w:r w:rsidR="0031569D" w:rsidRPr="000051B6">
        <w:t>s</w:t>
      </w:r>
      <w:r w:rsidR="002D317E" w:rsidRPr="000051B6">
        <w:t>ector</w:t>
      </w:r>
      <w:r w:rsidRPr="000051B6">
        <w:t xml:space="preserve"> agreed to </w:t>
      </w:r>
      <w:r w:rsidR="00F76DD8" w:rsidRPr="000051B6">
        <w:t xml:space="preserve">the publication of </w:t>
      </w:r>
      <w:r w:rsidRPr="000051B6">
        <w:t>cost weights for total costs, operating rooms and specialist procedure suites (combined), critical care, and “</w:t>
      </w:r>
      <w:r w:rsidR="00F76DD8" w:rsidRPr="000051B6">
        <w:t>other</w:t>
      </w:r>
      <w:r w:rsidRPr="000051B6">
        <w:t>”</w:t>
      </w:r>
      <w:r w:rsidR="00F76DD8" w:rsidRPr="000051B6">
        <w:t xml:space="preserve"> (representing the remainder</w:t>
      </w:r>
      <w:r w:rsidR="001E66DC" w:rsidRPr="000051B6">
        <w:t xml:space="preserve"> of the cost buckets</w:t>
      </w:r>
      <w:r w:rsidR="00F76DD8" w:rsidRPr="000051B6">
        <w:t>)</w:t>
      </w:r>
      <w:r w:rsidRPr="000051B6">
        <w:t xml:space="preserve">. </w:t>
      </w:r>
    </w:p>
    <w:p w:rsidR="00276654" w:rsidRPr="000051B6" w:rsidRDefault="001B2F96" w:rsidP="00A445EA">
      <w:pPr>
        <w:pStyle w:val="BodyText"/>
      </w:pPr>
      <w:r w:rsidRPr="000051B6">
        <w:t xml:space="preserve">In Round 17 the </w:t>
      </w:r>
      <w:r w:rsidR="0031569D" w:rsidRPr="000051B6">
        <w:t>s</w:t>
      </w:r>
      <w:r w:rsidR="002D317E" w:rsidRPr="000051B6">
        <w:t>ector</w:t>
      </w:r>
      <w:r w:rsidR="001320BE" w:rsidRPr="000051B6">
        <w:t xml:space="preserve"> </w:t>
      </w:r>
      <w:r w:rsidRPr="000051B6">
        <w:t>agreed to</w:t>
      </w:r>
      <w:r w:rsidR="00276654" w:rsidRPr="000051B6">
        <w:t xml:space="preserve"> add a</w:t>
      </w:r>
      <w:r w:rsidRPr="000051B6">
        <w:t xml:space="preserve"> separate</w:t>
      </w:r>
      <w:r w:rsidR="00276654" w:rsidRPr="000051B6">
        <w:t xml:space="preserve"> cost bucket for prostheses </w:t>
      </w:r>
      <w:r w:rsidRPr="000051B6">
        <w:t xml:space="preserve">as previously this was incorporated into the “other” bucket; </w:t>
      </w:r>
      <w:r w:rsidR="00276654" w:rsidRPr="000051B6">
        <w:t xml:space="preserve">and to </w:t>
      </w:r>
      <w:r w:rsidRPr="000051B6">
        <w:t>rename “other” as mi</w:t>
      </w:r>
      <w:r w:rsidR="00276654" w:rsidRPr="000051B6">
        <w:t xml:space="preserve">scellaneous </w:t>
      </w:r>
      <w:r w:rsidRPr="000051B6">
        <w:t xml:space="preserve">which included </w:t>
      </w:r>
      <w:r w:rsidR="003B5EC8" w:rsidRPr="000051B6">
        <w:t>w</w:t>
      </w:r>
      <w:r w:rsidR="000125CE" w:rsidRPr="000051B6">
        <w:t xml:space="preserve">ard </w:t>
      </w:r>
      <w:r w:rsidR="003B5EC8" w:rsidRPr="000051B6">
        <w:t>n</w:t>
      </w:r>
      <w:r w:rsidR="000125CE" w:rsidRPr="000051B6">
        <w:t xml:space="preserve">ursing, </w:t>
      </w:r>
      <w:r w:rsidR="003B5EC8" w:rsidRPr="000051B6">
        <w:t>s</w:t>
      </w:r>
      <w:r w:rsidR="000125CE" w:rsidRPr="000051B6">
        <w:t xml:space="preserve">upplies, </w:t>
      </w:r>
      <w:r w:rsidR="003B5EC8" w:rsidRPr="000051B6">
        <w:t>o</w:t>
      </w:r>
      <w:r w:rsidR="000125CE" w:rsidRPr="000051B6">
        <w:t xml:space="preserve">n-costs, </w:t>
      </w:r>
      <w:r w:rsidR="003B5EC8" w:rsidRPr="000051B6">
        <w:t>n</w:t>
      </w:r>
      <w:r w:rsidR="000125CE" w:rsidRPr="000051B6">
        <w:t xml:space="preserve">on-clinical costs, </w:t>
      </w:r>
      <w:r w:rsidR="003B5EC8" w:rsidRPr="000051B6">
        <w:t>d</w:t>
      </w:r>
      <w:r w:rsidR="000125CE" w:rsidRPr="000051B6">
        <w:t xml:space="preserve">epreciation, </w:t>
      </w:r>
      <w:r w:rsidR="003B5EC8" w:rsidRPr="000051B6">
        <w:t>h</w:t>
      </w:r>
      <w:r w:rsidR="000125CE" w:rsidRPr="000051B6">
        <w:t xml:space="preserve">otel, </w:t>
      </w:r>
      <w:r w:rsidR="003B5EC8" w:rsidRPr="000051B6">
        <w:t>p</w:t>
      </w:r>
      <w:r w:rsidR="000125CE" w:rsidRPr="000051B6">
        <w:t xml:space="preserve">harmacy, </w:t>
      </w:r>
      <w:r w:rsidR="003B5EC8" w:rsidRPr="000051B6">
        <w:t>a</w:t>
      </w:r>
      <w:r w:rsidR="000125CE" w:rsidRPr="000051B6">
        <w:t xml:space="preserve">llied </w:t>
      </w:r>
      <w:r w:rsidR="003B5EC8" w:rsidRPr="000051B6">
        <w:t>h</w:t>
      </w:r>
      <w:r w:rsidR="000125CE" w:rsidRPr="000051B6">
        <w:t xml:space="preserve">ealth, </w:t>
      </w:r>
      <w:r w:rsidR="003B5EC8" w:rsidRPr="000051B6">
        <w:t>w</w:t>
      </w:r>
      <w:r w:rsidR="000125CE" w:rsidRPr="000051B6">
        <w:t xml:space="preserve">ard </w:t>
      </w:r>
      <w:r w:rsidR="003B5EC8" w:rsidRPr="000051B6">
        <w:t>m</w:t>
      </w:r>
      <w:r w:rsidR="000125CE" w:rsidRPr="000051B6">
        <w:t xml:space="preserve">edical, </w:t>
      </w:r>
      <w:r w:rsidR="003B5EC8" w:rsidRPr="000051B6">
        <w:t>p</w:t>
      </w:r>
      <w:r w:rsidR="000125CE" w:rsidRPr="000051B6">
        <w:t>athology</w:t>
      </w:r>
      <w:r w:rsidR="003B5EC8" w:rsidRPr="000051B6">
        <w:t>,</w:t>
      </w:r>
      <w:r w:rsidR="000125CE" w:rsidRPr="000051B6">
        <w:t xml:space="preserve"> and </w:t>
      </w:r>
      <w:r w:rsidR="003B5EC8" w:rsidRPr="000051B6">
        <w:t>i</w:t>
      </w:r>
      <w:r w:rsidR="000125CE" w:rsidRPr="000051B6">
        <w:t>maging.</w:t>
      </w:r>
      <w:r w:rsidR="009F57AE" w:rsidRPr="000051B6">
        <w:t xml:space="preserve"> </w:t>
      </w:r>
    </w:p>
    <w:p w:rsidR="00D649E4" w:rsidRPr="000051B6" w:rsidRDefault="00D649E4" w:rsidP="00A445EA">
      <w:pPr>
        <w:pStyle w:val="BodyText"/>
      </w:pPr>
      <w:r w:rsidRPr="000051B6">
        <w:t xml:space="preserve">There has been no further change between Round 17 and 18, with the same cost buckets reported. </w:t>
      </w:r>
    </w:p>
    <w:p w:rsidR="001B2F96" w:rsidRPr="000051B6" w:rsidRDefault="001B2F96" w:rsidP="001B2F96">
      <w:pPr>
        <w:pStyle w:val="Heading3"/>
      </w:pPr>
      <w:r w:rsidRPr="000051B6">
        <w:t>Movement between Rounds</w:t>
      </w:r>
    </w:p>
    <w:p w:rsidR="00276654" w:rsidRPr="000051B6" w:rsidRDefault="006038DA" w:rsidP="00A445EA">
      <w:pPr>
        <w:pStyle w:val="BodyText"/>
      </w:pPr>
      <w:r w:rsidRPr="000051B6">
        <w:t>Table 5</w:t>
      </w:r>
      <w:r w:rsidR="001B2F96" w:rsidRPr="000051B6">
        <w:t xml:space="preserve"> and figure 2 illustrate the movement between the Rounds for the cost buckets.  These movements were expected as there was </w:t>
      </w:r>
      <w:r w:rsidR="00954298" w:rsidRPr="000051B6">
        <w:t>an increase</w:t>
      </w:r>
      <w:r w:rsidR="001B2F96" w:rsidRPr="000051B6">
        <w:t xml:space="preserve"> in participants using their own feeder data and allocation statistics instead of relying on service weights. </w:t>
      </w:r>
    </w:p>
    <w:p w:rsidR="00276654" w:rsidRPr="000051B6" w:rsidRDefault="00D60707" w:rsidP="00A445EA">
      <w:pPr>
        <w:pStyle w:val="BodyText"/>
      </w:pPr>
      <w:r>
        <w:t>Figure 2 visually shows, as circled, that o</w:t>
      </w:r>
      <w:r w:rsidR="00042284" w:rsidRPr="000051B6">
        <w:t xml:space="preserve">perating rooms and specialist procedure suites (OR/SPS) </w:t>
      </w:r>
      <w:r w:rsidR="002E23BB" w:rsidRPr="000051B6">
        <w:t xml:space="preserve">the largest movement between </w:t>
      </w:r>
      <w:r w:rsidR="00042284" w:rsidRPr="000051B6">
        <w:t>Round</w:t>
      </w:r>
      <w:r w:rsidR="002E23BB" w:rsidRPr="000051B6">
        <w:t>s</w:t>
      </w:r>
      <w:r w:rsidR="00042284" w:rsidRPr="000051B6">
        <w:t xml:space="preserve"> </w:t>
      </w:r>
      <w:r w:rsidR="002E23BB" w:rsidRPr="000051B6">
        <w:t xml:space="preserve">of 2.7%.  </w:t>
      </w:r>
      <w:r w:rsidR="00042284" w:rsidRPr="000051B6">
        <w:t xml:space="preserve">A potential reason for this </w:t>
      </w:r>
      <w:r w:rsidR="006038DA" w:rsidRPr="000051B6">
        <w:t xml:space="preserve">changes are </w:t>
      </w:r>
      <w:r w:rsidR="00D649E4" w:rsidRPr="000051B6">
        <w:t xml:space="preserve">the </w:t>
      </w:r>
      <w:r w:rsidR="00042284" w:rsidRPr="000051B6">
        <w:t xml:space="preserve">increased use </w:t>
      </w:r>
      <w:r w:rsidR="00D649E4" w:rsidRPr="000051B6">
        <w:t>of</w:t>
      </w:r>
      <w:r w:rsidR="00042284" w:rsidRPr="000051B6">
        <w:t xml:space="preserve"> participant’s own </w:t>
      </w:r>
      <w:r w:rsidR="00D67688" w:rsidRPr="000051B6">
        <w:t xml:space="preserve">feeder </w:t>
      </w:r>
      <w:r w:rsidR="00042284" w:rsidRPr="000051B6">
        <w:t>data</w:t>
      </w:r>
      <w:r w:rsidR="00D649E4" w:rsidRPr="000051B6">
        <w:t xml:space="preserve"> </w:t>
      </w:r>
      <w:r w:rsidR="002E23BB" w:rsidRPr="000051B6">
        <w:t xml:space="preserve">and allocation statistics </w:t>
      </w:r>
      <w:r w:rsidR="00D649E4" w:rsidRPr="000051B6">
        <w:t>providing more accurate cost allocations</w:t>
      </w:r>
      <w:r w:rsidR="00042284" w:rsidRPr="000051B6">
        <w:t xml:space="preserve">, </w:t>
      </w:r>
      <w:r w:rsidR="00D67688" w:rsidRPr="000051B6">
        <w:t xml:space="preserve">changes in service weights between Rounds and increase in same day </w:t>
      </w:r>
      <w:r w:rsidR="001E66DC" w:rsidRPr="000051B6">
        <w:t xml:space="preserve">theatre related </w:t>
      </w:r>
      <w:r w:rsidR="00D67688" w:rsidRPr="000051B6">
        <w:t>separations.</w:t>
      </w:r>
    </w:p>
    <w:p w:rsidR="008E4098" w:rsidRPr="000051B6" w:rsidRDefault="008E4098" w:rsidP="00A445EA">
      <w:pPr>
        <w:pStyle w:val="Tablesheadings"/>
        <w:spacing w:after="240"/>
        <w:ind w:left="1416" w:hanging="1416"/>
        <w:rPr>
          <w:lang w:val="en-AU"/>
        </w:rPr>
      </w:pPr>
      <w:bookmarkStart w:id="92" w:name="_Toc432078944"/>
      <w:bookmarkStart w:id="93" w:name="_Toc435610610"/>
      <w:r w:rsidRPr="000051B6">
        <w:rPr>
          <w:lang w:val="en-AU"/>
        </w:rPr>
        <w:t xml:space="preserve">Table </w:t>
      </w:r>
      <w:r w:rsidR="006038DA" w:rsidRPr="000051B6">
        <w:rPr>
          <w:lang w:val="en-AU"/>
        </w:rPr>
        <w:t>5</w:t>
      </w:r>
      <w:r w:rsidRPr="000051B6">
        <w:rPr>
          <w:lang w:val="en-AU"/>
        </w:rPr>
        <w:tab/>
      </w:r>
      <w:r w:rsidR="0050414C" w:rsidRPr="000051B6">
        <w:rPr>
          <w:lang w:val="en-AU"/>
        </w:rPr>
        <w:t>Breakdown of cost by cost-bucket group</w:t>
      </w:r>
      <w:r w:rsidRPr="000051B6">
        <w:rPr>
          <w:lang w:val="en-AU"/>
        </w:rPr>
        <w:t>, Round 1</w:t>
      </w:r>
      <w:r w:rsidR="00CE5D85" w:rsidRPr="000051B6">
        <w:rPr>
          <w:lang w:val="en-AU"/>
        </w:rPr>
        <w:t>8</w:t>
      </w:r>
      <w:r w:rsidRPr="000051B6">
        <w:rPr>
          <w:lang w:val="en-AU"/>
        </w:rPr>
        <w:t xml:space="preserve"> versus Round 1</w:t>
      </w:r>
      <w:bookmarkEnd w:id="92"/>
      <w:r w:rsidR="00CE5D85" w:rsidRPr="000051B6">
        <w:rPr>
          <w:lang w:val="en-AU"/>
        </w:rPr>
        <w:t>7</w:t>
      </w:r>
      <w:bookmarkEnd w:id="93"/>
    </w:p>
    <w:tbl>
      <w:tblPr>
        <w:tblW w:w="8520" w:type="dxa"/>
        <w:tblLook w:val="04A0" w:firstRow="1" w:lastRow="0" w:firstColumn="1" w:lastColumn="0" w:noHBand="0" w:noVBand="1"/>
        <w:tblCaption w:val="Table 5 Breakdown of cost by cost-bucket group"/>
        <w:tblDescription w:val="Table 5 contains a breakdown of cost by cost-bucket group. There are separate columns for the cost bucket, Round 17 (2012-13), Round 18 (2013-14) and the movement between rounds. The rows are the cost-buckets; Operating Rooms and Specialist Procedure Suites, Critical Care, Prostheses and Miscellaneous and there is a total."/>
      </w:tblPr>
      <w:tblGrid>
        <w:gridCol w:w="4656"/>
        <w:gridCol w:w="1204"/>
        <w:gridCol w:w="1204"/>
        <w:gridCol w:w="1456"/>
      </w:tblGrid>
      <w:tr w:rsidR="00794D2D" w:rsidRPr="00794D2D" w:rsidTr="00B06E18">
        <w:trPr>
          <w:trHeight w:val="276"/>
        </w:trPr>
        <w:tc>
          <w:tcPr>
            <w:tcW w:w="4656" w:type="dxa"/>
            <w:vMerge w:val="restart"/>
            <w:tcBorders>
              <w:top w:val="single" w:sz="4" w:space="0" w:color="auto"/>
              <w:left w:val="nil"/>
              <w:bottom w:val="single" w:sz="8" w:space="0" w:color="000000"/>
              <w:right w:val="nil"/>
            </w:tcBorders>
            <w:shd w:val="clear" w:color="auto" w:fill="auto"/>
            <w:noWrap/>
            <w:hideMark/>
          </w:tcPr>
          <w:p w:rsidR="00794D2D" w:rsidRPr="00794D2D" w:rsidRDefault="00794D2D" w:rsidP="00794D2D">
            <w:pPr>
              <w:jc w:val="center"/>
              <w:rPr>
                <w:b/>
                <w:bCs/>
                <w:snapToGrid/>
                <w:color w:val="A32020"/>
                <w:sz w:val="18"/>
                <w:szCs w:val="18"/>
                <w:lang w:eastAsia="en-AU"/>
              </w:rPr>
            </w:pPr>
            <w:r w:rsidRPr="00794D2D">
              <w:rPr>
                <w:b/>
                <w:bCs/>
                <w:snapToGrid/>
                <w:color w:val="A32020"/>
                <w:sz w:val="18"/>
                <w:szCs w:val="18"/>
                <w:lang w:eastAsia="en-AU"/>
              </w:rPr>
              <w:t>Cost Bucket</w:t>
            </w:r>
          </w:p>
        </w:tc>
        <w:tc>
          <w:tcPr>
            <w:tcW w:w="1204" w:type="dxa"/>
            <w:vMerge w:val="restart"/>
            <w:tcBorders>
              <w:top w:val="single" w:sz="4" w:space="0" w:color="auto"/>
              <w:left w:val="nil"/>
              <w:bottom w:val="single" w:sz="8" w:space="0" w:color="000000"/>
              <w:right w:val="nil"/>
            </w:tcBorders>
            <w:shd w:val="clear" w:color="auto" w:fill="auto"/>
            <w:hideMark/>
          </w:tcPr>
          <w:p w:rsidR="00794D2D" w:rsidRPr="00794D2D" w:rsidRDefault="00794D2D" w:rsidP="00794D2D">
            <w:pPr>
              <w:jc w:val="center"/>
              <w:rPr>
                <w:b/>
                <w:bCs/>
                <w:snapToGrid/>
                <w:color w:val="A32020"/>
                <w:sz w:val="18"/>
                <w:szCs w:val="18"/>
                <w:lang w:eastAsia="en-AU"/>
              </w:rPr>
            </w:pPr>
            <w:r w:rsidRPr="00794D2D">
              <w:rPr>
                <w:b/>
                <w:bCs/>
                <w:snapToGrid/>
                <w:color w:val="A32020"/>
                <w:sz w:val="18"/>
                <w:szCs w:val="18"/>
                <w:lang w:eastAsia="en-AU"/>
              </w:rPr>
              <w:t>Round 17 2012-13</w:t>
            </w:r>
          </w:p>
        </w:tc>
        <w:tc>
          <w:tcPr>
            <w:tcW w:w="1204" w:type="dxa"/>
            <w:vMerge w:val="restart"/>
            <w:tcBorders>
              <w:top w:val="single" w:sz="4" w:space="0" w:color="auto"/>
              <w:left w:val="nil"/>
              <w:bottom w:val="single" w:sz="8" w:space="0" w:color="000000"/>
              <w:right w:val="nil"/>
            </w:tcBorders>
            <w:shd w:val="clear" w:color="auto" w:fill="F4CACA" w:themeFill="text2" w:themeFillTint="33"/>
            <w:hideMark/>
          </w:tcPr>
          <w:p w:rsidR="00794D2D" w:rsidRPr="00794D2D" w:rsidRDefault="00794D2D" w:rsidP="00794D2D">
            <w:pPr>
              <w:jc w:val="center"/>
              <w:rPr>
                <w:b/>
                <w:bCs/>
                <w:snapToGrid/>
                <w:color w:val="A32020"/>
                <w:sz w:val="18"/>
                <w:szCs w:val="18"/>
                <w:lang w:eastAsia="en-AU"/>
              </w:rPr>
            </w:pPr>
            <w:r w:rsidRPr="00794D2D">
              <w:rPr>
                <w:b/>
                <w:bCs/>
                <w:snapToGrid/>
                <w:color w:val="A32020"/>
                <w:sz w:val="18"/>
                <w:szCs w:val="18"/>
                <w:lang w:eastAsia="en-AU"/>
              </w:rPr>
              <w:t>Round 18 2013-14</w:t>
            </w:r>
          </w:p>
        </w:tc>
        <w:tc>
          <w:tcPr>
            <w:tcW w:w="1456" w:type="dxa"/>
            <w:vMerge w:val="restart"/>
            <w:tcBorders>
              <w:top w:val="single" w:sz="4" w:space="0" w:color="auto"/>
              <w:left w:val="nil"/>
              <w:bottom w:val="single" w:sz="8" w:space="0" w:color="000000"/>
              <w:right w:val="nil"/>
            </w:tcBorders>
            <w:shd w:val="clear" w:color="auto" w:fill="auto"/>
            <w:noWrap/>
            <w:hideMark/>
          </w:tcPr>
          <w:p w:rsidR="00794D2D" w:rsidRPr="00794D2D" w:rsidRDefault="00794D2D" w:rsidP="00794D2D">
            <w:pPr>
              <w:jc w:val="center"/>
              <w:rPr>
                <w:b/>
                <w:bCs/>
                <w:snapToGrid/>
                <w:color w:val="A32020"/>
                <w:sz w:val="18"/>
                <w:szCs w:val="18"/>
                <w:lang w:eastAsia="en-AU"/>
              </w:rPr>
            </w:pPr>
            <w:r w:rsidRPr="00794D2D">
              <w:rPr>
                <w:b/>
                <w:bCs/>
                <w:snapToGrid/>
                <w:color w:val="A32020"/>
                <w:sz w:val="18"/>
                <w:szCs w:val="18"/>
                <w:lang w:eastAsia="en-AU"/>
              </w:rPr>
              <w:t>Movement</w:t>
            </w:r>
          </w:p>
        </w:tc>
      </w:tr>
      <w:tr w:rsidR="00794D2D" w:rsidRPr="00794D2D" w:rsidTr="00B06E18">
        <w:trPr>
          <w:trHeight w:val="288"/>
        </w:trPr>
        <w:tc>
          <w:tcPr>
            <w:tcW w:w="4656" w:type="dxa"/>
            <w:vMerge/>
            <w:tcBorders>
              <w:top w:val="single" w:sz="4" w:space="0" w:color="auto"/>
              <w:left w:val="nil"/>
              <w:bottom w:val="single" w:sz="8" w:space="0" w:color="000000"/>
              <w:right w:val="nil"/>
            </w:tcBorders>
            <w:vAlign w:val="center"/>
            <w:hideMark/>
          </w:tcPr>
          <w:p w:rsidR="00794D2D" w:rsidRPr="00794D2D" w:rsidRDefault="00794D2D" w:rsidP="00794D2D">
            <w:pPr>
              <w:rPr>
                <w:b/>
                <w:bCs/>
                <w:snapToGrid/>
                <w:color w:val="A32020"/>
                <w:sz w:val="18"/>
                <w:szCs w:val="18"/>
                <w:lang w:eastAsia="en-AU"/>
              </w:rPr>
            </w:pPr>
          </w:p>
        </w:tc>
        <w:tc>
          <w:tcPr>
            <w:tcW w:w="1204" w:type="dxa"/>
            <w:vMerge/>
            <w:tcBorders>
              <w:top w:val="single" w:sz="4" w:space="0" w:color="auto"/>
              <w:left w:val="nil"/>
              <w:bottom w:val="single" w:sz="8" w:space="0" w:color="000000"/>
              <w:right w:val="nil"/>
            </w:tcBorders>
            <w:vAlign w:val="center"/>
            <w:hideMark/>
          </w:tcPr>
          <w:p w:rsidR="00794D2D" w:rsidRPr="00794D2D" w:rsidRDefault="00794D2D" w:rsidP="00794D2D">
            <w:pPr>
              <w:rPr>
                <w:b/>
                <w:bCs/>
                <w:snapToGrid/>
                <w:color w:val="A32020"/>
                <w:sz w:val="18"/>
                <w:szCs w:val="18"/>
                <w:lang w:eastAsia="en-AU"/>
              </w:rPr>
            </w:pPr>
          </w:p>
        </w:tc>
        <w:tc>
          <w:tcPr>
            <w:tcW w:w="1204" w:type="dxa"/>
            <w:vMerge/>
            <w:tcBorders>
              <w:top w:val="single" w:sz="4" w:space="0" w:color="auto"/>
              <w:left w:val="nil"/>
              <w:bottom w:val="single" w:sz="8" w:space="0" w:color="000000"/>
              <w:right w:val="nil"/>
            </w:tcBorders>
            <w:shd w:val="clear" w:color="auto" w:fill="F4CACA" w:themeFill="text2" w:themeFillTint="33"/>
            <w:vAlign w:val="center"/>
            <w:hideMark/>
          </w:tcPr>
          <w:p w:rsidR="00794D2D" w:rsidRPr="00794D2D" w:rsidRDefault="00794D2D" w:rsidP="00794D2D">
            <w:pPr>
              <w:rPr>
                <w:b/>
                <w:bCs/>
                <w:snapToGrid/>
                <w:color w:val="A32020"/>
                <w:sz w:val="18"/>
                <w:szCs w:val="18"/>
                <w:lang w:eastAsia="en-AU"/>
              </w:rPr>
            </w:pPr>
          </w:p>
        </w:tc>
        <w:tc>
          <w:tcPr>
            <w:tcW w:w="1456" w:type="dxa"/>
            <w:vMerge/>
            <w:tcBorders>
              <w:top w:val="single" w:sz="4" w:space="0" w:color="auto"/>
              <w:left w:val="nil"/>
              <w:bottom w:val="single" w:sz="8" w:space="0" w:color="000000"/>
              <w:right w:val="nil"/>
            </w:tcBorders>
            <w:vAlign w:val="center"/>
            <w:hideMark/>
          </w:tcPr>
          <w:p w:rsidR="00794D2D" w:rsidRPr="00794D2D" w:rsidRDefault="00794D2D" w:rsidP="00794D2D">
            <w:pPr>
              <w:rPr>
                <w:b/>
                <w:bCs/>
                <w:snapToGrid/>
                <w:color w:val="A32020"/>
                <w:sz w:val="18"/>
                <w:szCs w:val="18"/>
                <w:lang w:eastAsia="en-AU"/>
              </w:rPr>
            </w:pPr>
          </w:p>
        </w:tc>
      </w:tr>
      <w:tr w:rsidR="00794D2D" w:rsidRPr="00794D2D" w:rsidTr="00B06E18">
        <w:trPr>
          <w:trHeight w:val="276"/>
        </w:trPr>
        <w:tc>
          <w:tcPr>
            <w:tcW w:w="4656" w:type="dxa"/>
            <w:tcBorders>
              <w:top w:val="single" w:sz="8" w:space="0" w:color="000000"/>
              <w:left w:val="nil"/>
              <w:bottom w:val="nil"/>
              <w:right w:val="nil"/>
            </w:tcBorders>
            <w:shd w:val="clear" w:color="000000" w:fill="auto"/>
            <w:noWrap/>
            <w:hideMark/>
          </w:tcPr>
          <w:p w:rsidR="00794D2D" w:rsidRPr="00794D2D" w:rsidRDefault="00794D2D" w:rsidP="00794D2D">
            <w:pPr>
              <w:rPr>
                <w:snapToGrid/>
                <w:color w:val="000000"/>
                <w:sz w:val="18"/>
                <w:szCs w:val="18"/>
                <w:lang w:eastAsia="en-AU"/>
              </w:rPr>
            </w:pPr>
            <w:r w:rsidRPr="00794D2D">
              <w:rPr>
                <w:snapToGrid/>
                <w:color w:val="000000"/>
                <w:sz w:val="18"/>
                <w:szCs w:val="18"/>
                <w:lang w:eastAsia="en-AU"/>
              </w:rPr>
              <w:t>Operating Rooms and Specialist Procedure Suites</w:t>
            </w:r>
          </w:p>
        </w:tc>
        <w:tc>
          <w:tcPr>
            <w:tcW w:w="1204" w:type="dxa"/>
            <w:tcBorders>
              <w:top w:val="single" w:sz="8" w:space="0" w:color="000000"/>
              <w:left w:val="nil"/>
              <w:bottom w:val="nil"/>
              <w:right w:val="nil"/>
            </w:tcBorders>
            <w:shd w:val="clear" w:color="000000" w:fill="auto"/>
            <w:noWrap/>
            <w:hideMark/>
          </w:tcPr>
          <w:p w:rsidR="00794D2D" w:rsidRPr="00794D2D" w:rsidRDefault="00794D2D" w:rsidP="00794D2D">
            <w:pPr>
              <w:jc w:val="center"/>
              <w:rPr>
                <w:snapToGrid/>
                <w:color w:val="000000"/>
                <w:sz w:val="18"/>
                <w:szCs w:val="18"/>
                <w:lang w:eastAsia="en-AU"/>
              </w:rPr>
            </w:pPr>
            <w:r w:rsidRPr="00794D2D">
              <w:rPr>
                <w:snapToGrid/>
                <w:color w:val="000000"/>
                <w:sz w:val="18"/>
                <w:szCs w:val="18"/>
                <w:lang w:eastAsia="en-AU"/>
              </w:rPr>
              <w:t>20.5%</w:t>
            </w:r>
          </w:p>
        </w:tc>
        <w:tc>
          <w:tcPr>
            <w:tcW w:w="1204" w:type="dxa"/>
            <w:tcBorders>
              <w:top w:val="single" w:sz="8" w:space="0" w:color="000000"/>
              <w:left w:val="nil"/>
              <w:bottom w:val="nil"/>
              <w:right w:val="nil"/>
            </w:tcBorders>
            <w:shd w:val="clear" w:color="auto" w:fill="F4CACA" w:themeFill="text2" w:themeFillTint="33"/>
            <w:noWrap/>
            <w:hideMark/>
          </w:tcPr>
          <w:p w:rsidR="00794D2D" w:rsidRPr="00794D2D" w:rsidRDefault="00794D2D" w:rsidP="00794D2D">
            <w:pPr>
              <w:jc w:val="center"/>
              <w:rPr>
                <w:snapToGrid/>
                <w:color w:val="000000"/>
                <w:sz w:val="18"/>
                <w:szCs w:val="18"/>
                <w:lang w:eastAsia="en-AU"/>
              </w:rPr>
            </w:pPr>
            <w:r w:rsidRPr="00794D2D">
              <w:rPr>
                <w:snapToGrid/>
                <w:color w:val="000000"/>
                <w:sz w:val="18"/>
                <w:szCs w:val="18"/>
                <w:lang w:eastAsia="en-AU"/>
              </w:rPr>
              <w:t>23.2%</w:t>
            </w:r>
          </w:p>
        </w:tc>
        <w:tc>
          <w:tcPr>
            <w:tcW w:w="1456" w:type="dxa"/>
            <w:tcBorders>
              <w:top w:val="single" w:sz="8" w:space="0" w:color="000000"/>
              <w:left w:val="nil"/>
              <w:bottom w:val="nil"/>
              <w:right w:val="nil"/>
            </w:tcBorders>
            <w:shd w:val="clear" w:color="000000" w:fill="auto"/>
            <w:noWrap/>
            <w:hideMark/>
          </w:tcPr>
          <w:p w:rsidR="00794D2D" w:rsidRPr="00794D2D" w:rsidRDefault="00794D2D" w:rsidP="00794D2D">
            <w:pPr>
              <w:jc w:val="center"/>
              <w:rPr>
                <w:snapToGrid/>
                <w:color w:val="000000"/>
                <w:sz w:val="18"/>
                <w:szCs w:val="18"/>
                <w:lang w:eastAsia="en-AU"/>
              </w:rPr>
            </w:pPr>
            <w:r w:rsidRPr="00794D2D">
              <w:rPr>
                <w:snapToGrid/>
                <w:color w:val="000000"/>
                <w:sz w:val="18"/>
                <w:szCs w:val="18"/>
                <w:lang w:eastAsia="en-AU"/>
              </w:rPr>
              <w:t>2.7%</w:t>
            </w:r>
          </w:p>
        </w:tc>
      </w:tr>
      <w:tr w:rsidR="00794D2D" w:rsidRPr="00794D2D" w:rsidTr="00B06E18">
        <w:trPr>
          <w:trHeight w:val="276"/>
        </w:trPr>
        <w:tc>
          <w:tcPr>
            <w:tcW w:w="4656" w:type="dxa"/>
            <w:tcBorders>
              <w:top w:val="nil"/>
              <w:left w:val="nil"/>
              <w:bottom w:val="nil"/>
              <w:right w:val="nil"/>
            </w:tcBorders>
            <w:shd w:val="clear" w:color="auto" w:fill="auto"/>
            <w:noWrap/>
            <w:hideMark/>
          </w:tcPr>
          <w:p w:rsidR="00794D2D" w:rsidRPr="00794D2D" w:rsidRDefault="00794D2D" w:rsidP="00794D2D">
            <w:pPr>
              <w:rPr>
                <w:snapToGrid/>
                <w:color w:val="000000"/>
                <w:sz w:val="18"/>
                <w:szCs w:val="18"/>
                <w:lang w:eastAsia="en-AU"/>
              </w:rPr>
            </w:pPr>
            <w:r w:rsidRPr="00794D2D">
              <w:rPr>
                <w:snapToGrid/>
                <w:color w:val="000000"/>
                <w:sz w:val="18"/>
                <w:szCs w:val="18"/>
                <w:lang w:eastAsia="en-AU"/>
              </w:rPr>
              <w:t>Critical Care</w:t>
            </w:r>
          </w:p>
        </w:tc>
        <w:tc>
          <w:tcPr>
            <w:tcW w:w="1204" w:type="dxa"/>
            <w:tcBorders>
              <w:top w:val="nil"/>
              <w:left w:val="nil"/>
              <w:bottom w:val="nil"/>
              <w:right w:val="nil"/>
            </w:tcBorders>
            <w:shd w:val="clear" w:color="auto" w:fill="auto"/>
            <w:noWrap/>
            <w:hideMark/>
          </w:tcPr>
          <w:p w:rsidR="00794D2D" w:rsidRPr="00794D2D" w:rsidRDefault="00794D2D" w:rsidP="00794D2D">
            <w:pPr>
              <w:jc w:val="center"/>
              <w:rPr>
                <w:snapToGrid/>
                <w:color w:val="000000"/>
                <w:sz w:val="18"/>
                <w:szCs w:val="18"/>
                <w:lang w:eastAsia="en-AU"/>
              </w:rPr>
            </w:pPr>
            <w:r w:rsidRPr="00794D2D">
              <w:rPr>
                <w:snapToGrid/>
                <w:color w:val="000000"/>
                <w:sz w:val="18"/>
                <w:szCs w:val="18"/>
                <w:lang w:eastAsia="en-AU"/>
              </w:rPr>
              <w:t>5.8%</w:t>
            </w:r>
          </w:p>
        </w:tc>
        <w:tc>
          <w:tcPr>
            <w:tcW w:w="1204" w:type="dxa"/>
            <w:tcBorders>
              <w:top w:val="nil"/>
              <w:left w:val="nil"/>
              <w:bottom w:val="nil"/>
              <w:right w:val="nil"/>
            </w:tcBorders>
            <w:shd w:val="clear" w:color="auto" w:fill="F4CACA" w:themeFill="text2" w:themeFillTint="33"/>
            <w:noWrap/>
            <w:hideMark/>
          </w:tcPr>
          <w:p w:rsidR="00794D2D" w:rsidRPr="00794D2D" w:rsidRDefault="00794D2D" w:rsidP="00794D2D">
            <w:pPr>
              <w:jc w:val="center"/>
              <w:rPr>
                <w:snapToGrid/>
                <w:color w:val="000000"/>
                <w:sz w:val="18"/>
                <w:szCs w:val="18"/>
                <w:lang w:eastAsia="en-AU"/>
              </w:rPr>
            </w:pPr>
            <w:r w:rsidRPr="00794D2D">
              <w:rPr>
                <w:snapToGrid/>
                <w:color w:val="000000"/>
                <w:sz w:val="18"/>
                <w:szCs w:val="18"/>
                <w:lang w:eastAsia="en-AU"/>
              </w:rPr>
              <w:t>5.9%</w:t>
            </w:r>
          </w:p>
        </w:tc>
        <w:tc>
          <w:tcPr>
            <w:tcW w:w="1456" w:type="dxa"/>
            <w:tcBorders>
              <w:top w:val="nil"/>
              <w:left w:val="nil"/>
              <w:bottom w:val="nil"/>
              <w:right w:val="nil"/>
            </w:tcBorders>
            <w:shd w:val="clear" w:color="auto" w:fill="auto"/>
            <w:noWrap/>
            <w:hideMark/>
          </w:tcPr>
          <w:p w:rsidR="00794D2D" w:rsidRPr="00794D2D" w:rsidRDefault="00794D2D" w:rsidP="00794D2D">
            <w:pPr>
              <w:jc w:val="center"/>
              <w:rPr>
                <w:snapToGrid/>
                <w:color w:val="000000"/>
                <w:sz w:val="18"/>
                <w:szCs w:val="18"/>
                <w:lang w:eastAsia="en-AU"/>
              </w:rPr>
            </w:pPr>
            <w:r w:rsidRPr="00794D2D">
              <w:rPr>
                <w:snapToGrid/>
                <w:color w:val="000000"/>
                <w:sz w:val="18"/>
                <w:szCs w:val="18"/>
                <w:lang w:eastAsia="en-AU"/>
              </w:rPr>
              <w:t>0.1%</w:t>
            </w:r>
          </w:p>
        </w:tc>
      </w:tr>
      <w:tr w:rsidR="00794D2D" w:rsidRPr="00794D2D" w:rsidTr="00B06E18">
        <w:trPr>
          <w:trHeight w:val="276"/>
        </w:trPr>
        <w:tc>
          <w:tcPr>
            <w:tcW w:w="4656" w:type="dxa"/>
            <w:tcBorders>
              <w:top w:val="nil"/>
              <w:left w:val="nil"/>
              <w:bottom w:val="nil"/>
              <w:right w:val="nil"/>
            </w:tcBorders>
            <w:shd w:val="clear" w:color="auto" w:fill="auto"/>
            <w:noWrap/>
            <w:hideMark/>
          </w:tcPr>
          <w:p w:rsidR="00794D2D" w:rsidRPr="00794D2D" w:rsidRDefault="00794D2D" w:rsidP="00794D2D">
            <w:pPr>
              <w:rPr>
                <w:snapToGrid/>
                <w:color w:val="000000"/>
                <w:sz w:val="18"/>
                <w:szCs w:val="18"/>
                <w:lang w:eastAsia="en-AU"/>
              </w:rPr>
            </w:pPr>
            <w:r w:rsidRPr="00794D2D">
              <w:rPr>
                <w:snapToGrid/>
                <w:color w:val="000000"/>
                <w:sz w:val="18"/>
                <w:szCs w:val="18"/>
                <w:lang w:eastAsia="en-AU"/>
              </w:rPr>
              <w:t>Prostheses</w:t>
            </w:r>
          </w:p>
        </w:tc>
        <w:tc>
          <w:tcPr>
            <w:tcW w:w="1204" w:type="dxa"/>
            <w:tcBorders>
              <w:top w:val="nil"/>
              <w:left w:val="nil"/>
              <w:bottom w:val="nil"/>
              <w:right w:val="nil"/>
            </w:tcBorders>
            <w:shd w:val="clear" w:color="auto" w:fill="auto"/>
            <w:noWrap/>
            <w:hideMark/>
          </w:tcPr>
          <w:p w:rsidR="00794D2D" w:rsidRPr="00794D2D" w:rsidRDefault="00794D2D" w:rsidP="00794D2D">
            <w:pPr>
              <w:jc w:val="center"/>
              <w:rPr>
                <w:snapToGrid/>
                <w:color w:val="000000"/>
                <w:sz w:val="18"/>
                <w:szCs w:val="18"/>
                <w:lang w:eastAsia="en-AU"/>
              </w:rPr>
            </w:pPr>
            <w:r w:rsidRPr="00794D2D">
              <w:rPr>
                <w:snapToGrid/>
                <w:color w:val="000000"/>
                <w:sz w:val="18"/>
                <w:szCs w:val="18"/>
                <w:lang w:eastAsia="en-AU"/>
              </w:rPr>
              <w:t>22.9%</w:t>
            </w:r>
          </w:p>
        </w:tc>
        <w:tc>
          <w:tcPr>
            <w:tcW w:w="1204" w:type="dxa"/>
            <w:tcBorders>
              <w:top w:val="nil"/>
              <w:left w:val="nil"/>
              <w:bottom w:val="nil"/>
              <w:right w:val="nil"/>
            </w:tcBorders>
            <w:shd w:val="clear" w:color="auto" w:fill="F4CACA" w:themeFill="text2" w:themeFillTint="33"/>
            <w:noWrap/>
            <w:hideMark/>
          </w:tcPr>
          <w:p w:rsidR="00794D2D" w:rsidRPr="00794D2D" w:rsidRDefault="00794D2D" w:rsidP="00794D2D">
            <w:pPr>
              <w:jc w:val="center"/>
              <w:rPr>
                <w:snapToGrid/>
                <w:color w:val="000000"/>
                <w:sz w:val="18"/>
                <w:szCs w:val="18"/>
                <w:lang w:eastAsia="en-AU"/>
              </w:rPr>
            </w:pPr>
            <w:r w:rsidRPr="00794D2D">
              <w:rPr>
                <w:snapToGrid/>
                <w:color w:val="000000"/>
                <w:sz w:val="18"/>
                <w:szCs w:val="18"/>
                <w:lang w:eastAsia="en-AU"/>
              </w:rPr>
              <w:t>21.9%</w:t>
            </w:r>
          </w:p>
        </w:tc>
        <w:tc>
          <w:tcPr>
            <w:tcW w:w="1456" w:type="dxa"/>
            <w:tcBorders>
              <w:top w:val="nil"/>
              <w:left w:val="nil"/>
              <w:bottom w:val="nil"/>
              <w:right w:val="nil"/>
            </w:tcBorders>
            <w:shd w:val="clear" w:color="auto" w:fill="auto"/>
            <w:noWrap/>
            <w:hideMark/>
          </w:tcPr>
          <w:p w:rsidR="00794D2D" w:rsidRPr="00794D2D" w:rsidRDefault="00794D2D" w:rsidP="00794D2D">
            <w:pPr>
              <w:jc w:val="center"/>
              <w:rPr>
                <w:snapToGrid/>
                <w:color w:val="000000"/>
                <w:sz w:val="18"/>
                <w:szCs w:val="18"/>
                <w:lang w:eastAsia="en-AU"/>
              </w:rPr>
            </w:pPr>
            <w:r w:rsidRPr="00794D2D">
              <w:rPr>
                <w:snapToGrid/>
                <w:color w:val="000000"/>
                <w:sz w:val="18"/>
                <w:szCs w:val="18"/>
                <w:lang w:eastAsia="en-AU"/>
              </w:rPr>
              <w:t>-1.0%</w:t>
            </w:r>
          </w:p>
        </w:tc>
      </w:tr>
      <w:tr w:rsidR="00794D2D" w:rsidRPr="00794D2D" w:rsidTr="00B06E18">
        <w:trPr>
          <w:trHeight w:val="276"/>
        </w:trPr>
        <w:tc>
          <w:tcPr>
            <w:tcW w:w="4656" w:type="dxa"/>
            <w:tcBorders>
              <w:top w:val="nil"/>
              <w:left w:val="nil"/>
              <w:bottom w:val="nil"/>
              <w:right w:val="nil"/>
            </w:tcBorders>
            <w:shd w:val="clear" w:color="auto" w:fill="auto"/>
            <w:noWrap/>
            <w:hideMark/>
          </w:tcPr>
          <w:p w:rsidR="00794D2D" w:rsidRPr="00794D2D" w:rsidRDefault="00794D2D" w:rsidP="00794D2D">
            <w:pPr>
              <w:rPr>
                <w:snapToGrid/>
                <w:color w:val="000000"/>
                <w:sz w:val="18"/>
                <w:szCs w:val="18"/>
                <w:lang w:eastAsia="en-AU"/>
              </w:rPr>
            </w:pPr>
            <w:r w:rsidRPr="00794D2D">
              <w:rPr>
                <w:snapToGrid/>
                <w:color w:val="000000"/>
                <w:sz w:val="18"/>
                <w:szCs w:val="18"/>
                <w:lang w:eastAsia="en-AU"/>
              </w:rPr>
              <w:t>Miscellaneous</w:t>
            </w:r>
          </w:p>
        </w:tc>
        <w:tc>
          <w:tcPr>
            <w:tcW w:w="1204" w:type="dxa"/>
            <w:tcBorders>
              <w:top w:val="nil"/>
              <w:left w:val="nil"/>
              <w:bottom w:val="nil"/>
              <w:right w:val="nil"/>
            </w:tcBorders>
            <w:shd w:val="clear" w:color="auto" w:fill="auto"/>
            <w:noWrap/>
            <w:hideMark/>
          </w:tcPr>
          <w:p w:rsidR="00794D2D" w:rsidRPr="00794D2D" w:rsidRDefault="00794D2D" w:rsidP="00794D2D">
            <w:pPr>
              <w:jc w:val="center"/>
              <w:rPr>
                <w:snapToGrid/>
                <w:color w:val="000000"/>
                <w:sz w:val="18"/>
                <w:szCs w:val="18"/>
                <w:lang w:eastAsia="en-AU"/>
              </w:rPr>
            </w:pPr>
            <w:r w:rsidRPr="00794D2D">
              <w:rPr>
                <w:snapToGrid/>
                <w:color w:val="000000"/>
                <w:sz w:val="18"/>
                <w:szCs w:val="18"/>
                <w:lang w:eastAsia="en-AU"/>
              </w:rPr>
              <w:t>50.9%</w:t>
            </w:r>
          </w:p>
        </w:tc>
        <w:tc>
          <w:tcPr>
            <w:tcW w:w="1204" w:type="dxa"/>
            <w:tcBorders>
              <w:top w:val="nil"/>
              <w:left w:val="nil"/>
              <w:bottom w:val="nil"/>
              <w:right w:val="nil"/>
            </w:tcBorders>
            <w:shd w:val="clear" w:color="auto" w:fill="F4CACA" w:themeFill="text2" w:themeFillTint="33"/>
            <w:noWrap/>
            <w:hideMark/>
          </w:tcPr>
          <w:p w:rsidR="00794D2D" w:rsidRPr="00794D2D" w:rsidRDefault="00794D2D" w:rsidP="00794D2D">
            <w:pPr>
              <w:jc w:val="center"/>
              <w:rPr>
                <w:snapToGrid/>
                <w:color w:val="000000"/>
                <w:sz w:val="18"/>
                <w:szCs w:val="18"/>
                <w:lang w:eastAsia="en-AU"/>
              </w:rPr>
            </w:pPr>
            <w:r w:rsidRPr="00794D2D">
              <w:rPr>
                <w:snapToGrid/>
                <w:color w:val="000000"/>
                <w:sz w:val="18"/>
                <w:szCs w:val="18"/>
                <w:lang w:eastAsia="en-AU"/>
              </w:rPr>
              <w:t>49.0%</w:t>
            </w:r>
          </w:p>
        </w:tc>
        <w:tc>
          <w:tcPr>
            <w:tcW w:w="1456" w:type="dxa"/>
            <w:tcBorders>
              <w:top w:val="nil"/>
              <w:left w:val="nil"/>
              <w:bottom w:val="nil"/>
              <w:right w:val="nil"/>
            </w:tcBorders>
            <w:shd w:val="clear" w:color="auto" w:fill="auto"/>
            <w:noWrap/>
            <w:hideMark/>
          </w:tcPr>
          <w:p w:rsidR="00794D2D" w:rsidRPr="00794D2D" w:rsidRDefault="00794D2D" w:rsidP="00794D2D">
            <w:pPr>
              <w:jc w:val="center"/>
              <w:rPr>
                <w:snapToGrid/>
                <w:color w:val="000000"/>
                <w:sz w:val="18"/>
                <w:szCs w:val="18"/>
                <w:lang w:eastAsia="en-AU"/>
              </w:rPr>
            </w:pPr>
            <w:r w:rsidRPr="00794D2D">
              <w:rPr>
                <w:snapToGrid/>
                <w:color w:val="000000"/>
                <w:sz w:val="18"/>
                <w:szCs w:val="18"/>
                <w:lang w:eastAsia="en-AU"/>
              </w:rPr>
              <w:t>-1.8%</w:t>
            </w:r>
          </w:p>
        </w:tc>
      </w:tr>
      <w:tr w:rsidR="00794D2D" w:rsidRPr="00794D2D" w:rsidTr="00B06E18">
        <w:trPr>
          <w:trHeight w:val="288"/>
        </w:trPr>
        <w:tc>
          <w:tcPr>
            <w:tcW w:w="4656" w:type="dxa"/>
            <w:tcBorders>
              <w:top w:val="single" w:sz="4" w:space="0" w:color="auto"/>
              <w:left w:val="nil"/>
              <w:bottom w:val="single" w:sz="8" w:space="0" w:color="auto"/>
              <w:right w:val="nil"/>
            </w:tcBorders>
            <w:shd w:val="clear" w:color="auto" w:fill="auto"/>
            <w:noWrap/>
            <w:hideMark/>
          </w:tcPr>
          <w:p w:rsidR="00794D2D" w:rsidRPr="00794D2D" w:rsidRDefault="00794D2D" w:rsidP="00794D2D">
            <w:pPr>
              <w:rPr>
                <w:snapToGrid/>
                <w:color w:val="000000"/>
                <w:sz w:val="18"/>
                <w:szCs w:val="18"/>
                <w:lang w:eastAsia="en-AU"/>
              </w:rPr>
            </w:pPr>
            <w:r w:rsidRPr="00794D2D">
              <w:rPr>
                <w:snapToGrid/>
                <w:color w:val="000000"/>
                <w:sz w:val="18"/>
                <w:szCs w:val="18"/>
                <w:lang w:eastAsia="en-AU"/>
              </w:rPr>
              <w:t>Total</w:t>
            </w:r>
          </w:p>
        </w:tc>
        <w:tc>
          <w:tcPr>
            <w:tcW w:w="1204" w:type="dxa"/>
            <w:tcBorders>
              <w:top w:val="single" w:sz="4" w:space="0" w:color="auto"/>
              <w:left w:val="nil"/>
              <w:bottom w:val="single" w:sz="8" w:space="0" w:color="auto"/>
              <w:right w:val="nil"/>
            </w:tcBorders>
            <w:shd w:val="clear" w:color="auto" w:fill="auto"/>
            <w:noWrap/>
            <w:hideMark/>
          </w:tcPr>
          <w:p w:rsidR="00794D2D" w:rsidRPr="00794D2D" w:rsidRDefault="00794D2D" w:rsidP="00794D2D">
            <w:pPr>
              <w:jc w:val="center"/>
              <w:rPr>
                <w:snapToGrid/>
                <w:color w:val="000000"/>
                <w:sz w:val="18"/>
                <w:szCs w:val="18"/>
                <w:lang w:eastAsia="en-AU"/>
              </w:rPr>
            </w:pPr>
            <w:r w:rsidRPr="00794D2D">
              <w:rPr>
                <w:snapToGrid/>
                <w:color w:val="000000"/>
                <w:sz w:val="18"/>
                <w:szCs w:val="18"/>
                <w:lang w:eastAsia="en-AU"/>
              </w:rPr>
              <w:t>100.0%</w:t>
            </w:r>
          </w:p>
        </w:tc>
        <w:tc>
          <w:tcPr>
            <w:tcW w:w="1204" w:type="dxa"/>
            <w:tcBorders>
              <w:top w:val="single" w:sz="4" w:space="0" w:color="auto"/>
              <w:left w:val="nil"/>
              <w:bottom w:val="single" w:sz="8" w:space="0" w:color="auto"/>
              <w:right w:val="nil"/>
            </w:tcBorders>
            <w:shd w:val="clear" w:color="auto" w:fill="F4CACA" w:themeFill="text2" w:themeFillTint="33"/>
            <w:noWrap/>
            <w:hideMark/>
          </w:tcPr>
          <w:p w:rsidR="00794D2D" w:rsidRPr="00794D2D" w:rsidRDefault="00794D2D" w:rsidP="00794D2D">
            <w:pPr>
              <w:jc w:val="center"/>
              <w:rPr>
                <w:snapToGrid/>
                <w:color w:val="000000"/>
                <w:sz w:val="18"/>
                <w:szCs w:val="18"/>
                <w:lang w:eastAsia="en-AU"/>
              </w:rPr>
            </w:pPr>
            <w:r w:rsidRPr="00794D2D">
              <w:rPr>
                <w:snapToGrid/>
                <w:color w:val="000000"/>
                <w:sz w:val="18"/>
                <w:szCs w:val="18"/>
                <w:lang w:eastAsia="en-AU"/>
              </w:rPr>
              <w:t>100.0%</w:t>
            </w:r>
          </w:p>
        </w:tc>
        <w:tc>
          <w:tcPr>
            <w:tcW w:w="1456" w:type="dxa"/>
            <w:tcBorders>
              <w:top w:val="single" w:sz="4" w:space="0" w:color="auto"/>
              <w:left w:val="nil"/>
              <w:bottom w:val="single" w:sz="8" w:space="0" w:color="auto"/>
              <w:right w:val="nil"/>
            </w:tcBorders>
            <w:shd w:val="clear" w:color="auto" w:fill="auto"/>
            <w:noWrap/>
            <w:hideMark/>
          </w:tcPr>
          <w:p w:rsidR="00794D2D" w:rsidRPr="00794D2D" w:rsidRDefault="00794D2D" w:rsidP="00794D2D">
            <w:pPr>
              <w:jc w:val="center"/>
              <w:rPr>
                <w:snapToGrid/>
                <w:color w:val="000000"/>
                <w:sz w:val="18"/>
                <w:szCs w:val="18"/>
                <w:lang w:eastAsia="en-AU"/>
              </w:rPr>
            </w:pPr>
            <w:r w:rsidRPr="00794D2D">
              <w:rPr>
                <w:snapToGrid/>
                <w:color w:val="000000"/>
                <w:sz w:val="18"/>
                <w:szCs w:val="18"/>
                <w:lang w:eastAsia="en-AU"/>
              </w:rPr>
              <w:t>0.0%</w:t>
            </w:r>
          </w:p>
        </w:tc>
      </w:tr>
    </w:tbl>
    <w:p w:rsidR="00D65E24" w:rsidRDefault="00D65E24">
      <w:pPr>
        <w:rPr>
          <w:rFonts w:asciiTheme="majorHAnsi" w:hAnsiTheme="majorHAnsi"/>
          <w:b/>
          <w:bCs/>
          <w:color w:val="A32020" w:themeColor="text2"/>
        </w:rPr>
      </w:pPr>
      <w:r>
        <w:br w:type="page"/>
      </w:r>
    </w:p>
    <w:p w:rsidR="00CE5D85" w:rsidRPr="000051B6" w:rsidRDefault="00CE5D85" w:rsidP="00A445EA">
      <w:pPr>
        <w:pStyle w:val="Figureheadings"/>
        <w:spacing w:after="240"/>
        <w:ind w:left="1418" w:hanging="1418"/>
        <w:rPr>
          <w:rFonts w:ascii="Georgia" w:hAnsi="Georgia"/>
          <w:lang w:val="en-AU"/>
        </w:rPr>
      </w:pPr>
      <w:bookmarkStart w:id="94" w:name="_Toc435610623"/>
      <w:r w:rsidRPr="000051B6">
        <w:rPr>
          <w:lang w:val="en-AU"/>
        </w:rPr>
        <w:lastRenderedPageBreak/>
        <w:t>Figure</w:t>
      </w:r>
      <w:r w:rsidR="00FE4CF4" w:rsidRPr="000051B6">
        <w:rPr>
          <w:lang w:val="en-AU"/>
        </w:rPr>
        <w:t xml:space="preserve"> 2</w:t>
      </w:r>
      <w:r w:rsidRPr="000051B6">
        <w:rPr>
          <w:lang w:val="en-AU"/>
        </w:rPr>
        <w:tab/>
        <w:t>Breakdown of cost by cost-bucket group, Round 18 versus Round 17</w:t>
      </w:r>
      <w:bookmarkEnd w:id="94"/>
    </w:p>
    <w:bookmarkStart w:id="95" w:name="_Toc432972094"/>
    <w:bookmarkStart w:id="96" w:name="_Toc433021644"/>
    <w:bookmarkStart w:id="97" w:name="_Toc433021683"/>
    <w:bookmarkStart w:id="98" w:name="_Toc433283248"/>
    <w:bookmarkStart w:id="99" w:name="_Toc433295196"/>
    <w:bookmarkStart w:id="100" w:name="_Toc433296970"/>
    <w:bookmarkStart w:id="101" w:name="_Toc433297180"/>
    <w:bookmarkStart w:id="102" w:name="_Toc433297229"/>
    <w:bookmarkStart w:id="103" w:name="_Toc433973308"/>
    <w:bookmarkStart w:id="104" w:name="_Toc433975579"/>
    <w:bookmarkStart w:id="105" w:name="_Toc435525568"/>
    <w:bookmarkStart w:id="106" w:name="_Toc435525649"/>
    <w:bookmarkStart w:id="107" w:name="_Toc435526647"/>
    <w:bookmarkStart w:id="108" w:name="_Toc435610624"/>
    <w:p w:rsidR="009D1E9C" w:rsidRPr="000051B6" w:rsidRDefault="00D60707" w:rsidP="00FE4CF4">
      <w:pPr>
        <w:pStyle w:val="Figureheadings"/>
        <w:ind w:left="1416" w:hanging="1416"/>
        <w:rPr>
          <w:highlight w:val="yellow"/>
          <w:lang w:val="en-AU"/>
        </w:rPr>
      </w:pPr>
      <w:r>
        <w:rPr>
          <w:rFonts w:ascii="Georgia" w:hAnsi="Georgia"/>
          <w:noProof/>
          <w:snapToGrid/>
          <w:lang w:val="en-AU" w:eastAsia="en-AU"/>
        </w:rPr>
        <mc:AlternateContent>
          <mc:Choice Requires="wps">
            <w:drawing>
              <wp:anchor distT="0" distB="0" distL="114300" distR="114300" simplePos="0" relativeHeight="251660288" behindDoc="0" locked="0" layoutInCell="1" allowOverlap="1" wp14:anchorId="79626C1B" wp14:editId="4FDA3FC5">
                <wp:simplePos x="0" y="0"/>
                <wp:positionH relativeFrom="column">
                  <wp:posOffset>438363</wp:posOffset>
                </wp:positionH>
                <wp:positionV relativeFrom="paragraph">
                  <wp:posOffset>1098550</wp:posOffset>
                </wp:positionV>
                <wp:extent cx="872066" cy="635000"/>
                <wp:effectExtent l="19050" t="19050" r="23495" b="12700"/>
                <wp:wrapNone/>
                <wp:docPr id="14" name="Oval 14"/>
                <wp:cNvGraphicFramePr/>
                <a:graphic xmlns:a="http://schemas.openxmlformats.org/drawingml/2006/main">
                  <a:graphicData uri="http://schemas.microsoft.com/office/word/2010/wordprocessingShape">
                    <wps:wsp>
                      <wps:cNvSpPr/>
                      <wps:spPr bwMode="ltGray">
                        <a:xfrm>
                          <a:off x="0" y="0"/>
                          <a:ext cx="872066" cy="635000"/>
                        </a:xfrm>
                        <a:prstGeom prst="ellips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6" style="position:absolute;margin-left:34.5pt;margin-top:86.5pt;width:68.65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" filled="f" strokecolor="#511010 [1604]" strokeweight="3pt"/>
            </w:pict>
          </mc:Fallback>
        </mc:AlternateContent>
      </w:r>
      <w:r w:rsidR="009D1E9C" w:rsidRPr="000051B6">
        <w:rPr>
          <w:rFonts w:ascii="Georgia" w:hAnsi="Georgia"/>
          <w:noProof/>
          <w:lang w:val="en-AU" w:eastAsia="en-AU"/>
        </w:rPr>
        <w:drawing>
          <wp:inline distT="0" distB="0" distL="0" distR="0" wp14:anchorId="02CD3B11" wp14:editId="165FAE21">
            <wp:extent cx="4487333" cy="2860505"/>
            <wp:effectExtent l="0" t="0" r="8890" b="0"/>
            <wp:docPr id="24" name="Picture 24" descr="Figure 2 shows the Breakdown of cost by cost-bucket group, Round 18 versus Round 17, as a percentage of the total cost for that round. The cost-buckets are Operating Rooms and Specialist Procedure Suites, Critical Care, Prostheses and Miscellaneous. Operating Rooms and Specialist Procedure Suites have been circled." title="Figure 2 Breakdown of cost by cost bucket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92933" cy="2864075"/>
                    </a:xfrm>
                    <a:prstGeom prst="rect">
                      <a:avLst/>
                    </a:prstGeom>
                    <a:noFill/>
                    <a:ln>
                      <a:noFill/>
                    </a:ln>
                  </pic:spPr>
                </pic:pic>
              </a:graphicData>
            </a:graphic>
          </wp:inline>
        </w:drawing>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D67688" w:rsidRPr="000051B6" w:rsidRDefault="00D67688" w:rsidP="001222BC">
      <w:pPr>
        <w:pStyle w:val="Heading2"/>
        <w:spacing w:after="240"/>
      </w:pPr>
      <w:bookmarkStart w:id="109" w:name="_Ref432971289"/>
      <w:bookmarkStart w:id="110" w:name="_Ref432971296"/>
      <w:bookmarkStart w:id="111" w:name="_Toc435611229"/>
      <w:r w:rsidRPr="000051B6">
        <w:t>AR-</w:t>
      </w:r>
      <w:r w:rsidR="00C63756" w:rsidRPr="000051B6">
        <w:t xml:space="preserve">DRG </w:t>
      </w:r>
      <w:r w:rsidRPr="000051B6">
        <w:t xml:space="preserve">top 20 </w:t>
      </w:r>
      <w:bookmarkEnd w:id="109"/>
      <w:bookmarkEnd w:id="110"/>
      <w:r w:rsidR="001E66DC" w:rsidRPr="000051B6">
        <w:t>analyses</w:t>
      </w:r>
      <w:bookmarkEnd w:id="111"/>
    </w:p>
    <w:p w:rsidR="00D67688" w:rsidRPr="000051B6" w:rsidRDefault="006B4640" w:rsidP="00A445EA">
      <w:pPr>
        <w:pStyle w:val="PwCNormal"/>
        <w:numPr>
          <w:ilvl w:val="0"/>
          <w:numId w:val="0"/>
        </w:numPr>
      </w:pPr>
      <w:r w:rsidRPr="000051B6">
        <w:t xml:space="preserve">This </w:t>
      </w:r>
      <w:r w:rsidR="003660DE" w:rsidRPr="000051B6">
        <w:t>section</w:t>
      </w:r>
      <w:r w:rsidR="00D67688" w:rsidRPr="000051B6">
        <w:t xml:space="preserve"> </w:t>
      </w:r>
      <w:r w:rsidR="003660DE" w:rsidRPr="000051B6">
        <w:t xml:space="preserve">analyses the top 20 AR-DRGs by the below categories.  The first three are the same as presented in the Round 17 public report and number 4 </w:t>
      </w:r>
      <w:r w:rsidR="00D60707">
        <w:t>is</w:t>
      </w:r>
      <w:r w:rsidR="003660DE" w:rsidRPr="000051B6">
        <w:t xml:space="preserve"> new for this Round.</w:t>
      </w:r>
    </w:p>
    <w:p w:rsidR="003660DE" w:rsidRPr="000051B6" w:rsidRDefault="003660DE" w:rsidP="00C71B05">
      <w:pPr>
        <w:pStyle w:val="ListParagraph"/>
        <w:numPr>
          <w:ilvl w:val="0"/>
          <w:numId w:val="41"/>
        </w:numPr>
        <w:spacing w:after="200" w:line="276" w:lineRule="auto"/>
      </w:pPr>
      <w:r w:rsidRPr="000051B6">
        <w:t>Highest cost weight;</w:t>
      </w:r>
    </w:p>
    <w:p w:rsidR="003660DE" w:rsidRPr="000051B6" w:rsidRDefault="003660DE" w:rsidP="00C71B05">
      <w:pPr>
        <w:pStyle w:val="ListParagraph"/>
        <w:numPr>
          <w:ilvl w:val="0"/>
          <w:numId w:val="41"/>
        </w:numPr>
        <w:spacing w:after="200" w:line="276" w:lineRule="auto"/>
      </w:pPr>
      <w:r w:rsidRPr="000051B6">
        <w:t xml:space="preserve">Highest </w:t>
      </w:r>
      <w:r w:rsidR="00B03252">
        <w:t>number of population-adjusted separations</w:t>
      </w:r>
      <w:r w:rsidRPr="000051B6">
        <w:t>;</w:t>
      </w:r>
    </w:p>
    <w:p w:rsidR="003660DE" w:rsidRPr="000051B6" w:rsidRDefault="003660DE" w:rsidP="00C71B05">
      <w:pPr>
        <w:pStyle w:val="ListParagraph"/>
        <w:numPr>
          <w:ilvl w:val="0"/>
          <w:numId w:val="41"/>
        </w:numPr>
        <w:spacing w:after="200" w:line="276" w:lineRule="auto"/>
      </w:pPr>
      <w:r w:rsidRPr="000051B6">
        <w:t xml:space="preserve">Highest cost weighted separations; </w:t>
      </w:r>
      <w:r w:rsidR="00B03252">
        <w:t>and</w:t>
      </w:r>
    </w:p>
    <w:p w:rsidR="003660DE" w:rsidRPr="000051B6" w:rsidRDefault="003660DE" w:rsidP="00C71B05">
      <w:pPr>
        <w:pStyle w:val="ListParagraph"/>
        <w:numPr>
          <w:ilvl w:val="0"/>
          <w:numId w:val="41"/>
        </w:numPr>
        <w:spacing w:after="200" w:line="276" w:lineRule="auto"/>
      </w:pPr>
      <w:r w:rsidRPr="000051B6">
        <w:t>Highest ALoS including minimum and maximum range</w:t>
      </w:r>
      <w:r w:rsidR="00B03252">
        <w:t>.</w:t>
      </w:r>
      <w:r w:rsidRPr="000051B6">
        <w:t xml:space="preserve"> </w:t>
      </w:r>
    </w:p>
    <w:p w:rsidR="003660DE" w:rsidRPr="000051B6" w:rsidRDefault="00D649E4" w:rsidP="003660DE">
      <w:pPr>
        <w:spacing w:after="200" w:line="276" w:lineRule="auto"/>
      </w:pPr>
      <w:r w:rsidRPr="000051B6">
        <w:t>An a</w:t>
      </w:r>
      <w:r w:rsidR="00831623" w:rsidRPr="000051B6">
        <w:t>dditional a</w:t>
      </w:r>
      <w:r w:rsidR="003660DE" w:rsidRPr="000051B6">
        <w:t xml:space="preserve">nalysis of </w:t>
      </w:r>
      <w:r w:rsidR="00831623" w:rsidRPr="000051B6">
        <w:t xml:space="preserve">the </w:t>
      </w:r>
      <w:r w:rsidR="003660DE" w:rsidRPr="000051B6">
        <w:t>cost buckets</w:t>
      </w:r>
      <w:r w:rsidR="00831623" w:rsidRPr="000051B6">
        <w:t xml:space="preserve"> (critical care, operating room/SPS, prostheses and miscellaneous</w:t>
      </w:r>
      <w:r w:rsidR="00581A4E" w:rsidRPr="000051B6">
        <w:t>) is</w:t>
      </w:r>
      <w:r w:rsidR="00831623" w:rsidRPr="000051B6">
        <w:t xml:space="preserve"> undertaken showing the top 20 for each of these buckets.</w:t>
      </w:r>
    </w:p>
    <w:p w:rsidR="00786077" w:rsidRPr="000051B6" w:rsidRDefault="009C5D02" w:rsidP="00A445EA">
      <w:pPr>
        <w:pStyle w:val="Heading3"/>
        <w:spacing w:after="240"/>
      </w:pPr>
      <w:bookmarkStart w:id="112" w:name="_Ref433273435"/>
      <w:r w:rsidRPr="000051B6">
        <w:t>Top 20</w:t>
      </w:r>
      <w:r w:rsidR="00786077" w:rsidRPr="000051B6">
        <w:t xml:space="preserve"> </w:t>
      </w:r>
      <w:r w:rsidR="00772AF0" w:rsidRPr="000051B6">
        <w:t>AR-</w:t>
      </w:r>
      <w:r w:rsidR="00786077" w:rsidRPr="000051B6">
        <w:t>DRGs ranked by highest cost weight</w:t>
      </w:r>
      <w:bookmarkEnd w:id="112"/>
    </w:p>
    <w:p w:rsidR="006B4640" w:rsidRPr="000051B6" w:rsidRDefault="006B4640" w:rsidP="00D67688">
      <w:pPr>
        <w:pStyle w:val="PwCNormal"/>
        <w:numPr>
          <w:ilvl w:val="0"/>
          <w:numId w:val="0"/>
        </w:numPr>
        <w:spacing w:after="0"/>
        <w:rPr>
          <w:color w:val="A32020" w:themeColor="text2"/>
        </w:rPr>
      </w:pPr>
      <w:r w:rsidRPr="000051B6">
        <w:rPr>
          <w:color w:val="A32020" w:themeColor="text2"/>
        </w:rPr>
        <w:t>Key findings</w:t>
      </w:r>
    </w:p>
    <w:p w:rsidR="002D6EDC" w:rsidRPr="000051B6" w:rsidRDefault="00687622" w:rsidP="00A445EA">
      <w:pPr>
        <w:pStyle w:val="PwCNormal"/>
        <w:numPr>
          <w:ilvl w:val="0"/>
          <w:numId w:val="0"/>
        </w:numPr>
      </w:pPr>
      <w:r>
        <w:t>As shown in f</w:t>
      </w:r>
      <w:r w:rsidR="00E0217E" w:rsidRPr="000051B6">
        <w:t xml:space="preserve">igure </w:t>
      </w:r>
      <w:r w:rsidR="00992D0E">
        <w:t>3 (</w:t>
      </w:r>
      <w:r w:rsidR="00B03252">
        <w:t>circled</w:t>
      </w:r>
      <w:r w:rsidR="00992D0E">
        <w:t>)</w:t>
      </w:r>
      <w:r>
        <w:t xml:space="preserve"> </w:t>
      </w:r>
      <w:r w:rsidR="00772AF0" w:rsidRPr="000051B6">
        <w:t>the highest cost weigh</w:t>
      </w:r>
      <w:r w:rsidR="00070AF1">
        <w:t>t</w:t>
      </w:r>
      <w:r w:rsidR="00772AF0" w:rsidRPr="000051B6">
        <w:t xml:space="preserve"> AR-DRG is</w:t>
      </w:r>
      <w:r w:rsidR="002D6EDC" w:rsidRPr="000051B6">
        <w:t xml:space="preserve"> A06A – Tracheostomy with ventilation &gt; 95 hours with catastrophic CC</w:t>
      </w:r>
      <w:r w:rsidR="003D43D7" w:rsidRPr="000051B6">
        <w:t xml:space="preserve">. </w:t>
      </w:r>
      <w:r>
        <w:t>As illustrated in table 6</w:t>
      </w:r>
      <w:r w:rsidR="00B03252">
        <w:t xml:space="preserve"> (boxed)</w:t>
      </w:r>
      <w:r>
        <w:t xml:space="preserve"> t</w:t>
      </w:r>
      <w:r w:rsidR="002D6EDC" w:rsidRPr="000051B6">
        <w:t xml:space="preserve">his was ranked number </w:t>
      </w:r>
      <w:r w:rsidR="00F702B3" w:rsidRPr="000051B6">
        <w:t>two</w:t>
      </w:r>
      <w:r w:rsidR="002D6EDC" w:rsidRPr="000051B6">
        <w:t xml:space="preserve"> last year and is </w:t>
      </w:r>
      <w:r w:rsidR="008A658B">
        <w:t>anticipated</w:t>
      </w:r>
      <w:r w:rsidR="002D6EDC" w:rsidRPr="000051B6">
        <w:t xml:space="preserve"> to be ranked </w:t>
      </w:r>
      <w:r w:rsidR="003D43D7" w:rsidRPr="000051B6">
        <w:t xml:space="preserve">as the top </w:t>
      </w:r>
      <w:r w:rsidR="00F702B3" w:rsidRPr="000051B6">
        <w:t>one</w:t>
      </w:r>
      <w:r w:rsidR="002D6EDC" w:rsidRPr="000051B6">
        <w:t xml:space="preserve"> or </w:t>
      </w:r>
      <w:r w:rsidR="00F702B3" w:rsidRPr="000051B6">
        <w:t>two</w:t>
      </w:r>
      <w:r w:rsidR="003D43D7" w:rsidRPr="000051B6">
        <w:t xml:space="preserve"> AR-DRGs</w:t>
      </w:r>
      <w:r w:rsidR="002D6EDC" w:rsidRPr="000051B6">
        <w:t xml:space="preserve"> given </w:t>
      </w:r>
      <w:r w:rsidR="00F702B3" w:rsidRPr="000051B6">
        <w:t xml:space="preserve">it </w:t>
      </w:r>
      <w:r w:rsidR="002D6EDC" w:rsidRPr="000051B6">
        <w:t>is a hi</w:t>
      </w:r>
      <w:r w:rsidR="001E66DC" w:rsidRPr="000051B6">
        <w:t xml:space="preserve">ghly complex and resource intensive </w:t>
      </w:r>
      <w:r w:rsidR="005D4BF4" w:rsidRPr="000051B6">
        <w:t>patient pathway</w:t>
      </w:r>
      <w:r w:rsidR="002D6EDC" w:rsidRPr="000051B6">
        <w:t>.</w:t>
      </w:r>
    </w:p>
    <w:p w:rsidR="005D4BF4" w:rsidRPr="000051B6" w:rsidRDefault="002D6EDC" w:rsidP="00D67688">
      <w:pPr>
        <w:pStyle w:val="PwCNormal"/>
        <w:numPr>
          <w:ilvl w:val="0"/>
          <w:numId w:val="0"/>
        </w:numPr>
        <w:spacing w:after="0"/>
      </w:pPr>
      <w:r w:rsidRPr="000051B6">
        <w:t>The AR-DRGs listed in</w:t>
      </w:r>
      <w:r w:rsidR="00687622">
        <w:t xml:space="preserve"> table 6</w:t>
      </w:r>
      <w:r w:rsidRPr="000051B6">
        <w:t xml:space="preserve"> are </w:t>
      </w:r>
      <w:r w:rsidR="003D43D7" w:rsidRPr="000051B6">
        <w:t xml:space="preserve">all </w:t>
      </w:r>
      <w:r w:rsidR="008A658B">
        <w:t>predicted</w:t>
      </w:r>
      <w:r w:rsidRPr="000051B6">
        <w:t xml:space="preserve"> to be within this</w:t>
      </w:r>
      <w:r w:rsidR="003D43D7" w:rsidRPr="000051B6">
        <w:t xml:space="preserve"> top 20</w:t>
      </w:r>
      <w:r w:rsidRPr="000051B6">
        <w:t xml:space="preserve"> ranking given that 80% (16 out of 20) are with catastrophic CCs, require ventilation, or have high cost prostheses. </w:t>
      </w:r>
    </w:p>
    <w:p w:rsidR="002D6EDC" w:rsidRPr="000051B6" w:rsidRDefault="00687622" w:rsidP="00A445EA">
      <w:pPr>
        <w:pStyle w:val="PwCNormal"/>
        <w:numPr>
          <w:ilvl w:val="0"/>
          <w:numId w:val="0"/>
        </w:numPr>
        <w:spacing w:before="240"/>
      </w:pPr>
      <w:r>
        <w:t xml:space="preserve">As demonstrated in table 6 (circled) </w:t>
      </w:r>
      <w:r w:rsidR="002D6EDC" w:rsidRPr="000051B6">
        <w:t xml:space="preserve">these highly complex patients only represent 0.4% (10,384 </w:t>
      </w:r>
      <w:r w:rsidR="0033123C">
        <w:t>population-adjusted</w:t>
      </w:r>
      <w:r w:rsidR="002D6EDC" w:rsidRPr="000051B6">
        <w:t xml:space="preserve"> separa</w:t>
      </w:r>
      <w:r w:rsidR="0033123C">
        <w:t xml:space="preserve">tions) of the total population-adjusted </w:t>
      </w:r>
      <w:r w:rsidR="002D6EDC" w:rsidRPr="000051B6">
        <w:t xml:space="preserve">separations </w:t>
      </w:r>
      <w:r w:rsidR="009A23AC" w:rsidRPr="000051B6">
        <w:t xml:space="preserve">(2.83m). </w:t>
      </w:r>
      <w:r w:rsidR="005D4BF4" w:rsidRPr="000051B6">
        <w:t xml:space="preserve"> These AR-DRGs represent 6.3% of the total cost weighted separations.  This indicates that these are high cost low volume AR-DRGs.</w:t>
      </w:r>
    </w:p>
    <w:p w:rsidR="006B4640" w:rsidRPr="000051B6" w:rsidRDefault="006B4640" w:rsidP="00D67688">
      <w:pPr>
        <w:pStyle w:val="PwCNormal"/>
        <w:numPr>
          <w:ilvl w:val="0"/>
          <w:numId w:val="0"/>
        </w:numPr>
        <w:spacing w:after="0"/>
        <w:rPr>
          <w:color w:val="A32020" w:themeColor="text2"/>
        </w:rPr>
      </w:pPr>
      <w:r w:rsidRPr="000051B6">
        <w:rPr>
          <w:color w:val="A32020" w:themeColor="text2"/>
        </w:rPr>
        <w:t>Consistencies between Round 17 and Round 18</w:t>
      </w:r>
    </w:p>
    <w:p w:rsidR="006B4640" w:rsidRPr="000051B6" w:rsidRDefault="008A635C" w:rsidP="00A445EA">
      <w:pPr>
        <w:pStyle w:val="PwCNormal"/>
        <w:numPr>
          <w:ilvl w:val="0"/>
          <w:numId w:val="0"/>
        </w:numPr>
      </w:pPr>
      <w:r w:rsidRPr="000051B6">
        <w:t xml:space="preserve">65% (13 out of 20) </w:t>
      </w:r>
      <w:r w:rsidR="008F08F7" w:rsidRPr="000051B6">
        <w:t xml:space="preserve">of the top 20 AR-DRGs </w:t>
      </w:r>
      <w:r w:rsidR="003D43D7" w:rsidRPr="000051B6">
        <w:t xml:space="preserve">for the current year </w:t>
      </w:r>
      <w:r w:rsidR="008F08F7" w:rsidRPr="000051B6">
        <w:t xml:space="preserve">were included in Round 17’s results with the top </w:t>
      </w:r>
      <w:r w:rsidR="00F702B3" w:rsidRPr="000051B6">
        <w:t>three</w:t>
      </w:r>
      <w:r w:rsidR="008F08F7" w:rsidRPr="000051B6">
        <w:t xml:space="preserve"> being ranked in the top </w:t>
      </w:r>
      <w:r w:rsidR="00F702B3" w:rsidRPr="000051B6">
        <w:t>four</w:t>
      </w:r>
      <w:r w:rsidR="008F08F7" w:rsidRPr="000051B6">
        <w:t xml:space="preserve"> last year</w:t>
      </w:r>
      <w:r w:rsidR="003D43D7" w:rsidRPr="000051B6">
        <w:t xml:space="preserve">. </w:t>
      </w:r>
      <w:r w:rsidR="001210E9" w:rsidRPr="000051B6">
        <w:t>Overall t</w:t>
      </w:r>
      <w:r w:rsidR="003D43D7" w:rsidRPr="000051B6">
        <w:t xml:space="preserve">hese </w:t>
      </w:r>
      <w:r w:rsidR="001210E9" w:rsidRPr="000051B6">
        <w:t xml:space="preserve">top 20 </w:t>
      </w:r>
      <w:r w:rsidR="003D43D7" w:rsidRPr="000051B6">
        <w:t xml:space="preserve">AR-DRGs are </w:t>
      </w:r>
      <w:r w:rsidR="008A658B">
        <w:t>anticipated</w:t>
      </w:r>
      <w:r w:rsidR="003D43D7" w:rsidRPr="000051B6">
        <w:t xml:space="preserve"> to </w:t>
      </w:r>
      <w:r w:rsidR="002E23BB" w:rsidRPr="000051B6">
        <w:t xml:space="preserve">be represented in </w:t>
      </w:r>
      <w:r w:rsidR="003D43D7" w:rsidRPr="000051B6">
        <w:t xml:space="preserve">the top 20 list given their clinical nature, high complexity and </w:t>
      </w:r>
      <w:r w:rsidR="008F08F7" w:rsidRPr="000051B6">
        <w:t xml:space="preserve">resource </w:t>
      </w:r>
      <w:r w:rsidR="003D43D7" w:rsidRPr="000051B6">
        <w:t>utilisation</w:t>
      </w:r>
      <w:r w:rsidR="008F08F7" w:rsidRPr="000051B6">
        <w:t>.</w:t>
      </w:r>
    </w:p>
    <w:p w:rsidR="006B4640" w:rsidRPr="000051B6" w:rsidRDefault="006B4640" w:rsidP="00D67688">
      <w:pPr>
        <w:pStyle w:val="PwCNormal"/>
        <w:numPr>
          <w:ilvl w:val="0"/>
          <w:numId w:val="0"/>
        </w:numPr>
        <w:spacing w:after="0"/>
        <w:rPr>
          <w:color w:val="A32020" w:themeColor="text2"/>
        </w:rPr>
      </w:pPr>
      <w:r w:rsidRPr="000051B6">
        <w:rPr>
          <w:color w:val="A32020" w:themeColor="text2"/>
        </w:rPr>
        <w:lastRenderedPageBreak/>
        <w:t xml:space="preserve">Key </w:t>
      </w:r>
      <w:r w:rsidR="008A658B">
        <w:rPr>
          <w:color w:val="A32020" w:themeColor="text2"/>
        </w:rPr>
        <w:t xml:space="preserve">changes </w:t>
      </w:r>
      <w:r w:rsidRPr="000051B6">
        <w:rPr>
          <w:color w:val="A32020" w:themeColor="text2"/>
        </w:rPr>
        <w:t>in the top 20</w:t>
      </w:r>
    </w:p>
    <w:p w:rsidR="008F08F7" w:rsidRPr="000051B6" w:rsidRDefault="008F08F7" w:rsidP="00A445EA">
      <w:pPr>
        <w:pStyle w:val="PwCNormal"/>
        <w:numPr>
          <w:ilvl w:val="0"/>
          <w:numId w:val="0"/>
        </w:numPr>
      </w:pPr>
      <w:r w:rsidRPr="000051B6">
        <w:t xml:space="preserve">In Round 17 the number </w:t>
      </w:r>
      <w:r w:rsidR="00F702B3" w:rsidRPr="000051B6">
        <w:t>one</w:t>
      </w:r>
      <w:r w:rsidRPr="000051B6">
        <w:t xml:space="preserve"> ranked AR-DRG was P61Z - Neonate, Admitted Weight &lt;750 grams.  The reason for this not being ranked within the top 20 for this Round is</w:t>
      </w:r>
      <w:r w:rsidR="005D4BF4" w:rsidRPr="000051B6">
        <w:t xml:space="preserve"> it has been </w:t>
      </w:r>
      <w:r w:rsidR="001210E9" w:rsidRPr="000051B6">
        <w:t>masked</w:t>
      </w:r>
      <w:r w:rsidR="003D43D7" w:rsidRPr="000051B6">
        <w:t xml:space="preserve"> </w:t>
      </w:r>
      <w:r w:rsidR="005D4BF4" w:rsidRPr="000051B6">
        <w:t xml:space="preserve">as it had </w:t>
      </w:r>
      <w:r w:rsidRPr="000051B6">
        <w:t xml:space="preserve">less than </w:t>
      </w:r>
      <w:r w:rsidR="00F702B3" w:rsidRPr="000051B6">
        <w:t>five</w:t>
      </w:r>
      <w:r w:rsidRPr="000051B6">
        <w:t xml:space="preserve"> separations coded to this AR-DRG.</w:t>
      </w:r>
    </w:p>
    <w:p w:rsidR="008A635C" w:rsidRPr="000051B6" w:rsidRDefault="00687622" w:rsidP="00A445EA">
      <w:pPr>
        <w:pStyle w:val="PwCNormal"/>
        <w:numPr>
          <w:ilvl w:val="0"/>
          <w:numId w:val="0"/>
        </w:numPr>
      </w:pPr>
      <w:r>
        <w:t>As de</w:t>
      </w:r>
      <w:r w:rsidR="00B03252">
        <w:t>monstrated in figure 3</w:t>
      </w:r>
      <w:r>
        <w:t xml:space="preserve"> (boxed) </w:t>
      </w:r>
      <w:r w:rsidR="008A635C" w:rsidRPr="000051B6">
        <w:t xml:space="preserve">A06C – Ventilation &gt; 95 hours without catastrophic CC is new for the Round </w:t>
      </w:r>
      <w:r w:rsidR="00025793" w:rsidRPr="000051B6">
        <w:t>(ranked 7)</w:t>
      </w:r>
      <w:r w:rsidR="002D6EDC" w:rsidRPr="000051B6">
        <w:t xml:space="preserve"> </w:t>
      </w:r>
      <w:r w:rsidR="008A635C" w:rsidRPr="000051B6">
        <w:t xml:space="preserve">the reason for this is </w:t>
      </w:r>
      <w:r w:rsidR="005D4BF4" w:rsidRPr="000051B6">
        <w:t>in</w:t>
      </w:r>
      <w:r w:rsidR="008A635C" w:rsidRPr="000051B6">
        <w:t xml:space="preserve"> Round 17 </w:t>
      </w:r>
      <w:r w:rsidR="005D4BF4" w:rsidRPr="000051B6">
        <w:t xml:space="preserve">it </w:t>
      </w:r>
      <w:r w:rsidR="008A635C" w:rsidRPr="000051B6">
        <w:t xml:space="preserve">was masked as it had less than </w:t>
      </w:r>
      <w:r w:rsidR="00F702B3" w:rsidRPr="000051B6">
        <w:t>five</w:t>
      </w:r>
      <w:r w:rsidR="008A635C" w:rsidRPr="000051B6">
        <w:t xml:space="preserve"> separations.</w:t>
      </w:r>
    </w:p>
    <w:p w:rsidR="008F08F7" w:rsidRPr="000051B6" w:rsidRDefault="00687622" w:rsidP="00A445EA">
      <w:pPr>
        <w:pStyle w:val="PwCNormal"/>
        <w:numPr>
          <w:ilvl w:val="0"/>
          <w:numId w:val="0"/>
        </w:numPr>
      </w:pPr>
      <w:r>
        <w:t xml:space="preserve">As shown in table 6 (boxed) </w:t>
      </w:r>
      <w:r w:rsidR="008A635C" w:rsidRPr="000051B6">
        <w:t>A06D</w:t>
      </w:r>
      <w:r w:rsidR="005D4BF4" w:rsidRPr="000051B6">
        <w:t xml:space="preserve"> - </w:t>
      </w:r>
      <w:r w:rsidR="008A635C" w:rsidRPr="000051B6">
        <w:t>Tracheostomy without Catastrophic CC is ranked 18</w:t>
      </w:r>
      <w:r w:rsidR="00025793" w:rsidRPr="000051B6">
        <w:t xml:space="preserve"> </w:t>
      </w:r>
      <w:r w:rsidR="008A635C" w:rsidRPr="000051B6">
        <w:t>for this Round whereas in the previous round it was ranked 6</w:t>
      </w:r>
      <w:r w:rsidR="00144311" w:rsidRPr="000051B6">
        <w:t>2</w:t>
      </w:r>
      <w:r w:rsidR="00025793" w:rsidRPr="000051B6">
        <w:t>.</w:t>
      </w:r>
      <w:r w:rsidR="008A635C" w:rsidRPr="000051B6">
        <w:t xml:space="preserve">  The reason for this movement is an increase in </w:t>
      </w:r>
      <w:r w:rsidR="005C1D0E" w:rsidRPr="000051B6">
        <w:t xml:space="preserve">the </w:t>
      </w:r>
      <w:r w:rsidR="008A635C" w:rsidRPr="000051B6">
        <w:t xml:space="preserve">critical care cost weight </w:t>
      </w:r>
      <w:r w:rsidR="005C1D0E" w:rsidRPr="000051B6">
        <w:t>driven by</w:t>
      </w:r>
      <w:r w:rsidR="008A635C" w:rsidRPr="000051B6">
        <w:t xml:space="preserve"> the increase of feeder data being used rather than service weights</w:t>
      </w:r>
      <w:r w:rsidR="006328E6" w:rsidRPr="000051B6">
        <w:t xml:space="preserve">, </w:t>
      </w:r>
      <w:r w:rsidR="005C1D0E" w:rsidRPr="000051B6">
        <w:t>which represents a truer cost weight than in prior years</w:t>
      </w:r>
      <w:r w:rsidR="006328E6" w:rsidRPr="000051B6">
        <w:t>.</w:t>
      </w:r>
    </w:p>
    <w:p w:rsidR="006B4640" w:rsidRPr="000051B6" w:rsidRDefault="008A635C" w:rsidP="00A445EA">
      <w:pPr>
        <w:pStyle w:val="PwCNormal"/>
        <w:numPr>
          <w:ilvl w:val="0"/>
          <w:numId w:val="0"/>
        </w:numPr>
      </w:pPr>
      <w:r w:rsidRPr="000051B6">
        <w:t>P06A - Neonate, Admitted weight &gt;2499 grams with Significant OR Procedure with Multi Major Problems was ranked 5</w:t>
      </w:r>
      <w:r w:rsidR="002D6EDC" w:rsidRPr="000051B6">
        <w:t xml:space="preserve"> </w:t>
      </w:r>
      <w:r w:rsidRPr="000051B6">
        <w:t>in Round 17 this has not made the top 20 for this Round due to a reduction in critical care weighting</w:t>
      </w:r>
      <w:r w:rsidR="002D6EDC" w:rsidRPr="000051B6">
        <w:t xml:space="preserve"> impacted by the increase of feeder data being used rather than service weights.</w:t>
      </w:r>
    </w:p>
    <w:p w:rsidR="00A26A99" w:rsidRPr="000051B6" w:rsidRDefault="00A26A99" w:rsidP="001222BC">
      <w:pPr>
        <w:pStyle w:val="Heading2"/>
        <w:numPr>
          <w:ilvl w:val="0"/>
          <w:numId w:val="0"/>
        </w:numPr>
        <w:spacing w:after="240"/>
        <w:ind w:left="576"/>
        <w:rPr>
          <w:highlight w:val="yellow"/>
        </w:rPr>
        <w:sectPr w:rsidR="00A26A99" w:rsidRPr="000051B6" w:rsidSect="00767BB5">
          <w:headerReference w:type="default" r:id="rId20"/>
          <w:headerReference w:type="first" r:id="rId21"/>
          <w:pgSz w:w="11907" w:h="16840" w:code="9"/>
          <w:pgMar w:top="1588" w:right="1843" w:bottom="1418" w:left="1843" w:header="567" w:footer="567" w:gutter="0"/>
          <w:cols w:space="227"/>
          <w:docGrid w:linePitch="360"/>
        </w:sectPr>
      </w:pPr>
    </w:p>
    <w:p w:rsidR="007D1132" w:rsidRPr="000051B6" w:rsidRDefault="00B46E1A" w:rsidP="003C6C45">
      <w:pPr>
        <w:pStyle w:val="Tablesheadings"/>
        <w:rPr>
          <w:lang w:val="en-AU"/>
        </w:rPr>
      </w:pPr>
      <w:bookmarkStart w:id="113" w:name="_Ref404534008"/>
      <w:bookmarkStart w:id="114" w:name="_Toc432078945"/>
      <w:bookmarkStart w:id="115" w:name="_Toc435610611"/>
      <w:bookmarkStart w:id="116" w:name="_Ref355166766"/>
      <w:r w:rsidRPr="000051B6">
        <w:rPr>
          <w:lang w:val="en-AU"/>
        </w:rPr>
        <w:lastRenderedPageBreak/>
        <w:t xml:space="preserve">Table </w:t>
      </w:r>
      <w:bookmarkEnd w:id="113"/>
      <w:r w:rsidR="006038DA" w:rsidRPr="000051B6">
        <w:rPr>
          <w:lang w:val="en-AU"/>
        </w:rPr>
        <w:t>6</w:t>
      </w:r>
      <w:r w:rsidRPr="000051B6">
        <w:rPr>
          <w:lang w:val="en-AU"/>
        </w:rPr>
        <w:tab/>
      </w:r>
      <w:r w:rsidR="009C5D02" w:rsidRPr="000051B6">
        <w:rPr>
          <w:lang w:val="en-AU"/>
        </w:rPr>
        <w:t xml:space="preserve">Top 20 AR-DRGs ranked by </w:t>
      </w:r>
      <w:r w:rsidRPr="000051B6">
        <w:rPr>
          <w:lang w:val="en-AU"/>
        </w:rPr>
        <w:t>highest cost weight</w:t>
      </w:r>
      <w:bookmarkEnd w:id="114"/>
      <w:bookmarkEnd w:id="115"/>
    </w:p>
    <w:tbl>
      <w:tblPr>
        <w:tblW w:w="4995" w:type="pct"/>
        <w:tblLook w:val="04A0" w:firstRow="1" w:lastRow="0" w:firstColumn="1" w:lastColumn="0" w:noHBand="0" w:noVBand="1"/>
        <w:tblCaption w:val="Table 6 Top 20 AR-DRGs by highest cost weight"/>
        <w:tblDescription w:val="Table 6 shows the Top 20 AR-DRGs ranked by highest cost weight. There are separate columns for whether or not the AR-DRG was in the Top 20 in Round 17, its rank in Round 18, the AR-DRG, the AR-DRG’s description, the cost weight (a), the number of weighted separations (b), the number of cost weighted separations (c) = (a) multiplied by (b), average length of stay, standard error of cost weight, percentage of total separations, percentage of cost weighted separations, Round 17 cost weight and rank in Round 17. AR-DRGs A06A and A06D have been circled as they are referred to in the preceding text. At the bottom of the table, for some of the columns are rows for the sub-totals for the top 20 and totals for all AR-DRGs as well as the percentage of the total made up by the top 20."/>
      </w:tblPr>
      <w:tblGrid>
        <w:gridCol w:w="771"/>
        <w:gridCol w:w="961"/>
        <w:gridCol w:w="632"/>
        <w:gridCol w:w="3078"/>
        <w:gridCol w:w="767"/>
        <w:gridCol w:w="1180"/>
        <w:gridCol w:w="1136"/>
        <w:gridCol w:w="994"/>
        <w:gridCol w:w="1134"/>
        <w:gridCol w:w="659"/>
        <w:gridCol w:w="1180"/>
        <w:gridCol w:w="965"/>
        <w:gridCol w:w="771"/>
        <w:gridCol w:w="771"/>
      </w:tblGrid>
      <w:tr w:rsidR="009A23AC" w:rsidRPr="00F205B7" w:rsidTr="009A23AC">
        <w:trPr>
          <w:trHeight w:val="225"/>
        </w:trPr>
        <w:tc>
          <w:tcPr>
            <w:tcW w:w="257" w:type="pct"/>
            <w:vMerge w:val="restart"/>
            <w:tcBorders>
              <w:top w:val="single" w:sz="4" w:space="0" w:color="auto"/>
              <w:left w:val="nil"/>
              <w:bottom w:val="single" w:sz="4" w:space="0" w:color="000000"/>
              <w:right w:val="nil"/>
            </w:tcBorders>
            <w:shd w:val="clear" w:color="auto" w:fill="auto"/>
            <w:hideMark/>
          </w:tcPr>
          <w:p w:rsidR="00F205B7" w:rsidRPr="00F205B7" w:rsidRDefault="00F205B7" w:rsidP="00F205B7">
            <w:pPr>
              <w:jc w:val="center"/>
              <w:rPr>
                <w:b/>
                <w:bCs/>
                <w:snapToGrid/>
                <w:color w:val="A32020"/>
                <w:sz w:val="16"/>
                <w:szCs w:val="16"/>
                <w:lang w:eastAsia="en-AU"/>
              </w:rPr>
            </w:pPr>
            <w:r w:rsidRPr="00F205B7">
              <w:rPr>
                <w:b/>
                <w:bCs/>
                <w:snapToGrid/>
                <w:color w:val="A32020"/>
                <w:sz w:val="16"/>
                <w:szCs w:val="16"/>
                <w:lang w:eastAsia="en-AU"/>
              </w:rPr>
              <w:t>Top 20 Round 17</w:t>
            </w:r>
          </w:p>
        </w:tc>
        <w:tc>
          <w:tcPr>
            <w:tcW w:w="320" w:type="pct"/>
            <w:vMerge w:val="restart"/>
            <w:tcBorders>
              <w:top w:val="single" w:sz="4" w:space="0" w:color="auto"/>
              <w:left w:val="nil"/>
              <w:bottom w:val="single" w:sz="4" w:space="0" w:color="000000"/>
              <w:right w:val="nil"/>
            </w:tcBorders>
            <w:shd w:val="clear" w:color="auto" w:fill="auto"/>
            <w:hideMark/>
          </w:tcPr>
          <w:p w:rsidR="00F205B7" w:rsidRPr="00F205B7" w:rsidRDefault="00F205B7" w:rsidP="00F205B7">
            <w:pPr>
              <w:jc w:val="center"/>
              <w:rPr>
                <w:b/>
                <w:bCs/>
                <w:snapToGrid/>
                <w:color w:val="A32020"/>
                <w:sz w:val="16"/>
                <w:szCs w:val="16"/>
                <w:lang w:eastAsia="en-AU"/>
              </w:rPr>
            </w:pPr>
            <w:r w:rsidRPr="00F205B7">
              <w:rPr>
                <w:b/>
                <w:bCs/>
                <w:snapToGrid/>
                <w:color w:val="A32020"/>
                <w:sz w:val="16"/>
                <w:szCs w:val="16"/>
                <w:lang w:eastAsia="en-AU"/>
              </w:rPr>
              <w:t>Rank Round 18</w:t>
            </w:r>
          </w:p>
        </w:tc>
        <w:tc>
          <w:tcPr>
            <w:tcW w:w="210" w:type="pct"/>
            <w:vMerge w:val="restart"/>
            <w:tcBorders>
              <w:top w:val="single" w:sz="4" w:space="0" w:color="auto"/>
              <w:left w:val="nil"/>
              <w:bottom w:val="single" w:sz="4" w:space="0" w:color="000000"/>
              <w:right w:val="nil"/>
            </w:tcBorders>
            <w:shd w:val="clear" w:color="auto" w:fill="auto"/>
            <w:hideMark/>
          </w:tcPr>
          <w:p w:rsidR="00F205B7" w:rsidRPr="00F205B7" w:rsidRDefault="00F205B7" w:rsidP="00F205B7">
            <w:pPr>
              <w:jc w:val="center"/>
              <w:rPr>
                <w:b/>
                <w:bCs/>
                <w:snapToGrid/>
                <w:color w:val="A32020"/>
                <w:sz w:val="16"/>
                <w:szCs w:val="16"/>
                <w:lang w:eastAsia="en-AU"/>
              </w:rPr>
            </w:pPr>
            <w:r w:rsidRPr="00F205B7">
              <w:rPr>
                <w:b/>
                <w:bCs/>
                <w:snapToGrid/>
                <w:color w:val="A32020"/>
                <w:sz w:val="16"/>
                <w:szCs w:val="16"/>
                <w:lang w:eastAsia="en-AU"/>
              </w:rPr>
              <w:t>AR-DRG</w:t>
            </w:r>
          </w:p>
        </w:tc>
        <w:tc>
          <w:tcPr>
            <w:tcW w:w="1030" w:type="pct"/>
            <w:vMerge w:val="restart"/>
            <w:tcBorders>
              <w:top w:val="single" w:sz="4" w:space="0" w:color="auto"/>
              <w:left w:val="nil"/>
              <w:bottom w:val="single" w:sz="4" w:space="0" w:color="000000"/>
              <w:right w:val="nil"/>
            </w:tcBorders>
            <w:shd w:val="clear" w:color="auto" w:fill="auto"/>
            <w:hideMark/>
          </w:tcPr>
          <w:p w:rsidR="00F205B7" w:rsidRPr="00F205B7" w:rsidRDefault="00F205B7" w:rsidP="00F205B7">
            <w:pPr>
              <w:jc w:val="center"/>
              <w:rPr>
                <w:b/>
                <w:bCs/>
                <w:snapToGrid/>
                <w:color w:val="A32020"/>
                <w:sz w:val="16"/>
                <w:szCs w:val="16"/>
                <w:lang w:eastAsia="en-AU"/>
              </w:rPr>
            </w:pPr>
            <w:r w:rsidRPr="00F205B7">
              <w:rPr>
                <w:b/>
                <w:bCs/>
                <w:snapToGrid/>
                <w:color w:val="A32020"/>
                <w:sz w:val="16"/>
                <w:szCs w:val="16"/>
                <w:lang w:eastAsia="en-AU"/>
              </w:rPr>
              <w:t>AR-DRG Description</w:t>
            </w:r>
          </w:p>
        </w:tc>
        <w:tc>
          <w:tcPr>
            <w:tcW w:w="255" w:type="pct"/>
            <w:vMerge w:val="restart"/>
            <w:tcBorders>
              <w:top w:val="single" w:sz="4" w:space="0" w:color="auto"/>
              <w:left w:val="nil"/>
              <w:bottom w:val="single" w:sz="4" w:space="0" w:color="000000"/>
              <w:right w:val="nil"/>
            </w:tcBorders>
            <w:shd w:val="clear" w:color="000000" w:fill="F4CACA"/>
            <w:hideMark/>
          </w:tcPr>
          <w:p w:rsidR="00F205B7" w:rsidRPr="00F205B7" w:rsidRDefault="00F205B7" w:rsidP="00F205B7">
            <w:pPr>
              <w:jc w:val="center"/>
              <w:rPr>
                <w:b/>
                <w:bCs/>
                <w:snapToGrid/>
                <w:color w:val="A32020"/>
                <w:sz w:val="16"/>
                <w:szCs w:val="16"/>
                <w:lang w:eastAsia="en-AU"/>
              </w:rPr>
            </w:pPr>
            <w:r w:rsidRPr="00F205B7">
              <w:rPr>
                <w:b/>
                <w:bCs/>
                <w:snapToGrid/>
                <w:color w:val="A32020"/>
                <w:sz w:val="16"/>
                <w:szCs w:val="16"/>
                <w:lang w:eastAsia="en-AU"/>
              </w:rPr>
              <w:t>Cost weight</w:t>
            </w:r>
            <w:r w:rsidRPr="00F205B7">
              <w:rPr>
                <w:b/>
                <w:bCs/>
                <w:snapToGrid/>
                <w:color w:val="A32020"/>
                <w:sz w:val="16"/>
                <w:szCs w:val="16"/>
                <w:lang w:eastAsia="en-AU"/>
              </w:rPr>
              <w:br/>
              <w:t>(a)</w:t>
            </w:r>
          </w:p>
        </w:tc>
        <w:tc>
          <w:tcPr>
            <w:tcW w:w="393" w:type="pct"/>
            <w:vMerge w:val="restart"/>
            <w:tcBorders>
              <w:top w:val="single" w:sz="4" w:space="0" w:color="auto"/>
              <w:left w:val="nil"/>
              <w:bottom w:val="single" w:sz="4" w:space="0" w:color="000000"/>
              <w:right w:val="nil"/>
            </w:tcBorders>
            <w:shd w:val="clear" w:color="auto" w:fill="auto"/>
            <w:hideMark/>
          </w:tcPr>
          <w:p w:rsidR="00F205B7" w:rsidRPr="00F205B7" w:rsidRDefault="00B03252" w:rsidP="00F205B7">
            <w:pPr>
              <w:jc w:val="center"/>
              <w:rPr>
                <w:b/>
                <w:bCs/>
                <w:snapToGrid/>
                <w:color w:val="A32020"/>
                <w:sz w:val="16"/>
                <w:szCs w:val="16"/>
                <w:lang w:eastAsia="en-AU"/>
              </w:rPr>
            </w:pPr>
            <w:r w:rsidRPr="00565E9D">
              <w:rPr>
                <w:b/>
                <w:bCs/>
                <w:snapToGrid/>
                <w:color w:val="A32020"/>
                <w:sz w:val="16"/>
                <w:szCs w:val="16"/>
                <w:lang w:eastAsia="en-AU"/>
              </w:rPr>
              <w:t xml:space="preserve">No. of </w:t>
            </w:r>
            <w:r>
              <w:rPr>
                <w:b/>
                <w:bCs/>
                <w:snapToGrid/>
                <w:color w:val="A32020"/>
                <w:sz w:val="16"/>
                <w:szCs w:val="16"/>
                <w:lang w:eastAsia="en-AU"/>
              </w:rPr>
              <w:t>population-adjusted seps</w:t>
            </w:r>
            <w:r w:rsidRPr="00565E9D">
              <w:rPr>
                <w:b/>
                <w:bCs/>
                <w:snapToGrid/>
                <w:color w:val="A32020"/>
                <w:sz w:val="16"/>
                <w:szCs w:val="16"/>
                <w:lang w:eastAsia="en-AU"/>
              </w:rPr>
              <w:br/>
              <w:t>(b)</w:t>
            </w:r>
          </w:p>
        </w:tc>
        <w:tc>
          <w:tcPr>
            <w:tcW w:w="378" w:type="pct"/>
            <w:vMerge w:val="restart"/>
            <w:tcBorders>
              <w:top w:val="single" w:sz="4" w:space="0" w:color="auto"/>
              <w:left w:val="nil"/>
              <w:bottom w:val="single" w:sz="4" w:space="0" w:color="000000"/>
              <w:right w:val="nil"/>
            </w:tcBorders>
            <w:shd w:val="clear" w:color="auto" w:fill="auto"/>
            <w:hideMark/>
          </w:tcPr>
          <w:p w:rsidR="00F205B7" w:rsidRPr="00F205B7" w:rsidRDefault="00F205B7" w:rsidP="00F205B7">
            <w:pPr>
              <w:jc w:val="center"/>
              <w:rPr>
                <w:b/>
                <w:bCs/>
                <w:snapToGrid/>
                <w:color w:val="A32020"/>
                <w:sz w:val="16"/>
                <w:szCs w:val="16"/>
                <w:lang w:eastAsia="en-AU"/>
              </w:rPr>
            </w:pPr>
            <w:r w:rsidRPr="00F205B7">
              <w:rPr>
                <w:b/>
                <w:bCs/>
                <w:snapToGrid/>
                <w:color w:val="A32020"/>
                <w:sz w:val="16"/>
                <w:szCs w:val="16"/>
                <w:lang w:eastAsia="en-AU"/>
              </w:rPr>
              <w:t>Cost weighted seps</w:t>
            </w:r>
            <w:r w:rsidRPr="00F205B7">
              <w:rPr>
                <w:b/>
                <w:bCs/>
                <w:snapToGrid/>
                <w:color w:val="A32020"/>
                <w:sz w:val="16"/>
                <w:szCs w:val="16"/>
                <w:lang w:eastAsia="en-AU"/>
              </w:rPr>
              <w:br/>
              <w:t>(c)=(a)x(b)</w:t>
            </w:r>
          </w:p>
        </w:tc>
        <w:tc>
          <w:tcPr>
            <w:tcW w:w="331" w:type="pct"/>
            <w:vMerge w:val="restart"/>
            <w:tcBorders>
              <w:top w:val="single" w:sz="4" w:space="0" w:color="auto"/>
              <w:left w:val="nil"/>
              <w:bottom w:val="single" w:sz="4" w:space="0" w:color="000000"/>
              <w:right w:val="nil"/>
            </w:tcBorders>
            <w:shd w:val="clear" w:color="auto" w:fill="auto"/>
            <w:hideMark/>
          </w:tcPr>
          <w:p w:rsidR="00F205B7" w:rsidRPr="00F205B7" w:rsidRDefault="00F205B7" w:rsidP="00F205B7">
            <w:pPr>
              <w:jc w:val="center"/>
              <w:rPr>
                <w:b/>
                <w:bCs/>
                <w:snapToGrid/>
                <w:color w:val="A32020"/>
                <w:sz w:val="16"/>
                <w:szCs w:val="16"/>
                <w:lang w:eastAsia="en-AU"/>
              </w:rPr>
            </w:pPr>
            <w:r w:rsidRPr="00F205B7">
              <w:rPr>
                <w:b/>
                <w:bCs/>
                <w:snapToGrid/>
                <w:color w:val="A32020"/>
                <w:sz w:val="16"/>
                <w:szCs w:val="16"/>
                <w:lang w:eastAsia="en-AU"/>
              </w:rPr>
              <w:t>Number of days</w:t>
            </w:r>
            <w:r w:rsidRPr="00F205B7">
              <w:rPr>
                <w:b/>
                <w:bCs/>
                <w:snapToGrid/>
                <w:color w:val="A32020"/>
                <w:sz w:val="16"/>
                <w:szCs w:val="16"/>
                <w:lang w:eastAsia="en-AU"/>
              </w:rPr>
              <w:br/>
              <w:t>(d)</w:t>
            </w:r>
          </w:p>
        </w:tc>
        <w:tc>
          <w:tcPr>
            <w:tcW w:w="378" w:type="pct"/>
            <w:vMerge w:val="restart"/>
            <w:tcBorders>
              <w:top w:val="single" w:sz="4" w:space="0" w:color="auto"/>
              <w:left w:val="nil"/>
              <w:bottom w:val="single" w:sz="4" w:space="0" w:color="000000"/>
              <w:right w:val="nil"/>
            </w:tcBorders>
            <w:shd w:val="clear" w:color="auto" w:fill="auto"/>
            <w:hideMark/>
          </w:tcPr>
          <w:p w:rsidR="00F205B7" w:rsidRPr="00F205B7" w:rsidRDefault="00F205B7" w:rsidP="00F205B7">
            <w:pPr>
              <w:jc w:val="center"/>
              <w:rPr>
                <w:b/>
                <w:bCs/>
                <w:snapToGrid/>
                <w:color w:val="A32020"/>
                <w:sz w:val="16"/>
                <w:szCs w:val="16"/>
                <w:lang w:eastAsia="en-AU"/>
              </w:rPr>
            </w:pPr>
            <w:r w:rsidRPr="00F205B7">
              <w:rPr>
                <w:b/>
                <w:bCs/>
                <w:snapToGrid/>
                <w:color w:val="A32020"/>
                <w:sz w:val="16"/>
                <w:szCs w:val="16"/>
                <w:lang w:eastAsia="en-AU"/>
              </w:rPr>
              <w:t>ALoS (days)</w:t>
            </w:r>
            <w:r w:rsidRPr="00F205B7">
              <w:rPr>
                <w:b/>
                <w:bCs/>
                <w:snapToGrid/>
                <w:color w:val="A32020"/>
                <w:sz w:val="16"/>
                <w:szCs w:val="16"/>
                <w:lang w:eastAsia="en-AU"/>
              </w:rPr>
              <w:br/>
              <w:t>(e)=(d)/(b)</w:t>
            </w:r>
          </w:p>
        </w:tc>
        <w:tc>
          <w:tcPr>
            <w:tcW w:w="219" w:type="pct"/>
            <w:vMerge w:val="restart"/>
            <w:tcBorders>
              <w:top w:val="single" w:sz="4" w:space="0" w:color="auto"/>
              <w:left w:val="nil"/>
              <w:bottom w:val="single" w:sz="4" w:space="0" w:color="000000"/>
              <w:right w:val="nil"/>
            </w:tcBorders>
            <w:shd w:val="clear" w:color="auto" w:fill="auto"/>
            <w:hideMark/>
          </w:tcPr>
          <w:p w:rsidR="00F205B7" w:rsidRPr="00F205B7" w:rsidRDefault="00F205B7" w:rsidP="00F205B7">
            <w:pPr>
              <w:jc w:val="center"/>
              <w:rPr>
                <w:b/>
                <w:bCs/>
                <w:snapToGrid/>
                <w:color w:val="A32020"/>
                <w:sz w:val="16"/>
                <w:szCs w:val="16"/>
                <w:lang w:eastAsia="en-AU"/>
              </w:rPr>
            </w:pPr>
            <w:r w:rsidRPr="00F205B7">
              <w:rPr>
                <w:b/>
                <w:bCs/>
                <w:snapToGrid/>
                <w:color w:val="A32020"/>
                <w:sz w:val="16"/>
                <w:szCs w:val="16"/>
                <w:lang w:eastAsia="en-AU"/>
              </w:rPr>
              <w:t>Std error</w:t>
            </w:r>
          </w:p>
        </w:tc>
        <w:tc>
          <w:tcPr>
            <w:tcW w:w="393" w:type="pct"/>
            <w:vMerge w:val="restart"/>
            <w:tcBorders>
              <w:top w:val="single" w:sz="4" w:space="0" w:color="auto"/>
              <w:left w:val="nil"/>
              <w:bottom w:val="single" w:sz="4" w:space="0" w:color="000000"/>
              <w:right w:val="nil"/>
            </w:tcBorders>
            <w:shd w:val="clear" w:color="auto" w:fill="auto"/>
            <w:hideMark/>
          </w:tcPr>
          <w:p w:rsidR="00F205B7" w:rsidRPr="00F205B7" w:rsidRDefault="00F205B7" w:rsidP="00F205B7">
            <w:pPr>
              <w:jc w:val="center"/>
              <w:rPr>
                <w:b/>
                <w:bCs/>
                <w:snapToGrid/>
                <w:color w:val="A32020"/>
                <w:sz w:val="16"/>
                <w:szCs w:val="16"/>
                <w:lang w:eastAsia="en-AU"/>
              </w:rPr>
            </w:pPr>
            <w:r w:rsidRPr="00F205B7">
              <w:rPr>
                <w:b/>
                <w:bCs/>
                <w:snapToGrid/>
                <w:color w:val="A32020"/>
                <w:sz w:val="16"/>
                <w:szCs w:val="16"/>
                <w:lang w:eastAsia="en-AU"/>
              </w:rPr>
              <w:t>% of total</w:t>
            </w:r>
            <w:r w:rsidR="009A23AC">
              <w:rPr>
                <w:b/>
                <w:bCs/>
                <w:snapToGrid/>
                <w:color w:val="A32020"/>
                <w:sz w:val="16"/>
                <w:szCs w:val="16"/>
                <w:lang w:eastAsia="en-AU"/>
              </w:rPr>
              <w:t xml:space="preserve"> population-adjusted</w:t>
            </w:r>
            <w:r w:rsidRPr="00F205B7">
              <w:rPr>
                <w:b/>
                <w:bCs/>
                <w:snapToGrid/>
                <w:color w:val="A32020"/>
                <w:sz w:val="16"/>
                <w:szCs w:val="16"/>
                <w:lang w:eastAsia="en-AU"/>
              </w:rPr>
              <w:t xml:space="preserve"> seps</w:t>
            </w:r>
          </w:p>
        </w:tc>
        <w:tc>
          <w:tcPr>
            <w:tcW w:w="321" w:type="pct"/>
            <w:vMerge w:val="restart"/>
            <w:tcBorders>
              <w:top w:val="single" w:sz="4" w:space="0" w:color="auto"/>
              <w:left w:val="nil"/>
              <w:bottom w:val="single" w:sz="4" w:space="0" w:color="000000"/>
              <w:right w:val="nil"/>
            </w:tcBorders>
            <w:shd w:val="clear" w:color="auto" w:fill="auto"/>
            <w:hideMark/>
          </w:tcPr>
          <w:p w:rsidR="00F205B7" w:rsidRPr="00F205B7" w:rsidRDefault="00F205B7" w:rsidP="009A23AC">
            <w:pPr>
              <w:jc w:val="center"/>
              <w:rPr>
                <w:b/>
                <w:bCs/>
                <w:snapToGrid/>
                <w:color w:val="A32020"/>
                <w:sz w:val="16"/>
                <w:szCs w:val="16"/>
                <w:lang w:eastAsia="en-AU"/>
              </w:rPr>
            </w:pPr>
            <w:r w:rsidRPr="00F205B7">
              <w:rPr>
                <w:b/>
                <w:bCs/>
                <w:snapToGrid/>
                <w:color w:val="A32020"/>
                <w:sz w:val="16"/>
                <w:szCs w:val="16"/>
                <w:lang w:eastAsia="en-AU"/>
              </w:rPr>
              <w:t xml:space="preserve">% of </w:t>
            </w:r>
            <w:r w:rsidR="009A23AC">
              <w:rPr>
                <w:b/>
                <w:bCs/>
                <w:snapToGrid/>
                <w:color w:val="A32020"/>
                <w:sz w:val="16"/>
                <w:szCs w:val="16"/>
                <w:lang w:eastAsia="en-AU"/>
              </w:rPr>
              <w:t>cost weighted</w:t>
            </w:r>
            <w:r w:rsidRPr="00F205B7">
              <w:rPr>
                <w:b/>
                <w:bCs/>
                <w:snapToGrid/>
                <w:color w:val="A32020"/>
                <w:sz w:val="16"/>
                <w:szCs w:val="16"/>
                <w:lang w:eastAsia="en-AU"/>
              </w:rPr>
              <w:t xml:space="preserve"> seps</w:t>
            </w:r>
          </w:p>
        </w:tc>
        <w:tc>
          <w:tcPr>
            <w:tcW w:w="257" w:type="pct"/>
            <w:vMerge w:val="restart"/>
            <w:tcBorders>
              <w:top w:val="single" w:sz="4" w:space="0" w:color="auto"/>
              <w:left w:val="nil"/>
              <w:bottom w:val="single" w:sz="4" w:space="0" w:color="000000"/>
              <w:right w:val="nil"/>
            </w:tcBorders>
            <w:shd w:val="clear" w:color="auto" w:fill="auto"/>
            <w:hideMark/>
          </w:tcPr>
          <w:p w:rsidR="00F205B7" w:rsidRPr="00F205B7" w:rsidRDefault="00F205B7" w:rsidP="00F205B7">
            <w:pPr>
              <w:jc w:val="center"/>
              <w:rPr>
                <w:b/>
                <w:bCs/>
                <w:snapToGrid/>
                <w:color w:val="A32020"/>
                <w:sz w:val="16"/>
                <w:szCs w:val="16"/>
                <w:lang w:eastAsia="en-AU"/>
              </w:rPr>
            </w:pPr>
            <w:r w:rsidRPr="00F205B7">
              <w:rPr>
                <w:b/>
                <w:bCs/>
                <w:snapToGrid/>
                <w:color w:val="A32020"/>
                <w:sz w:val="16"/>
                <w:szCs w:val="16"/>
                <w:lang w:eastAsia="en-AU"/>
              </w:rPr>
              <w:t>Round 17 cost weight</w:t>
            </w:r>
          </w:p>
        </w:tc>
        <w:tc>
          <w:tcPr>
            <w:tcW w:w="257" w:type="pct"/>
            <w:vMerge w:val="restart"/>
            <w:tcBorders>
              <w:top w:val="single" w:sz="4" w:space="0" w:color="auto"/>
              <w:left w:val="nil"/>
              <w:bottom w:val="single" w:sz="4" w:space="0" w:color="000000"/>
              <w:right w:val="nil"/>
            </w:tcBorders>
            <w:shd w:val="clear" w:color="auto" w:fill="auto"/>
            <w:hideMark/>
          </w:tcPr>
          <w:p w:rsidR="00F205B7" w:rsidRPr="00F205B7" w:rsidRDefault="00F205B7" w:rsidP="00F205B7">
            <w:pPr>
              <w:jc w:val="center"/>
              <w:rPr>
                <w:b/>
                <w:bCs/>
                <w:snapToGrid/>
                <w:color w:val="A32020"/>
                <w:sz w:val="16"/>
                <w:szCs w:val="16"/>
                <w:lang w:eastAsia="en-AU"/>
              </w:rPr>
            </w:pPr>
            <w:r w:rsidRPr="00F205B7">
              <w:rPr>
                <w:b/>
                <w:bCs/>
                <w:snapToGrid/>
                <w:color w:val="A32020"/>
                <w:sz w:val="16"/>
                <w:szCs w:val="16"/>
                <w:lang w:eastAsia="en-AU"/>
              </w:rPr>
              <w:t>Rank Round 17</w:t>
            </w:r>
          </w:p>
        </w:tc>
      </w:tr>
      <w:tr w:rsidR="009A23AC" w:rsidRPr="00F205B7" w:rsidTr="009A23AC">
        <w:trPr>
          <w:trHeight w:val="237"/>
        </w:trPr>
        <w:tc>
          <w:tcPr>
            <w:tcW w:w="257"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320"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210"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1030"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255"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393"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378"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331"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378"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219"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393"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321"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257"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257"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r>
      <w:tr w:rsidR="009A23AC" w:rsidRPr="00F205B7" w:rsidTr="009A23AC">
        <w:trPr>
          <w:trHeight w:val="201"/>
        </w:trPr>
        <w:tc>
          <w:tcPr>
            <w:tcW w:w="257"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320"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210"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1030"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255"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393"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378"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331"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378"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219"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393"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321"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257"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c>
          <w:tcPr>
            <w:tcW w:w="257" w:type="pct"/>
            <w:vMerge/>
            <w:tcBorders>
              <w:top w:val="single" w:sz="4" w:space="0" w:color="auto"/>
              <w:left w:val="nil"/>
              <w:bottom w:val="single" w:sz="4" w:space="0" w:color="000000"/>
              <w:right w:val="nil"/>
            </w:tcBorders>
            <w:vAlign w:val="center"/>
            <w:hideMark/>
          </w:tcPr>
          <w:p w:rsidR="00F205B7" w:rsidRPr="00F205B7" w:rsidRDefault="00F205B7" w:rsidP="00F205B7">
            <w:pPr>
              <w:rPr>
                <w:b/>
                <w:bCs/>
                <w:snapToGrid/>
                <w:color w:val="A32020"/>
                <w:sz w:val="16"/>
                <w:szCs w:val="16"/>
                <w:lang w:eastAsia="en-AU"/>
              </w:rPr>
            </w:pPr>
          </w:p>
        </w:tc>
      </w:tr>
      <w:bookmarkStart w:id="117" w:name="_Toc433295156"/>
      <w:bookmarkStart w:id="118" w:name="_Toc433296650"/>
      <w:bookmarkStart w:id="119" w:name="_Toc433296912"/>
      <w:bookmarkStart w:id="120" w:name="_Toc433973242"/>
      <w:tr w:rsidR="009A23AC" w:rsidRPr="00F205B7" w:rsidTr="009A23AC">
        <w:trPr>
          <w:trHeight w:val="402"/>
        </w:trPr>
        <w:tc>
          <w:tcPr>
            <w:tcW w:w="257" w:type="pct"/>
            <w:tcBorders>
              <w:top w:val="nil"/>
              <w:left w:val="nil"/>
              <w:bottom w:val="nil"/>
              <w:right w:val="nil"/>
            </w:tcBorders>
            <w:shd w:val="clear" w:color="auto" w:fill="auto"/>
            <w:noWrap/>
            <w:hideMark/>
          </w:tcPr>
          <w:p w:rsidR="00F205B7" w:rsidRPr="00F205B7" w:rsidRDefault="00E75057" w:rsidP="00F205B7">
            <w:pPr>
              <w:jc w:val="center"/>
              <w:rPr>
                <w:snapToGrid/>
                <w:color w:val="000000"/>
                <w:sz w:val="16"/>
                <w:szCs w:val="16"/>
                <w:lang w:eastAsia="en-AU"/>
              </w:rPr>
            </w:pPr>
            <w:r>
              <w:rPr>
                <w:noProof/>
                <w:snapToGrid/>
                <w:lang w:eastAsia="en-AU"/>
              </w:rPr>
              <mc:AlternateContent>
                <mc:Choice Requires="wps">
                  <w:drawing>
                    <wp:anchor distT="0" distB="0" distL="114300" distR="114300" simplePos="0" relativeHeight="251662336" behindDoc="0" locked="0" layoutInCell="1" allowOverlap="1" wp14:anchorId="6FA7EF3F" wp14:editId="18922AC4">
                      <wp:simplePos x="0" y="0"/>
                      <wp:positionH relativeFrom="column">
                        <wp:posOffset>90805</wp:posOffset>
                      </wp:positionH>
                      <wp:positionV relativeFrom="paragraph">
                        <wp:posOffset>-11007</wp:posOffset>
                      </wp:positionV>
                      <wp:extent cx="9403080" cy="247650"/>
                      <wp:effectExtent l="0" t="0" r="26670" b="19050"/>
                      <wp:wrapNone/>
                      <wp:docPr id="28" name="Rectangle 28"/>
                      <wp:cNvGraphicFramePr/>
                      <a:graphic xmlns:a="http://schemas.openxmlformats.org/drawingml/2006/main">
                        <a:graphicData uri="http://schemas.microsoft.com/office/word/2010/wordprocessingShape">
                          <wps:wsp>
                            <wps:cNvSpPr/>
                            <wps:spPr bwMode="ltGray">
                              <a:xfrm>
                                <a:off x="0" y="0"/>
                                <a:ext cx="9403080" cy="247650"/>
                              </a:xfrm>
                              <a:prstGeom prst="rect">
                                <a:avLst/>
                              </a:prstGeom>
                              <a:noFill/>
                              <a:ln w="22225">
                                <a:solidFill>
                                  <a:schemeClr val="accent1">
                                    <a:shade val="50000"/>
                                    <a:alpha val="67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7.15pt;margin-top:-.85pt;width:740.4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" filled="f" strokecolor="#511010 [1604]" strokeweight="1.75pt">
                      <v:stroke opacity="43947f"/>
                    </v:rect>
                  </w:pict>
                </mc:Fallback>
              </mc:AlternateContent>
            </w:r>
            <w:bookmarkEnd w:id="117"/>
            <w:bookmarkEnd w:id="118"/>
            <w:bookmarkEnd w:id="119"/>
            <w:bookmarkEnd w:id="120"/>
            <w:r w:rsidR="00F205B7" w:rsidRPr="00F205B7">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1</w:t>
            </w:r>
          </w:p>
        </w:tc>
        <w:tc>
          <w:tcPr>
            <w:tcW w:w="210" w:type="pct"/>
            <w:tcBorders>
              <w:top w:val="nil"/>
              <w:left w:val="nil"/>
              <w:bottom w:val="nil"/>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A06A</w:t>
            </w:r>
          </w:p>
        </w:tc>
        <w:tc>
          <w:tcPr>
            <w:tcW w:w="1030" w:type="pct"/>
            <w:tcBorders>
              <w:top w:val="nil"/>
              <w:left w:val="nil"/>
              <w:bottom w:val="nil"/>
              <w:right w:val="nil"/>
            </w:tcBorders>
            <w:shd w:val="clear" w:color="auto" w:fill="auto"/>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Tracheostomy W Ventilation &gt;95 hours W Catastrophic CC</w:t>
            </w:r>
          </w:p>
        </w:tc>
        <w:tc>
          <w:tcPr>
            <w:tcW w:w="255" w:type="pct"/>
            <w:tcBorders>
              <w:top w:val="nil"/>
              <w:left w:val="nil"/>
              <w:bottom w:val="nil"/>
              <w:right w:val="nil"/>
            </w:tcBorders>
            <w:shd w:val="clear" w:color="000000" w:fill="F4CACA"/>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45.16</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206</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9,310</w:t>
            </w:r>
          </w:p>
        </w:tc>
        <w:tc>
          <w:tcPr>
            <w:tcW w:w="33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10,780</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52.3</w:t>
            </w:r>
          </w:p>
        </w:tc>
        <w:tc>
          <w:tcPr>
            <w:tcW w:w="219"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2.76</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32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0.3%</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43.27</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 xml:space="preserve">2 </w:t>
            </w:r>
          </w:p>
        </w:tc>
      </w:tr>
      <w:tr w:rsidR="009A23AC" w:rsidRPr="00F205B7" w:rsidTr="009A23AC">
        <w:trPr>
          <w:trHeight w:val="201"/>
        </w:trPr>
        <w:tc>
          <w:tcPr>
            <w:tcW w:w="257"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2</w:t>
            </w:r>
          </w:p>
        </w:tc>
        <w:tc>
          <w:tcPr>
            <w:tcW w:w="210" w:type="pct"/>
            <w:tcBorders>
              <w:top w:val="nil"/>
              <w:left w:val="nil"/>
              <w:bottom w:val="nil"/>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P62Z</w:t>
            </w:r>
          </w:p>
        </w:tc>
        <w:tc>
          <w:tcPr>
            <w:tcW w:w="1030" w:type="pct"/>
            <w:tcBorders>
              <w:top w:val="nil"/>
              <w:left w:val="nil"/>
              <w:bottom w:val="nil"/>
              <w:right w:val="nil"/>
            </w:tcBorders>
            <w:shd w:val="clear" w:color="auto" w:fill="auto"/>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Neonate, AdmWt 750-999 g</w:t>
            </w:r>
          </w:p>
        </w:tc>
        <w:tc>
          <w:tcPr>
            <w:tcW w:w="255" w:type="pct"/>
            <w:tcBorders>
              <w:top w:val="nil"/>
              <w:left w:val="nil"/>
              <w:bottom w:val="nil"/>
              <w:right w:val="nil"/>
            </w:tcBorders>
            <w:shd w:val="clear" w:color="000000" w:fill="F4CACA"/>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35.71</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28</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1,006</w:t>
            </w:r>
          </w:p>
        </w:tc>
        <w:tc>
          <w:tcPr>
            <w:tcW w:w="33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1,494</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53.0</w:t>
            </w:r>
          </w:p>
        </w:tc>
        <w:tc>
          <w:tcPr>
            <w:tcW w:w="219"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4.50</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32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39.45</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 xml:space="preserve">3 </w:t>
            </w:r>
          </w:p>
        </w:tc>
      </w:tr>
      <w:tr w:rsidR="009A23AC" w:rsidRPr="00F205B7" w:rsidTr="009A23AC">
        <w:trPr>
          <w:trHeight w:val="402"/>
        </w:trPr>
        <w:tc>
          <w:tcPr>
            <w:tcW w:w="257"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3</w:t>
            </w:r>
          </w:p>
        </w:tc>
        <w:tc>
          <w:tcPr>
            <w:tcW w:w="210" w:type="pct"/>
            <w:tcBorders>
              <w:top w:val="nil"/>
              <w:left w:val="nil"/>
              <w:bottom w:val="nil"/>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F01A</w:t>
            </w:r>
          </w:p>
        </w:tc>
        <w:tc>
          <w:tcPr>
            <w:tcW w:w="1030" w:type="pct"/>
            <w:tcBorders>
              <w:top w:val="nil"/>
              <w:left w:val="nil"/>
              <w:bottom w:val="nil"/>
              <w:right w:val="nil"/>
            </w:tcBorders>
            <w:shd w:val="clear" w:color="auto" w:fill="auto"/>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Implantation or Replacement of AICD, Total System W Catastrophic CC</w:t>
            </w:r>
          </w:p>
        </w:tc>
        <w:tc>
          <w:tcPr>
            <w:tcW w:w="255" w:type="pct"/>
            <w:tcBorders>
              <w:top w:val="nil"/>
              <w:left w:val="nil"/>
              <w:bottom w:val="nil"/>
              <w:right w:val="nil"/>
            </w:tcBorders>
            <w:shd w:val="clear" w:color="000000" w:fill="F4CACA"/>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28.41</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339</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9,630</w:t>
            </w:r>
          </w:p>
        </w:tc>
        <w:tc>
          <w:tcPr>
            <w:tcW w:w="33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2,942</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8.7</w:t>
            </w:r>
          </w:p>
        </w:tc>
        <w:tc>
          <w:tcPr>
            <w:tcW w:w="219"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0.57</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32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0.3%</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28.76</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 xml:space="preserve">4 </w:t>
            </w:r>
          </w:p>
        </w:tc>
      </w:tr>
      <w:tr w:rsidR="009A23AC" w:rsidRPr="00F205B7" w:rsidTr="009A23AC">
        <w:trPr>
          <w:trHeight w:val="402"/>
        </w:trPr>
        <w:tc>
          <w:tcPr>
            <w:tcW w:w="257"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4</w:t>
            </w:r>
          </w:p>
        </w:tc>
        <w:tc>
          <w:tcPr>
            <w:tcW w:w="210" w:type="pct"/>
            <w:tcBorders>
              <w:top w:val="nil"/>
              <w:left w:val="nil"/>
              <w:bottom w:val="nil"/>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A06B</w:t>
            </w:r>
          </w:p>
        </w:tc>
        <w:tc>
          <w:tcPr>
            <w:tcW w:w="1030" w:type="pct"/>
            <w:tcBorders>
              <w:top w:val="nil"/>
              <w:left w:val="nil"/>
              <w:bottom w:val="nil"/>
              <w:right w:val="nil"/>
            </w:tcBorders>
            <w:shd w:val="clear" w:color="auto" w:fill="auto"/>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Trach W Vent &gt;95 hours W/O Cat CC or Trach/Vent &gt;95 hours W Cat CC</w:t>
            </w:r>
          </w:p>
        </w:tc>
        <w:tc>
          <w:tcPr>
            <w:tcW w:w="255" w:type="pct"/>
            <w:tcBorders>
              <w:top w:val="nil"/>
              <w:left w:val="nil"/>
              <w:bottom w:val="nil"/>
              <w:right w:val="nil"/>
            </w:tcBorders>
            <w:shd w:val="clear" w:color="000000" w:fill="F4CACA"/>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22.61</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735</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16,614</w:t>
            </w:r>
          </w:p>
        </w:tc>
        <w:tc>
          <w:tcPr>
            <w:tcW w:w="33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20,877</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28.4</w:t>
            </w:r>
          </w:p>
        </w:tc>
        <w:tc>
          <w:tcPr>
            <w:tcW w:w="219"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0.84</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32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0.6%</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18.02</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 xml:space="preserve">9 </w:t>
            </w:r>
          </w:p>
        </w:tc>
      </w:tr>
      <w:tr w:rsidR="009A23AC" w:rsidRPr="00F205B7" w:rsidTr="009A23AC">
        <w:trPr>
          <w:trHeight w:val="402"/>
        </w:trPr>
        <w:tc>
          <w:tcPr>
            <w:tcW w:w="257"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5</w:t>
            </w:r>
          </w:p>
        </w:tc>
        <w:tc>
          <w:tcPr>
            <w:tcW w:w="210" w:type="pct"/>
            <w:tcBorders>
              <w:top w:val="nil"/>
              <w:left w:val="nil"/>
              <w:bottom w:val="nil"/>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F01B</w:t>
            </w:r>
          </w:p>
        </w:tc>
        <w:tc>
          <w:tcPr>
            <w:tcW w:w="1030" w:type="pct"/>
            <w:tcBorders>
              <w:top w:val="nil"/>
              <w:left w:val="nil"/>
              <w:bottom w:val="nil"/>
              <w:right w:val="nil"/>
            </w:tcBorders>
            <w:shd w:val="clear" w:color="auto" w:fill="auto"/>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Implantation or Replacement of AICD, Total System W/O Catastrophic CC</w:t>
            </w:r>
          </w:p>
        </w:tc>
        <w:tc>
          <w:tcPr>
            <w:tcW w:w="255" w:type="pct"/>
            <w:tcBorders>
              <w:top w:val="nil"/>
              <w:left w:val="nil"/>
              <w:bottom w:val="nil"/>
              <w:right w:val="nil"/>
            </w:tcBorders>
            <w:shd w:val="clear" w:color="000000" w:fill="F4CACA"/>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22.45</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2,302</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51,663</w:t>
            </w:r>
          </w:p>
        </w:tc>
        <w:tc>
          <w:tcPr>
            <w:tcW w:w="33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5,209</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2.3</w:t>
            </w:r>
          </w:p>
        </w:tc>
        <w:tc>
          <w:tcPr>
            <w:tcW w:w="219"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0.18</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0.1%</w:t>
            </w:r>
          </w:p>
        </w:tc>
        <w:tc>
          <w:tcPr>
            <w:tcW w:w="32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1.8%</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23.46</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 xml:space="preserve">7 </w:t>
            </w:r>
          </w:p>
        </w:tc>
      </w:tr>
      <w:tr w:rsidR="009A23AC" w:rsidRPr="00F205B7" w:rsidTr="009A23AC">
        <w:trPr>
          <w:trHeight w:val="402"/>
        </w:trPr>
        <w:tc>
          <w:tcPr>
            <w:tcW w:w="257"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6</w:t>
            </w:r>
          </w:p>
        </w:tc>
        <w:tc>
          <w:tcPr>
            <w:tcW w:w="210" w:type="pct"/>
            <w:tcBorders>
              <w:top w:val="nil"/>
              <w:left w:val="nil"/>
              <w:bottom w:val="nil"/>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P04Z</w:t>
            </w:r>
          </w:p>
        </w:tc>
        <w:tc>
          <w:tcPr>
            <w:tcW w:w="1030" w:type="pct"/>
            <w:tcBorders>
              <w:top w:val="nil"/>
              <w:left w:val="nil"/>
              <w:bottom w:val="nil"/>
              <w:right w:val="nil"/>
            </w:tcBorders>
            <w:shd w:val="clear" w:color="auto" w:fill="auto"/>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Neonate, AdmWt 1500-1999 g W Significant OR Procedure</w:t>
            </w:r>
          </w:p>
        </w:tc>
        <w:tc>
          <w:tcPr>
            <w:tcW w:w="255" w:type="pct"/>
            <w:tcBorders>
              <w:top w:val="nil"/>
              <w:left w:val="nil"/>
              <w:bottom w:val="nil"/>
              <w:right w:val="nil"/>
            </w:tcBorders>
            <w:shd w:val="clear" w:color="000000" w:fill="F4CACA"/>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19.57</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23</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447</w:t>
            </w:r>
          </w:p>
        </w:tc>
        <w:tc>
          <w:tcPr>
            <w:tcW w:w="33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950</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41.6</w:t>
            </w:r>
          </w:p>
        </w:tc>
        <w:tc>
          <w:tcPr>
            <w:tcW w:w="219"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2.38</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32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21.71</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 xml:space="preserve">8 </w:t>
            </w:r>
          </w:p>
        </w:tc>
      </w:tr>
      <w:tr w:rsidR="009A23AC" w:rsidRPr="00F205B7" w:rsidTr="009A23AC">
        <w:trPr>
          <w:trHeight w:val="201"/>
        </w:trPr>
        <w:tc>
          <w:tcPr>
            <w:tcW w:w="257"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No</w:t>
            </w:r>
          </w:p>
        </w:tc>
        <w:tc>
          <w:tcPr>
            <w:tcW w:w="320"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7</w:t>
            </w:r>
          </w:p>
        </w:tc>
        <w:tc>
          <w:tcPr>
            <w:tcW w:w="210" w:type="pct"/>
            <w:tcBorders>
              <w:top w:val="nil"/>
              <w:left w:val="nil"/>
              <w:bottom w:val="nil"/>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A06C</w:t>
            </w:r>
          </w:p>
        </w:tc>
        <w:tc>
          <w:tcPr>
            <w:tcW w:w="1030" w:type="pct"/>
            <w:tcBorders>
              <w:top w:val="nil"/>
              <w:left w:val="nil"/>
              <w:bottom w:val="nil"/>
              <w:right w:val="nil"/>
            </w:tcBorders>
            <w:shd w:val="clear" w:color="auto" w:fill="auto"/>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Ventilation &gt;95 hours W/O Catastrophic CC</w:t>
            </w:r>
          </w:p>
        </w:tc>
        <w:tc>
          <w:tcPr>
            <w:tcW w:w="255" w:type="pct"/>
            <w:tcBorders>
              <w:top w:val="nil"/>
              <w:left w:val="nil"/>
              <w:bottom w:val="nil"/>
              <w:right w:val="nil"/>
            </w:tcBorders>
            <w:shd w:val="clear" w:color="000000" w:fill="F4CACA"/>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17.89</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7</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128</w:t>
            </w:r>
          </w:p>
        </w:tc>
        <w:tc>
          <w:tcPr>
            <w:tcW w:w="33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104</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14.6</w:t>
            </w:r>
          </w:p>
        </w:tc>
        <w:tc>
          <w:tcPr>
            <w:tcW w:w="219"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3.89</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32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w:t>
            </w:r>
          </w:p>
        </w:tc>
      </w:tr>
      <w:tr w:rsidR="009A23AC" w:rsidRPr="00F205B7" w:rsidTr="009A23AC">
        <w:trPr>
          <w:trHeight w:val="402"/>
        </w:trPr>
        <w:tc>
          <w:tcPr>
            <w:tcW w:w="257"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8</w:t>
            </w:r>
          </w:p>
        </w:tc>
        <w:tc>
          <w:tcPr>
            <w:tcW w:w="210" w:type="pct"/>
            <w:tcBorders>
              <w:top w:val="nil"/>
              <w:left w:val="nil"/>
              <w:bottom w:val="nil"/>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A11A</w:t>
            </w:r>
          </w:p>
        </w:tc>
        <w:tc>
          <w:tcPr>
            <w:tcW w:w="1030" w:type="pct"/>
            <w:tcBorders>
              <w:top w:val="nil"/>
              <w:left w:val="nil"/>
              <w:bottom w:val="nil"/>
              <w:right w:val="nil"/>
            </w:tcBorders>
            <w:shd w:val="clear" w:color="auto" w:fill="auto"/>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Insertion of Implantable Spinal Infusion Device W Catastrophic CC</w:t>
            </w:r>
          </w:p>
        </w:tc>
        <w:tc>
          <w:tcPr>
            <w:tcW w:w="255" w:type="pct"/>
            <w:tcBorders>
              <w:top w:val="nil"/>
              <w:left w:val="nil"/>
              <w:bottom w:val="nil"/>
              <w:right w:val="nil"/>
            </w:tcBorders>
            <w:shd w:val="clear" w:color="000000" w:fill="F4CACA"/>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17.61</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13</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232</w:t>
            </w:r>
          </w:p>
        </w:tc>
        <w:tc>
          <w:tcPr>
            <w:tcW w:w="33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454</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34.4</w:t>
            </w:r>
          </w:p>
        </w:tc>
        <w:tc>
          <w:tcPr>
            <w:tcW w:w="219"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4.30</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32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13.52</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 xml:space="preserve">13 </w:t>
            </w:r>
          </w:p>
        </w:tc>
      </w:tr>
      <w:tr w:rsidR="009A23AC" w:rsidRPr="00F205B7" w:rsidTr="009A23AC">
        <w:trPr>
          <w:trHeight w:val="402"/>
        </w:trPr>
        <w:tc>
          <w:tcPr>
            <w:tcW w:w="257"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No</w:t>
            </w:r>
          </w:p>
        </w:tc>
        <w:tc>
          <w:tcPr>
            <w:tcW w:w="320"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9</w:t>
            </w:r>
          </w:p>
        </w:tc>
        <w:tc>
          <w:tcPr>
            <w:tcW w:w="210" w:type="pct"/>
            <w:tcBorders>
              <w:top w:val="nil"/>
              <w:left w:val="nil"/>
              <w:bottom w:val="nil"/>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B60A</w:t>
            </w:r>
          </w:p>
        </w:tc>
        <w:tc>
          <w:tcPr>
            <w:tcW w:w="1030" w:type="pct"/>
            <w:tcBorders>
              <w:top w:val="nil"/>
              <w:left w:val="nil"/>
              <w:bottom w:val="nil"/>
              <w:right w:val="nil"/>
            </w:tcBorders>
            <w:shd w:val="clear" w:color="auto" w:fill="auto"/>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Acute Paraplegia/Quadriplegia W or W/O OR Procs W Cat CC</w:t>
            </w:r>
          </w:p>
        </w:tc>
        <w:tc>
          <w:tcPr>
            <w:tcW w:w="255" w:type="pct"/>
            <w:tcBorders>
              <w:top w:val="nil"/>
              <w:left w:val="nil"/>
              <w:bottom w:val="nil"/>
              <w:right w:val="nil"/>
            </w:tcBorders>
            <w:shd w:val="clear" w:color="000000" w:fill="F4CACA"/>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16.61</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15</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255</w:t>
            </w:r>
          </w:p>
        </w:tc>
        <w:tc>
          <w:tcPr>
            <w:tcW w:w="33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387</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25.2</w:t>
            </w:r>
          </w:p>
        </w:tc>
        <w:tc>
          <w:tcPr>
            <w:tcW w:w="219"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3.73</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32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11.16</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 xml:space="preserve">24 </w:t>
            </w:r>
          </w:p>
        </w:tc>
      </w:tr>
      <w:tr w:rsidR="009A23AC" w:rsidRPr="00F205B7" w:rsidTr="009A23AC">
        <w:trPr>
          <w:trHeight w:val="402"/>
        </w:trPr>
        <w:tc>
          <w:tcPr>
            <w:tcW w:w="257"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10</w:t>
            </w:r>
          </w:p>
        </w:tc>
        <w:tc>
          <w:tcPr>
            <w:tcW w:w="210" w:type="pct"/>
            <w:tcBorders>
              <w:top w:val="nil"/>
              <w:left w:val="nil"/>
              <w:bottom w:val="nil"/>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F03A</w:t>
            </w:r>
          </w:p>
        </w:tc>
        <w:tc>
          <w:tcPr>
            <w:tcW w:w="1030" w:type="pct"/>
            <w:tcBorders>
              <w:top w:val="nil"/>
              <w:left w:val="nil"/>
              <w:bottom w:val="nil"/>
              <w:right w:val="nil"/>
            </w:tcBorders>
            <w:shd w:val="clear" w:color="auto" w:fill="auto"/>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Cardiac Valve Proc W CPB Pump W Invasive Cardiac Investigation W Cat CC</w:t>
            </w:r>
          </w:p>
        </w:tc>
        <w:tc>
          <w:tcPr>
            <w:tcW w:w="255" w:type="pct"/>
            <w:tcBorders>
              <w:top w:val="nil"/>
              <w:left w:val="nil"/>
              <w:bottom w:val="nil"/>
              <w:right w:val="nil"/>
            </w:tcBorders>
            <w:shd w:val="clear" w:color="000000" w:fill="F4CACA"/>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16.11</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400</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6,441</w:t>
            </w:r>
          </w:p>
        </w:tc>
        <w:tc>
          <w:tcPr>
            <w:tcW w:w="33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7,611</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19.0</w:t>
            </w:r>
          </w:p>
        </w:tc>
        <w:tc>
          <w:tcPr>
            <w:tcW w:w="219"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0.65</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32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0.2%</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12.98</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 xml:space="preserve">15 </w:t>
            </w:r>
          </w:p>
        </w:tc>
      </w:tr>
      <w:tr w:rsidR="009A23AC" w:rsidRPr="00F205B7" w:rsidTr="009A23AC">
        <w:trPr>
          <w:trHeight w:val="201"/>
        </w:trPr>
        <w:tc>
          <w:tcPr>
            <w:tcW w:w="257"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11</w:t>
            </w:r>
          </w:p>
        </w:tc>
        <w:tc>
          <w:tcPr>
            <w:tcW w:w="210" w:type="pct"/>
            <w:tcBorders>
              <w:top w:val="nil"/>
              <w:left w:val="nil"/>
              <w:bottom w:val="nil"/>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I06Z</w:t>
            </w:r>
          </w:p>
        </w:tc>
        <w:tc>
          <w:tcPr>
            <w:tcW w:w="1030" w:type="pct"/>
            <w:tcBorders>
              <w:top w:val="nil"/>
              <w:left w:val="nil"/>
              <w:bottom w:val="nil"/>
              <w:right w:val="nil"/>
            </w:tcBorders>
            <w:shd w:val="clear" w:color="auto" w:fill="auto"/>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Spinal Fusion W Deformity</w:t>
            </w:r>
          </w:p>
        </w:tc>
        <w:tc>
          <w:tcPr>
            <w:tcW w:w="255" w:type="pct"/>
            <w:tcBorders>
              <w:top w:val="nil"/>
              <w:left w:val="nil"/>
              <w:bottom w:val="nil"/>
              <w:right w:val="nil"/>
            </w:tcBorders>
            <w:shd w:val="clear" w:color="000000" w:fill="F4CACA"/>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14.72</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822</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12,108</w:t>
            </w:r>
          </w:p>
        </w:tc>
        <w:tc>
          <w:tcPr>
            <w:tcW w:w="33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7,957</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9.7</w:t>
            </w:r>
          </w:p>
        </w:tc>
        <w:tc>
          <w:tcPr>
            <w:tcW w:w="219"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0.49</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32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0.4%</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15.57</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 xml:space="preserve">11 </w:t>
            </w:r>
          </w:p>
        </w:tc>
      </w:tr>
      <w:tr w:rsidR="009A23AC" w:rsidRPr="00F205B7" w:rsidTr="009A23AC">
        <w:trPr>
          <w:trHeight w:val="402"/>
        </w:trPr>
        <w:tc>
          <w:tcPr>
            <w:tcW w:w="257"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12</w:t>
            </w:r>
          </w:p>
        </w:tc>
        <w:tc>
          <w:tcPr>
            <w:tcW w:w="210" w:type="pct"/>
            <w:tcBorders>
              <w:top w:val="nil"/>
              <w:left w:val="nil"/>
              <w:bottom w:val="nil"/>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P05Z</w:t>
            </w:r>
          </w:p>
        </w:tc>
        <w:tc>
          <w:tcPr>
            <w:tcW w:w="1030" w:type="pct"/>
            <w:tcBorders>
              <w:top w:val="nil"/>
              <w:left w:val="nil"/>
              <w:bottom w:val="nil"/>
              <w:right w:val="nil"/>
            </w:tcBorders>
            <w:shd w:val="clear" w:color="auto" w:fill="auto"/>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Neonate, AdmWt 2000-2499 g W Significant OR Procedure</w:t>
            </w:r>
          </w:p>
        </w:tc>
        <w:tc>
          <w:tcPr>
            <w:tcW w:w="255" w:type="pct"/>
            <w:tcBorders>
              <w:top w:val="nil"/>
              <w:left w:val="nil"/>
              <w:bottom w:val="nil"/>
              <w:right w:val="nil"/>
            </w:tcBorders>
            <w:shd w:val="clear" w:color="000000" w:fill="F4CACA"/>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13.37</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26</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349</w:t>
            </w:r>
          </w:p>
        </w:tc>
        <w:tc>
          <w:tcPr>
            <w:tcW w:w="33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693</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26.6</w:t>
            </w:r>
          </w:p>
        </w:tc>
        <w:tc>
          <w:tcPr>
            <w:tcW w:w="219"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3.47</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32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14.03</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 xml:space="preserve">12 </w:t>
            </w:r>
          </w:p>
        </w:tc>
      </w:tr>
      <w:tr w:rsidR="009A23AC" w:rsidRPr="00F205B7" w:rsidTr="009A23AC">
        <w:trPr>
          <w:trHeight w:val="201"/>
        </w:trPr>
        <w:tc>
          <w:tcPr>
            <w:tcW w:w="257"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13</w:t>
            </w:r>
          </w:p>
        </w:tc>
        <w:tc>
          <w:tcPr>
            <w:tcW w:w="210" w:type="pct"/>
            <w:tcBorders>
              <w:top w:val="nil"/>
              <w:left w:val="nil"/>
              <w:bottom w:val="nil"/>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I09A</w:t>
            </w:r>
          </w:p>
        </w:tc>
        <w:tc>
          <w:tcPr>
            <w:tcW w:w="1030" w:type="pct"/>
            <w:tcBorders>
              <w:top w:val="nil"/>
              <w:left w:val="nil"/>
              <w:bottom w:val="nil"/>
              <w:right w:val="nil"/>
            </w:tcBorders>
            <w:shd w:val="clear" w:color="auto" w:fill="auto"/>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Spinal Fusion W Catastrophic CC</w:t>
            </w:r>
          </w:p>
        </w:tc>
        <w:tc>
          <w:tcPr>
            <w:tcW w:w="255" w:type="pct"/>
            <w:tcBorders>
              <w:top w:val="nil"/>
              <w:left w:val="nil"/>
              <w:bottom w:val="nil"/>
              <w:right w:val="nil"/>
            </w:tcBorders>
            <w:shd w:val="clear" w:color="000000" w:fill="F4CACA"/>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13.24</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1,226</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16,232</w:t>
            </w:r>
          </w:p>
        </w:tc>
        <w:tc>
          <w:tcPr>
            <w:tcW w:w="33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15,755</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12.9</w:t>
            </w:r>
          </w:p>
        </w:tc>
        <w:tc>
          <w:tcPr>
            <w:tcW w:w="219"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0.37</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32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0.6%</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13.41</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 xml:space="preserve">14 </w:t>
            </w:r>
          </w:p>
        </w:tc>
      </w:tr>
      <w:tr w:rsidR="009A23AC" w:rsidRPr="00F205B7" w:rsidTr="009A23AC">
        <w:trPr>
          <w:trHeight w:val="402"/>
        </w:trPr>
        <w:tc>
          <w:tcPr>
            <w:tcW w:w="257"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14</w:t>
            </w:r>
          </w:p>
        </w:tc>
        <w:tc>
          <w:tcPr>
            <w:tcW w:w="210" w:type="pct"/>
            <w:tcBorders>
              <w:top w:val="nil"/>
              <w:left w:val="nil"/>
              <w:bottom w:val="nil"/>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I01A</w:t>
            </w:r>
          </w:p>
        </w:tc>
        <w:tc>
          <w:tcPr>
            <w:tcW w:w="1030" w:type="pct"/>
            <w:tcBorders>
              <w:top w:val="nil"/>
              <w:left w:val="nil"/>
              <w:bottom w:val="nil"/>
              <w:right w:val="nil"/>
            </w:tcBorders>
            <w:shd w:val="clear" w:color="auto" w:fill="auto"/>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Bilateral/Multiple Major Joint Proc of Lower Extremity W Revision or W Cat CC</w:t>
            </w:r>
          </w:p>
        </w:tc>
        <w:tc>
          <w:tcPr>
            <w:tcW w:w="255" w:type="pct"/>
            <w:tcBorders>
              <w:top w:val="nil"/>
              <w:left w:val="nil"/>
              <w:bottom w:val="nil"/>
              <w:right w:val="nil"/>
            </w:tcBorders>
            <w:shd w:val="clear" w:color="000000" w:fill="F4CACA"/>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13.11</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365</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4,781</w:t>
            </w:r>
          </w:p>
        </w:tc>
        <w:tc>
          <w:tcPr>
            <w:tcW w:w="33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6,843</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18.8</w:t>
            </w:r>
          </w:p>
        </w:tc>
        <w:tc>
          <w:tcPr>
            <w:tcW w:w="219"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0.77</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32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0.2%</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11.70</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 xml:space="preserve">19 </w:t>
            </w:r>
          </w:p>
        </w:tc>
      </w:tr>
      <w:tr w:rsidR="009A23AC" w:rsidRPr="00F205B7" w:rsidTr="009A23AC">
        <w:trPr>
          <w:trHeight w:val="402"/>
        </w:trPr>
        <w:tc>
          <w:tcPr>
            <w:tcW w:w="257"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No</w:t>
            </w:r>
          </w:p>
        </w:tc>
        <w:tc>
          <w:tcPr>
            <w:tcW w:w="320"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15</w:t>
            </w:r>
          </w:p>
        </w:tc>
        <w:tc>
          <w:tcPr>
            <w:tcW w:w="210" w:type="pct"/>
            <w:tcBorders>
              <w:top w:val="nil"/>
              <w:left w:val="nil"/>
              <w:bottom w:val="nil"/>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F04A</w:t>
            </w:r>
          </w:p>
        </w:tc>
        <w:tc>
          <w:tcPr>
            <w:tcW w:w="1030" w:type="pct"/>
            <w:tcBorders>
              <w:top w:val="nil"/>
              <w:left w:val="nil"/>
              <w:bottom w:val="nil"/>
              <w:right w:val="nil"/>
            </w:tcBorders>
            <w:shd w:val="clear" w:color="auto" w:fill="auto"/>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Cardiac Valve Proc W CPB Pump W/O Invasive Cardiac Inves W Cat CC</w:t>
            </w:r>
          </w:p>
        </w:tc>
        <w:tc>
          <w:tcPr>
            <w:tcW w:w="255" w:type="pct"/>
            <w:tcBorders>
              <w:top w:val="nil"/>
              <w:left w:val="nil"/>
              <w:bottom w:val="nil"/>
              <w:right w:val="nil"/>
            </w:tcBorders>
            <w:shd w:val="clear" w:color="000000" w:fill="F4CACA"/>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12.86</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2,014</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25,892</w:t>
            </w:r>
          </w:p>
        </w:tc>
        <w:tc>
          <w:tcPr>
            <w:tcW w:w="33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27,084</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13.4</w:t>
            </w:r>
          </w:p>
        </w:tc>
        <w:tc>
          <w:tcPr>
            <w:tcW w:w="219"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0.21</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0.1%</w:t>
            </w:r>
          </w:p>
        </w:tc>
        <w:tc>
          <w:tcPr>
            <w:tcW w:w="32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0.9%</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10.69</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 xml:space="preserve">27 </w:t>
            </w:r>
          </w:p>
        </w:tc>
      </w:tr>
      <w:tr w:rsidR="009A23AC" w:rsidRPr="00F205B7" w:rsidTr="009A23AC">
        <w:trPr>
          <w:trHeight w:val="402"/>
        </w:trPr>
        <w:tc>
          <w:tcPr>
            <w:tcW w:w="257"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No</w:t>
            </w:r>
          </w:p>
        </w:tc>
        <w:tc>
          <w:tcPr>
            <w:tcW w:w="320"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16</w:t>
            </w:r>
          </w:p>
        </w:tc>
        <w:tc>
          <w:tcPr>
            <w:tcW w:w="210" w:type="pct"/>
            <w:tcBorders>
              <w:top w:val="nil"/>
              <w:left w:val="nil"/>
              <w:bottom w:val="nil"/>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F05A</w:t>
            </w:r>
          </w:p>
        </w:tc>
        <w:tc>
          <w:tcPr>
            <w:tcW w:w="1030" w:type="pct"/>
            <w:tcBorders>
              <w:top w:val="nil"/>
              <w:left w:val="nil"/>
              <w:bottom w:val="nil"/>
              <w:right w:val="nil"/>
            </w:tcBorders>
            <w:shd w:val="clear" w:color="auto" w:fill="auto"/>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Coronary Bypass W Invasive Cardiac Investigation W Reoperation or W Cat CC</w:t>
            </w:r>
          </w:p>
        </w:tc>
        <w:tc>
          <w:tcPr>
            <w:tcW w:w="255" w:type="pct"/>
            <w:tcBorders>
              <w:top w:val="nil"/>
              <w:left w:val="nil"/>
              <w:bottom w:val="nil"/>
              <w:right w:val="nil"/>
            </w:tcBorders>
            <w:shd w:val="clear" w:color="000000" w:fill="F4CACA"/>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12.80</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696</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8,912</w:t>
            </w:r>
          </w:p>
        </w:tc>
        <w:tc>
          <w:tcPr>
            <w:tcW w:w="33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11,104</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16.0</w:t>
            </w:r>
          </w:p>
        </w:tc>
        <w:tc>
          <w:tcPr>
            <w:tcW w:w="219"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0.47</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32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0.3%</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9.42</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 xml:space="preserve">32 </w:t>
            </w:r>
          </w:p>
        </w:tc>
      </w:tr>
      <w:tr w:rsidR="009A23AC" w:rsidRPr="00F205B7" w:rsidTr="009A23AC">
        <w:trPr>
          <w:trHeight w:val="201"/>
        </w:trPr>
        <w:tc>
          <w:tcPr>
            <w:tcW w:w="257"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No</w:t>
            </w:r>
          </w:p>
        </w:tc>
        <w:tc>
          <w:tcPr>
            <w:tcW w:w="320"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17</w:t>
            </w:r>
          </w:p>
        </w:tc>
        <w:tc>
          <w:tcPr>
            <w:tcW w:w="210" w:type="pct"/>
            <w:tcBorders>
              <w:top w:val="nil"/>
              <w:left w:val="nil"/>
              <w:bottom w:val="nil"/>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I31A</w:t>
            </w:r>
          </w:p>
        </w:tc>
        <w:tc>
          <w:tcPr>
            <w:tcW w:w="1030" w:type="pct"/>
            <w:tcBorders>
              <w:top w:val="nil"/>
              <w:left w:val="nil"/>
              <w:bottom w:val="nil"/>
              <w:right w:val="nil"/>
            </w:tcBorders>
            <w:shd w:val="clear" w:color="auto" w:fill="auto"/>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Hip Revision W Catastrophic CC</w:t>
            </w:r>
          </w:p>
        </w:tc>
        <w:tc>
          <w:tcPr>
            <w:tcW w:w="255" w:type="pct"/>
            <w:tcBorders>
              <w:top w:val="nil"/>
              <w:left w:val="nil"/>
              <w:bottom w:val="nil"/>
              <w:right w:val="nil"/>
            </w:tcBorders>
            <w:shd w:val="clear" w:color="000000" w:fill="F4CACA"/>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12.59</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325</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4,088</w:t>
            </w:r>
          </w:p>
        </w:tc>
        <w:tc>
          <w:tcPr>
            <w:tcW w:w="33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6,983</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21.5</w:t>
            </w:r>
          </w:p>
        </w:tc>
        <w:tc>
          <w:tcPr>
            <w:tcW w:w="219"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0.44</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32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0.1%</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11.01</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 xml:space="preserve">25 </w:t>
            </w:r>
          </w:p>
        </w:tc>
      </w:tr>
      <w:tr w:rsidR="009A23AC" w:rsidRPr="00F205B7" w:rsidTr="009A23AC">
        <w:trPr>
          <w:trHeight w:val="201"/>
        </w:trPr>
        <w:tc>
          <w:tcPr>
            <w:tcW w:w="257" w:type="pct"/>
            <w:tcBorders>
              <w:top w:val="nil"/>
              <w:left w:val="nil"/>
              <w:bottom w:val="nil"/>
              <w:right w:val="nil"/>
            </w:tcBorders>
            <w:shd w:val="clear" w:color="auto" w:fill="auto"/>
            <w:noWrap/>
            <w:hideMark/>
          </w:tcPr>
          <w:p w:rsidR="00F205B7" w:rsidRPr="00F205B7" w:rsidRDefault="00E75057" w:rsidP="00F205B7">
            <w:pPr>
              <w:jc w:val="center"/>
              <w:rPr>
                <w:snapToGrid/>
                <w:color w:val="000000"/>
                <w:sz w:val="16"/>
                <w:szCs w:val="16"/>
                <w:lang w:eastAsia="en-AU"/>
              </w:rPr>
            </w:pPr>
            <w:r>
              <w:rPr>
                <w:noProof/>
                <w:snapToGrid/>
                <w:lang w:eastAsia="en-AU"/>
              </w:rPr>
              <mc:AlternateContent>
                <mc:Choice Requires="wps">
                  <w:drawing>
                    <wp:anchor distT="0" distB="0" distL="114300" distR="114300" simplePos="0" relativeHeight="251666432" behindDoc="0" locked="0" layoutInCell="1" allowOverlap="1" wp14:anchorId="3A7F63D1" wp14:editId="44250EC2">
                      <wp:simplePos x="0" y="0"/>
                      <wp:positionH relativeFrom="column">
                        <wp:posOffset>83185</wp:posOffset>
                      </wp:positionH>
                      <wp:positionV relativeFrom="paragraph">
                        <wp:posOffset>-2540</wp:posOffset>
                      </wp:positionV>
                      <wp:extent cx="9403080" cy="127000"/>
                      <wp:effectExtent l="0" t="0" r="26670" b="25400"/>
                      <wp:wrapNone/>
                      <wp:docPr id="34" name="Rectangle 34"/>
                      <wp:cNvGraphicFramePr/>
                      <a:graphic xmlns:a="http://schemas.openxmlformats.org/drawingml/2006/main">
                        <a:graphicData uri="http://schemas.microsoft.com/office/word/2010/wordprocessingShape">
                          <wps:wsp>
                            <wps:cNvSpPr/>
                            <wps:spPr bwMode="ltGray">
                              <a:xfrm>
                                <a:off x="0" y="0"/>
                                <a:ext cx="9403080" cy="127000"/>
                              </a:xfrm>
                              <a:prstGeom prst="rect">
                                <a:avLst/>
                              </a:prstGeom>
                              <a:noFill/>
                              <a:ln w="22225">
                                <a:solidFill>
                                  <a:schemeClr val="accent1">
                                    <a:shade val="50000"/>
                                    <a:alpha val="67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6.55pt;margin-top:-.2pt;width:740.4pt;height: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" filled="f" strokecolor="#511010 [1604]" strokeweight="1.75pt">
                      <v:stroke opacity="43947f"/>
                    </v:rect>
                  </w:pict>
                </mc:Fallback>
              </mc:AlternateContent>
            </w:r>
            <w:r w:rsidR="00F205B7" w:rsidRPr="00F205B7">
              <w:rPr>
                <w:snapToGrid/>
                <w:color w:val="000000"/>
                <w:sz w:val="16"/>
                <w:szCs w:val="16"/>
                <w:lang w:eastAsia="en-AU"/>
              </w:rPr>
              <w:t>No</w:t>
            </w:r>
          </w:p>
        </w:tc>
        <w:tc>
          <w:tcPr>
            <w:tcW w:w="320"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18</w:t>
            </w:r>
          </w:p>
        </w:tc>
        <w:tc>
          <w:tcPr>
            <w:tcW w:w="210" w:type="pct"/>
            <w:tcBorders>
              <w:top w:val="nil"/>
              <w:left w:val="nil"/>
              <w:bottom w:val="nil"/>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A06D</w:t>
            </w:r>
          </w:p>
        </w:tc>
        <w:tc>
          <w:tcPr>
            <w:tcW w:w="1030" w:type="pct"/>
            <w:tcBorders>
              <w:top w:val="nil"/>
              <w:left w:val="nil"/>
              <w:bottom w:val="nil"/>
              <w:right w:val="nil"/>
            </w:tcBorders>
            <w:shd w:val="clear" w:color="auto" w:fill="auto"/>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Tracheostomy W/O Catastrophic CC</w:t>
            </w:r>
          </w:p>
        </w:tc>
        <w:tc>
          <w:tcPr>
            <w:tcW w:w="255" w:type="pct"/>
            <w:tcBorders>
              <w:top w:val="nil"/>
              <w:left w:val="nil"/>
              <w:bottom w:val="nil"/>
              <w:right w:val="nil"/>
            </w:tcBorders>
            <w:shd w:val="clear" w:color="000000" w:fill="F4CACA"/>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12.52</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65</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815</w:t>
            </w:r>
          </w:p>
        </w:tc>
        <w:tc>
          <w:tcPr>
            <w:tcW w:w="33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780</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12.0</w:t>
            </w:r>
          </w:p>
        </w:tc>
        <w:tc>
          <w:tcPr>
            <w:tcW w:w="219"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2.91</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32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6.72</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 xml:space="preserve">62 </w:t>
            </w:r>
          </w:p>
        </w:tc>
      </w:tr>
      <w:tr w:rsidR="009A23AC" w:rsidRPr="00F205B7" w:rsidTr="009A23AC">
        <w:trPr>
          <w:trHeight w:val="201"/>
        </w:trPr>
        <w:tc>
          <w:tcPr>
            <w:tcW w:w="257"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19</w:t>
            </w:r>
          </w:p>
        </w:tc>
        <w:tc>
          <w:tcPr>
            <w:tcW w:w="210" w:type="pct"/>
            <w:tcBorders>
              <w:top w:val="nil"/>
              <w:left w:val="nil"/>
              <w:bottom w:val="nil"/>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D01Z</w:t>
            </w:r>
          </w:p>
        </w:tc>
        <w:tc>
          <w:tcPr>
            <w:tcW w:w="1030" w:type="pct"/>
            <w:tcBorders>
              <w:top w:val="nil"/>
              <w:left w:val="nil"/>
              <w:bottom w:val="nil"/>
              <w:right w:val="nil"/>
            </w:tcBorders>
            <w:shd w:val="clear" w:color="auto" w:fill="auto"/>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Cochlear Implant</w:t>
            </w:r>
          </w:p>
        </w:tc>
        <w:tc>
          <w:tcPr>
            <w:tcW w:w="255" w:type="pct"/>
            <w:tcBorders>
              <w:top w:val="nil"/>
              <w:left w:val="nil"/>
              <w:bottom w:val="nil"/>
              <w:right w:val="nil"/>
            </w:tcBorders>
            <w:shd w:val="clear" w:color="000000" w:fill="F4CACA"/>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11.43</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560</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6,401</w:t>
            </w:r>
          </w:p>
        </w:tc>
        <w:tc>
          <w:tcPr>
            <w:tcW w:w="33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825</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1.5</w:t>
            </w:r>
          </w:p>
        </w:tc>
        <w:tc>
          <w:tcPr>
            <w:tcW w:w="219"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0.15</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32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0.2%</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11.67</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 xml:space="preserve">20 </w:t>
            </w:r>
          </w:p>
        </w:tc>
      </w:tr>
      <w:tr w:rsidR="009A23AC" w:rsidRPr="00F205B7" w:rsidTr="009A23AC">
        <w:trPr>
          <w:trHeight w:val="402"/>
        </w:trPr>
        <w:tc>
          <w:tcPr>
            <w:tcW w:w="257"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No</w:t>
            </w:r>
          </w:p>
        </w:tc>
        <w:tc>
          <w:tcPr>
            <w:tcW w:w="320"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20</w:t>
            </w:r>
          </w:p>
        </w:tc>
        <w:tc>
          <w:tcPr>
            <w:tcW w:w="210" w:type="pct"/>
            <w:tcBorders>
              <w:top w:val="nil"/>
              <w:left w:val="nil"/>
              <w:bottom w:val="nil"/>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F03B</w:t>
            </w:r>
          </w:p>
        </w:tc>
        <w:tc>
          <w:tcPr>
            <w:tcW w:w="1030" w:type="pct"/>
            <w:tcBorders>
              <w:top w:val="nil"/>
              <w:left w:val="nil"/>
              <w:bottom w:val="nil"/>
              <w:right w:val="nil"/>
            </w:tcBorders>
            <w:shd w:val="clear" w:color="auto" w:fill="auto"/>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Cardiac Valve Proc W CPB Pump W Invasive Cardiac Investigation W/O Cat CC</w:t>
            </w:r>
          </w:p>
        </w:tc>
        <w:tc>
          <w:tcPr>
            <w:tcW w:w="255" w:type="pct"/>
            <w:tcBorders>
              <w:top w:val="nil"/>
              <w:left w:val="nil"/>
              <w:bottom w:val="nil"/>
              <w:right w:val="nil"/>
            </w:tcBorders>
            <w:shd w:val="clear" w:color="000000" w:fill="F4CACA"/>
            <w:noWrap/>
            <w:hideMark/>
          </w:tcPr>
          <w:p w:rsidR="00F205B7" w:rsidRPr="00F205B7" w:rsidRDefault="00B03252" w:rsidP="00F205B7">
            <w:pPr>
              <w:jc w:val="right"/>
              <w:rPr>
                <w:snapToGrid/>
                <w:color w:val="000000"/>
                <w:sz w:val="16"/>
                <w:szCs w:val="16"/>
                <w:lang w:eastAsia="en-AU"/>
              </w:rPr>
            </w:pPr>
            <w:r>
              <w:rPr>
                <w:noProof/>
                <w:snapToGrid/>
                <w:lang w:eastAsia="en-AU"/>
              </w:rPr>
              <mc:AlternateContent>
                <mc:Choice Requires="wps">
                  <w:drawing>
                    <wp:anchor distT="0" distB="0" distL="114300" distR="114300" simplePos="0" relativeHeight="251698176" behindDoc="0" locked="0" layoutInCell="1" allowOverlap="1" wp14:anchorId="5CB40D67" wp14:editId="02731BF6">
                      <wp:simplePos x="0" y="0"/>
                      <wp:positionH relativeFrom="column">
                        <wp:posOffset>425450</wp:posOffset>
                      </wp:positionH>
                      <wp:positionV relativeFrom="paragraph">
                        <wp:posOffset>165100</wp:posOffset>
                      </wp:positionV>
                      <wp:extent cx="1539240" cy="600075"/>
                      <wp:effectExtent l="0" t="0" r="22860" b="28575"/>
                      <wp:wrapNone/>
                      <wp:docPr id="62" name="Oval 62"/>
                      <wp:cNvGraphicFramePr/>
                      <a:graphic xmlns:a="http://schemas.openxmlformats.org/drawingml/2006/main">
                        <a:graphicData uri="http://schemas.microsoft.com/office/word/2010/wordprocessingShape">
                          <wps:wsp>
                            <wps:cNvSpPr/>
                            <wps:spPr bwMode="ltGray">
                              <a:xfrm>
                                <a:off x="0" y="0"/>
                                <a:ext cx="1539240" cy="60007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2" o:spid="_x0000_s1026" style="position:absolute;margin-left:33.5pt;margin-top:13pt;width:121.2pt;height:4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" filled="f" strokecolor="#511010 [1604]" strokeweight="1pt"/>
                  </w:pict>
                </mc:Fallback>
              </mc:AlternateContent>
            </w:r>
            <w:r w:rsidR="00F205B7" w:rsidRPr="00F205B7">
              <w:rPr>
                <w:snapToGrid/>
                <w:color w:val="000000"/>
                <w:sz w:val="16"/>
                <w:szCs w:val="16"/>
                <w:lang w:eastAsia="en-AU"/>
              </w:rPr>
              <w:t>11.42</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217</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2,476</w:t>
            </w:r>
          </w:p>
        </w:tc>
        <w:tc>
          <w:tcPr>
            <w:tcW w:w="33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2,333</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10.8</w:t>
            </w:r>
          </w:p>
        </w:tc>
        <w:tc>
          <w:tcPr>
            <w:tcW w:w="219"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0.47</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0.0%</w:t>
            </w:r>
          </w:p>
        </w:tc>
        <w:tc>
          <w:tcPr>
            <w:tcW w:w="32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0.1%</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9.20</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 xml:space="preserve">34 </w:t>
            </w:r>
          </w:p>
        </w:tc>
      </w:tr>
      <w:tr w:rsidR="009A23AC" w:rsidRPr="00F205B7" w:rsidTr="009A23AC">
        <w:trPr>
          <w:trHeight w:val="201"/>
        </w:trPr>
        <w:tc>
          <w:tcPr>
            <w:tcW w:w="257" w:type="pct"/>
            <w:tcBorders>
              <w:top w:val="single" w:sz="4" w:space="0" w:color="auto"/>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13</w:t>
            </w:r>
          </w:p>
        </w:tc>
        <w:tc>
          <w:tcPr>
            <w:tcW w:w="1561" w:type="pct"/>
            <w:gridSpan w:val="3"/>
            <w:tcBorders>
              <w:top w:val="single" w:sz="4" w:space="0" w:color="auto"/>
              <w:left w:val="nil"/>
              <w:bottom w:val="nil"/>
              <w:right w:val="nil"/>
            </w:tcBorders>
            <w:shd w:val="clear" w:color="auto" w:fill="auto"/>
            <w:noWrap/>
            <w:hideMark/>
          </w:tcPr>
          <w:p w:rsidR="00F205B7" w:rsidRPr="00F205B7" w:rsidRDefault="00F205B7" w:rsidP="00F205B7">
            <w:pPr>
              <w:rPr>
                <w:b/>
                <w:bCs/>
                <w:snapToGrid/>
                <w:color w:val="000000"/>
                <w:sz w:val="16"/>
                <w:szCs w:val="16"/>
                <w:lang w:eastAsia="en-AU"/>
              </w:rPr>
            </w:pPr>
            <w:r w:rsidRPr="00F205B7">
              <w:rPr>
                <w:b/>
                <w:bCs/>
                <w:snapToGrid/>
                <w:color w:val="000000"/>
                <w:sz w:val="16"/>
                <w:szCs w:val="16"/>
                <w:lang w:eastAsia="en-AU"/>
              </w:rPr>
              <w:t>Sub-total, top 20 highest cost weight</w:t>
            </w:r>
          </w:p>
        </w:tc>
        <w:tc>
          <w:tcPr>
            <w:tcW w:w="255" w:type="pct"/>
            <w:tcBorders>
              <w:top w:val="single" w:sz="4" w:space="0" w:color="auto"/>
              <w:left w:val="nil"/>
              <w:bottom w:val="nil"/>
              <w:right w:val="nil"/>
            </w:tcBorders>
            <w:shd w:val="clear" w:color="000000" w:fill="F4CACA"/>
            <w:noWrap/>
            <w:hideMark/>
          </w:tcPr>
          <w:p w:rsidR="00F205B7" w:rsidRPr="00F205B7" w:rsidRDefault="00F205B7" w:rsidP="00F205B7">
            <w:pPr>
              <w:jc w:val="right"/>
              <w:rPr>
                <w:b/>
                <w:bCs/>
                <w:snapToGrid/>
                <w:color w:val="000000"/>
                <w:sz w:val="16"/>
                <w:szCs w:val="16"/>
                <w:lang w:eastAsia="en-AU"/>
              </w:rPr>
            </w:pPr>
            <w:r w:rsidRPr="00F205B7">
              <w:rPr>
                <w:b/>
                <w:bCs/>
                <w:snapToGrid/>
                <w:color w:val="000000"/>
                <w:sz w:val="16"/>
                <w:szCs w:val="16"/>
                <w:lang w:eastAsia="en-AU"/>
              </w:rPr>
              <w:t>17.12</w:t>
            </w:r>
          </w:p>
        </w:tc>
        <w:tc>
          <w:tcPr>
            <w:tcW w:w="393" w:type="pct"/>
            <w:tcBorders>
              <w:top w:val="single" w:sz="4" w:space="0" w:color="auto"/>
              <w:left w:val="nil"/>
              <w:bottom w:val="nil"/>
              <w:right w:val="nil"/>
            </w:tcBorders>
            <w:shd w:val="clear" w:color="auto" w:fill="auto"/>
            <w:noWrap/>
            <w:hideMark/>
          </w:tcPr>
          <w:p w:rsidR="00F205B7" w:rsidRPr="00F205B7" w:rsidRDefault="00F205B7" w:rsidP="00F205B7">
            <w:pPr>
              <w:jc w:val="right"/>
              <w:rPr>
                <w:b/>
                <w:bCs/>
                <w:snapToGrid/>
                <w:color w:val="000000"/>
                <w:sz w:val="16"/>
                <w:szCs w:val="16"/>
                <w:lang w:eastAsia="en-AU"/>
              </w:rPr>
            </w:pPr>
            <w:r w:rsidRPr="00F205B7">
              <w:rPr>
                <w:b/>
                <w:bCs/>
                <w:snapToGrid/>
                <w:color w:val="000000"/>
                <w:sz w:val="16"/>
                <w:szCs w:val="16"/>
                <w:lang w:eastAsia="en-AU"/>
              </w:rPr>
              <w:t>10,384</w:t>
            </w:r>
          </w:p>
        </w:tc>
        <w:tc>
          <w:tcPr>
            <w:tcW w:w="378" w:type="pct"/>
            <w:tcBorders>
              <w:top w:val="single" w:sz="4" w:space="0" w:color="auto"/>
              <w:left w:val="nil"/>
              <w:bottom w:val="nil"/>
              <w:right w:val="nil"/>
            </w:tcBorders>
            <w:shd w:val="clear" w:color="auto" w:fill="auto"/>
            <w:noWrap/>
            <w:hideMark/>
          </w:tcPr>
          <w:p w:rsidR="00F205B7" w:rsidRPr="00F205B7" w:rsidRDefault="00F205B7" w:rsidP="00F205B7">
            <w:pPr>
              <w:jc w:val="right"/>
              <w:rPr>
                <w:b/>
                <w:bCs/>
                <w:snapToGrid/>
                <w:color w:val="000000"/>
                <w:sz w:val="16"/>
                <w:szCs w:val="16"/>
                <w:lang w:eastAsia="en-AU"/>
              </w:rPr>
            </w:pPr>
            <w:r w:rsidRPr="00F205B7">
              <w:rPr>
                <w:b/>
                <w:bCs/>
                <w:snapToGrid/>
                <w:color w:val="000000"/>
                <w:sz w:val="16"/>
                <w:szCs w:val="16"/>
                <w:lang w:eastAsia="en-AU"/>
              </w:rPr>
              <w:t>177,780</w:t>
            </w:r>
          </w:p>
        </w:tc>
        <w:tc>
          <w:tcPr>
            <w:tcW w:w="331" w:type="pct"/>
            <w:tcBorders>
              <w:top w:val="single" w:sz="4" w:space="0" w:color="auto"/>
              <w:left w:val="nil"/>
              <w:bottom w:val="nil"/>
              <w:right w:val="nil"/>
            </w:tcBorders>
            <w:shd w:val="clear" w:color="auto" w:fill="auto"/>
            <w:noWrap/>
            <w:hideMark/>
          </w:tcPr>
          <w:p w:rsidR="00F205B7" w:rsidRPr="00F205B7" w:rsidRDefault="00F205B7" w:rsidP="00F205B7">
            <w:pPr>
              <w:jc w:val="right"/>
              <w:rPr>
                <w:b/>
                <w:bCs/>
                <w:snapToGrid/>
                <w:color w:val="000000"/>
                <w:sz w:val="16"/>
                <w:szCs w:val="16"/>
                <w:lang w:eastAsia="en-AU"/>
              </w:rPr>
            </w:pPr>
            <w:r w:rsidRPr="00F205B7">
              <w:rPr>
                <w:b/>
                <w:bCs/>
                <w:snapToGrid/>
                <w:color w:val="000000"/>
                <w:sz w:val="16"/>
                <w:szCs w:val="16"/>
                <w:lang w:eastAsia="en-AU"/>
              </w:rPr>
              <w:t>131,165</w:t>
            </w:r>
          </w:p>
        </w:tc>
        <w:tc>
          <w:tcPr>
            <w:tcW w:w="378" w:type="pct"/>
            <w:tcBorders>
              <w:top w:val="single" w:sz="4" w:space="0" w:color="auto"/>
              <w:left w:val="nil"/>
              <w:bottom w:val="nil"/>
              <w:right w:val="nil"/>
            </w:tcBorders>
            <w:shd w:val="clear" w:color="auto" w:fill="auto"/>
            <w:noWrap/>
            <w:hideMark/>
          </w:tcPr>
          <w:p w:rsidR="00F205B7" w:rsidRPr="00F205B7" w:rsidRDefault="00F205B7" w:rsidP="00F205B7">
            <w:pPr>
              <w:jc w:val="right"/>
              <w:rPr>
                <w:b/>
                <w:bCs/>
                <w:snapToGrid/>
                <w:color w:val="000000"/>
                <w:sz w:val="16"/>
                <w:szCs w:val="16"/>
                <w:lang w:eastAsia="en-AU"/>
              </w:rPr>
            </w:pPr>
            <w:r w:rsidRPr="00F205B7">
              <w:rPr>
                <w:b/>
                <w:bCs/>
                <w:snapToGrid/>
                <w:color w:val="000000"/>
                <w:sz w:val="16"/>
                <w:szCs w:val="16"/>
                <w:lang w:eastAsia="en-AU"/>
              </w:rPr>
              <w:t>12.6</w:t>
            </w:r>
          </w:p>
        </w:tc>
        <w:tc>
          <w:tcPr>
            <w:tcW w:w="219" w:type="pct"/>
            <w:tcBorders>
              <w:top w:val="single" w:sz="4" w:space="0" w:color="auto"/>
              <w:left w:val="nil"/>
              <w:bottom w:val="nil"/>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 </w:t>
            </w:r>
          </w:p>
        </w:tc>
        <w:tc>
          <w:tcPr>
            <w:tcW w:w="393" w:type="pct"/>
            <w:tcBorders>
              <w:top w:val="single" w:sz="4" w:space="0" w:color="auto"/>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0.4%</w:t>
            </w:r>
          </w:p>
        </w:tc>
        <w:tc>
          <w:tcPr>
            <w:tcW w:w="321" w:type="pct"/>
            <w:tcBorders>
              <w:top w:val="single" w:sz="4" w:space="0" w:color="auto"/>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6.3%</w:t>
            </w:r>
          </w:p>
        </w:tc>
        <w:tc>
          <w:tcPr>
            <w:tcW w:w="257" w:type="pct"/>
            <w:tcBorders>
              <w:top w:val="single" w:sz="4" w:space="0" w:color="auto"/>
              <w:left w:val="nil"/>
              <w:bottom w:val="nil"/>
              <w:right w:val="nil"/>
            </w:tcBorders>
            <w:shd w:val="clear" w:color="auto" w:fill="auto"/>
            <w:noWrap/>
            <w:hideMark/>
          </w:tcPr>
          <w:p w:rsidR="00F205B7" w:rsidRPr="00F205B7" w:rsidRDefault="00F205B7" w:rsidP="00F205B7">
            <w:pPr>
              <w:rPr>
                <w:b/>
                <w:bCs/>
                <w:snapToGrid/>
                <w:color w:val="000000"/>
                <w:sz w:val="16"/>
                <w:szCs w:val="16"/>
                <w:lang w:eastAsia="en-AU"/>
              </w:rPr>
            </w:pPr>
            <w:r w:rsidRPr="00F205B7">
              <w:rPr>
                <w:b/>
                <w:bCs/>
                <w:snapToGrid/>
                <w:color w:val="000000"/>
                <w:sz w:val="16"/>
                <w:szCs w:val="16"/>
                <w:lang w:eastAsia="en-AU"/>
              </w:rPr>
              <w:t> </w:t>
            </w:r>
          </w:p>
        </w:tc>
        <w:tc>
          <w:tcPr>
            <w:tcW w:w="257" w:type="pct"/>
            <w:tcBorders>
              <w:top w:val="single" w:sz="4" w:space="0" w:color="auto"/>
              <w:left w:val="nil"/>
              <w:bottom w:val="nil"/>
              <w:right w:val="nil"/>
            </w:tcBorders>
            <w:shd w:val="clear" w:color="auto" w:fill="auto"/>
            <w:noWrap/>
            <w:hideMark/>
          </w:tcPr>
          <w:p w:rsidR="00F205B7" w:rsidRPr="00F205B7" w:rsidRDefault="00F205B7" w:rsidP="00F205B7">
            <w:pPr>
              <w:rPr>
                <w:b/>
                <w:bCs/>
                <w:snapToGrid/>
                <w:color w:val="000000"/>
                <w:sz w:val="16"/>
                <w:szCs w:val="16"/>
                <w:lang w:eastAsia="en-AU"/>
              </w:rPr>
            </w:pPr>
            <w:r w:rsidRPr="00F205B7">
              <w:rPr>
                <w:b/>
                <w:bCs/>
                <w:snapToGrid/>
                <w:color w:val="000000"/>
                <w:sz w:val="16"/>
                <w:szCs w:val="16"/>
                <w:lang w:eastAsia="en-AU"/>
              </w:rPr>
              <w:t> </w:t>
            </w:r>
          </w:p>
        </w:tc>
      </w:tr>
      <w:tr w:rsidR="009A23AC" w:rsidRPr="00F205B7" w:rsidTr="009A23AC">
        <w:trPr>
          <w:trHeight w:val="201"/>
        </w:trPr>
        <w:tc>
          <w:tcPr>
            <w:tcW w:w="257" w:type="pct"/>
            <w:tcBorders>
              <w:top w:val="nil"/>
              <w:left w:val="nil"/>
              <w:bottom w:val="nil"/>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 xml:space="preserve">in </w:t>
            </w:r>
          </w:p>
        </w:tc>
        <w:tc>
          <w:tcPr>
            <w:tcW w:w="320" w:type="pct"/>
            <w:tcBorders>
              <w:top w:val="nil"/>
              <w:left w:val="nil"/>
              <w:bottom w:val="nil"/>
              <w:right w:val="nil"/>
            </w:tcBorders>
            <w:shd w:val="clear" w:color="auto" w:fill="auto"/>
            <w:noWrap/>
            <w:hideMark/>
          </w:tcPr>
          <w:p w:rsidR="00F205B7" w:rsidRPr="00F205B7" w:rsidRDefault="00F205B7" w:rsidP="00F205B7">
            <w:pPr>
              <w:rPr>
                <w:b/>
                <w:bCs/>
                <w:snapToGrid/>
                <w:color w:val="000000"/>
                <w:sz w:val="16"/>
                <w:szCs w:val="16"/>
                <w:lang w:eastAsia="en-AU"/>
              </w:rPr>
            </w:pPr>
            <w:r w:rsidRPr="00F205B7">
              <w:rPr>
                <w:b/>
                <w:bCs/>
                <w:snapToGrid/>
                <w:color w:val="000000"/>
                <w:sz w:val="16"/>
                <w:szCs w:val="16"/>
                <w:lang w:eastAsia="en-AU"/>
              </w:rPr>
              <w:t>All DRGs</w:t>
            </w:r>
          </w:p>
        </w:tc>
        <w:tc>
          <w:tcPr>
            <w:tcW w:w="210" w:type="pct"/>
            <w:tcBorders>
              <w:top w:val="nil"/>
              <w:left w:val="nil"/>
              <w:bottom w:val="nil"/>
              <w:right w:val="nil"/>
            </w:tcBorders>
            <w:shd w:val="clear" w:color="auto" w:fill="auto"/>
            <w:noWrap/>
            <w:hideMark/>
          </w:tcPr>
          <w:p w:rsidR="00F205B7" w:rsidRPr="00F205B7" w:rsidRDefault="00F205B7" w:rsidP="00F205B7">
            <w:pPr>
              <w:rPr>
                <w:b/>
                <w:bCs/>
                <w:snapToGrid/>
                <w:color w:val="000000"/>
                <w:sz w:val="16"/>
                <w:szCs w:val="16"/>
                <w:lang w:eastAsia="en-AU"/>
              </w:rPr>
            </w:pPr>
          </w:p>
        </w:tc>
        <w:tc>
          <w:tcPr>
            <w:tcW w:w="1030" w:type="pct"/>
            <w:tcBorders>
              <w:top w:val="nil"/>
              <w:left w:val="nil"/>
              <w:bottom w:val="nil"/>
              <w:right w:val="nil"/>
            </w:tcBorders>
            <w:shd w:val="clear" w:color="auto" w:fill="auto"/>
            <w:hideMark/>
          </w:tcPr>
          <w:p w:rsidR="00F205B7" w:rsidRPr="00F205B7" w:rsidRDefault="00F205B7" w:rsidP="00F205B7">
            <w:pPr>
              <w:rPr>
                <w:b/>
                <w:bCs/>
                <w:snapToGrid/>
                <w:color w:val="000000"/>
                <w:sz w:val="16"/>
                <w:szCs w:val="16"/>
                <w:lang w:eastAsia="en-AU"/>
              </w:rPr>
            </w:pPr>
            <w:r w:rsidRPr="00F205B7">
              <w:rPr>
                <w:b/>
                <w:bCs/>
                <w:snapToGrid/>
                <w:color w:val="000000"/>
                <w:sz w:val="16"/>
                <w:szCs w:val="16"/>
                <w:lang w:eastAsia="en-AU"/>
              </w:rPr>
              <w:t xml:space="preserve"> </w:t>
            </w:r>
          </w:p>
        </w:tc>
        <w:tc>
          <w:tcPr>
            <w:tcW w:w="255" w:type="pct"/>
            <w:tcBorders>
              <w:top w:val="nil"/>
              <w:left w:val="nil"/>
              <w:bottom w:val="nil"/>
              <w:right w:val="nil"/>
            </w:tcBorders>
            <w:shd w:val="clear" w:color="000000" w:fill="F4CACA"/>
            <w:noWrap/>
            <w:hideMark/>
          </w:tcPr>
          <w:p w:rsidR="00F205B7" w:rsidRPr="00F205B7" w:rsidRDefault="00F205B7" w:rsidP="00F205B7">
            <w:pPr>
              <w:jc w:val="right"/>
              <w:rPr>
                <w:b/>
                <w:bCs/>
                <w:snapToGrid/>
                <w:color w:val="000000"/>
                <w:sz w:val="16"/>
                <w:szCs w:val="16"/>
                <w:lang w:eastAsia="en-AU"/>
              </w:rPr>
            </w:pPr>
            <w:r w:rsidRPr="00F205B7">
              <w:rPr>
                <w:b/>
                <w:bCs/>
                <w:snapToGrid/>
                <w:color w:val="000000"/>
                <w:sz w:val="16"/>
                <w:szCs w:val="16"/>
                <w:lang w:eastAsia="en-AU"/>
              </w:rPr>
              <w:t>1.00</w:t>
            </w:r>
          </w:p>
        </w:tc>
        <w:tc>
          <w:tcPr>
            <w:tcW w:w="393" w:type="pct"/>
            <w:tcBorders>
              <w:top w:val="nil"/>
              <w:left w:val="nil"/>
              <w:bottom w:val="nil"/>
              <w:right w:val="nil"/>
            </w:tcBorders>
            <w:shd w:val="clear" w:color="auto" w:fill="auto"/>
            <w:noWrap/>
            <w:hideMark/>
          </w:tcPr>
          <w:p w:rsidR="00F205B7" w:rsidRPr="00F205B7" w:rsidRDefault="00F205B7" w:rsidP="00F205B7">
            <w:pPr>
              <w:jc w:val="right"/>
              <w:rPr>
                <w:b/>
                <w:bCs/>
                <w:snapToGrid/>
                <w:color w:val="000000"/>
                <w:sz w:val="16"/>
                <w:szCs w:val="16"/>
                <w:lang w:eastAsia="en-AU"/>
              </w:rPr>
            </w:pPr>
            <w:r w:rsidRPr="00F205B7">
              <w:rPr>
                <w:b/>
                <w:bCs/>
                <w:snapToGrid/>
                <w:color w:val="000000"/>
                <w:sz w:val="16"/>
                <w:szCs w:val="16"/>
                <w:lang w:eastAsia="en-AU"/>
              </w:rPr>
              <w:t>2,827,996</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b/>
                <w:bCs/>
                <w:snapToGrid/>
                <w:color w:val="000000"/>
                <w:sz w:val="16"/>
                <w:szCs w:val="16"/>
                <w:lang w:eastAsia="en-AU"/>
              </w:rPr>
            </w:pPr>
            <w:r w:rsidRPr="00F205B7">
              <w:rPr>
                <w:b/>
                <w:bCs/>
                <w:snapToGrid/>
                <w:color w:val="000000"/>
                <w:sz w:val="16"/>
                <w:szCs w:val="16"/>
                <w:lang w:eastAsia="en-AU"/>
              </w:rPr>
              <w:t>2,827,996</w:t>
            </w:r>
          </w:p>
        </w:tc>
        <w:tc>
          <w:tcPr>
            <w:tcW w:w="331" w:type="pct"/>
            <w:tcBorders>
              <w:top w:val="nil"/>
              <w:left w:val="nil"/>
              <w:bottom w:val="nil"/>
              <w:right w:val="nil"/>
            </w:tcBorders>
            <w:shd w:val="clear" w:color="auto" w:fill="auto"/>
            <w:noWrap/>
            <w:hideMark/>
          </w:tcPr>
          <w:p w:rsidR="00F205B7" w:rsidRPr="00F205B7" w:rsidRDefault="00F205B7" w:rsidP="00F205B7">
            <w:pPr>
              <w:jc w:val="right"/>
              <w:rPr>
                <w:b/>
                <w:bCs/>
                <w:snapToGrid/>
                <w:color w:val="000000"/>
                <w:sz w:val="16"/>
                <w:szCs w:val="16"/>
                <w:lang w:eastAsia="en-AU"/>
              </w:rPr>
            </w:pPr>
            <w:r w:rsidRPr="00F205B7">
              <w:rPr>
                <w:b/>
                <w:bCs/>
                <w:snapToGrid/>
                <w:color w:val="000000"/>
                <w:sz w:val="16"/>
                <w:szCs w:val="16"/>
                <w:lang w:eastAsia="en-AU"/>
              </w:rPr>
              <w:t>6,821,124</w:t>
            </w:r>
          </w:p>
        </w:tc>
        <w:tc>
          <w:tcPr>
            <w:tcW w:w="378" w:type="pct"/>
            <w:tcBorders>
              <w:top w:val="nil"/>
              <w:left w:val="nil"/>
              <w:bottom w:val="nil"/>
              <w:right w:val="nil"/>
            </w:tcBorders>
            <w:shd w:val="clear" w:color="auto" w:fill="auto"/>
            <w:noWrap/>
            <w:hideMark/>
          </w:tcPr>
          <w:p w:rsidR="00F205B7" w:rsidRPr="00F205B7" w:rsidRDefault="00F205B7" w:rsidP="00F205B7">
            <w:pPr>
              <w:jc w:val="right"/>
              <w:rPr>
                <w:b/>
                <w:bCs/>
                <w:snapToGrid/>
                <w:color w:val="000000"/>
                <w:sz w:val="16"/>
                <w:szCs w:val="16"/>
                <w:lang w:eastAsia="en-AU"/>
              </w:rPr>
            </w:pPr>
            <w:r w:rsidRPr="00F205B7">
              <w:rPr>
                <w:b/>
                <w:bCs/>
                <w:snapToGrid/>
                <w:color w:val="000000"/>
                <w:sz w:val="16"/>
                <w:szCs w:val="16"/>
                <w:lang w:eastAsia="en-AU"/>
              </w:rPr>
              <w:t>2.4</w:t>
            </w:r>
          </w:p>
        </w:tc>
        <w:tc>
          <w:tcPr>
            <w:tcW w:w="219" w:type="pct"/>
            <w:tcBorders>
              <w:top w:val="nil"/>
              <w:left w:val="nil"/>
              <w:bottom w:val="nil"/>
              <w:right w:val="nil"/>
            </w:tcBorders>
            <w:shd w:val="clear" w:color="auto" w:fill="auto"/>
            <w:noWrap/>
            <w:hideMark/>
          </w:tcPr>
          <w:p w:rsidR="00F205B7" w:rsidRPr="00F205B7" w:rsidRDefault="00F205B7" w:rsidP="00F205B7">
            <w:pPr>
              <w:jc w:val="right"/>
              <w:rPr>
                <w:b/>
                <w:bCs/>
                <w:snapToGrid/>
                <w:color w:val="000000"/>
                <w:sz w:val="16"/>
                <w:szCs w:val="16"/>
                <w:lang w:eastAsia="en-AU"/>
              </w:rPr>
            </w:pPr>
          </w:p>
        </w:tc>
        <w:tc>
          <w:tcPr>
            <w:tcW w:w="393"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100%</w:t>
            </w:r>
          </w:p>
        </w:tc>
        <w:tc>
          <w:tcPr>
            <w:tcW w:w="321"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r w:rsidRPr="00F205B7">
              <w:rPr>
                <w:snapToGrid/>
                <w:color w:val="000000"/>
                <w:sz w:val="16"/>
                <w:szCs w:val="16"/>
                <w:lang w:eastAsia="en-AU"/>
              </w:rPr>
              <w:t>100%</w:t>
            </w:r>
          </w:p>
        </w:tc>
        <w:tc>
          <w:tcPr>
            <w:tcW w:w="257" w:type="pct"/>
            <w:tcBorders>
              <w:top w:val="nil"/>
              <w:left w:val="nil"/>
              <w:bottom w:val="nil"/>
              <w:right w:val="nil"/>
            </w:tcBorders>
            <w:shd w:val="clear" w:color="auto" w:fill="auto"/>
            <w:noWrap/>
            <w:hideMark/>
          </w:tcPr>
          <w:p w:rsidR="00F205B7" w:rsidRPr="00F205B7" w:rsidRDefault="00F205B7" w:rsidP="00F205B7">
            <w:pPr>
              <w:jc w:val="right"/>
              <w:rPr>
                <w:snapToGrid/>
                <w:color w:val="000000"/>
                <w:sz w:val="16"/>
                <w:szCs w:val="16"/>
                <w:lang w:eastAsia="en-AU"/>
              </w:rPr>
            </w:pPr>
          </w:p>
        </w:tc>
        <w:tc>
          <w:tcPr>
            <w:tcW w:w="257" w:type="pct"/>
            <w:tcBorders>
              <w:top w:val="nil"/>
              <w:left w:val="nil"/>
              <w:bottom w:val="nil"/>
              <w:right w:val="nil"/>
            </w:tcBorders>
            <w:shd w:val="clear" w:color="auto" w:fill="auto"/>
            <w:noWrap/>
            <w:hideMark/>
          </w:tcPr>
          <w:p w:rsidR="00F205B7" w:rsidRPr="00F205B7" w:rsidRDefault="00F205B7" w:rsidP="00F205B7">
            <w:pPr>
              <w:rPr>
                <w:rFonts w:ascii="Times New Roman" w:hAnsi="Times New Roman" w:cs="Times New Roman"/>
                <w:snapToGrid/>
                <w:lang w:eastAsia="en-AU"/>
              </w:rPr>
            </w:pPr>
          </w:p>
        </w:tc>
      </w:tr>
      <w:tr w:rsidR="009A23AC" w:rsidRPr="00F205B7" w:rsidTr="009A23AC">
        <w:trPr>
          <w:trHeight w:val="201"/>
        </w:trPr>
        <w:tc>
          <w:tcPr>
            <w:tcW w:w="257" w:type="pct"/>
            <w:tcBorders>
              <w:top w:val="nil"/>
              <w:left w:val="nil"/>
              <w:bottom w:val="single" w:sz="4" w:space="0" w:color="auto"/>
              <w:right w:val="nil"/>
            </w:tcBorders>
            <w:shd w:val="clear" w:color="auto" w:fill="auto"/>
            <w:noWrap/>
            <w:hideMark/>
          </w:tcPr>
          <w:p w:rsidR="00F205B7" w:rsidRPr="00F205B7" w:rsidRDefault="00F205B7" w:rsidP="00F205B7">
            <w:pPr>
              <w:jc w:val="center"/>
              <w:rPr>
                <w:snapToGrid/>
                <w:color w:val="000000"/>
                <w:sz w:val="16"/>
                <w:szCs w:val="16"/>
                <w:lang w:eastAsia="en-AU"/>
              </w:rPr>
            </w:pPr>
            <w:r w:rsidRPr="00F205B7">
              <w:rPr>
                <w:snapToGrid/>
                <w:color w:val="000000"/>
                <w:sz w:val="16"/>
                <w:szCs w:val="16"/>
                <w:lang w:eastAsia="en-AU"/>
              </w:rPr>
              <w:t>Top 20</w:t>
            </w:r>
          </w:p>
        </w:tc>
        <w:tc>
          <w:tcPr>
            <w:tcW w:w="1561" w:type="pct"/>
            <w:gridSpan w:val="3"/>
            <w:tcBorders>
              <w:top w:val="nil"/>
              <w:left w:val="nil"/>
              <w:bottom w:val="single" w:sz="4" w:space="0" w:color="auto"/>
              <w:right w:val="nil"/>
            </w:tcBorders>
            <w:shd w:val="clear" w:color="auto" w:fill="auto"/>
            <w:noWrap/>
            <w:hideMark/>
          </w:tcPr>
          <w:p w:rsidR="00F205B7" w:rsidRPr="00F205B7" w:rsidRDefault="00F205B7" w:rsidP="00F205B7">
            <w:pPr>
              <w:rPr>
                <w:b/>
                <w:bCs/>
                <w:snapToGrid/>
                <w:color w:val="000000"/>
                <w:sz w:val="16"/>
                <w:szCs w:val="16"/>
                <w:lang w:eastAsia="en-AU"/>
              </w:rPr>
            </w:pPr>
            <w:r w:rsidRPr="00F205B7">
              <w:rPr>
                <w:b/>
                <w:bCs/>
                <w:snapToGrid/>
                <w:color w:val="000000"/>
                <w:sz w:val="16"/>
                <w:szCs w:val="16"/>
                <w:lang w:eastAsia="en-AU"/>
              </w:rPr>
              <w:t>Top 20, % of all DRGs</w:t>
            </w:r>
          </w:p>
        </w:tc>
        <w:tc>
          <w:tcPr>
            <w:tcW w:w="255" w:type="pct"/>
            <w:tcBorders>
              <w:top w:val="nil"/>
              <w:left w:val="nil"/>
              <w:bottom w:val="single" w:sz="4" w:space="0" w:color="auto"/>
              <w:right w:val="nil"/>
            </w:tcBorders>
            <w:shd w:val="clear" w:color="000000" w:fill="F4CACA"/>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 </w:t>
            </w:r>
          </w:p>
        </w:tc>
        <w:tc>
          <w:tcPr>
            <w:tcW w:w="393" w:type="pct"/>
            <w:tcBorders>
              <w:top w:val="nil"/>
              <w:left w:val="nil"/>
              <w:bottom w:val="single" w:sz="4" w:space="0" w:color="auto"/>
              <w:right w:val="nil"/>
            </w:tcBorders>
            <w:shd w:val="clear" w:color="auto" w:fill="auto"/>
            <w:noWrap/>
            <w:hideMark/>
          </w:tcPr>
          <w:p w:rsidR="00F205B7" w:rsidRPr="00F205B7" w:rsidRDefault="00F205B7" w:rsidP="00F205B7">
            <w:pPr>
              <w:jc w:val="right"/>
              <w:rPr>
                <w:b/>
                <w:bCs/>
                <w:snapToGrid/>
                <w:color w:val="000000"/>
                <w:sz w:val="16"/>
                <w:szCs w:val="16"/>
                <w:lang w:eastAsia="en-AU"/>
              </w:rPr>
            </w:pPr>
            <w:r w:rsidRPr="00F205B7">
              <w:rPr>
                <w:b/>
                <w:bCs/>
                <w:snapToGrid/>
                <w:color w:val="000000"/>
                <w:sz w:val="16"/>
                <w:szCs w:val="16"/>
                <w:lang w:eastAsia="en-AU"/>
              </w:rPr>
              <w:t>0.4%</w:t>
            </w:r>
          </w:p>
        </w:tc>
        <w:tc>
          <w:tcPr>
            <w:tcW w:w="378" w:type="pct"/>
            <w:tcBorders>
              <w:top w:val="nil"/>
              <w:left w:val="nil"/>
              <w:bottom w:val="single" w:sz="4" w:space="0" w:color="auto"/>
              <w:right w:val="nil"/>
            </w:tcBorders>
            <w:shd w:val="clear" w:color="auto" w:fill="auto"/>
            <w:noWrap/>
            <w:hideMark/>
          </w:tcPr>
          <w:p w:rsidR="00F205B7" w:rsidRPr="00F205B7" w:rsidRDefault="00F205B7" w:rsidP="00F205B7">
            <w:pPr>
              <w:jc w:val="right"/>
              <w:rPr>
                <w:b/>
                <w:bCs/>
                <w:snapToGrid/>
                <w:color w:val="000000"/>
                <w:sz w:val="16"/>
                <w:szCs w:val="16"/>
                <w:lang w:eastAsia="en-AU"/>
              </w:rPr>
            </w:pPr>
            <w:r w:rsidRPr="00F205B7">
              <w:rPr>
                <w:b/>
                <w:bCs/>
                <w:snapToGrid/>
                <w:color w:val="000000"/>
                <w:sz w:val="16"/>
                <w:szCs w:val="16"/>
                <w:lang w:eastAsia="en-AU"/>
              </w:rPr>
              <w:t>6.3%</w:t>
            </w:r>
          </w:p>
        </w:tc>
        <w:tc>
          <w:tcPr>
            <w:tcW w:w="331" w:type="pct"/>
            <w:tcBorders>
              <w:top w:val="nil"/>
              <w:left w:val="nil"/>
              <w:bottom w:val="single" w:sz="4" w:space="0" w:color="auto"/>
              <w:right w:val="nil"/>
            </w:tcBorders>
            <w:shd w:val="clear" w:color="auto" w:fill="auto"/>
            <w:noWrap/>
            <w:hideMark/>
          </w:tcPr>
          <w:p w:rsidR="00F205B7" w:rsidRPr="00F205B7" w:rsidRDefault="00F205B7" w:rsidP="00F205B7">
            <w:pPr>
              <w:jc w:val="right"/>
              <w:rPr>
                <w:b/>
                <w:bCs/>
                <w:snapToGrid/>
                <w:color w:val="000000"/>
                <w:sz w:val="16"/>
                <w:szCs w:val="16"/>
                <w:lang w:eastAsia="en-AU"/>
              </w:rPr>
            </w:pPr>
            <w:r w:rsidRPr="00F205B7">
              <w:rPr>
                <w:b/>
                <w:bCs/>
                <w:snapToGrid/>
                <w:color w:val="000000"/>
                <w:sz w:val="16"/>
                <w:szCs w:val="16"/>
                <w:lang w:eastAsia="en-AU"/>
              </w:rPr>
              <w:t>1.9%</w:t>
            </w:r>
          </w:p>
        </w:tc>
        <w:tc>
          <w:tcPr>
            <w:tcW w:w="378" w:type="pct"/>
            <w:tcBorders>
              <w:top w:val="nil"/>
              <w:left w:val="nil"/>
              <w:bottom w:val="single" w:sz="4" w:space="0" w:color="auto"/>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 </w:t>
            </w:r>
          </w:p>
        </w:tc>
        <w:tc>
          <w:tcPr>
            <w:tcW w:w="219" w:type="pct"/>
            <w:tcBorders>
              <w:top w:val="nil"/>
              <w:left w:val="nil"/>
              <w:bottom w:val="single" w:sz="4" w:space="0" w:color="auto"/>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 </w:t>
            </w:r>
          </w:p>
        </w:tc>
        <w:tc>
          <w:tcPr>
            <w:tcW w:w="393" w:type="pct"/>
            <w:tcBorders>
              <w:top w:val="nil"/>
              <w:left w:val="nil"/>
              <w:bottom w:val="single" w:sz="4" w:space="0" w:color="auto"/>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 </w:t>
            </w:r>
          </w:p>
        </w:tc>
        <w:tc>
          <w:tcPr>
            <w:tcW w:w="321" w:type="pct"/>
            <w:tcBorders>
              <w:top w:val="nil"/>
              <w:left w:val="nil"/>
              <w:bottom w:val="single" w:sz="4" w:space="0" w:color="auto"/>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 </w:t>
            </w:r>
          </w:p>
        </w:tc>
        <w:tc>
          <w:tcPr>
            <w:tcW w:w="257" w:type="pct"/>
            <w:tcBorders>
              <w:top w:val="nil"/>
              <w:left w:val="nil"/>
              <w:bottom w:val="single" w:sz="4" w:space="0" w:color="auto"/>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 </w:t>
            </w:r>
          </w:p>
        </w:tc>
        <w:tc>
          <w:tcPr>
            <w:tcW w:w="257" w:type="pct"/>
            <w:tcBorders>
              <w:top w:val="nil"/>
              <w:left w:val="nil"/>
              <w:bottom w:val="single" w:sz="4" w:space="0" w:color="auto"/>
              <w:right w:val="nil"/>
            </w:tcBorders>
            <w:shd w:val="clear" w:color="auto" w:fill="auto"/>
            <w:noWrap/>
            <w:hideMark/>
          </w:tcPr>
          <w:p w:rsidR="00F205B7" w:rsidRPr="00F205B7" w:rsidRDefault="00F205B7" w:rsidP="00F205B7">
            <w:pPr>
              <w:rPr>
                <w:snapToGrid/>
                <w:color w:val="000000"/>
                <w:sz w:val="16"/>
                <w:szCs w:val="16"/>
                <w:lang w:eastAsia="en-AU"/>
              </w:rPr>
            </w:pPr>
            <w:r w:rsidRPr="00F205B7">
              <w:rPr>
                <w:snapToGrid/>
                <w:color w:val="000000"/>
                <w:sz w:val="16"/>
                <w:szCs w:val="16"/>
                <w:lang w:eastAsia="en-AU"/>
              </w:rPr>
              <w:t> </w:t>
            </w:r>
          </w:p>
        </w:tc>
      </w:tr>
    </w:tbl>
    <w:p w:rsidR="00A445EA" w:rsidRDefault="00A445EA">
      <w:pPr>
        <w:rPr>
          <w:rFonts w:asciiTheme="majorHAnsi" w:hAnsiTheme="majorHAnsi"/>
          <w:b/>
          <w:bCs/>
          <w:color w:val="A32020" w:themeColor="text2"/>
        </w:rPr>
      </w:pPr>
      <w:r>
        <w:rPr>
          <w:sz w:val="16"/>
          <w:szCs w:val="16"/>
        </w:rPr>
        <w:t>Notes:</w:t>
      </w:r>
      <w:r w:rsidR="009A23AC">
        <w:rPr>
          <w:sz w:val="16"/>
          <w:szCs w:val="16"/>
        </w:rPr>
        <w:t xml:space="preserve"> </w:t>
      </w:r>
      <w:r w:rsidR="00B50B0E" w:rsidRPr="000051B6">
        <w:rPr>
          <w:sz w:val="16"/>
          <w:szCs w:val="16"/>
        </w:rPr>
        <w:t>ALoS means average length of stay</w:t>
      </w:r>
      <w:r>
        <w:br w:type="page"/>
      </w:r>
    </w:p>
    <w:p w:rsidR="00772AF0" w:rsidRPr="000051B6" w:rsidRDefault="00772AF0" w:rsidP="00A445EA">
      <w:pPr>
        <w:pStyle w:val="Figureheadings"/>
        <w:spacing w:after="240"/>
        <w:ind w:left="1418" w:hanging="1418"/>
        <w:rPr>
          <w:lang w:val="en-AU"/>
        </w:rPr>
      </w:pPr>
      <w:bookmarkStart w:id="121" w:name="_Toc435610625"/>
      <w:r w:rsidRPr="000051B6">
        <w:rPr>
          <w:lang w:val="en-AU"/>
        </w:rPr>
        <w:lastRenderedPageBreak/>
        <w:t>Figure 3</w:t>
      </w:r>
      <w:r w:rsidRPr="000051B6">
        <w:rPr>
          <w:lang w:val="en-AU"/>
        </w:rPr>
        <w:tab/>
      </w:r>
      <w:r w:rsidR="009C5D02" w:rsidRPr="000051B6">
        <w:rPr>
          <w:lang w:val="en-AU"/>
        </w:rPr>
        <w:t xml:space="preserve">Top 20 AR-DRGs ranked by </w:t>
      </w:r>
      <w:r w:rsidRPr="000051B6">
        <w:rPr>
          <w:lang w:val="en-AU"/>
        </w:rPr>
        <w:t>highest cost weight</w:t>
      </w:r>
      <w:bookmarkEnd w:id="121"/>
    </w:p>
    <w:bookmarkStart w:id="122" w:name="_Toc432972096"/>
    <w:bookmarkStart w:id="123" w:name="_Toc433021646"/>
    <w:bookmarkStart w:id="124" w:name="_Toc433021685"/>
    <w:bookmarkStart w:id="125" w:name="_Toc433283250"/>
    <w:bookmarkStart w:id="126" w:name="_Toc433295198"/>
    <w:bookmarkStart w:id="127" w:name="_Toc433296972"/>
    <w:bookmarkStart w:id="128" w:name="_Toc433297182"/>
    <w:bookmarkStart w:id="129" w:name="_Toc433297231"/>
    <w:bookmarkStart w:id="130" w:name="_Toc433973310"/>
    <w:bookmarkStart w:id="131" w:name="_Toc433975581"/>
    <w:bookmarkStart w:id="132" w:name="_Toc435525570"/>
    <w:bookmarkStart w:id="133" w:name="_Toc435525651"/>
    <w:bookmarkStart w:id="134" w:name="_Toc435526649"/>
    <w:bookmarkStart w:id="135" w:name="_Toc435610626"/>
    <w:p w:rsidR="008F08F7" w:rsidRPr="000051B6" w:rsidRDefault="00687622" w:rsidP="00772AF0">
      <w:pPr>
        <w:pStyle w:val="Figureheadings"/>
        <w:ind w:left="1416" w:hanging="1416"/>
        <w:rPr>
          <w:rFonts w:ascii="Georgia" w:hAnsi="Georgia"/>
          <w:highlight w:val="yellow"/>
          <w:lang w:val="en-AU"/>
        </w:rPr>
      </w:pPr>
      <w:r>
        <w:rPr>
          <w:rFonts w:ascii="Georgia" w:hAnsi="Georgia"/>
          <w:noProof/>
          <w:snapToGrid/>
          <w:lang w:val="en-AU" w:eastAsia="en-AU"/>
        </w:rPr>
        <mc:AlternateContent>
          <mc:Choice Requires="wps">
            <w:drawing>
              <wp:anchor distT="0" distB="0" distL="114300" distR="114300" simplePos="0" relativeHeight="251664384" behindDoc="0" locked="0" layoutInCell="1" allowOverlap="1" wp14:anchorId="1504634B" wp14:editId="6461ED31">
                <wp:simplePos x="0" y="0"/>
                <wp:positionH relativeFrom="column">
                  <wp:posOffset>2772198</wp:posOffset>
                </wp:positionH>
                <wp:positionV relativeFrom="paragraph">
                  <wp:posOffset>1766147</wp:posOffset>
                </wp:positionV>
                <wp:extent cx="364067" cy="1735666"/>
                <wp:effectExtent l="19050" t="19050" r="17145" b="17145"/>
                <wp:wrapNone/>
                <wp:docPr id="32" name="Rectangle 32"/>
                <wp:cNvGraphicFramePr/>
                <a:graphic xmlns:a="http://schemas.openxmlformats.org/drawingml/2006/main">
                  <a:graphicData uri="http://schemas.microsoft.com/office/word/2010/wordprocessingShape">
                    <wps:wsp>
                      <wps:cNvSpPr/>
                      <wps:spPr bwMode="ltGray">
                        <a:xfrm>
                          <a:off x="0" y="0"/>
                          <a:ext cx="364067" cy="1735666"/>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 o:spid="_x0000_s1026" style="position:absolute;margin-left:218.3pt;margin-top:139.05pt;width:28.65pt;height:136.65pt;z-index:251664384;visibility:visible;mso-wrap-style:square;mso-wrap-distance-left:9pt;mso-wrap-distance-top:0;mso-wrap-distance-right:9pt;mso-wrap-distance-bottom:0;mso-position-horizontal:absolute;mso-position-horizontal-relative:text;mso-position-vertical:absolute;mso-position-vertical-relative:text;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" filled="f" strokecolor="#511010 [1604]" strokeweight="3pt"/>
            </w:pict>
          </mc:Fallback>
        </mc:AlternateContent>
      </w:r>
      <w:r>
        <w:rPr>
          <w:rFonts w:ascii="Georgia" w:hAnsi="Georgia"/>
          <w:noProof/>
          <w:snapToGrid/>
          <w:lang w:val="en-AU" w:eastAsia="en-AU"/>
        </w:rPr>
        <mc:AlternateContent>
          <mc:Choice Requires="wps">
            <w:drawing>
              <wp:anchor distT="0" distB="0" distL="114300" distR="114300" simplePos="0" relativeHeight="251661312" behindDoc="0" locked="0" layoutInCell="1" allowOverlap="1" wp14:anchorId="1BD56372" wp14:editId="6454BC71">
                <wp:simplePos x="0" y="0"/>
                <wp:positionH relativeFrom="column">
                  <wp:posOffset>536997</wp:posOffset>
                </wp:positionH>
                <wp:positionV relativeFrom="paragraph">
                  <wp:posOffset>165947</wp:posOffset>
                </wp:positionV>
                <wp:extent cx="516467" cy="3149388"/>
                <wp:effectExtent l="19050" t="19050" r="17145" b="13335"/>
                <wp:wrapNone/>
                <wp:docPr id="18" name="Oval 18"/>
                <wp:cNvGraphicFramePr/>
                <a:graphic xmlns:a="http://schemas.openxmlformats.org/drawingml/2006/main">
                  <a:graphicData uri="http://schemas.microsoft.com/office/word/2010/wordprocessingShape">
                    <wps:wsp>
                      <wps:cNvSpPr/>
                      <wps:spPr bwMode="ltGray">
                        <a:xfrm>
                          <a:off x="0" y="0"/>
                          <a:ext cx="516467" cy="3149388"/>
                        </a:xfrm>
                        <a:prstGeom prst="ellips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26" style="position:absolute;margin-left:42.3pt;margin-top:13.05pt;width:40.6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" filled="f" strokecolor="#511010 [1604]" strokeweight="3pt"/>
            </w:pict>
          </mc:Fallback>
        </mc:AlternateContent>
      </w:r>
      <w:r w:rsidR="0003019C" w:rsidRPr="000051B6">
        <w:rPr>
          <w:rFonts w:ascii="Georgia" w:hAnsi="Georgia"/>
          <w:noProof/>
          <w:lang w:val="en-AU" w:eastAsia="en-AU"/>
        </w:rPr>
        <w:drawing>
          <wp:inline distT="0" distB="0" distL="0" distR="0" wp14:anchorId="21CE2573" wp14:editId="7C7F83EA">
            <wp:extent cx="7857067" cy="3940293"/>
            <wp:effectExtent l="0" t="0" r="0" b="3175"/>
            <wp:docPr id="26" name="Picture 26" descr="Figure 3 is a bar graph showing the Top 20 AR-DRGs ranked by highest cost weight in Round 18 and their cost weight in Round 17. A06A and A06C have been circled." title="Figure 3 Top 20 AR-DRGs ranked by highest cost w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57067" cy="3940293"/>
                    </a:xfrm>
                    <a:prstGeom prst="rect">
                      <a:avLst/>
                    </a:prstGeom>
                    <a:noFill/>
                    <a:ln>
                      <a:noFill/>
                    </a:ln>
                  </pic:spPr>
                </pic:pic>
              </a:graphicData>
            </a:graphic>
          </wp:inline>
        </w:drawing>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707ADB" w:rsidRPr="000051B6" w:rsidRDefault="0003019C" w:rsidP="00707ADB">
      <w:pPr>
        <w:pStyle w:val="PwCNormal"/>
        <w:numPr>
          <w:ilvl w:val="0"/>
          <w:numId w:val="0"/>
        </w:numPr>
        <w:spacing w:after="0"/>
      </w:pPr>
      <w:r w:rsidRPr="000051B6">
        <w:rPr>
          <w:b/>
        </w:rPr>
        <w:t>Note:</w:t>
      </w:r>
      <w:r w:rsidRPr="000051B6">
        <w:t xml:space="preserve"> when a Round 17 bar is missing from the chart, this is because that AR-DRG was masked in Round 17 due to having less than </w:t>
      </w:r>
      <w:r w:rsidR="00F702B3" w:rsidRPr="000051B6">
        <w:t>five</w:t>
      </w:r>
      <w:r w:rsidRPr="000051B6">
        <w:t xml:space="preserve"> separations or having less than </w:t>
      </w:r>
      <w:r w:rsidR="00F702B3" w:rsidRPr="000051B6">
        <w:t>three</w:t>
      </w:r>
      <w:r w:rsidRPr="000051B6">
        <w:t xml:space="preserve"> hospitals with that </w:t>
      </w:r>
      <w:r w:rsidR="00ED1412" w:rsidRPr="000051B6">
        <w:t>AR-</w:t>
      </w:r>
      <w:r w:rsidRPr="000051B6">
        <w:t>DRG.</w:t>
      </w:r>
      <w:r w:rsidR="00B560FD" w:rsidRPr="000051B6">
        <w:t xml:space="preserve"> </w:t>
      </w:r>
    </w:p>
    <w:p w:rsidR="00C927D7" w:rsidRPr="000051B6" w:rsidRDefault="00C927D7" w:rsidP="009C5D02">
      <w:pPr>
        <w:pStyle w:val="Heading3"/>
        <w:sectPr w:rsidR="00C927D7" w:rsidRPr="000051B6" w:rsidSect="009549BC">
          <w:headerReference w:type="default" r:id="rId23"/>
          <w:pgSz w:w="16840" w:h="11907" w:orient="landscape" w:code="9"/>
          <w:pgMar w:top="1418" w:right="1021" w:bottom="1134" w:left="1021" w:header="567" w:footer="567" w:gutter="0"/>
          <w:cols w:space="227"/>
          <w:docGrid w:linePitch="360"/>
        </w:sectPr>
      </w:pPr>
      <w:bookmarkStart w:id="136" w:name="_Ref433274325"/>
      <w:bookmarkEnd w:id="116"/>
    </w:p>
    <w:p w:rsidR="009C5D02" w:rsidRPr="000051B6" w:rsidRDefault="009C5D02" w:rsidP="00A445EA">
      <w:pPr>
        <w:pStyle w:val="Heading3"/>
        <w:spacing w:after="240"/>
        <w:rPr>
          <w:noProof/>
          <w:snapToGrid/>
          <w:lang w:eastAsia="en-AU"/>
        </w:rPr>
      </w:pPr>
      <w:bookmarkStart w:id="137" w:name="_Ref433973631"/>
      <w:r w:rsidRPr="000051B6">
        <w:lastRenderedPageBreak/>
        <w:t xml:space="preserve">Top 20 AR-DRGs ranked by </w:t>
      </w:r>
      <w:r w:rsidRPr="000051B6">
        <w:rPr>
          <w:noProof/>
          <w:snapToGrid/>
          <w:lang w:eastAsia="en-AU"/>
        </w:rPr>
        <w:t xml:space="preserve">highest volume of </w:t>
      </w:r>
      <w:r w:rsidR="00B03252">
        <w:rPr>
          <w:noProof/>
          <w:snapToGrid/>
          <w:lang w:eastAsia="en-AU"/>
        </w:rPr>
        <w:t xml:space="preserve">population-adjusted </w:t>
      </w:r>
      <w:r w:rsidRPr="000051B6">
        <w:rPr>
          <w:noProof/>
          <w:snapToGrid/>
          <w:lang w:eastAsia="en-AU"/>
        </w:rPr>
        <w:t>separations</w:t>
      </w:r>
      <w:bookmarkEnd w:id="136"/>
      <w:bookmarkEnd w:id="137"/>
    </w:p>
    <w:p w:rsidR="009C5D02" w:rsidRPr="000051B6" w:rsidRDefault="009C5D02" w:rsidP="00A445EA">
      <w:pPr>
        <w:pStyle w:val="PwCNormal"/>
        <w:numPr>
          <w:ilvl w:val="0"/>
          <w:numId w:val="0"/>
        </w:numPr>
        <w:spacing w:after="0"/>
        <w:rPr>
          <w:color w:val="A32020" w:themeColor="text2"/>
        </w:rPr>
      </w:pPr>
      <w:r w:rsidRPr="000051B6">
        <w:rPr>
          <w:color w:val="A32020" w:themeColor="text2"/>
        </w:rPr>
        <w:t>Key findings</w:t>
      </w:r>
    </w:p>
    <w:p w:rsidR="00B033D1" w:rsidRDefault="009C5D02" w:rsidP="00A445EA">
      <w:pPr>
        <w:pStyle w:val="PwCNormal"/>
        <w:numPr>
          <w:ilvl w:val="0"/>
          <w:numId w:val="0"/>
        </w:numPr>
      </w:pPr>
      <w:r w:rsidRPr="000051B6">
        <w:t xml:space="preserve">Table </w:t>
      </w:r>
      <w:r w:rsidR="006038DA" w:rsidRPr="000051B6">
        <w:t>7</w:t>
      </w:r>
      <w:r w:rsidRPr="000051B6">
        <w:t xml:space="preserve"> </w:t>
      </w:r>
      <w:r w:rsidR="00B033D1">
        <w:t>and figure 4 shows</w:t>
      </w:r>
      <w:r w:rsidRPr="000051B6">
        <w:t xml:space="preserve"> </w:t>
      </w:r>
      <w:r w:rsidR="00B033D1">
        <w:t>t</w:t>
      </w:r>
      <w:r w:rsidRPr="000051B6">
        <w:t xml:space="preserve">he highest </w:t>
      </w:r>
      <w:r w:rsidR="00B03252">
        <w:t>population-adjusted separations</w:t>
      </w:r>
      <w:r w:rsidRPr="000051B6">
        <w:t xml:space="preserve"> AR-DRG </w:t>
      </w:r>
      <w:r w:rsidR="004E5A6D">
        <w:t xml:space="preserve">for </w:t>
      </w:r>
      <w:r w:rsidR="00D37043" w:rsidRPr="000051B6">
        <w:t>Round 18</w:t>
      </w:r>
      <w:r w:rsidR="00B033D1">
        <w:t xml:space="preserve">; this is a measure of the volume of separations in the whole population (i.e. the number of separations in the Round 18 sample, adjusted using the weights to reflect the whole population). </w:t>
      </w:r>
      <w:r w:rsidR="00D37043" w:rsidRPr="000051B6">
        <w:t xml:space="preserve"> </w:t>
      </w:r>
    </w:p>
    <w:p w:rsidR="009C5D02" w:rsidRPr="000051B6" w:rsidRDefault="00B033D1" w:rsidP="00A445EA">
      <w:pPr>
        <w:pStyle w:val="PwCNormal"/>
        <w:numPr>
          <w:ilvl w:val="0"/>
          <w:numId w:val="0"/>
        </w:numPr>
      </w:pPr>
      <w:r>
        <w:t>Table 7 shows for Round 18</w:t>
      </w:r>
      <w:r w:rsidR="009C5D02" w:rsidRPr="000051B6">
        <w:t xml:space="preserve"> </w:t>
      </w:r>
      <w:r w:rsidR="007511C8" w:rsidRPr="000051B6">
        <w:t xml:space="preserve">R63Z – Chemotherapy </w:t>
      </w:r>
      <w:r>
        <w:t>is</w:t>
      </w:r>
      <w:r w:rsidR="009C5D02" w:rsidRPr="000051B6">
        <w:t xml:space="preserve"> ranked number </w:t>
      </w:r>
      <w:r w:rsidR="00F702B3" w:rsidRPr="000051B6">
        <w:t>one</w:t>
      </w:r>
      <w:r>
        <w:t xml:space="preserve"> (boxed), as per last year’s ranking, </w:t>
      </w:r>
      <w:r w:rsidR="009C5D02" w:rsidRPr="000051B6">
        <w:t xml:space="preserve">and is </w:t>
      </w:r>
      <w:r w:rsidR="00F9793B">
        <w:t>anticipated</w:t>
      </w:r>
      <w:r w:rsidR="009C5D02" w:rsidRPr="000051B6">
        <w:t xml:space="preserve"> to be ranked number </w:t>
      </w:r>
      <w:r w:rsidR="00F702B3" w:rsidRPr="000051B6">
        <w:t>one</w:t>
      </w:r>
      <w:r w:rsidR="009C5D02" w:rsidRPr="000051B6">
        <w:t xml:space="preserve"> </w:t>
      </w:r>
      <w:r w:rsidR="00E44E66" w:rsidRPr="000051B6">
        <w:t xml:space="preserve">considering the </w:t>
      </w:r>
      <w:r w:rsidR="007511C8" w:rsidRPr="000051B6">
        <w:t>frequency</w:t>
      </w:r>
      <w:r w:rsidR="00E44E66" w:rsidRPr="000051B6">
        <w:t xml:space="preserve"> required of this treatment.</w:t>
      </w:r>
      <w:r w:rsidR="007511C8" w:rsidRPr="000051B6">
        <w:t xml:space="preserve">  </w:t>
      </w:r>
    </w:p>
    <w:p w:rsidR="009C5D02" w:rsidRPr="000051B6" w:rsidRDefault="00F5775F" w:rsidP="00A445EA">
      <w:pPr>
        <w:pStyle w:val="PwCNormal"/>
        <w:numPr>
          <w:ilvl w:val="0"/>
          <w:numId w:val="0"/>
        </w:numPr>
      </w:pPr>
      <w:r>
        <w:t>As presented in table 7 t</w:t>
      </w:r>
      <w:r w:rsidR="009C5D02" w:rsidRPr="000051B6">
        <w:t xml:space="preserve">he AR-DRGs listed in the top 20 are </w:t>
      </w:r>
      <w:r w:rsidR="008A658B">
        <w:t xml:space="preserve">likely </w:t>
      </w:r>
      <w:r w:rsidR="009C5D02" w:rsidRPr="000051B6">
        <w:t xml:space="preserve">to be within this ranking given that </w:t>
      </w:r>
      <w:r w:rsidR="007511C8" w:rsidRPr="000051B6">
        <w:t>60%</w:t>
      </w:r>
      <w:r w:rsidR="009C5D02" w:rsidRPr="000051B6">
        <w:t xml:space="preserve"> (1</w:t>
      </w:r>
      <w:r w:rsidR="007511C8" w:rsidRPr="000051B6">
        <w:t>2</w:t>
      </w:r>
      <w:r w:rsidR="009C5D02" w:rsidRPr="000051B6">
        <w:t xml:space="preserve"> out of 20) </w:t>
      </w:r>
      <w:r w:rsidR="007511C8" w:rsidRPr="000051B6">
        <w:t>are either high frequency treatments or classified as same day treatments.</w:t>
      </w:r>
    </w:p>
    <w:p w:rsidR="00E44E66" w:rsidRPr="000051B6" w:rsidRDefault="00F9793B" w:rsidP="00A445EA">
      <w:pPr>
        <w:pStyle w:val="PwCNormal"/>
        <w:numPr>
          <w:ilvl w:val="0"/>
          <w:numId w:val="0"/>
        </w:numPr>
        <w:spacing w:before="240"/>
      </w:pPr>
      <w:r>
        <w:t>As illustrated in table 7 (</w:t>
      </w:r>
      <w:r w:rsidR="00992D0E">
        <w:t>boxed</w:t>
      </w:r>
      <w:r>
        <w:t>) t</w:t>
      </w:r>
      <w:r w:rsidR="006E741A" w:rsidRPr="000051B6">
        <w:t>hese AR-DRGs represent 45% (1,260,640</w:t>
      </w:r>
      <w:r w:rsidR="006E741A" w:rsidRPr="000051B6">
        <w:rPr>
          <w:b/>
          <w:bCs/>
          <w:snapToGrid/>
          <w:color w:val="000000"/>
          <w:sz w:val="18"/>
          <w:szCs w:val="18"/>
          <w:lang w:eastAsia="en-AU"/>
        </w:rPr>
        <w:t xml:space="preserve"> </w:t>
      </w:r>
      <w:r w:rsidR="00B03252">
        <w:t>population-adjusted</w:t>
      </w:r>
      <w:r w:rsidR="006E741A" w:rsidRPr="000051B6">
        <w:t xml:space="preserve"> separ</w:t>
      </w:r>
      <w:r w:rsidR="00B03252">
        <w:t xml:space="preserve">ations) of the total population-adjusted </w:t>
      </w:r>
      <w:r w:rsidR="006E741A" w:rsidRPr="000051B6">
        <w:t xml:space="preserve">separations </w:t>
      </w:r>
      <w:r w:rsidR="009A23AC" w:rsidRPr="000051B6">
        <w:t>(2.83m</w:t>
      </w:r>
      <w:r w:rsidR="009A23AC">
        <w:t xml:space="preserve"> population-adjusted separations</w:t>
      </w:r>
      <w:r w:rsidR="009A23AC" w:rsidRPr="000051B6">
        <w:t>).</w:t>
      </w:r>
      <w:r w:rsidR="009A23AC">
        <w:t xml:space="preserve">  </w:t>
      </w:r>
      <w:r>
        <w:t>As circled in table 7 t</w:t>
      </w:r>
      <w:r w:rsidR="00E44E66" w:rsidRPr="000051B6">
        <w:t>hese AR-DRGs represent 16% (445,38</w:t>
      </w:r>
      <w:r w:rsidR="00B03252">
        <w:t xml:space="preserve">6) of the total population-adjusted </w:t>
      </w:r>
      <w:r w:rsidR="00E44E66" w:rsidRPr="000051B6">
        <w:t>separations.  This indicates that these are high volume low cost AR-DRGs.</w:t>
      </w:r>
    </w:p>
    <w:p w:rsidR="009C5D02" w:rsidRPr="000051B6" w:rsidRDefault="009C5D02" w:rsidP="00A445EA">
      <w:pPr>
        <w:pStyle w:val="PwCNormal"/>
        <w:numPr>
          <w:ilvl w:val="0"/>
          <w:numId w:val="0"/>
        </w:numPr>
        <w:spacing w:after="0"/>
        <w:rPr>
          <w:color w:val="A32020" w:themeColor="text2"/>
        </w:rPr>
      </w:pPr>
      <w:r w:rsidRPr="000051B6">
        <w:rPr>
          <w:color w:val="A32020" w:themeColor="text2"/>
        </w:rPr>
        <w:t>Consistencies between Round 17 and Round 18</w:t>
      </w:r>
    </w:p>
    <w:p w:rsidR="009C5D02" w:rsidRPr="000051B6" w:rsidRDefault="007511C8" w:rsidP="00A445EA">
      <w:pPr>
        <w:pStyle w:val="PwCNormal"/>
        <w:numPr>
          <w:ilvl w:val="0"/>
          <w:numId w:val="0"/>
        </w:numPr>
      </w:pPr>
      <w:r w:rsidRPr="000051B6">
        <w:t>95</w:t>
      </w:r>
      <w:r w:rsidR="009C5D02" w:rsidRPr="000051B6">
        <w:t>% (1</w:t>
      </w:r>
      <w:r w:rsidRPr="000051B6">
        <w:t>9</w:t>
      </w:r>
      <w:r w:rsidR="009C5D02" w:rsidRPr="000051B6">
        <w:t xml:space="preserve"> out of 20) of the </w:t>
      </w:r>
      <w:r w:rsidR="00D37043" w:rsidRPr="000051B6">
        <w:t xml:space="preserve">current rounds </w:t>
      </w:r>
      <w:r w:rsidR="009C5D02" w:rsidRPr="000051B6">
        <w:t xml:space="preserve">top 20 AR-DRGs were included in Round 17’s results </w:t>
      </w:r>
      <w:r w:rsidR="00F9793B">
        <w:t xml:space="preserve">(see table 7) </w:t>
      </w:r>
      <w:r w:rsidR="009C5D02" w:rsidRPr="000051B6">
        <w:t>with the</w:t>
      </w:r>
      <w:r w:rsidRPr="000051B6">
        <w:t xml:space="preserve"> top </w:t>
      </w:r>
      <w:r w:rsidR="00F702B3" w:rsidRPr="000051B6">
        <w:t>three</w:t>
      </w:r>
      <w:r w:rsidRPr="000051B6">
        <w:t xml:space="preserve"> being ranked in the same order as </w:t>
      </w:r>
      <w:r w:rsidR="009C5D02" w:rsidRPr="000051B6">
        <w:t>last year</w:t>
      </w:r>
      <w:r w:rsidR="00C84F11" w:rsidRPr="000051B6">
        <w:t xml:space="preserve"> which were Chemotherapy, Colonoscopy (Sameday) and Haemodialysis.  This is </w:t>
      </w:r>
      <w:r w:rsidR="00011A5A">
        <w:t>expected</w:t>
      </w:r>
      <w:r w:rsidR="00C84F11" w:rsidRPr="000051B6">
        <w:t xml:space="preserve"> given the high frequency of treatments required for chemotherapy and haemodialysis patient’s pathways.  </w:t>
      </w:r>
    </w:p>
    <w:p w:rsidR="008A658B" w:rsidRPr="000051B6" w:rsidRDefault="008A658B" w:rsidP="00A445EA">
      <w:pPr>
        <w:pStyle w:val="PwCNormal"/>
        <w:numPr>
          <w:ilvl w:val="0"/>
          <w:numId w:val="0"/>
        </w:numPr>
        <w:spacing w:after="0"/>
        <w:rPr>
          <w:color w:val="A32020" w:themeColor="text2"/>
        </w:rPr>
      </w:pPr>
      <w:r w:rsidRPr="000051B6">
        <w:rPr>
          <w:color w:val="A32020" w:themeColor="text2"/>
        </w:rPr>
        <w:t xml:space="preserve">Key </w:t>
      </w:r>
      <w:r>
        <w:rPr>
          <w:color w:val="A32020" w:themeColor="text2"/>
        </w:rPr>
        <w:t xml:space="preserve">changes </w:t>
      </w:r>
      <w:r w:rsidRPr="000051B6">
        <w:rPr>
          <w:color w:val="A32020" w:themeColor="text2"/>
        </w:rPr>
        <w:t>in the top 20</w:t>
      </w:r>
    </w:p>
    <w:p w:rsidR="009C5D02" w:rsidRPr="000051B6" w:rsidRDefault="00F9793B" w:rsidP="00A445EA">
      <w:pPr>
        <w:pStyle w:val="PwCNormal"/>
        <w:numPr>
          <w:ilvl w:val="0"/>
          <w:numId w:val="0"/>
        </w:numPr>
        <w:rPr>
          <w:rFonts w:asciiTheme="majorHAnsi" w:hAnsiTheme="majorHAnsi"/>
          <w:b/>
          <w:bCs/>
          <w:color w:val="A32020" w:themeColor="text2"/>
        </w:rPr>
      </w:pPr>
      <w:r>
        <w:rPr>
          <w:lang w:eastAsia="en-AU"/>
        </w:rPr>
        <w:t>As circled in figure 4 t</w:t>
      </w:r>
      <w:r w:rsidR="00C84F11" w:rsidRPr="000051B6">
        <w:rPr>
          <w:lang w:eastAsia="en-AU"/>
        </w:rPr>
        <w:t>he new AR-DRG for top 20 is U60Z - Mental Health Treatment, Sameday, without ECT</w:t>
      </w:r>
      <w:r w:rsidR="00D37043" w:rsidRPr="000051B6">
        <w:rPr>
          <w:lang w:eastAsia="en-AU"/>
        </w:rPr>
        <w:t xml:space="preserve">. This was </w:t>
      </w:r>
      <w:r w:rsidR="00C84F11" w:rsidRPr="000051B6">
        <w:rPr>
          <w:lang w:eastAsia="en-AU"/>
        </w:rPr>
        <w:t>ranked number 25 in Round 17</w:t>
      </w:r>
      <w:r w:rsidR="00D37043" w:rsidRPr="000051B6">
        <w:rPr>
          <w:lang w:eastAsia="en-AU"/>
        </w:rPr>
        <w:t>, and its movement into the top 20</w:t>
      </w:r>
      <w:r w:rsidR="00C84F11" w:rsidRPr="000051B6">
        <w:rPr>
          <w:lang w:eastAsia="en-AU"/>
        </w:rPr>
        <w:t xml:space="preserve"> is influenced by the increase in the number of </w:t>
      </w:r>
      <w:r w:rsidR="00D37043" w:rsidRPr="000051B6">
        <w:rPr>
          <w:lang w:eastAsia="en-AU"/>
        </w:rPr>
        <w:t xml:space="preserve">participating </w:t>
      </w:r>
      <w:r w:rsidR="00C84F11" w:rsidRPr="000051B6">
        <w:rPr>
          <w:lang w:eastAsia="en-AU"/>
        </w:rPr>
        <w:t>hospitals treating patients under this mental health AR-DRG</w:t>
      </w:r>
      <w:r w:rsidR="00D37043" w:rsidRPr="000051B6">
        <w:rPr>
          <w:lang w:eastAsia="en-AU"/>
        </w:rPr>
        <w:t xml:space="preserve"> (with an increase in the </w:t>
      </w:r>
      <w:r w:rsidR="00C84F11" w:rsidRPr="000051B6">
        <w:rPr>
          <w:lang w:eastAsia="en-AU"/>
        </w:rPr>
        <w:t xml:space="preserve">number of </w:t>
      </w:r>
      <w:r w:rsidR="0033123C">
        <w:rPr>
          <w:lang w:eastAsia="en-AU"/>
        </w:rPr>
        <w:t>population-adjusted</w:t>
      </w:r>
      <w:r w:rsidR="00C84F11" w:rsidRPr="000051B6">
        <w:rPr>
          <w:lang w:eastAsia="en-AU"/>
        </w:rPr>
        <w:t xml:space="preserve"> separations </w:t>
      </w:r>
      <w:r w:rsidR="00D37043" w:rsidRPr="000051B6">
        <w:rPr>
          <w:lang w:eastAsia="en-AU"/>
        </w:rPr>
        <w:t>of</w:t>
      </w:r>
      <w:r w:rsidR="00C84F11" w:rsidRPr="000051B6">
        <w:rPr>
          <w:lang w:eastAsia="en-AU"/>
        </w:rPr>
        <w:t xml:space="preserve"> 13,795</w:t>
      </w:r>
      <w:r w:rsidR="00A16E0B" w:rsidRPr="000051B6">
        <w:rPr>
          <w:lang w:eastAsia="en-AU"/>
        </w:rPr>
        <w:t xml:space="preserve"> </w:t>
      </w:r>
      <w:r w:rsidR="00582EDE" w:rsidRPr="000051B6">
        <w:rPr>
          <w:lang w:eastAsia="en-AU"/>
        </w:rPr>
        <w:t>this year</w:t>
      </w:r>
      <w:r w:rsidR="00D37043" w:rsidRPr="000051B6">
        <w:rPr>
          <w:lang w:eastAsia="en-AU"/>
        </w:rPr>
        <w:t>)</w:t>
      </w:r>
      <w:r w:rsidR="00707ADB" w:rsidRPr="000051B6">
        <w:rPr>
          <w:lang w:eastAsia="en-AU"/>
        </w:rPr>
        <w:t>.</w:t>
      </w:r>
      <w:bookmarkStart w:id="138" w:name="_Toc432078946"/>
    </w:p>
    <w:p w:rsidR="009C5D02" w:rsidRPr="000051B6" w:rsidRDefault="009C5D02" w:rsidP="003C6C45">
      <w:pPr>
        <w:pStyle w:val="Tablesheadings"/>
        <w:rPr>
          <w:lang w:val="en-AU"/>
        </w:rPr>
        <w:sectPr w:rsidR="009C5D02" w:rsidRPr="000051B6" w:rsidSect="009549BC">
          <w:pgSz w:w="11907" w:h="16840" w:code="9"/>
          <w:pgMar w:top="1588" w:right="1843" w:bottom="1418" w:left="1843" w:header="567" w:footer="567" w:gutter="0"/>
          <w:cols w:space="227"/>
          <w:docGrid w:linePitch="360"/>
        </w:sectPr>
      </w:pPr>
    </w:p>
    <w:p w:rsidR="009C5D02" w:rsidRPr="000051B6" w:rsidRDefault="00C32A7C" w:rsidP="00A445EA">
      <w:pPr>
        <w:pStyle w:val="Tablesheadings"/>
        <w:spacing w:after="240"/>
        <w:rPr>
          <w:noProof/>
          <w:snapToGrid/>
          <w:lang w:val="en-AU" w:eastAsia="en-AU"/>
        </w:rPr>
      </w:pPr>
      <w:bookmarkStart w:id="139" w:name="_Toc435610612"/>
      <w:r w:rsidRPr="000051B6">
        <w:rPr>
          <w:lang w:val="en-AU"/>
        </w:rPr>
        <w:lastRenderedPageBreak/>
        <w:t xml:space="preserve">Table </w:t>
      </w:r>
      <w:r w:rsidR="006038DA" w:rsidRPr="000051B6">
        <w:rPr>
          <w:lang w:val="en-AU"/>
        </w:rPr>
        <w:t>7</w:t>
      </w:r>
      <w:r w:rsidRPr="000051B6">
        <w:rPr>
          <w:lang w:val="en-AU"/>
        </w:rPr>
        <w:tab/>
      </w:r>
      <w:bookmarkEnd w:id="138"/>
      <w:r w:rsidR="009C5D02" w:rsidRPr="000051B6">
        <w:rPr>
          <w:lang w:val="en-AU"/>
        </w:rPr>
        <w:t xml:space="preserve">Top 20 AR-DRGs ranked by </w:t>
      </w:r>
      <w:r w:rsidR="009C5D02" w:rsidRPr="000051B6">
        <w:rPr>
          <w:noProof/>
          <w:snapToGrid/>
          <w:lang w:val="en-AU" w:eastAsia="en-AU"/>
        </w:rPr>
        <w:t xml:space="preserve">highest volume of </w:t>
      </w:r>
      <w:r w:rsidR="00B03252">
        <w:rPr>
          <w:noProof/>
          <w:snapToGrid/>
          <w:lang w:val="en-AU" w:eastAsia="en-AU"/>
        </w:rPr>
        <w:t>population-adjusted</w:t>
      </w:r>
      <w:r w:rsidR="00ED1412" w:rsidRPr="000051B6">
        <w:rPr>
          <w:noProof/>
          <w:snapToGrid/>
          <w:lang w:val="en-AU" w:eastAsia="en-AU"/>
        </w:rPr>
        <w:t xml:space="preserve"> </w:t>
      </w:r>
      <w:r w:rsidR="009C5D02" w:rsidRPr="000051B6">
        <w:rPr>
          <w:noProof/>
          <w:snapToGrid/>
          <w:lang w:val="en-AU" w:eastAsia="en-AU"/>
        </w:rPr>
        <w:t>separations</w:t>
      </w:r>
      <w:bookmarkEnd w:id="139"/>
    </w:p>
    <w:tbl>
      <w:tblPr>
        <w:tblW w:w="5000" w:type="pct"/>
        <w:tblLook w:val="04A0" w:firstRow="1" w:lastRow="0" w:firstColumn="1" w:lastColumn="0" w:noHBand="0" w:noVBand="1"/>
        <w:tblCaption w:val="Table 7 Top 20 AR-DRGs ranked by highest volume of weighted separations"/>
        <w:tblDescription w:val="Table 7 shows the Top 20 AR-DRGs ranked by highest volume of weighted separations. There are separate columns for whether or not the AR-DRG was in the Top 20 in Round 17, its rank in Round 18, the AR-DRG, the AR-DRG’s description, the cost weight (a), the number of weighted separations (b), the number of cost weighted separations (c) = (a) multiplied by (b), average length of stay, standard error of cost weight, percentage of total separations, percentage of cost weighted separations, Round 17 volume of weighted separations and rank in Round 17. AR-DRG R63Z has been circled as it is referred to in the preceding text. At the bottom of the table, for some of the columns are rows for the sub-totals for the top 20 and totals for all AR-DRGs as well as the percentage of the total made up by the top 20."/>
      </w:tblPr>
      <w:tblGrid>
        <w:gridCol w:w="771"/>
        <w:gridCol w:w="962"/>
        <w:gridCol w:w="630"/>
        <w:gridCol w:w="2685"/>
        <w:gridCol w:w="767"/>
        <w:gridCol w:w="1180"/>
        <w:gridCol w:w="1136"/>
        <w:gridCol w:w="994"/>
        <w:gridCol w:w="1134"/>
        <w:gridCol w:w="659"/>
        <w:gridCol w:w="1180"/>
        <w:gridCol w:w="965"/>
        <w:gridCol w:w="1180"/>
        <w:gridCol w:w="771"/>
      </w:tblGrid>
      <w:tr w:rsidR="00DB602A" w:rsidRPr="00565E9D" w:rsidTr="00DB602A">
        <w:trPr>
          <w:trHeight w:val="228"/>
        </w:trPr>
        <w:tc>
          <w:tcPr>
            <w:tcW w:w="272" w:type="pct"/>
            <w:vMerge w:val="restart"/>
            <w:tcBorders>
              <w:top w:val="single" w:sz="4" w:space="0" w:color="auto"/>
              <w:left w:val="nil"/>
              <w:bottom w:val="single" w:sz="4" w:space="0" w:color="000000"/>
              <w:right w:val="nil"/>
            </w:tcBorders>
            <w:shd w:val="clear" w:color="auto" w:fill="auto"/>
            <w:hideMark/>
          </w:tcPr>
          <w:bookmarkStart w:id="140" w:name="_Toc433295158"/>
          <w:bookmarkStart w:id="141" w:name="_Toc433296652"/>
          <w:bookmarkStart w:id="142" w:name="_Toc433296914"/>
          <w:bookmarkStart w:id="143" w:name="_Toc433973244"/>
          <w:p w:rsidR="00DB602A" w:rsidRPr="00565E9D" w:rsidRDefault="00DB602A" w:rsidP="00565E9D">
            <w:pPr>
              <w:jc w:val="center"/>
              <w:rPr>
                <w:b/>
                <w:bCs/>
                <w:snapToGrid/>
                <w:color w:val="A32020"/>
                <w:sz w:val="16"/>
                <w:szCs w:val="16"/>
                <w:lang w:eastAsia="en-AU"/>
              </w:rPr>
            </w:pPr>
            <w:r>
              <w:rPr>
                <w:noProof/>
                <w:snapToGrid/>
                <w:lang w:eastAsia="en-AU"/>
              </w:rPr>
              <mc:AlternateContent>
                <mc:Choice Requires="wps">
                  <w:drawing>
                    <wp:anchor distT="0" distB="0" distL="114300" distR="114300" simplePos="0" relativeHeight="251745280" behindDoc="0" locked="0" layoutInCell="1" allowOverlap="1" wp14:anchorId="42F4B1BA" wp14:editId="405300DD">
                      <wp:simplePos x="0" y="0"/>
                      <wp:positionH relativeFrom="column">
                        <wp:posOffset>-59517</wp:posOffset>
                      </wp:positionH>
                      <wp:positionV relativeFrom="paragraph">
                        <wp:posOffset>563130</wp:posOffset>
                      </wp:positionV>
                      <wp:extent cx="9525000" cy="180109"/>
                      <wp:effectExtent l="0" t="0" r="19050" b="10795"/>
                      <wp:wrapNone/>
                      <wp:docPr id="38" name="Rectangle 38"/>
                      <wp:cNvGraphicFramePr/>
                      <a:graphic xmlns:a="http://schemas.openxmlformats.org/drawingml/2006/main">
                        <a:graphicData uri="http://schemas.microsoft.com/office/word/2010/wordprocessingShape">
                          <wps:wsp>
                            <wps:cNvSpPr/>
                            <wps:spPr bwMode="ltGray">
                              <a:xfrm>
                                <a:off x="0" y="0"/>
                                <a:ext cx="9525000" cy="180109"/>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6" style="position:absolute;margin-left:-4.7pt;margin-top:44.35pt;width:750pt;height:14.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" filled="f" strokecolor="#511010 [1604]" strokeweight="1.75pt"/>
                  </w:pict>
                </mc:Fallback>
              </mc:AlternateContent>
            </w:r>
            <w:bookmarkEnd w:id="140"/>
            <w:bookmarkEnd w:id="141"/>
            <w:bookmarkEnd w:id="142"/>
            <w:bookmarkEnd w:id="143"/>
            <w:r w:rsidRPr="00565E9D">
              <w:rPr>
                <w:b/>
                <w:bCs/>
                <w:snapToGrid/>
                <w:color w:val="A32020"/>
                <w:sz w:val="16"/>
                <w:szCs w:val="16"/>
                <w:lang w:eastAsia="en-AU"/>
              </w:rPr>
              <w:t>Top 20 Round 17</w:t>
            </w:r>
          </w:p>
        </w:tc>
        <w:tc>
          <w:tcPr>
            <w:tcW w:w="320" w:type="pct"/>
            <w:vMerge w:val="restart"/>
            <w:tcBorders>
              <w:top w:val="single" w:sz="4" w:space="0" w:color="auto"/>
              <w:left w:val="nil"/>
              <w:bottom w:val="single" w:sz="4" w:space="0" w:color="000000"/>
              <w:right w:val="nil"/>
            </w:tcBorders>
            <w:shd w:val="clear" w:color="auto" w:fill="auto"/>
            <w:hideMark/>
          </w:tcPr>
          <w:p w:rsidR="00DB602A" w:rsidRPr="00565E9D" w:rsidRDefault="00DB602A" w:rsidP="00565E9D">
            <w:pPr>
              <w:jc w:val="center"/>
              <w:rPr>
                <w:b/>
                <w:bCs/>
                <w:snapToGrid/>
                <w:color w:val="A32020"/>
                <w:sz w:val="16"/>
                <w:szCs w:val="16"/>
                <w:lang w:eastAsia="en-AU"/>
              </w:rPr>
            </w:pPr>
            <w:r w:rsidRPr="00565E9D">
              <w:rPr>
                <w:b/>
                <w:bCs/>
                <w:snapToGrid/>
                <w:color w:val="A32020"/>
                <w:sz w:val="16"/>
                <w:szCs w:val="16"/>
                <w:lang w:eastAsia="en-AU"/>
              </w:rPr>
              <w:t>Rank Round 18</w:t>
            </w:r>
          </w:p>
        </w:tc>
        <w:tc>
          <w:tcPr>
            <w:tcW w:w="213" w:type="pct"/>
            <w:vMerge w:val="restart"/>
            <w:tcBorders>
              <w:top w:val="single" w:sz="4" w:space="0" w:color="auto"/>
              <w:left w:val="nil"/>
              <w:bottom w:val="single" w:sz="4" w:space="0" w:color="000000"/>
              <w:right w:val="nil"/>
            </w:tcBorders>
            <w:shd w:val="clear" w:color="auto" w:fill="auto"/>
            <w:hideMark/>
          </w:tcPr>
          <w:p w:rsidR="00DB602A" w:rsidRPr="00565E9D" w:rsidRDefault="00DB602A" w:rsidP="00565E9D">
            <w:pPr>
              <w:jc w:val="center"/>
              <w:rPr>
                <w:b/>
                <w:bCs/>
                <w:snapToGrid/>
                <w:color w:val="A32020"/>
                <w:sz w:val="16"/>
                <w:szCs w:val="16"/>
                <w:lang w:eastAsia="en-AU"/>
              </w:rPr>
            </w:pPr>
            <w:r w:rsidRPr="00565E9D">
              <w:rPr>
                <w:b/>
                <w:bCs/>
                <w:snapToGrid/>
                <w:color w:val="A32020"/>
                <w:sz w:val="16"/>
                <w:szCs w:val="16"/>
                <w:lang w:eastAsia="en-AU"/>
              </w:rPr>
              <w:t>AR-DRG</w:t>
            </w:r>
          </w:p>
        </w:tc>
        <w:tc>
          <w:tcPr>
            <w:tcW w:w="1129" w:type="pct"/>
            <w:vMerge w:val="restart"/>
            <w:tcBorders>
              <w:top w:val="single" w:sz="4" w:space="0" w:color="auto"/>
              <w:left w:val="nil"/>
              <w:bottom w:val="single" w:sz="4" w:space="0" w:color="000000"/>
              <w:right w:val="nil"/>
            </w:tcBorders>
            <w:shd w:val="clear" w:color="auto" w:fill="auto"/>
            <w:hideMark/>
          </w:tcPr>
          <w:p w:rsidR="00DB602A" w:rsidRPr="00565E9D" w:rsidRDefault="00DB602A" w:rsidP="00565E9D">
            <w:pPr>
              <w:jc w:val="center"/>
              <w:rPr>
                <w:b/>
                <w:bCs/>
                <w:snapToGrid/>
                <w:color w:val="A32020"/>
                <w:sz w:val="16"/>
                <w:szCs w:val="16"/>
                <w:lang w:eastAsia="en-AU"/>
              </w:rPr>
            </w:pPr>
            <w:r w:rsidRPr="00565E9D">
              <w:rPr>
                <w:b/>
                <w:bCs/>
                <w:snapToGrid/>
                <w:color w:val="A32020"/>
                <w:sz w:val="16"/>
                <w:szCs w:val="16"/>
                <w:lang w:eastAsia="en-AU"/>
              </w:rPr>
              <w:t>AR-DRG Description</w:t>
            </w:r>
          </w:p>
        </w:tc>
        <w:tc>
          <w:tcPr>
            <w:tcW w:w="255" w:type="pct"/>
            <w:vMerge w:val="restart"/>
            <w:tcBorders>
              <w:top w:val="single" w:sz="4" w:space="0" w:color="auto"/>
              <w:left w:val="nil"/>
              <w:bottom w:val="single" w:sz="4" w:space="0" w:color="000000"/>
              <w:right w:val="nil"/>
            </w:tcBorders>
            <w:shd w:val="clear" w:color="auto" w:fill="auto"/>
            <w:hideMark/>
          </w:tcPr>
          <w:p w:rsidR="00DB602A" w:rsidRPr="00565E9D" w:rsidRDefault="00DB602A" w:rsidP="00565E9D">
            <w:pPr>
              <w:jc w:val="center"/>
              <w:rPr>
                <w:b/>
                <w:bCs/>
                <w:snapToGrid/>
                <w:color w:val="A32020"/>
                <w:sz w:val="16"/>
                <w:szCs w:val="16"/>
                <w:lang w:eastAsia="en-AU"/>
              </w:rPr>
            </w:pPr>
            <w:r w:rsidRPr="00565E9D">
              <w:rPr>
                <w:b/>
                <w:bCs/>
                <w:snapToGrid/>
                <w:color w:val="A32020"/>
                <w:sz w:val="16"/>
                <w:szCs w:val="16"/>
                <w:lang w:eastAsia="en-AU"/>
              </w:rPr>
              <w:t>Cost weight</w:t>
            </w:r>
            <w:r w:rsidRPr="00565E9D">
              <w:rPr>
                <w:b/>
                <w:bCs/>
                <w:snapToGrid/>
                <w:color w:val="A32020"/>
                <w:sz w:val="16"/>
                <w:szCs w:val="16"/>
                <w:lang w:eastAsia="en-AU"/>
              </w:rPr>
              <w:br/>
              <w:t>(a)</w:t>
            </w:r>
          </w:p>
        </w:tc>
        <w:tc>
          <w:tcPr>
            <w:tcW w:w="393" w:type="pct"/>
            <w:vMerge w:val="restart"/>
            <w:tcBorders>
              <w:top w:val="single" w:sz="4" w:space="0" w:color="auto"/>
              <w:left w:val="nil"/>
              <w:bottom w:val="single" w:sz="4" w:space="0" w:color="000000"/>
              <w:right w:val="nil"/>
            </w:tcBorders>
            <w:shd w:val="clear" w:color="000000" w:fill="F4CACA"/>
            <w:hideMark/>
          </w:tcPr>
          <w:p w:rsidR="00DB602A" w:rsidRPr="00565E9D" w:rsidRDefault="00DB602A" w:rsidP="00B03252">
            <w:pPr>
              <w:jc w:val="center"/>
              <w:rPr>
                <w:b/>
                <w:bCs/>
                <w:snapToGrid/>
                <w:color w:val="A32020"/>
                <w:sz w:val="16"/>
                <w:szCs w:val="16"/>
                <w:lang w:eastAsia="en-AU"/>
              </w:rPr>
            </w:pPr>
            <w:r w:rsidRPr="00565E9D">
              <w:rPr>
                <w:b/>
                <w:bCs/>
                <w:snapToGrid/>
                <w:color w:val="A32020"/>
                <w:sz w:val="16"/>
                <w:szCs w:val="16"/>
                <w:lang w:eastAsia="en-AU"/>
              </w:rPr>
              <w:t xml:space="preserve">No. of </w:t>
            </w:r>
            <w:r>
              <w:rPr>
                <w:b/>
                <w:bCs/>
                <w:snapToGrid/>
                <w:color w:val="A32020"/>
                <w:sz w:val="16"/>
                <w:szCs w:val="16"/>
                <w:lang w:eastAsia="en-AU"/>
              </w:rPr>
              <w:t>population-adjusted seps</w:t>
            </w:r>
            <w:r w:rsidRPr="00565E9D">
              <w:rPr>
                <w:b/>
                <w:bCs/>
                <w:snapToGrid/>
                <w:color w:val="A32020"/>
                <w:sz w:val="16"/>
                <w:szCs w:val="16"/>
                <w:lang w:eastAsia="en-AU"/>
              </w:rPr>
              <w:br/>
              <w:t>(b)</w:t>
            </w:r>
          </w:p>
        </w:tc>
        <w:tc>
          <w:tcPr>
            <w:tcW w:w="378" w:type="pct"/>
            <w:vMerge w:val="restart"/>
            <w:tcBorders>
              <w:top w:val="single" w:sz="4" w:space="0" w:color="auto"/>
              <w:left w:val="nil"/>
              <w:bottom w:val="single" w:sz="4" w:space="0" w:color="000000"/>
              <w:right w:val="nil"/>
            </w:tcBorders>
            <w:shd w:val="clear" w:color="auto" w:fill="auto"/>
            <w:hideMark/>
          </w:tcPr>
          <w:p w:rsidR="00DB602A" w:rsidRPr="00565E9D" w:rsidRDefault="00DB602A" w:rsidP="00565E9D">
            <w:pPr>
              <w:jc w:val="center"/>
              <w:rPr>
                <w:b/>
                <w:bCs/>
                <w:snapToGrid/>
                <w:color w:val="A32020"/>
                <w:sz w:val="16"/>
                <w:szCs w:val="16"/>
                <w:lang w:eastAsia="en-AU"/>
              </w:rPr>
            </w:pPr>
            <w:r w:rsidRPr="00565E9D">
              <w:rPr>
                <w:b/>
                <w:bCs/>
                <w:snapToGrid/>
                <w:color w:val="A32020"/>
                <w:sz w:val="16"/>
                <w:szCs w:val="16"/>
                <w:lang w:eastAsia="en-AU"/>
              </w:rPr>
              <w:t>Cost weighted seps</w:t>
            </w:r>
            <w:r w:rsidRPr="00565E9D">
              <w:rPr>
                <w:b/>
                <w:bCs/>
                <w:snapToGrid/>
                <w:color w:val="A32020"/>
                <w:sz w:val="16"/>
                <w:szCs w:val="16"/>
                <w:lang w:eastAsia="en-AU"/>
              </w:rPr>
              <w:br/>
              <w:t>(c)=(a)x(b)</w:t>
            </w:r>
          </w:p>
        </w:tc>
        <w:tc>
          <w:tcPr>
            <w:tcW w:w="331" w:type="pct"/>
            <w:vMerge w:val="restart"/>
            <w:tcBorders>
              <w:top w:val="single" w:sz="4" w:space="0" w:color="auto"/>
              <w:left w:val="nil"/>
              <w:bottom w:val="single" w:sz="4" w:space="0" w:color="000000"/>
              <w:right w:val="nil"/>
            </w:tcBorders>
            <w:shd w:val="clear" w:color="auto" w:fill="auto"/>
            <w:hideMark/>
          </w:tcPr>
          <w:p w:rsidR="00DB602A" w:rsidRPr="00565E9D" w:rsidRDefault="00DB602A" w:rsidP="00565E9D">
            <w:pPr>
              <w:jc w:val="center"/>
              <w:rPr>
                <w:b/>
                <w:bCs/>
                <w:snapToGrid/>
                <w:color w:val="A32020"/>
                <w:sz w:val="16"/>
                <w:szCs w:val="16"/>
                <w:lang w:eastAsia="en-AU"/>
              </w:rPr>
            </w:pPr>
            <w:r w:rsidRPr="00565E9D">
              <w:rPr>
                <w:b/>
                <w:bCs/>
                <w:snapToGrid/>
                <w:color w:val="A32020"/>
                <w:sz w:val="16"/>
                <w:szCs w:val="16"/>
                <w:lang w:eastAsia="en-AU"/>
              </w:rPr>
              <w:t>Number of days</w:t>
            </w:r>
            <w:r w:rsidRPr="00565E9D">
              <w:rPr>
                <w:b/>
                <w:bCs/>
                <w:snapToGrid/>
                <w:color w:val="A32020"/>
                <w:sz w:val="16"/>
                <w:szCs w:val="16"/>
                <w:lang w:eastAsia="en-AU"/>
              </w:rPr>
              <w:br/>
              <w:t>(d)</w:t>
            </w:r>
          </w:p>
        </w:tc>
        <w:tc>
          <w:tcPr>
            <w:tcW w:w="378" w:type="pct"/>
            <w:vMerge w:val="restart"/>
            <w:tcBorders>
              <w:top w:val="single" w:sz="4" w:space="0" w:color="auto"/>
              <w:left w:val="nil"/>
              <w:bottom w:val="single" w:sz="4" w:space="0" w:color="000000"/>
              <w:right w:val="nil"/>
            </w:tcBorders>
            <w:shd w:val="clear" w:color="auto" w:fill="auto"/>
            <w:hideMark/>
          </w:tcPr>
          <w:p w:rsidR="00DB602A" w:rsidRPr="00565E9D" w:rsidRDefault="00DB602A" w:rsidP="00565E9D">
            <w:pPr>
              <w:jc w:val="center"/>
              <w:rPr>
                <w:b/>
                <w:bCs/>
                <w:snapToGrid/>
                <w:color w:val="A32020"/>
                <w:sz w:val="16"/>
                <w:szCs w:val="16"/>
                <w:lang w:eastAsia="en-AU"/>
              </w:rPr>
            </w:pPr>
            <w:r w:rsidRPr="00565E9D">
              <w:rPr>
                <w:b/>
                <w:bCs/>
                <w:snapToGrid/>
                <w:color w:val="A32020"/>
                <w:sz w:val="16"/>
                <w:szCs w:val="16"/>
                <w:lang w:eastAsia="en-AU"/>
              </w:rPr>
              <w:t>ALoS (days)</w:t>
            </w:r>
            <w:r w:rsidRPr="00565E9D">
              <w:rPr>
                <w:b/>
                <w:bCs/>
                <w:snapToGrid/>
                <w:color w:val="A32020"/>
                <w:sz w:val="16"/>
                <w:szCs w:val="16"/>
                <w:lang w:eastAsia="en-AU"/>
              </w:rPr>
              <w:br/>
              <w:t>(e)=(d)/(b)</w:t>
            </w:r>
          </w:p>
        </w:tc>
        <w:tc>
          <w:tcPr>
            <w:tcW w:w="272" w:type="pct"/>
            <w:vMerge w:val="restart"/>
            <w:tcBorders>
              <w:top w:val="single" w:sz="4" w:space="0" w:color="auto"/>
              <w:left w:val="nil"/>
              <w:bottom w:val="single" w:sz="4" w:space="0" w:color="000000"/>
              <w:right w:val="nil"/>
            </w:tcBorders>
            <w:shd w:val="clear" w:color="auto" w:fill="auto"/>
            <w:hideMark/>
          </w:tcPr>
          <w:p w:rsidR="00DB602A" w:rsidRPr="00565E9D" w:rsidRDefault="00DB602A" w:rsidP="00565E9D">
            <w:pPr>
              <w:jc w:val="center"/>
              <w:rPr>
                <w:b/>
                <w:bCs/>
                <w:snapToGrid/>
                <w:color w:val="A32020"/>
                <w:sz w:val="16"/>
                <w:szCs w:val="16"/>
                <w:lang w:eastAsia="en-AU"/>
              </w:rPr>
            </w:pPr>
            <w:r w:rsidRPr="00565E9D">
              <w:rPr>
                <w:b/>
                <w:bCs/>
                <w:snapToGrid/>
                <w:color w:val="A32020"/>
                <w:sz w:val="16"/>
                <w:szCs w:val="16"/>
                <w:lang w:eastAsia="en-AU"/>
              </w:rPr>
              <w:t>Std error</w:t>
            </w:r>
          </w:p>
        </w:tc>
        <w:tc>
          <w:tcPr>
            <w:tcW w:w="204" w:type="pct"/>
            <w:vMerge w:val="restart"/>
            <w:tcBorders>
              <w:top w:val="single" w:sz="4" w:space="0" w:color="auto"/>
              <w:left w:val="nil"/>
              <w:bottom w:val="single" w:sz="4" w:space="0" w:color="000000"/>
              <w:right w:val="nil"/>
            </w:tcBorders>
            <w:shd w:val="clear" w:color="auto" w:fill="auto"/>
            <w:hideMark/>
          </w:tcPr>
          <w:p w:rsidR="00DB602A" w:rsidRPr="00F205B7" w:rsidRDefault="00DB602A" w:rsidP="0033123C">
            <w:pPr>
              <w:jc w:val="center"/>
              <w:rPr>
                <w:b/>
                <w:bCs/>
                <w:snapToGrid/>
                <w:color w:val="A32020"/>
                <w:sz w:val="16"/>
                <w:szCs w:val="16"/>
                <w:lang w:eastAsia="en-AU"/>
              </w:rPr>
            </w:pPr>
            <w:r w:rsidRPr="00F205B7">
              <w:rPr>
                <w:b/>
                <w:bCs/>
                <w:snapToGrid/>
                <w:color w:val="A32020"/>
                <w:sz w:val="16"/>
                <w:szCs w:val="16"/>
                <w:lang w:eastAsia="en-AU"/>
              </w:rPr>
              <w:t>% of total</w:t>
            </w:r>
            <w:r>
              <w:rPr>
                <w:b/>
                <w:bCs/>
                <w:snapToGrid/>
                <w:color w:val="A32020"/>
                <w:sz w:val="16"/>
                <w:szCs w:val="16"/>
                <w:lang w:eastAsia="en-AU"/>
              </w:rPr>
              <w:t xml:space="preserve"> population-adjusted</w:t>
            </w:r>
            <w:r w:rsidRPr="00F205B7">
              <w:rPr>
                <w:b/>
                <w:bCs/>
                <w:snapToGrid/>
                <w:color w:val="A32020"/>
                <w:sz w:val="16"/>
                <w:szCs w:val="16"/>
                <w:lang w:eastAsia="en-AU"/>
              </w:rPr>
              <w:t xml:space="preserve"> seps</w:t>
            </w:r>
          </w:p>
        </w:tc>
        <w:tc>
          <w:tcPr>
            <w:tcW w:w="204" w:type="pct"/>
            <w:vMerge w:val="restart"/>
            <w:tcBorders>
              <w:top w:val="single" w:sz="4" w:space="0" w:color="auto"/>
              <w:left w:val="nil"/>
              <w:bottom w:val="single" w:sz="4" w:space="0" w:color="000000"/>
              <w:right w:val="nil"/>
            </w:tcBorders>
            <w:shd w:val="clear" w:color="auto" w:fill="auto"/>
            <w:hideMark/>
          </w:tcPr>
          <w:p w:rsidR="00DB602A" w:rsidRPr="00F205B7" w:rsidRDefault="00DB602A" w:rsidP="0033123C">
            <w:pPr>
              <w:jc w:val="center"/>
              <w:rPr>
                <w:b/>
                <w:bCs/>
                <w:snapToGrid/>
                <w:color w:val="A32020"/>
                <w:sz w:val="16"/>
                <w:szCs w:val="16"/>
                <w:lang w:eastAsia="en-AU"/>
              </w:rPr>
            </w:pPr>
            <w:r w:rsidRPr="00F205B7">
              <w:rPr>
                <w:b/>
                <w:bCs/>
                <w:snapToGrid/>
                <w:color w:val="A32020"/>
                <w:sz w:val="16"/>
                <w:szCs w:val="16"/>
                <w:lang w:eastAsia="en-AU"/>
              </w:rPr>
              <w:t xml:space="preserve">% of </w:t>
            </w:r>
            <w:r>
              <w:rPr>
                <w:b/>
                <w:bCs/>
                <w:snapToGrid/>
                <w:color w:val="A32020"/>
                <w:sz w:val="16"/>
                <w:szCs w:val="16"/>
                <w:lang w:eastAsia="en-AU"/>
              </w:rPr>
              <w:t>cost weighted</w:t>
            </w:r>
            <w:r w:rsidRPr="00F205B7">
              <w:rPr>
                <w:b/>
                <w:bCs/>
                <w:snapToGrid/>
                <w:color w:val="A32020"/>
                <w:sz w:val="16"/>
                <w:szCs w:val="16"/>
                <w:lang w:eastAsia="en-AU"/>
              </w:rPr>
              <w:t xml:space="preserve"> seps</w:t>
            </w:r>
          </w:p>
        </w:tc>
        <w:tc>
          <w:tcPr>
            <w:tcW w:w="393" w:type="pct"/>
            <w:vMerge w:val="restart"/>
            <w:tcBorders>
              <w:top w:val="single" w:sz="4" w:space="0" w:color="auto"/>
              <w:left w:val="nil"/>
              <w:bottom w:val="single" w:sz="4" w:space="0" w:color="000000"/>
              <w:right w:val="nil"/>
            </w:tcBorders>
            <w:shd w:val="clear" w:color="auto" w:fill="auto"/>
            <w:hideMark/>
          </w:tcPr>
          <w:p w:rsidR="00DB602A" w:rsidRPr="00565E9D" w:rsidRDefault="00DB602A" w:rsidP="009A23AC">
            <w:pPr>
              <w:jc w:val="center"/>
              <w:rPr>
                <w:b/>
                <w:bCs/>
                <w:snapToGrid/>
                <w:color w:val="A32020"/>
                <w:sz w:val="16"/>
                <w:szCs w:val="16"/>
                <w:lang w:eastAsia="en-AU"/>
              </w:rPr>
            </w:pPr>
            <w:r w:rsidRPr="00565E9D">
              <w:rPr>
                <w:b/>
                <w:bCs/>
                <w:snapToGrid/>
                <w:color w:val="A32020"/>
                <w:sz w:val="16"/>
                <w:szCs w:val="16"/>
                <w:lang w:eastAsia="en-AU"/>
              </w:rPr>
              <w:t xml:space="preserve">Round 17 </w:t>
            </w:r>
            <w:r>
              <w:rPr>
                <w:b/>
                <w:bCs/>
                <w:snapToGrid/>
                <w:color w:val="A32020"/>
                <w:sz w:val="16"/>
                <w:szCs w:val="16"/>
                <w:lang w:eastAsia="en-AU"/>
              </w:rPr>
              <w:t>population-adjusted</w:t>
            </w:r>
            <w:r w:rsidRPr="00565E9D">
              <w:rPr>
                <w:b/>
                <w:bCs/>
                <w:snapToGrid/>
                <w:color w:val="A32020"/>
                <w:sz w:val="16"/>
                <w:szCs w:val="16"/>
                <w:lang w:eastAsia="en-AU"/>
              </w:rPr>
              <w:t xml:space="preserve"> seps</w:t>
            </w:r>
          </w:p>
        </w:tc>
        <w:tc>
          <w:tcPr>
            <w:tcW w:w="257" w:type="pct"/>
            <w:vMerge w:val="restart"/>
            <w:tcBorders>
              <w:top w:val="single" w:sz="4" w:space="0" w:color="auto"/>
              <w:left w:val="nil"/>
              <w:bottom w:val="single" w:sz="4" w:space="0" w:color="000000"/>
              <w:right w:val="nil"/>
            </w:tcBorders>
            <w:shd w:val="clear" w:color="auto" w:fill="auto"/>
            <w:hideMark/>
          </w:tcPr>
          <w:p w:rsidR="00DB602A" w:rsidRPr="00565E9D" w:rsidRDefault="00DB602A" w:rsidP="00565E9D">
            <w:pPr>
              <w:jc w:val="center"/>
              <w:rPr>
                <w:b/>
                <w:bCs/>
                <w:snapToGrid/>
                <w:color w:val="A32020"/>
                <w:sz w:val="16"/>
                <w:szCs w:val="16"/>
                <w:lang w:eastAsia="en-AU"/>
              </w:rPr>
            </w:pPr>
            <w:r w:rsidRPr="00565E9D">
              <w:rPr>
                <w:b/>
                <w:bCs/>
                <w:snapToGrid/>
                <w:color w:val="A32020"/>
                <w:sz w:val="16"/>
                <w:szCs w:val="16"/>
                <w:lang w:eastAsia="en-AU"/>
              </w:rPr>
              <w:t>Rank Round 17</w:t>
            </w:r>
          </w:p>
        </w:tc>
      </w:tr>
      <w:tr w:rsidR="00DB602A" w:rsidRPr="00565E9D" w:rsidTr="00DB602A">
        <w:trPr>
          <w:trHeight w:val="204"/>
        </w:trPr>
        <w:tc>
          <w:tcPr>
            <w:tcW w:w="272"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20"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213"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1129"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255"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93"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78"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31"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78"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272"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204"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204"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93"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257"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r>
      <w:tr w:rsidR="00DB602A" w:rsidRPr="00565E9D" w:rsidTr="00DB602A">
        <w:trPr>
          <w:trHeight w:val="204"/>
        </w:trPr>
        <w:tc>
          <w:tcPr>
            <w:tcW w:w="272"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20"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213"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1129"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255"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93"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78"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31"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78"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272"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204"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204"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93"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257"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r>
      <w:tr w:rsidR="00DB602A" w:rsidRPr="00565E9D" w:rsidTr="00DB602A">
        <w:trPr>
          <w:trHeight w:val="240"/>
        </w:trPr>
        <w:tc>
          <w:tcPr>
            <w:tcW w:w="272"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1</w:t>
            </w:r>
          </w:p>
        </w:tc>
        <w:tc>
          <w:tcPr>
            <w:tcW w:w="213"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R63Z</w:t>
            </w:r>
          </w:p>
        </w:tc>
        <w:tc>
          <w:tcPr>
            <w:tcW w:w="1129"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Chemotherapy</w:t>
            </w:r>
          </w:p>
        </w:tc>
        <w:tc>
          <w:tcPr>
            <w:tcW w:w="255"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0.20</w:t>
            </w:r>
          </w:p>
        </w:tc>
        <w:tc>
          <w:tcPr>
            <w:tcW w:w="393"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240,396</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47,558</w:t>
            </w:r>
          </w:p>
        </w:tc>
        <w:tc>
          <w:tcPr>
            <w:tcW w:w="33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242,821</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w:t>
            </w:r>
          </w:p>
        </w:tc>
        <w:tc>
          <w:tcPr>
            <w:tcW w:w="272"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0.000</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8.5%</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1.7%</w:t>
            </w:r>
          </w:p>
        </w:tc>
        <w:tc>
          <w:tcPr>
            <w:tcW w:w="39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207,697 </w:t>
            </w:r>
          </w:p>
        </w:tc>
        <w:tc>
          <w:tcPr>
            <w:tcW w:w="25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1 </w:t>
            </w:r>
          </w:p>
        </w:tc>
      </w:tr>
      <w:tr w:rsidR="00DB602A" w:rsidRPr="00565E9D" w:rsidTr="00DB602A">
        <w:trPr>
          <w:trHeight w:val="240"/>
        </w:trPr>
        <w:tc>
          <w:tcPr>
            <w:tcW w:w="272"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2</w:t>
            </w:r>
          </w:p>
        </w:tc>
        <w:tc>
          <w:tcPr>
            <w:tcW w:w="213"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G48C</w:t>
            </w:r>
          </w:p>
        </w:tc>
        <w:tc>
          <w:tcPr>
            <w:tcW w:w="1129"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Colonoscopy, Sameday</w:t>
            </w:r>
          </w:p>
        </w:tc>
        <w:tc>
          <w:tcPr>
            <w:tcW w:w="255"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0.23</w:t>
            </w:r>
          </w:p>
        </w:tc>
        <w:tc>
          <w:tcPr>
            <w:tcW w:w="393"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110,153</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24,820</w:t>
            </w:r>
          </w:p>
        </w:tc>
        <w:tc>
          <w:tcPr>
            <w:tcW w:w="33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110,154</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w:t>
            </w:r>
          </w:p>
        </w:tc>
        <w:tc>
          <w:tcPr>
            <w:tcW w:w="272"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0.001</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3.9%</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0.9%</w:t>
            </w:r>
          </w:p>
        </w:tc>
        <w:tc>
          <w:tcPr>
            <w:tcW w:w="39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110,786 </w:t>
            </w:r>
          </w:p>
        </w:tc>
        <w:tc>
          <w:tcPr>
            <w:tcW w:w="25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2 </w:t>
            </w:r>
          </w:p>
        </w:tc>
      </w:tr>
      <w:tr w:rsidR="00DB602A" w:rsidRPr="00565E9D" w:rsidTr="00DB602A">
        <w:trPr>
          <w:trHeight w:val="204"/>
        </w:trPr>
        <w:tc>
          <w:tcPr>
            <w:tcW w:w="272"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3</w:t>
            </w:r>
          </w:p>
        </w:tc>
        <w:tc>
          <w:tcPr>
            <w:tcW w:w="213"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L61Z</w:t>
            </w:r>
          </w:p>
        </w:tc>
        <w:tc>
          <w:tcPr>
            <w:tcW w:w="1129"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Haemodialysis</w:t>
            </w:r>
          </w:p>
        </w:tc>
        <w:tc>
          <w:tcPr>
            <w:tcW w:w="255"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0.06</w:t>
            </w:r>
          </w:p>
        </w:tc>
        <w:tc>
          <w:tcPr>
            <w:tcW w:w="393"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93,520</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5,837</w:t>
            </w:r>
          </w:p>
        </w:tc>
        <w:tc>
          <w:tcPr>
            <w:tcW w:w="33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93,524</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w:t>
            </w:r>
          </w:p>
        </w:tc>
        <w:tc>
          <w:tcPr>
            <w:tcW w:w="272"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0.000</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3.3%</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0.2%</w:t>
            </w:r>
          </w:p>
        </w:tc>
        <w:tc>
          <w:tcPr>
            <w:tcW w:w="39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105,160 </w:t>
            </w:r>
          </w:p>
        </w:tc>
        <w:tc>
          <w:tcPr>
            <w:tcW w:w="25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3 </w:t>
            </w:r>
          </w:p>
        </w:tc>
      </w:tr>
      <w:tr w:rsidR="00DB602A" w:rsidRPr="00565E9D" w:rsidTr="00DB602A">
        <w:trPr>
          <w:trHeight w:val="240"/>
        </w:trPr>
        <w:tc>
          <w:tcPr>
            <w:tcW w:w="272"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4</w:t>
            </w:r>
          </w:p>
        </w:tc>
        <w:tc>
          <w:tcPr>
            <w:tcW w:w="213"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G46C</w:t>
            </w:r>
          </w:p>
        </w:tc>
        <w:tc>
          <w:tcPr>
            <w:tcW w:w="1129"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Complex Gastroscopy, Sameday</w:t>
            </w:r>
          </w:p>
        </w:tc>
        <w:tc>
          <w:tcPr>
            <w:tcW w:w="255"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0.29</w:t>
            </w:r>
          </w:p>
        </w:tc>
        <w:tc>
          <w:tcPr>
            <w:tcW w:w="393"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79,456</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22,949</w:t>
            </w:r>
          </w:p>
        </w:tc>
        <w:tc>
          <w:tcPr>
            <w:tcW w:w="33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79,456</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w:t>
            </w:r>
          </w:p>
        </w:tc>
        <w:tc>
          <w:tcPr>
            <w:tcW w:w="272"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0.002</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2.8%</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0.8%</w:t>
            </w:r>
          </w:p>
        </w:tc>
        <w:tc>
          <w:tcPr>
            <w:tcW w:w="39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72,419 </w:t>
            </w:r>
          </w:p>
        </w:tc>
        <w:tc>
          <w:tcPr>
            <w:tcW w:w="25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6 </w:t>
            </w:r>
          </w:p>
        </w:tc>
      </w:tr>
      <w:tr w:rsidR="00DB602A" w:rsidRPr="00565E9D" w:rsidTr="00DB602A">
        <w:trPr>
          <w:trHeight w:val="240"/>
        </w:trPr>
        <w:tc>
          <w:tcPr>
            <w:tcW w:w="272"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5</w:t>
            </w:r>
          </w:p>
        </w:tc>
        <w:tc>
          <w:tcPr>
            <w:tcW w:w="213"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Z40Z</w:t>
            </w:r>
          </w:p>
        </w:tc>
        <w:tc>
          <w:tcPr>
            <w:tcW w:w="1129"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Endoscopy W Diagnoses of Other Contacts W Health Services, Sameday</w:t>
            </w:r>
          </w:p>
        </w:tc>
        <w:tc>
          <w:tcPr>
            <w:tcW w:w="255"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0.19</w:t>
            </w:r>
          </w:p>
        </w:tc>
        <w:tc>
          <w:tcPr>
            <w:tcW w:w="393"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77,557</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15,056</w:t>
            </w:r>
          </w:p>
        </w:tc>
        <w:tc>
          <w:tcPr>
            <w:tcW w:w="33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77,568</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w:t>
            </w:r>
          </w:p>
        </w:tc>
        <w:tc>
          <w:tcPr>
            <w:tcW w:w="272"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0.001</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2.7%</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0.5%</w:t>
            </w:r>
          </w:p>
        </w:tc>
        <w:tc>
          <w:tcPr>
            <w:tcW w:w="39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78,499 </w:t>
            </w:r>
          </w:p>
        </w:tc>
        <w:tc>
          <w:tcPr>
            <w:tcW w:w="25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4 </w:t>
            </w:r>
          </w:p>
        </w:tc>
      </w:tr>
      <w:tr w:rsidR="00DB602A" w:rsidRPr="00565E9D" w:rsidTr="00DB602A">
        <w:trPr>
          <w:trHeight w:val="240"/>
        </w:trPr>
        <w:tc>
          <w:tcPr>
            <w:tcW w:w="272"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6</w:t>
            </w:r>
          </w:p>
        </w:tc>
        <w:tc>
          <w:tcPr>
            <w:tcW w:w="213"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Z64B</w:t>
            </w:r>
          </w:p>
        </w:tc>
        <w:tc>
          <w:tcPr>
            <w:tcW w:w="1129"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Other Factors Influencing Health Status, Sameday</w:t>
            </w:r>
          </w:p>
        </w:tc>
        <w:tc>
          <w:tcPr>
            <w:tcW w:w="255"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0.16</w:t>
            </w:r>
          </w:p>
        </w:tc>
        <w:tc>
          <w:tcPr>
            <w:tcW w:w="393"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77,415</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12,140</w:t>
            </w:r>
          </w:p>
        </w:tc>
        <w:tc>
          <w:tcPr>
            <w:tcW w:w="33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77,415</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w:t>
            </w:r>
          </w:p>
        </w:tc>
        <w:tc>
          <w:tcPr>
            <w:tcW w:w="272"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0.001</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2.7%</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0.4%</w:t>
            </w:r>
          </w:p>
        </w:tc>
        <w:tc>
          <w:tcPr>
            <w:tcW w:w="39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72,613 </w:t>
            </w:r>
          </w:p>
        </w:tc>
        <w:tc>
          <w:tcPr>
            <w:tcW w:w="25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5 </w:t>
            </w:r>
          </w:p>
        </w:tc>
      </w:tr>
      <w:tr w:rsidR="00DB602A" w:rsidRPr="00565E9D" w:rsidTr="00DB602A">
        <w:trPr>
          <w:trHeight w:val="204"/>
        </w:trPr>
        <w:tc>
          <w:tcPr>
            <w:tcW w:w="272"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7</w:t>
            </w:r>
          </w:p>
        </w:tc>
        <w:tc>
          <w:tcPr>
            <w:tcW w:w="213"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D40Z</w:t>
            </w:r>
          </w:p>
        </w:tc>
        <w:tc>
          <w:tcPr>
            <w:tcW w:w="1129"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Dental Extractions and Restorations</w:t>
            </w:r>
          </w:p>
        </w:tc>
        <w:tc>
          <w:tcPr>
            <w:tcW w:w="255"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0.39</w:t>
            </w:r>
          </w:p>
        </w:tc>
        <w:tc>
          <w:tcPr>
            <w:tcW w:w="393"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64,140</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25,266</w:t>
            </w:r>
          </w:p>
        </w:tc>
        <w:tc>
          <w:tcPr>
            <w:tcW w:w="33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64,448</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w:t>
            </w:r>
          </w:p>
        </w:tc>
        <w:tc>
          <w:tcPr>
            <w:tcW w:w="272"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0.001</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2.3%</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0.9%</w:t>
            </w:r>
          </w:p>
        </w:tc>
        <w:tc>
          <w:tcPr>
            <w:tcW w:w="39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55,351 </w:t>
            </w:r>
          </w:p>
        </w:tc>
        <w:tc>
          <w:tcPr>
            <w:tcW w:w="25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9 </w:t>
            </w:r>
          </w:p>
        </w:tc>
      </w:tr>
      <w:tr w:rsidR="00DB602A" w:rsidRPr="00565E9D" w:rsidTr="00DB602A">
        <w:trPr>
          <w:trHeight w:val="255"/>
        </w:trPr>
        <w:tc>
          <w:tcPr>
            <w:tcW w:w="272"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8</w:t>
            </w:r>
          </w:p>
        </w:tc>
        <w:tc>
          <w:tcPr>
            <w:tcW w:w="213"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G47C</w:t>
            </w:r>
          </w:p>
        </w:tc>
        <w:tc>
          <w:tcPr>
            <w:tcW w:w="1129"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Other Gastroscopy, Sameday</w:t>
            </w:r>
          </w:p>
        </w:tc>
        <w:tc>
          <w:tcPr>
            <w:tcW w:w="255"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0.17</w:t>
            </w:r>
          </w:p>
        </w:tc>
        <w:tc>
          <w:tcPr>
            <w:tcW w:w="393"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62,687</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10,535</w:t>
            </w:r>
          </w:p>
        </w:tc>
        <w:tc>
          <w:tcPr>
            <w:tcW w:w="33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62,702</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w:t>
            </w:r>
          </w:p>
        </w:tc>
        <w:tc>
          <w:tcPr>
            <w:tcW w:w="272"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0.001</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2.2%</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0.4%</w:t>
            </w:r>
          </w:p>
        </w:tc>
        <w:tc>
          <w:tcPr>
            <w:tcW w:w="39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63,075 </w:t>
            </w:r>
          </w:p>
        </w:tc>
        <w:tc>
          <w:tcPr>
            <w:tcW w:w="25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7 </w:t>
            </w:r>
          </w:p>
        </w:tc>
      </w:tr>
      <w:tr w:rsidR="00DB602A" w:rsidRPr="00565E9D" w:rsidTr="00DB602A">
        <w:trPr>
          <w:trHeight w:val="240"/>
        </w:trPr>
        <w:tc>
          <w:tcPr>
            <w:tcW w:w="272"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9</w:t>
            </w:r>
          </w:p>
        </w:tc>
        <w:tc>
          <w:tcPr>
            <w:tcW w:w="213"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I18Z</w:t>
            </w:r>
          </w:p>
        </w:tc>
        <w:tc>
          <w:tcPr>
            <w:tcW w:w="1129"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Other Knee Procedures</w:t>
            </w:r>
          </w:p>
        </w:tc>
        <w:tc>
          <w:tcPr>
            <w:tcW w:w="255"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0.48</w:t>
            </w:r>
          </w:p>
        </w:tc>
        <w:tc>
          <w:tcPr>
            <w:tcW w:w="393"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56,143</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26,853</w:t>
            </w:r>
          </w:p>
        </w:tc>
        <w:tc>
          <w:tcPr>
            <w:tcW w:w="33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62,774</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1.1</w:t>
            </w:r>
          </w:p>
        </w:tc>
        <w:tc>
          <w:tcPr>
            <w:tcW w:w="272"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0.002</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2.0%</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0.9%</w:t>
            </w:r>
          </w:p>
        </w:tc>
        <w:tc>
          <w:tcPr>
            <w:tcW w:w="39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62,526 </w:t>
            </w:r>
          </w:p>
        </w:tc>
        <w:tc>
          <w:tcPr>
            <w:tcW w:w="25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8 </w:t>
            </w:r>
          </w:p>
        </w:tc>
      </w:tr>
      <w:tr w:rsidR="00DB602A" w:rsidRPr="00565E9D" w:rsidTr="00DB602A">
        <w:trPr>
          <w:trHeight w:val="204"/>
        </w:trPr>
        <w:tc>
          <w:tcPr>
            <w:tcW w:w="272"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10</w:t>
            </w:r>
          </w:p>
        </w:tc>
        <w:tc>
          <w:tcPr>
            <w:tcW w:w="213"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C16Z</w:t>
            </w:r>
          </w:p>
        </w:tc>
        <w:tc>
          <w:tcPr>
            <w:tcW w:w="1129"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Lens Procedures</w:t>
            </w:r>
          </w:p>
        </w:tc>
        <w:tc>
          <w:tcPr>
            <w:tcW w:w="255"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0.52</w:t>
            </w:r>
          </w:p>
        </w:tc>
        <w:tc>
          <w:tcPr>
            <w:tcW w:w="393"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51,801</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27,108</w:t>
            </w:r>
          </w:p>
        </w:tc>
        <w:tc>
          <w:tcPr>
            <w:tcW w:w="33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52,120</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w:t>
            </w:r>
          </w:p>
        </w:tc>
        <w:tc>
          <w:tcPr>
            <w:tcW w:w="272"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0.002</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1.8%</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w:t>
            </w:r>
          </w:p>
        </w:tc>
        <w:tc>
          <w:tcPr>
            <w:tcW w:w="39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40,917 </w:t>
            </w:r>
          </w:p>
        </w:tc>
        <w:tc>
          <w:tcPr>
            <w:tcW w:w="25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11 </w:t>
            </w:r>
          </w:p>
        </w:tc>
      </w:tr>
      <w:tr w:rsidR="00DB602A" w:rsidRPr="00565E9D" w:rsidTr="00DB602A">
        <w:trPr>
          <w:trHeight w:val="240"/>
        </w:trPr>
        <w:tc>
          <w:tcPr>
            <w:tcW w:w="272"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11</w:t>
            </w:r>
          </w:p>
        </w:tc>
        <w:tc>
          <w:tcPr>
            <w:tcW w:w="213"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E63Z</w:t>
            </w:r>
          </w:p>
        </w:tc>
        <w:tc>
          <w:tcPr>
            <w:tcW w:w="1129"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Sleep Apnoea</w:t>
            </w:r>
          </w:p>
        </w:tc>
        <w:tc>
          <w:tcPr>
            <w:tcW w:w="255"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0.17</w:t>
            </w:r>
          </w:p>
        </w:tc>
        <w:tc>
          <w:tcPr>
            <w:tcW w:w="393"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45,269</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7,803</w:t>
            </w:r>
          </w:p>
        </w:tc>
        <w:tc>
          <w:tcPr>
            <w:tcW w:w="33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45,701</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w:t>
            </w:r>
          </w:p>
        </w:tc>
        <w:tc>
          <w:tcPr>
            <w:tcW w:w="272"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0.001</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1.6%</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0.3%</w:t>
            </w:r>
          </w:p>
        </w:tc>
        <w:tc>
          <w:tcPr>
            <w:tcW w:w="39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43,513 </w:t>
            </w:r>
          </w:p>
        </w:tc>
        <w:tc>
          <w:tcPr>
            <w:tcW w:w="25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10 </w:t>
            </w:r>
          </w:p>
        </w:tc>
      </w:tr>
      <w:tr w:rsidR="00DB602A" w:rsidRPr="00565E9D" w:rsidTr="00DB602A">
        <w:trPr>
          <w:trHeight w:val="408"/>
        </w:trPr>
        <w:tc>
          <w:tcPr>
            <w:tcW w:w="272"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12</w:t>
            </w:r>
          </w:p>
        </w:tc>
        <w:tc>
          <w:tcPr>
            <w:tcW w:w="213"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J11Z</w:t>
            </w:r>
          </w:p>
        </w:tc>
        <w:tc>
          <w:tcPr>
            <w:tcW w:w="1129"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Other Skin, Subcutaneous Tissue and Breast Procedures</w:t>
            </w:r>
          </w:p>
        </w:tc>
        <w:tc>
          <w:tcPr>
            <w:tcW w:w="255"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0.35</w:t>
            </w:r>
          </w:p>
        </w:tc>
        <w:tc>
          <w:tcPr>
            <w:tcW w:w="393"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36,975</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12,880</w:t>
            </w:r>
          </w:p>
        </w:tc>
        <w:tc>
          <w:tcPr>
            <w:tcW w:w="33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40,627</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1.1</w:t>
            </w:r>
          </w:p>
        </w:tc>
        <w:tc>
          <w:tcPr>
            <w:tcW w:w="272"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0.003</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1.3%</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0.5%</w:t>
            </w:r>
          </w:p>
        </w:tc>
        <w:tc>
          <w:tcPr>
            <w:tcW w:w="39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37,193 </w:t>
            </w:r>
          </w:p>
        </w:tc>
        <w:tc>
          <w:tcPr>
            <w:tcW w:w="25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12 </w:t>
            </w:r>
          </w:p>
        </w:tc>
      </w:tr>
      <w:tr w:rsidR="00DB602A" w:rsidRPr="00565E9D" w:rsidTr="00DB602A">
        <w:trPr>
          <w:trHeight w:val="240"/>
        </w:trPr>
        <w:tc>
          <w:tcPr>
            <w:tcW w:w="272"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No</w:t>
            </w:r>
          </w:p>
        </w:tc>
        <w:tc>
          <w:tcPr>
            <w:tcW w:w="320"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13</w:t>
            </w:r>
          </w:p>
        </w:tc>
        <w:tc>
          <w:tcPr>
            <w:tcW w:w="213"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U60Z</w:t>
            </w:r>
          </w:p>
        </w:tc>
        <w:tc>
          <w:tcPr>
            <w:tcW w:w="1129"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Mental Health Treatment, Sameday, W/O ECT</w:t>
            </w:r>
          </w:p>
        </w:tc>
        <w:tc>
          <w:tcPr>
            <w:tcW w:w="255"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0.05</w:t>
            </w:r>
          </w:p>
        </w:tc>
        <w:tc>
          <w:tcPr>
            <w:tcW w:w="393"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36,465</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1,756</w:t>
            </w:r>
          </w:p>
        </w:tc>
        <w:tc>
          <w:tcPr>
            <w:tcW w:w="33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36,508</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w:t>
            </w:r>
          </w:p>
        </w:tc>
        <w:tc>
          <w:tcPr>
            <w:tcW w:w="272"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0.000</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1.3%</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0.1%</w:t>
            </w:r>
          </w:p>
        </w:tc>
        <w:tc>
          <w:tcPr>
            <w:tcW w:w="39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22,670 </w:t>
            </w:r>
          </w:p>
        </w:tc>
        <w:tc>
          <w:tcPr>
            <w:tcW w:w="25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25 </w:t>
            </w:r>
          </w:p>
        </w:tc>
      </w:tr>
      <w:tr w:rsidR="00DB602A" w:rsidRPr="00565E9D" w:rsidTr="00DB602A">
        <w:trPr>
          <w:trHeight w:val="408"/>
        </w:trPr>
        <w:tc>
          <w:tcPr>
            <w:tcW w:w="272"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14</w:t>
            </w:r>
          </w:p>
        </w:tc>
        <w:tc>
          <w:tcPr>
            <w:tcW w:w="213"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N07Z</w:t>
            </w:r>
          </w:p>
        </w:tc>
        <w:tc>
          <w:tcPr>
            <w:tcW w:w="1129"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Other Uterine and Adnexa Procedures for Non-Malignancy</w:t>
            </w:r>
          </w:p>
        </w:tc>
        <w:tc>
          <w:tcPr>
            <w:tcW w:w="255"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0.53</w:t>
            </w:r>
          </w:p>
        </w:tc>
        <w:tc>
          <w:tcPr>
            <w:tcW w:w="393"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35,090</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18,710</w:t>
            </w:r>
          </w:p>
        </w:tc>
        <w:tc>
          <w:tcPr>
            <w:tcW w:w="33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38,912</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1.1</w:t>
            </w:r>
          </w:p>
        </w:tc>
        <w:tc>
          <w:tcPr>
            <w:tcW w:w="272"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0.003</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1.2%</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0.7%</w:t>
            </w:r>
          </w:p>
        </w:tc>
        <w:tc>
          <w:tcPr>
            <w:tcW w:w="39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34,211 </w:t>
            </w:r>
          </w:p>
        </w:tc>
        <w:tc>
          <w:tcPr>
            <w:tcW w:w="25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16 </w:t>
            </w:r>
          </w:p>
        </w:tc>
      </w:tr>
      <w:tr w:rsidR="00DB602A" w:rsidRPr="00565E9D" w:rsidTr="00DB602A">
        <w:trPr>
          <w:trHeight w:val="204"/>
        </w:trPr>
        <w:tc>
          <w:tcPr>
            <w:tcW w:w="272"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15</w:t>
            </w:r>
          </w:p>
        </w:tc>
        <w:tc>
          <w:tcPr>
            <w:tcW w:w="213"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G10B</w:t>
            </w:r>
          </w:p>
        </w:tc>
        <w:tc>
          <w:tcPr>
            <w:tcW w:w="1129"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Hernia Procedures W/O CC</w:t>
            </w:r>
          </w:p>
        </w:tc>
        <w:tc>
          <w:tcPr>
            <w:tcW w:w="255"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0.95</w:t>
            </w:r>
          </w:p>
        </w:tc>
        <w:tc>
          <w:tcPr>
            <w:tcW w:w="393"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34,931</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33,308</w:t>
            </w:r>
          </w:p>
        </w:tc>
        <w:tc>
          <w:tcPr>
            <w:tcW w:w="33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44,466</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1.3</w:t>
            </w:r>
          </w:p>
        </w:tc>
        <w:tc>
          <w:tcPr>
            <w:tcW w:w="272"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0.004</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1.2%</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1.2%</w:t>
            </w:r>
          </w:p>
        </w:tc>
        <w:tc>
          <w:tcPr>
            <w:tcW w:w="39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36,921 </w:t>
            </w:r>
          </w:p>
        </w:tc>
        <w:tc>
          <w:tcPr>
            <w:tcW w:w="25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13 </w:t>
            </w:r>
          </w:p>
        </w:tc>
      </w:tr>
      <w:tr w:rsidR="00DB602A" w:rsidRPr="00565E9D" w:rsidTr="00DB602A">
        <w:trPr>
          <w:trHeight w:val="204"/>
        </w:trPr>
        <w:tc>
          <w:tcPr>
            <w:tcW w:w="272"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16</w:t>
            </w:r>
          </w:p>
        </w:tc>
        <w:tc>
          <w:tcPr>
            <w:tcW w:w="213"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I16Z</w:t>
            </w:r>
          </w:p>
        </w:tc>
        <w:tc>
          <w:tcPr>
            <w:tcW w:w="1129"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Other Shoulder Procedures</w:t>
            </w:r>
          </w:p>
        </w:tc>
        <w:tc>
          <w:tcPr>
            <w:tcW w:w="255"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1.28</w:t>
            </w:r>
          </w:p>
        </w:tc>
        <w:tc>
          <w:tcPr>
            <w:tcW w:w="393"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34,497</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44,277</w:t>
            </w:r>
          </w:p>
        </w:tc>
        <w:tc>
          <w:tcPr>
            <w:tcW w:w="33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42,332</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1.2</w:t>
            </w:r>
          </w:p>
        </w:tc>
        <w:tc>
          <w:tcPr>
            <w:tcW w:w="272"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0.005</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1.2%</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1.6%</w:t>
            </w:r>
          </w:p>
        </w:tc>
        <w:tc>
          <w:tcPr>
            <w:tcW w:w="39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35,952 </w:t>
            </w:r>
          </w:p>
        </w:tc>
        <w:tc>
          <w:tcPr>
            <w:tcW w:w="25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15 </w:t>
            </w:r>
          </w:p>
        </w:tc>
      </w:tr>
      <w:tr w:rsidR="00DB602A" w:rsidRPr="00565E9D" w:rsidTr="00DB602A">
        <w:trPr>
          <w:trHeight w:val="240"/>
        </w:trPr>
        <w:tc>
          <w:tcPr>
            <w:tcW w:w="272"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17</w:t>
            </w:r>
          </w:p>
        </w:tc>
        <w:tc>
          <w:tcPr>
            <w:tcW w:w="213"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O60B</w:t>
            </w:r>
          </w:p>
        </w:tc>
        <w:tc>
          <w:tcPr>
            <w:tcW w:w="1129"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Vaginal Delivery W/O Catastrophic or Severe CC</w:t>
            </w:r>
          </w:p>
        </w:tc>
        <w:tc>
          <w:tcPr>
            <w:tcW w:w="255"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1.14</w:t>
            </w:r>
          </w:p>
        </w:tc>
        <w:tc>
          <w:tcPr>
            <w:tcW w:w="393"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33,057</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37,783</w:t>
            </w:r>
          </w:p>
        </w:tc>
        <w:tc>
          <w:tcPr>
            <w:tcW w:w="33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135,469</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4.1</w:t>
            </w:r>
          </w:p>
        </w:tc>
        <w:tc>
          <w:tcPr>
            <w:tcW w:w="272"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0.005</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1.2%</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1.3%</w:t>
            </w:r>
          </w:p>
        </w:tc>
        <w:tc>
          <w:tcPr>
            <w:tcW w:w="39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36,332 </w:t>
            </w:r>
          </w:p>
        </w:tc>
        <w:tc>
          <w:tcPr>
            <w:tcW w:w="25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14 </w:t>
            </w:r>
          </w:p>
        </w:tc>
      </w:tr>
      <w:tr w:rsidR="00DB602A" w:rsidRPr="00565E9D" w:rsidTr="00DB602A">
        <w:trPr>
          <w:trHeight w:val="204"/>
        </w:trPr>
        <w:tc>
          <w:tcPr>
            <w:tcW w:w="272"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18</w:t>
            </w:r>
          </w:p>
        </w:tc>
        <w:tc>
          <w:tcPr>
            <w:tcW w:w="213"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L41Z</w:t>
            </w:r>
          </w:p>
        </w:tc>
        <w:tc>
          <w:tcPr>
            <w:tcW w:w="1129"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Cystourethroscopy, Sameday</w:t>
            </w:r>
          </w:p>
        </w:tc>
        <w:tc>
          <w:tcPr>
            <w:tcW w:w="255"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0.20</w:t>
            </w:r>
          </w:p>
        </w:tc>
        <w:tc>
          <w:tcPr>
            <w:tcW w:w="393"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32,477</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6,466</w:t>
            </w:r>
          </w:p>
        </w:tc>
        <w:tc>
          <w:tcPr>
            <w:tcW w:w="33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32,479</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w:t>
            </w:r>
          </w:p>
        </w:tc>
        <w:tc>
          <w:tcPr>
            <w:tcW w:w="272"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0.001</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1.1%</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0.2%</w:t>
            </w:r>
          </w:p>
        </w:tc>
        <w:tc>
          <w:tcPr>
            <w:tcW w:w="39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29,854 </w:t>
            </w:r>
          </w:p>
        </w:tc>
        <w:tc>
          <w:tcPr>
            <w:tcW w:w="25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18 </w:t>
            </w:r>
          </w:p>
        </w:tc>
      </w:tr>
      <w:tr w:rsidR="00DB602A" w:rsidRPr="00565E9D" w:rsidTr="00DB602A">
        <w:trPr>
          <w:trHeight w:val="204"/>
        </w:trPr>
        <w:tc>
          <w:tcPr>
            <w:tcW w:w="272"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19</w:t>
            </w:r>
          </w:p>
        </w:tc>
        <w:tc>
          <w:tcPr>
            <w:tcW w:w="213"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G11Z</w:t>
            </w:r>
          </w:p>
        </w:tc>
        <w:tc>
          <w:tcPr>
            <w:tcW w:w="1129"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Anal and Stomal Procedures</w:t>
            </w:r>
          </w:p>
        </w:tc>
        <w:tc>
          <w:tcPr>
            <w:tcW w:w="255"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0.46</w:t>
            </w:r>
          </w:p>
        </w:tc>
        <w:tc>
          <w:tcPr>
            <w:tcW w:w="393"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30,287</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14,071</w:t>
            </w:r>
          </w:p>
        </w:tc>
        <w:tc>
          <w:tcPr>
            <w:tcW w:w="33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38,648</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1.3</w:t>
            </w:r>
          </w:p>
        </w:tc>
        <w:tc>
          <w:tcPr>
            <w:tcW w:w="272"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0.004</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1.1%</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0.5%</w:t>
            </w:r>
          </w:p>
        </w:tc>
        <w:tc>
          <w:tcPr>
            <w:tcW w:w="39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31,009 </w:t>
            </w:r>
          </w:p>
        </w:tc>
        <w:tc>
          <w:tcPr>
            <w:tcW w:w="25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17 </w:t>
            </w:r>
          </w:p>
        </w:tc>
      </w:tr>
      <w:tr w:rsidR="00DB602A" w:rsidRPr="00565E9D" w:rsidTr="00DB602A">
        <w:trPr>
          <w:trHeight w:val="408"/>
        </w:trPr>
        <w:tc>
          <w:tcPr>
            <w:tcW w:w="272"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20"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20</w:t>
            </w:r>
          </w:p>
        </w:tc>
        <w:tc>
          <w:tcPr>
            <w:tcW w:w="213"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O01C</w:t>
            </w:r>
          </w:p>
        </w:tc>
        <w:tc>
          <w:tcPr>
            <w:tcW w:w="1129"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Caesarean Delivery W/O Catastrophic or Severe CC</w:t>
            </w:r>
          </w:p>
        </w:tc>
        <w:tc>
          <w:tcPr>
            <w:tcW w:w="255" w:type="pct"/>
            <w:tcBorders>
              <w:top w:val="nil"/>
              <w:left w:val="nil"/>
              <w:bottom w:val="nil"/>
              <w:right w:val="nil"/>
            </w:tcBorders>
            <w:shd w:val="clear" w:color="auto" w:fill="auto"/>
            <w:noWrap/>
            <w:hideMark/>
          </w:tcPr>
          <w:p w:rsidR="00565E9D" w:rsidRPr="00565E9D" w:rsidRDefault="00B03252" w:rsidP="00565E9D">
            <w:pPr>
              <w:jc w:val="right"/>
              <w:rPr>
                <w:snapToGrid/>
                <w:color w:val="000000"/>
                <w:sz w:val="16"/>
                <w:szCs w:val="16"/>
                <w:lang w:eastAsia="en-AU"/>
              </w:rPr>
            </w:pPr>
            <w:r>
              <w:rPr>
                <w:noProof/>
                <w:snapToGrid/>
                <w:lang w:eastAsia="en-AU"/>
              </w:rPr>
              <mc:AlternateContent>
                <mc:Choice Requires="wps">
                  <w:drawing>
                    <wp:anchor distT="0" distB="0" distL="114300" distR="114300" simplePos="0" relativeHeight="251734016" behindDoc="0" locked="0" layoutInCell="1" allowOverlap="1" wp14:anchorId="4B550563" wp14:editId="17BC7E69">
                      <wp:simplePos x="0" y="0"/>
                      <wp:positionH relativeFrom="column">
                        <wp:posOffset>417830</wp:posOffset>
                      </wp:positionH>
                      <wp:positionV relativeFrom="paragraph">
                        <wp:posOffset>243840</wp:posOffset>
                      </wp:positionV>
                      <wp:extent cx="1508760" cy="458470"/>
                      <wp:effectExtent l="19050" t="19050" r="15240" b="17780"/>
                      <wp:wrapNone/>
                      <wp:docPr id="3" name="Rounded Rectangle 3"/>
                      <wp:cNvGraphicFramePr/>
                      <a:graphic xmlns:a="http://schemas.openxmlformats.org/drawingml/2006/main">
                        <a:graphicData uri="http://schemas.microsoft.com/office/word/2010/wordprocessingShape">
                          <wps:wsp>
                            <wps:cNvSpPr/>
                            <wps:spPr bwMode="ltGray">
                              <a:xfrm>
                                <a:off x="0" y="0"/>
                                <a:ext cx="1508760" cy="458470"/>
                              </a:xfrm>
                              <a:prstGeom prst="roundRect">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32.9pt;margin-top:19.2pt;width:118.8pt;height:36.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" filled="f" strokecolor="#511010 [1604]" strokeweight="2.5pt"/>
                  </w:pict>
                </mc:Fallback>
              </mc:AlternateContent>
            </w:r>
            <w:r w:rsidR="00565E9D" w:rsidRPr="00565E9D">
              <w:rPr>
                <w:snapToGrid/>
                <w:color w:val="000000"/>
                <w:sz w:val="16"/>
                <w:szCs w:val="16"/>
                <w:lang w:eastAsia="en-AU"/>
              </w:rPr>
              <w:t>1.77</w:t>
            </w:r>
          </w:p>
        </w:tc>
        <w:tc>
          <w:tcPr>
            <w:tcW w:w="393"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28,325</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50,210</w:t>
            </w:r>
          </w:p>
        </w:tc>
        <w:tc>
          <w:tcPr>
            <w:tcW w:w="33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137,181</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4.8</w:t>
            </w:r>
          </w:p>
        </w:tc>
        <w:tc>
          <w:tcPr>
            <w:tcW w:w="272"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0.007</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1.8%</w:t>
            </w:r>
          </w:p>
        </w:tc>
        <w:tc>
          <w:tcPr>
            <w:tcW w:w="39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29,303 </w:t>
            </w:r>
          </w:p>
        </w:tc>
        <w:tc>
          <w:tcPr>
            <w:tcW w:w="25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19 </w:t>
            </w:r>
          </w:p>
        </w:tc>
      </w:tr>
      <w:tr w:rsidR="00DB602A" w:rsidRPr="00565E9D" w:rsidTr="00DB602A">
        <w:trPr>
          <w:trHeight w:val="240"/>
        </w:trPr>
        <w:tc>
          <w:tcPr>
            <w:tcW w:w="272" w:type="pct"/>
            <w:tcBorders>
              <w:top w:val="single" w:sz="4" w:space="0" w:color="auto"/>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19</w:t>
            </w:r>
          </w:p>
        </w:tc>
        <w:tc>
          <w:tcPr>
            <w:tcW w:w="1663" w:type="pct"/>
            <w:gridSpan w:val="3"/>
            <w:tcBorders>
              <w:top w:val="single" w:sz="4" w:space="0" w:color="auto"/>
              <w:left w:val="nil"/>
              <w:bottom w:val="nil"/>
              <w:right w:val="nil"/>
            </w:tcBorders>
            <w:shd w:val="clear" w:color="auto" w:fill="auto"/>
            <w:noWrap/>
            <w:hideMark/>
          </w:tcPr>
          <w:p w:rsidR="00565E9D" w:rsidRPr="00565E9D" w:rsidRDefault="00565E9D" w:rsidP="00565E9D">
            <w:pPr>
              <w:rPr>
                <w:b/>
                <w:bCs/>
                <w:snapToGrid/>
                <w:color w:val="000000"/>
                <w:sz w:val="16"/>
                <w:szCs w:val="16"/>
                <w:lang w:eastAsia="en-AU"/>
              </w:rPr>
            </w:pPr>
            <w:r w:rsidRPr="00565E9D">
              <w:rPr>
                <w:b/>
                <w:bCs/>
                <w:snapToGrid/>
                <w:color w:val="000000"/>
                <w:sz w:val="16"/>
                <w:szCs w:val="16"/>
                <w:lang w:eastAsia="en-AU"/>
              </w:rPr>
              <w:t>Sub-total, 20 highest separation count</w:t>
            </w:r>
          </w:p>
        </w:tc>
        <w:tc>
          <w:tcPr>
            <w:tcW w:w="255" w:type="pct"/>
            <w:tcBorders>
              <w:top w:val="single" w:sz="4" w:space="0" w:color="auto"/>
              <w:left w:val="nil"/>
              <w:bottom w:val="nil"/>
              <w:right w:val="nil"/>
            </w:tcBorders>
            <w:shd w:val="clear" w:color="auto" w:fill="auto"/>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0.35</w:t>
            </w:r>
          </w:p>
        </w:tc>
        <w:tc>
          <w:tcPr>
            <w:tcW w:w="393" w:type="pct"/>
            <w:tcBorders>
              <w:top w:val="single" w:sz="4" w:space="0" w:color="auto"/>
              <w:left w:val="nil"/>
              <w:bottom w:val="nil"/>
              <w:right w:val="nil"/>
            </w:tcBorders>
            <w:shd w:val="clear" w:color="000000" w:fill="F4CACA"/>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1,260,642</w:t>
            </w:r>
          </w:p>
        </w:tc>
        <w:tc>
          <w:tcPr>
            <w:tcW w:w="378" w:type="pct"/>
            <w:tcBorders>
              <w:top w:val="single" w:sz="4" w:space="0" w:color="auto"/>
              <w:left w:val="nil"/>
              <w:bottom w:val="nil"/>
              <w:right w:val="nil"/>
            </w:tcBorders>
            <w:shd w:val="clear" w:color="auto" w:fill="auto"/>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445,386</w:t>
            </w:r>
          </w:p>
        </w:tc>
        <w:tc>
          <w:tcPr>
            <w:tcW w:w="331" w:type="pct"/>
            <w:tcBorders>
              <w:top w:val="single" w:sz="4" w:space="0" w:color="auto"/>
              <w:left w:val="nil"/>
              <w:bottom w:val="nil"/>
              <w:right w:val="nil"/>
            </w:tcBorders>
            <w:shd w:val="clear" w:color="auto" w:fill="auto"/>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1,515,305</w:t>
            </w:r>
          </w:p>
        </w:tc>
        <w:tc>
          <w:tcPr>
            <w:tcW w:w="378" w:type="pct"/>
            <w:tcBorders>
              <w:top w:val="single" w:sz="4" w:space="0" w:color="auto"/>
              <w:left w:val="nil"/>
              <w:bottom w:val="nil"/>
              <w:right w:val="nil"/>
            </w:tcBorders>
            <w:shd w:val="clear" w:color="auto" w:fill="auto"/>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1.2</w:t>
            </w:r>
          </w:p>
        </w:tc>
        <w:tc>
          <w:tcPr>
            <w:tcW w:w="272" w:type="pct"/>
            <w:tcBorders>
              <w:top w:val="single" w:sz="4" w:space="0" w:color="auto"/>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 </w:t>
            </w:r>
          </w:p>
        </w:tc>
        <w:tc>
          <w:tcPr>
            <w:tcW w:w="204" w:type="pct"/>
            <w:tcBorders>
              <w:top w:val="single" w:sz="4" w:space="0" w:color="auto"/>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45%</w:t>
            </w:r>
          </w:p>
        </w:tc>
        <w:tc>
          <w:tcPr>
            <w:tcW w:w="204" w:type="pct"/>
            <w:tcBorders>
              <w:top w:val="single" w:sz="4" w:space="0" w:color="auto"/>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16%</w:t>
            </w:r>
          </w:p>
        </w:tc>
        <w:tc>
          <w:tcPr>
            <w:tcW w:w="393" w:type="pct"/>
            <w:tcBorders>
              <w:top w:val="single" w:sz="4" w:space="0" w:color="auto"/>
              <w:left w:val="nil"/>
              <w:bottom w:val="nil"/>
              <w:right w:val="nil"/>
            </w:tcBorders>
            <w:shd w:val="clear" w:color="auto" w:fill="auto"/>
            <w:noWrap/>
            <w:hideMark/>
          </w:tcPr>
          <w:p w:rsidR="00565E9D" w:rsidRPr="00565E9D" w:rsidRDefault="00565E9D" w:rsidP="00565E9D">
            <w:pPr>
              <w:rPr>
                <w:b/>
                <w:bCs/>
                <w:snapToGrid/>
                <w:color w:val="000000"/>
                <w:sz w:val="16"/>
                <w:szCs w:val="16"/>
                <w:lang w:eastAsia="en-AU"/>
              </w:rPr>
            </w:pPr>
            <w:r w:rsidRPr="00565E9D">
              <w:rPr>
                <w:b/>
                <w:bCs/>
                <w:snapToGrid/>
                <w:color w:val="000000"/>
                <w:sz w:val="16"/>
                <w:szCs w:val="16"/>
                <w:lang w:eastAsia="en-AU"/>
              </w:rPr>
              <w:t> </w:t>
            </w:r>
          </w:p>
        </w:tc>
        <w:tc>
          <w:tcPr>
            <w:tcW w:w="257" w:type="pct"/>
            <w:tcBorders>
              <w:top w:val="single" w:sz="4" w:space="0" w:color="auto"/>
              <w:left w:val="nil"/>
              <w:bottom w:val="nil"/>
              <w:right w:val="nil"/>
            </w:tcBorders>
            <w:shd w:val="clear" w:color="auto" w:fill="auto"/>
            <w:noWrap/>
            <w:hideMark/>
          </w:tcPr>
          <w:p w:rsidR="00565E9D" w:rsidRPr="00565E9D" w:rsidRDefault="00565E9D" w:rsidP="00565E9D">
            <w:pPr>
              <w:rPr>
                <w:b/>
                <w:bCs/>
                <w:snapToGrid/>
                <w:color w:val="000000"/>
                <w:sz w:val="16"/>
                <w:szCs w:val="16"/>
                <w:lang w:eastAsia="en-AU"/>
              </w:rPr>
            </w:pPr>
            <w:r w:rsidRPr="00565E9D">
              <w:rPr>
                <w:b/>
                <w:bCs/>
                <w:snapToGrid/>
                <w:color w:val="000000"/>
                <w:sz w:val="16"/>
                <w:szCs w:val="16"/>
                <w:lang w:eastAsia="en-AU"/>
              </w:rPr>
              <w:t> </w:t>
            </w:r>
          </w:p>
        </w:tc>
      </w:tr>
      <w:tr w:rsidR="00DB602A" w:rsidRPr="00565E9D" w:rsidTr="00DB602A">
        <w:trPr>
          <w:trHeight w:val="240"/>
        </w:trPr>
        <w:tc>
          <w:tcPr>
            <w:tcW w:w="272"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 xml:space="preserve">in </w:t>
            </w:r>
          </w:p>
        </w:tc>
        <w:tc>
          <w:tcPr>
            <w:tcW w:w="320" w:type="pct"/>
            <w:tcBorders>
              <w:top w:val="nil"/>
              <w:left w:val="nil"/>
              <w:bottom w:val="nil"/>
              <w:right w:val="nil"/>
            </w:tcBorders>
            <w:shd w:val="clear" w:color="auto" w:fill="auto"/>
            <w:noWrap/>
            <w:hideMark/>
          </w:tcPr>
          <w:p w:rsidR="00565E9D" w:rsidRPr="00565E9D" w:rsidRDefault="00565E9D" w:rsidP="00565E9D">
            <w:pPr>
              <w:rPr>
                <w:b/>
                <w:bCs/>
                <w:snapToGrid/>
                <w:color w:val="000000"/>
                <w:sz w:val="16"/>
                <w:szCs w:val="16"/>
                <w:lang w:eastAsia="en-AU"/>
              </w:rPr>
            </w:pPr>
            <w:r w:rsidRPr="00565E9D">
              <w:rPr>
                <w:b/>
                <w:bCs/>
                <w:snapToGrid/>
                <w:color w:val="000000"/>
                <w:sz w:val="16"/>
                <w:szCs w:val="16"/>
                <w:lang w:eastAsia="en-AU"/>
              </w:rPr>
              <w:t>All DRGs</w:t>
            </w:r>
          </w:p>
        </w:tc>
        <w:tc>
          <w:tcPr>
            <w:tcW w:w="213" w:type="pct"/>
            <w:tcBorders>
              <w:top w:val="nil"/>
              <w:left w:val="nil"/>
              <w:bottom w:val="nil"/>
              <w:right w:val="nil"/>
            </w:tcBorders>
            <w:shd w:val="clear" w:color="auto" w:fill="auto"/>
            <w:noWrap/>
            <w:hideMark/>
          </w:tcPr>
          <w:p w:rsidR="00565E9D" w:rsidRPr="00565E9D" w:rsidRDefault="00565E9D" w:rsidP="00565E9D">
            <w:pPr>
              <w:rPr>
                <w:b/>
                <w:bCs/>
                <w:snapToGrid/>
                <w:color w:val="000000"/>
                <w:sz w:val="16"/>
                <w:szCs w:val="16"/>
                <w:lang w:eastAsia="en-AU"/>
              </w:rPr>
            </w:pPr>
          </w:p>
        </w:tc>
        <w:tc>
          <w:tcPr>
            <w:tcW w:w="1129" w:type="pct"/>
            <w:tcBorders>
              <w:top w:val="nil"/>
              <w:left w:val="nil"/>
              <w:bottom w:val="nil"/>
              <w:right w:val="nil"/>
            </w:tcBorders>
            <w:shd w:val="clear" w:color="auto" w:fill="auto"/>
            <w:hideMark/>
          </w:tcPr>
          <w:p w:rsidR="00565E9D" w:rsidRPr="00565E9D" w:rsidRDefault="00565E9D" w:rsidP="00565E9D">
            <w:pPr>
              <w:rPr>
                <w:b/>
                <w:bCs/>
                <w:snapToGrid/>
                <w:color w:val="000000"/>
                <w:sz w:val="16"/>
                <w:szCs w:val="16"/>
                <w:lang w:eastAsia="en-AU"/>
              </w:rPr>
            </w:pPr>
            <w:r w:rsidRPr="00565E9D">
              <w:rPr>
                <w:b/>
                <w:bCs/>
                <w:snapToGrid/>
                <w:color w:val="000000"/>
                <w:sz w:val="16"/>
                <w:szCs w:val="16"/>
                <w:lang w:eastAsia="en-AU"/>
              </w:rPr>
              <w:t xml:space="preserve"> </w:t>
            </w:r>
          </w:p>
        </w:tc>
        <w:tc>
          <w:tcPr>
            <w:tcW w:w="255" w:type="pct"/>
            <w:tcBorders>
              <w:top w:val="nil"/>
              <w:left w:val="nil"/>
              <w:bottom w:val="nil"/>
              <w:right w:val="nil"/>
            </w:tcBorders>
            <w:shd w:val="clear" w:color="auto" w:fill="auto"/>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1.00</w:t>
            </w:r>
          </w:p>
        </w:tc>
        <w:tc>
          <w:tcPr>
            <w:tcW w:w="393" w:type="pct"/>
            <w:tcBorders>
              <w:top w:val="nil"/>
              <w:left w:val="nil"/>
              <w:bottom w:val="nil"/>
              <w:right w:val="nil"/>
            </w:tcBorders>
            <w:shd w:val="clear" w:color="000000" w:fill="F4CACA"/>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2,827,996</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2,827,996</w:t>
            </w:r>
          </w:p>
        </w:tc>
        <w:tc>
          <w:tcPr>
            <w:tcW w:w="331" w:type="pct"/>
            <w:tcBorders>
              <w:top w:val="nil"/>
              <w:left w:val="nil"/>
              <w:bottom w:val="nil"/>
              <w:right w:val="nil"/>
            </w:tcBorders>
            <w:shd w:val="clear" w:color="auto" w:fill="auto"/>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6,821,124</w:t>
            </w:r>
          </w:p>
        </w:tc>
        <w:tc>
          <w:tcPr>
            <w:tcW w:w="378" w:type="pct"/>
            <w:tcBorders>
              <w:top w:val="nil"/>
              <w:left w:val="nil"/>
              <w:bottom w:val="nil"/>
              <w:right w:val="nil"/>
            </w:tcBorders>
            <w:shd w:val="clear" w:color="auto" w:fill="auto"/>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2.4</w:t>
            </w:r>
          </w:p>
        </w:tc>
        <w:tc>
          <w:tcPr>
            <w:tcW w:w="272" w:type="pct"/>
            <w:tcBorders>
              <w:top w:val="nil"/>
              <w:left w:val="nil"/>
              <w:bottom w:val="nil"/>
              <w:right w:val="nil"/>
            </w:tcBorders>
            <w:shd w:val="clear" w:color="auto" w:fill="auto"/>
            <w:noWrap/>
            <w:hideMark/>
          </w:tcPr>
          <w:p w:rsidR="00565E9D" w:rsidRPr="00565E9D" w:rsidRDefault="00565E9D" w:rsidP="00565E9D">
            <w:pPr>
              <w:jc w:val="right"/>
              <w:rPr>
                <w:b/>
                <w:bCs/>
                <w:snapToGrid/>
                <w:color w:val="000000"/>
                <w:sz w:val="16"/>
                <w:szCs w:val="16"/>
                <w:lang w:eastAsia="en-AU"/>
              </w:rPr>
            </w:pP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100%</w:t>
            </w:r>
          </w:p>
        </w:tc>
        <w:tc>
          <w:tcPr>
            <w:tcW w:w="20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100%</w:t>
            </w:r>
          </w:p>
        </w:tc>
        <w:tc>
          <w:tcPr>
            <w:tcW w:w="39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p>
        </w:tc>
        <w:tc>
          <w:tcPr>
            <w:tcW w:w="257" w:type="pct"/>
            <w:tcBorders>
              <w:top w:val="nil"/>
              <w:left w:val="nil"/>
              <w:bottom w:val="nil"/>
              <w:right w:val="nil"/>
            </w:tcBorders>
            <w:shd w:val="clear" w:color="auto" w:fill="auto"/>
            <w:noWrap/>
            <w:hideMark/>
          </w:tcPr>
          <w:p w:rsidR="00565E9D" w:rsidRPr="00565E9D" w:rsidRDefault="00565E9D" w:rsidP="00565E9D">
            <w:pPr>
              <w:rPr>
                <w:rFonts w:ascii="Times New Roman" w:hAnsi="Times New Roman" w:cs="Times New Roman"/>
                <w:snapToGrid/>
                <w:lang w:eastAsia="en-AU"/>
              </w:rPr>
            </w:pPr>
          </w:p>
        </w:tc>
      </w:tr>
      <w:tr w:rsidR="00DB602A" w:rsidRPr="00565E9D" w:rsidTr="00DB602A">
        <w:trPr>
          <w:trHeight w:val="204"/>
        </w:trPr>
        <w:tc>
          <w:tcPr>
            <w:tcW w:w="272" w:type="pct"/>
            <w:tcBorders>
              <w:top w:val="nil"/>
              <w:left w:val="nil"/>
              <w:bottom w:val="single" w:sz="4" w:space="0" w:color="auto"/>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Top 20</w:t>
            </w:r>
          </w:p>
        </w:tc>
        <w:tc>
          <w:tcPr>
            <w:tcW w:w="1663" w:type="pct"/>
            <w:gridSpan w:val="3"/>
            <w:tcBorders>
              <w:top w:val="nil"/>
              <w:left w:val="nil"/>
              <w:bottom w:val="single" w:sz="4" w:space="0" w:color="auto"/>
              <w:right w:val="nil"/>
            </w:tcBorders>
            <w:shd w:val="clear" w:color="auto" w:fill="auto"/>
            <w:noWrap/>
            <w:hideMark/>
          </w:tcPr>
          <w:p w:rsidR="00565E9D" w:rsidRPr="00565E9D" w:rsidRDefault="00565E9D" w:rsidP="00565E9D">
            <w:pPr>
              <w:rPr>
                <w:b/>
                <w:bCs/>
                <w:snapToGrid/>
                <w:color w:val="000000"/>
                <w:sz w:val="16"/>
                <w:szCs w:val="16"/>
                <w:lang w:eastAsia="en-AU"/>
              </w:rPr>
            </w:pPr>
            <w:r w:rsidRPr="00565E9D">
              <w:rPr>
                <w:b/>
                <w:bCs/>
                <w:snapToGrid/>
                <w:color w:val="000000"/>
                <w:sz w:val="16"/>
                <w:szCs w:val="16"/>
                <w:lang w:eastAsia="en-AU"/>
              </w:rPr>
              <w:t>Top 20 separation count, % of all DRGs</w:t>
            </w:r>
          </w:p>
        </w:tc>
        <w:tc>
          <w:tcPr>
            <w:tcW w:w="255" w:type="pct"/>
            <w:tcBorders>
              <w:top w:val="nil"/>
              <w:left w:val="nil"/>
              <w:bottom w:val="single" w:sz="4" w:space="0" w:color="auto"/>
              <w:right w:val="nil"/>
            </w:tcBorders>
            <w:shd w:val="clear" w:color="auto" w:fill="auto"/>
            <w:noWrap/>
            <w:hideMark/>
          </w:tcPr>
          <w:p w:rsidR="00565E9D" w:rsidRPr="00565E9D" w:rsidRDefault="00565E9D" w:rsidP="00565E9D">
            <w:pPr>
              <w:rPr>
                <w:b/>
                <w:bCs/>
                <w:snapToGrid/>
                <w:color w:val="000000"/>
                <w:sz w:val="16"/>
                <w:szCs w:val="16"/>
                <w:lang w:eastAsia="en-AU"/>
              </w:rPr>
            </w:pPr>
            <w:r w:rsidRPr="00565E9D">
              <w:rPr>
                <w:b/>
                <w:bCs/>
                <w:snapToGrid/>
                <w:color w:val="000000"/>
                <w:sz w:val="16"/>
                <w:szCs w:val="16"/>
                <w:lang w:eastAsia="en-AU"/>
              </w:rPr>
              <w:t> </w:t>
            </w:r>
          </w:p>
        </w:tc>
        <w:tc>
          <w:tcPr>
            <w:tcW w:w="393" w:type="pct"/>
            <w:tcBorders>
              <w:top w:val="nil"/>
              <w:left w:val="nil"/>
              <w:bottom w:val="single" w:sz="4" w:space="0" w:color="auto"/>
              <w:right w:val="nil"/>
            </w:tcBorders>
            <w:shd w:val="clear" w:color="000000" w:fill="F4CACA"/>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45%</w:t>
            </w:r>
          </w:p>
        </w:tc>
        <w:tc>
          <w:tcPr>
            <w:tcW w:w="378" w:type="pct"/>
            <w:tcBorders>
              <w:top w:val="nil"/>
              <w:left w:val="nil"/>
              <w:bottom w:val="single" w:sz="4" w:space="0" w:color="auto"/>
              <w:right w:val="nil"/>
            </w:tcBorders>
            <w:shd w:val="clear" w:color="auto" w:fill="auto"/>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16%</w:t>
            </w:r>
          </w:p>
        </w:tc>
        <w:tc>
          <w:tcPr>
            <w:tcW w:w="331" w:type="pct"/>
            <w:tcBorders>
              <w:top w:val="nil"/>
              <w:left w:val="nil"/>
              <w:bottom w:val="single" w:sz="4" w:space="0" w:color="auto"/>
              <w:right w:val="nil"/>
            </w:tcBorders>
            <w:shd w:val="clear" w:color="auto" w:fill="auto"/>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22%</w:t>
            </w:r>
          </w:p>
        </w:tc>
        <w:tc>
          <w:tcPr>
            <w:tcW w:w="378" w:type="pct"/>
            <w:tcBorders>
              <w:top w:val="nil"/>
              <w:left w:val="nil"/>
              <w:bottom w:val="single" w:sz="4" w:space="0" w:color="auto"/>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 </w:t>
            </w:r>
          </w:p>
        </w:tc>
        <w:tc>
          <w:tcPr>
            <w:tcW w:w="272" w:type="pct"/>
            <w:tcBorders>
              <w:top w:val="nil"/>
              <w:left w:val="nil"/>
              <w:bottom w:val="single" w:sz="4" w:space="0" w:color="auto"/>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 </w:t>
            </w:r>
          </w:p>
        </w:tc>
        <w:tc>
          <w:tcPr>
            <w:tcW w:w="204" w:type="pct"/>
            <w:tcBorders>
              <w:top w:val="nil"/>
              <w:left w:val="nil"/>
              <w:bottom w:val="single" w:sz="4" w:space="0" w:color="auto"/>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 </w:t>
            </w:r>
          </w:p>
        </w:tc>
        <w:tc>
          <w:tcPr>
            <w:tcW w:w="204" w:type="pct"/>
            <w:tcBorders>
              <w:top w:val="nil"/>
              <w:left w:val="nil"/>
              <w:bottom w:val="single" w:sz="4" w:space="0" w:color="auto"/>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 </w:t>
            </w:r>
          </w:p>
        </w:tc>
        <w:tc>
          <w:tcPr>
            <w:tcW w:w="393" w:type="pct"/>
            <w:tcBorders>
              <w:top w:val="nil"/>
              <w:left w:val="nil"/>
              <w:bottom w:val="single" w:sz="4" w:space="0" w:color="auto"/>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 </w:t>
            </w:r>
          </w:p>
        </w:tc>
        <w:tc>
          <w:tcPr>
            <w:tcW w:w="257" w:type="pct"/>
            <w:tcBorders>
              <w:top w:val="nil"/>
              <w:left w:val="nil"/>
              <w:bottom w:val="single" w:sz="4" w:space="0" w:color="auto"/>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 </w:t>
            </w:r>
          </w:p>
        </w:tc>
      </w:tr>
    </w:tbl>
    <w:p w:rsidR="00DE7F72" w:rsidRPr="000051B6" w:rsidRDefault="00A445EA" w:rsidP="00DE7F72">
      <w:pPr>
        <w:rPr>
          <w:sz w:val="16"/>
          <w:szCs w:val="16"/>
        </w:rPr>
      </w:pPr>
      <w:r>
        <w:rPr>
          <w:sz w:val="16"/>
          <w:szCs w:val="16"/>
        </w:rPr>
        <w:t>Notes:</w:t>
      </w:r>
    </w:p>
    <w:p w:rsidR="009C5D02" w:rsidRPr="000051B6" w:rsidRDefault="00DE7F72">
      <w:pPr>
        <w:rPr>
          <w:rFonts w:asciiTheme="majorHAnsi" w:hAnsiTheme="majorHAnsi"/>
          <w:b/>
          <w:bCs/>
          <w:color w:val="A32020" w:themeColor="text2"/>
        </w:rPr>
      </w:pPr>
      <w:r w:rsidRPr="000051B6">
        <w:rPr>
          <w:sz w:val="16"/>
          <w:szCs w:val="16"/>
        </w:rPr>
        <w:t>ALoS means average length of stay</w:t>
      </w:r>
      <w:bookmarkStart w:id="144" w:name="_Ref355172419"/>
      <w:bookmarkStart w:id="145" w:name="_Toc432077574"/>
      <w:r w:rsidR="009C5D02" w:rsidRPr="000051B6">
        <w:br w:type="page"/>
      </w:r>
    </w:p>
    <w:p w:rsidR="00B46E1A" w:rsidRPr="000051B6" w:rsidRDefault="007039A8" w:rsidP="004F02A5">
      <w:pPr>
        <w:pStyle w:val="Figureheadings"/>
        <w:spacing w:after="240"/>
        <w:rPr>
          <w:noProof/>
          <w:snapToGrid/>
          <w:lang w:val="en-AU" w:eastAsia="en-AU"/>
        </w:rPr>
      </w:pPr>
      <w:bookmarkStart w:id="146" w:name="_Toc435610627"/>
      <w:r w:rsidRPr="000051B6">
        <w:rPr>
          <w:lang w:val="en-AU"/>
        </w:rPr>
        <w:lastRenderedPageBreak/>
        <w:t xml:space="preserve">Figure </w:t>
      </w:r>
      <w:bookmarkEnd w:id="144"/>
      <w:r w:rsidR="009C5D02" w:rsidRPr="000051B6">
        <w:rPr>
          <w:lang w:val="en-AU"/>
        </w:rPr>
        <w:t>4</w:t>
      </w:r>
      <w:bookmarkEnd w:id="145"/>
      <w:r w:rsidR="009C5D02" w:rsidRPr="000051B6">
        <w:rPr>
          <w:lang w:val="en-AU"/>
        </w:rPr>
        <w:tab/>
        <w:t xml:space="preserve">Comparison of top 20 AR-DRGs </w:t>
      </w:r>
      <w:r w:rsidR="00ED1412" w:rsidRPr="000051B6">
        <w:rPr>
          <w:lang w:val="en-AU"/>
        </w:rPr>
        <w:t xml:space="preserve">by </w:t>
      </w:r>
      <w:r w:rsidR="0033123C" w:rsidRPr="000051B6">
        <w:rPr>
          <w:noProof/>
          <w:snapToGrid/>
          <w:lang w:val="en-AU" w:eastAsia="en-AU"/>
        </w:rPr>
        <w:t xml:space="preserve">highest volume of </w:t>
      </w:r>
      <w:r w:rsidR="0033123C">
        <w:rPr>
          <w:noProof/>
          <w:snapToGrid/>
          <w:lang w:val="en-AU" w:eastAsia="en-AU"/>
        </w:rPr>
        <w:t>population-adjusted</w:t>
      </w:r>
      <w:r w:rsidR="0033123C" w:rsidRPr="000051B6">
        <w:rPr>
          <w:noProof/>
          <w:snapToGrid/>
          <w:lang w:val="en-AU" w:eastAsia="en-AU"/>
        </w:rPr>
        <w:t xml:space="preserve"> separations</w:t>
      </w:r>
      <w:bookmarkEnd w:id="146"/>
    </w:p>
    <w:p w:rsidR="00B46E1A" w:rsidRPr="000051B6" w:rsidRDefault="00DD0678" w:rsidP="00B46E1A">
      <w:pPr>
        <w:rPr>
          <w:highlight w:val="yellow"/>
        </w:rPr>
      </w:pPr>
      <w:r>
        <w:rPr>
          <w:noProof/>
          <w:snapToGrid/>
          <w:lang w:eastAsia="en-AU"/>
        </w:rPr>
        <mc:AlternateContent>
          <mc:Choice Requires="wps">
            <w:drawing>
              <wp:anchor distT="0" distB="0" distL="114300" distR="114300" simplePos="0" relativeHeight="251671552" behindDoc="0" locked="0" layoutInCell="1" allowOverlap="1" wp14:anchorId="354A34A6" wp14:editId="7AD2881D">
                <wp:simplePos x="0" y="0"/>
                <wp:positionH relativeFrom="column">
                  <wp:posOffset>5015865</wp:posOffset>
                </wp:positionH>
                <wp:positionV relativeFrom="paragraph">
                  <wp:posOffset>2304415</wp:posOffset>
                </wp:positionV>
                <wp:extent cx="397933" cy="1582632"/>
                <wp:effectExtent l="19050" t="19050" r="21590" b="17780"/>
                <wp:wrapNone/>
                <wp:docPr id="47" name="Oval 47"/>
                <wp:cNvGraphicFramePr/>
                <a:graphic xmlns:a="http://schemas.openxmlformats.org/drawingml/2006/main">
                  <a:graphicData uri="http://schemas.microsoft.com/office/word/2010/wordprocessingShape">
                    <wps:wsp>
                      <wps:cNvSpPr/>
                      <wps:spPr bwMode="ltGray">
                        <a:xfrm>
                          <a:off x="0" y="0"/>
                          <a:ext cx="397933" cy="1582632"/>
                        </a:xfrm>
                        <a:prstGeom prst="ellips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7" o:spid="_x0000_s1026" style="position:absolute;margin-left:394.95pt;margin-top:181.45pt;width:31.35pt;height:1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" filled="f" strokecolor="#511010 [1604]" strokeweight="3pt"/>
            </w:pict>
          </mc:Fallback>
        </mc:AlternateContent>
      </w:r>
      <w:r w:rsidRPr="00DD0678">
        <w:rPr>
          <w:noProof/>
          <w:lang w:eastAsia="en-AU"/>
        </w:rPr>
        <w:drawing>
          <wp:inline distT="0" distB="0" distL="0" distR="0" wp14:anchorId="79BCA922" wp14:editId="55B16D12">
            <wp:extent cx="7943850" cy="4377436"/>
            <wp:effectExtent l="0" t="0" r="0" b="4445"/>
            <wp:docPr id="129" name="Picture 129" descr="Figure 4 is a bar graph showing the Top 20 AR-DRGs ranked by highest volume of weighted separations in Round 18 and their number of weighted separations in Round 17. U06Z has been circled." title="Figure 4 Comparison of top 20 AR-DRGs by highest volume of weighted sepa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960865" cy="4386812"/>
                    </a:xfrm>
                    <a:prstGeom prst="rect">
                      <a:avLst/>
                    </a:prstGeom>
                    <a:noFill/>
                    <a:ln>
                      <a:noFill/>
                    </a:ln>
                  </pic:spPr>
                </pic:pic>
              </a:graphicData>
            </a:graphic>
          </wp:inline>
        </w:drawing>
      </w:r>
    </w:p>
    <w:p w:rsidR="00B46E1A" w:rsidRPr="000051B6" w:rsidRDefault="00ED1412" w:rsidP="004F02A5">
      <w:pPr>
        <w:rPr>
          <w:highlight w:val="yellow"/>
        </w:rPr>
      </w:pPr>
      <w:r w:rsidRPr="000051B6">
        <w:rPr>
          <w:b/>
        </w:rPr>
        <w:t>Note:</w:t>
      </w:r>
      <w:r w:rsidRPr="000051B6">
        <w:t xml:space="preserve"> when a Round 17 bar is missing from the chart, this is because that AR-DRG was masked in Round 17 due to having less than 5 separations or having less than 3 hospitals with that AR-DRG.</w:t>
      </w:r>
    </w:p>
    <w:p w:rsidR="001E1E56" w:rsidRDefault="001E1E56">
      <w:pPr>
        <w:rPr>
          <w:highlight w:val="yellow"/>
        </w:rPr>
      </w:pPr>
      <w:r>
        <w:rPr>
          <w:highlight w:val="yellow"/>
        </w:rPr>
        <w:br w:type="page"/>
      </w:r>
    </w:p>
    <w:p w:rsidR="001B054A" w:rsidRPr="000051B6" w:rsidRDefault="001B054A" w:rsidP="001E1E56">
      <w:pPr>
        <w:pStyle w:val="PwCNormal"/>
        <w:numPr>
          <w:ilvl w:val="0"/>
          <w:numId w:val="0"/>
        </w:numPr>
        <w:rPr>
          <w:highlight w:val="yellow"/>
        </w:rPr>
        <w:sectPr w:rsidR="001B054A" w:rsidRPr="000051B6" w:rsidSect="009549BC">
          <w:pgSz w:w="16840" w:h="11907" w:orient="landscape" w:code="9"/>
          <w:pgMar w:top="1418" w:right="1021" w:bottom="1134" w:left="1021" w:header="567" w:footer="567" w:gutter="0"/>
          <w:cols w:space="227"/>
          <w:docGrid w:linePitch="360"/>
        </w:sectPr>
      </w:pPr>
    </w:p>
    <w:p w:rsidR="001B054A" w:rsidRPr="000051B6" w:rsidRDefault="009C5D02" w:rsidP="004F02A5">
      <w:pPr>
        <w:pStyle w:val="Heading3"/>
        <w:spacing w:after="240"/>
      </w:pPr>
      <w:bookmarkStart w:id="147" w:name="_Ref433277770"/>
      <w:r w:rsidRPr="000051B6">
        <w:lastRenderedPageBreak/>
        <w:t xml:space="preserve">Top 20 AR-DRGs ranked by </w:t>
      </w:r>
      <w:r w:rsidR="00C32A7C" w:rsidRPr="000051B6">
        <w:t>highest cost-weighted separations</w:t>
      </w:r>
      <w:bookmarkEnd w:id="147"/>
    </w:p>
    <w:p w:rsidR="009C5D02" w:rsidRPr="000051B6" w:rsidRDefault="009C5D02" w:rsidP="009C5D02">
      <w:pPr>
        <w:pStyle w:val="PwCNormal"/>
        <w:numPr>
          <w:ilvl w:val="0"/>
          <w:numId w:val="0"/>
        </w:numPr>
        <w:spacing w:after="0"/>
        <w:rPr>
          <w:color w:val="A32020" w:themeColor="text2"/>
        </w:rPr>
      </w:pPr>
      <w:r w:rsidRPr="000051B6">
        <w:rPr>
          <w:color w:val="A32020" w:themeColor="text2"/>
        </w:rPr>
        <w:t>Key findings</w:t>
      </w:r>
    </w:p>
    <w:p w:rsidR="00B033D1" w:rsidRDefault="00B033D1" w:rsidP="004F02A5">
      <w:pPr>
        <w:pStyle w:val="PwCNormal"/>
        <w:numPr>
          <w:ilvl w:val="0"/>
          <w:numId w:val="0"/>
        </w:numPr>
      </w:pPr>
      <w:r>
        <w:t>Table 8 and figure 5 present the top 20 AR-DRGs ranked by highest cost-weight separations.  A c</w:t>
      </w:r>
      <w:r w:rsidRPr="000051B6">
        <w:t>ost weighted separation refer</w:t>
      </w:r>
      <w:r>
        <w:t>s</w:t>
      </w:r>
      <w:r w:rsidRPr="000051B6">
        <w:t xml:space="preserve"> to the number of </w:t>
      </w:r>
      <w:r w:rsidR="004E5A6D">
        <w:t xml:space="preserve">population-adjusted </w:t>
      </w:r>
      <w:r w:rsidRPr="000051B6">
        <w:t>separations multiplied by the cost weigh</w:t>
      </w:r>
      <w:r>
        <w:t>t for that AR-DRG</w:t>
      </w:r>
      <w:r w:rsidRPr="000051B6">
        <w:t xml:space="preserve">, and measures the total cost associated with that AR-DRG. </w:t>
      </w:r>
    </w:p>
    <w:p w:rsidR="009C5D02" w:rsidRPr="000051B6" w:rsidRDefault="00F9793B" w:rsidP="004F02A5">
      <w:pPr>
        <w:pStyle w:val="PwCNormal"/>
        <w:numPr>
          <w:ilvl w:val="0"/>
          <w:numId w:val="0"/>
        </w:numPr>
      </w:pPr>
      <w:r>
        <w:t>F</w:t>
      </w:r>
      <w:r w:rsidR="00E0217E" w:rsidRPr="000051B6">
        <w:t xml:space="preserve">igure </w:t>
      </w:r>
      <w:r w:rsidR="00B960E5" w:rsidRPr="000051B6">
        <w:t>5</w:t>
      </w:r>
      <w:r w:rsidR="009C5D02" w:rsidRPr="000051B6">
        <w:t xml:space="preserve"> </w:t>
      </w:r>
      <w:r w:rsidR="000F5D75">
        <w:t xml:space="preserve">presents (circled) </w:t>
      </w:r>
      <w:r w:rsidR="009C5D02" w:rsidRPr="000051B6">
        <w:t>that the highest cost weigh AR-DRG is</w:t>
      </w:r>
      <w:r w:rsidR="00B960E5" w:rsidRPr="000051B6">
        <w:t xml:space="preserve"> I04B - Knee Replacement without Catastrophic or Severe CC</w:t>
      </w:r>
      <w:r w:rsidR="00870CD2" w:rsidRPr="000051B6">
        <w:t>.</w:t>
      </w:r>
      <w:r w:rsidR="00A16E0B" w:rsidRPr="000051B6">
        <w:t xml:space="preserve">  This procedure is a common procedure within the </w:t>
      </w:r>
      <w:r w:rsidR="0031569D" w:rsidRPr="000051B6">
        <w:t>s</w:t>
      </w:r>
      <w:r w:rsidR="002D317E" w:rsidRPr="000051B6">
        <w:t>ector</w:t>
      </w:r>
      <w:r w:rsidR="00A16E0B" w:rsidRPr="000051B6">
        <w:t xml:space="preserve"> and therefore is </w:t>
      </w:r>
      <w:r w:rsidR="00011A5A">
        <w:t>customary</w:t>
      </w:r>
      <w:r w:rsidR="00A16E0B" w:rsidRPr="000051B6">
        <w:t xml:space="preserve"> to be number 1.  Noticeably </w:t>
      </w:r>
      <w:r w:rsidR="000F5D75">
        <w:t xml:space="preserve">as can be seen in table 8 (boxed) </w:t>
      </w:r>
      <w:r w:rsidR="00A16E0B" w:rsidRPr="000051B6">
        <w:t xml:space="preserve">the number of cost weighted separations has reduced by </w:t>
      </w:r>
      <w:r w:rsidR="00B033D1">
        <w:t>11,43</w:t>
      </w:r>
      <w:r w:rsidR="0033123C">
        <w:t>6</w:t>
      </w:r>
      <w:r w:rsidR="00C261AF" w:rsidRPr="000051B6">
        <w:t xml:space="preserve"> </w:t>
      </w:r>
      <w:r w:rsidR="00070AF1">
        <w:t>(</w:t>
      </w:r>
      <w:r w:rsidR="00070AF1" w:rsidRPr="00070AF1">
        <w:t>135,355-123,920)</w:t>
      </w:r>
      <w:r w:rsidR="00070AF1">
        <w:rPr>
          <w:snapToGrid/>
          <w:color w:val="000000"/>
          <w:sz w:val="16"/>
          <w:szCs w:val="16"/>
          <w:lang w:eastAsia="en-AU"/>
        </w:rPr>
        <w:t xml:space="preserve"> </w:t>
      </w:r>
      <w:r w:rsidR="00A16E0B" w:rsidRPr="000051B6">
        <w:t>between Rounds</w:t>
      </w:r>
      <w:r w:rsidR="00582EDE" w:rsidRPr="000051B6">
        <w:t>.</w:t>
      </w:r>
      <w:r w:rsidR="00A16E0B" w:rsidRPr="000051B6">
        <w:t xml:space="preserve"> </w:t>
      </w:r>
    </w:p>
    <w:p w:rsidR="009C5D02" w:rsidRPr="000051B6" w:rsidRDefault="009C5D02" w:rsidP="004F02A5">
      <w:pPr>
        <w:pStyle w:val="PwCNormal"/>
        <w:numPr>
          <w:ilvl w:val="0"/>
          <w:numId w:val="0"/>
        </w:numPr>
      </w:pPr>
      <w:r w:rsidRPr="000051B6">
        <w:t xml:space="preserve">The AR-DRGs listed in the top 20 </w:t>
      </w:r>
      <w:r w:rsidR="00F5775F">
        <w:t xml:space="preserve">(table 8) </w:t>
      </w:r>
      <w:r w:rsidRPr="000051B6">
        <w:t xml:space="preserve">are </w:t>
      </w:r>
      <w:r w:rsidR="00011A5A">
        <w:t>predicted</w:t>
      </w:r>
      <w:r w:rsidRPr="000051B6">
        <w:t xml:space="preserve"> to be within this ranking given that </w:t>
      </w:r>
      <w:r w:rsidR="006E741A" w:rsidRPr="000051B6">
        <w:t>9</w:t>
      </w:r>
      <w:r w:rsidRPr="000051B6">
        <w:t>0% (1</w:t>
      </w:r>
      <w:r w:rsidR="006E741A" w:rsidRPr="000051B6">
        <w:t>8</w:t>
      </w:r>
      <w:r w:rsidRPr="000051B6">
        <w:t xml:space="preserve"> out of 20)</w:t>
      </w:r>
      <w:r w:rsidR="006E741A" w:rsidRPr="000051B6">
        <w:t xml:space="preserve"> are either within orthopaedic, neurology or cardiac procedures which </w:t>
      </w:r>
      <w:r w:rsidR="0004467D" w:rsidRPr="000051B6">
        <w:t xml:space="preserve">require high cost </w:t>
      </w:r>
      <w:r w:rsidR="006E741A" w:rsidRPr="000051B6">
        <w:t>prostheses or high volume treatments like chemotherapy</w:t>
      </w:r>
      <w:r w:rsidRPr="000051B6">
        <w:t>.</w:t>
      </w:r>
    </w:p>
    <w:p w:rsidR="006E741A" w:rsidRPr="000051B6" w:rsidRDefault="000F5D75" w:rsidP="004F02A5">
      <w:pPr>
        <w:spacing w:after="240"/>
      </w:pPr>
      <w:r>
        <w:t xml:space="preserve">As </w:t>
      </w:r>
      <w:r w:rsidR="00070AF1">
        <w:t>boxed</w:t>
      </w:r>
      <w:r>
        <w:t xml:space="preserve"> in table 8 t</w:t>
      </w:r>
      <w:r w:rsidR="006E741A" w:rsidRPr="000051B6">
        <w:t>hese AR-DRGs represent 32% (</w:t>
      </w:r>
      <w:r w:rsidR="006E741A" w:rsidRPr="000051B6">
        <w:rPr>
          <w:bCs/>
          <w:snapToGrid/>
          <w:color w:val="000000"/>
          <w:sz w:val="18"/>
          <w:szCs w:val="18"/>
          <w:lang w:eastAsia="en-AU"/>
        </w:rPr>
        <w:t>911,7</w:t>
      </w:r>
      <w:r w:rsidR="00B033D1">
        <w:rPr>
          <w:bCs/>
          <w:snapToGrid/>
          <w:color w:val="000000"/>
          <w:sz w:val="18"/>
          <w:szCs w:val="18"/>
          <w:lang w:eastAsia="en-AU"/>
        </w:rPr>
        <w:t>70</w:t>
      </w:r>
      <w:r w:rsidR="006E741A" w:rsidRPr="000051B6">
        <w:rPr>
          <w:b/>
          <w:bCs/>
          <w:snapToGrid/>
          <w:color w:val="000000"/>
          <w:sz w:val="18"/>
          <w:szCs w:val="18"/>
          <w:lang w:eastAsia="en-AU"/>
        </w:rPr>
        <w:t xml:space="preserve"> </w:t>
      </w:r>
      <w:r w:rsidR="00C927D7" w:rsidRPr="000051B6">
        <w:rPr>
          <w:bCs/>
          <w:snapToGrid/>
          <w:color w:val="000000"/>
          <w:sz w:val="18"/>
          <w:szCs w:val="18"/>
          <w:lang w:eastAsia="en-AU"/>
        </w:rPr>
        <w:t xml:space="preserve">cost </w:t>
      </w:r>
      <w:r w:rsidR="006E741A" w:rsidRPr="000051B6">
        <w:t>weighted separ</w:t>
      </w:r>
      <w:r w:rsidR="0033123C">
        <w:t xml:space="preserve">ations) of the total population-adjusted </w:t>
      </w:r>
      <w:r w:rsidR="006E741A" w:rsidRPr="000051B6">
        <w:t xml:space="preserve">separations </w:t>
      </w:r>
      <w:r w:rsidR="009A23AC" w:rsidRPr="000051B6">
        <w:t>2.83m.</w:t>
      </w:r>
      <w:r w:rsidR="00582EDE" w:rsidRPr="000051B6">
        <w:t xml:space="preserve"> </w:t>
      </w:r>
      <w:r>
        <w:t>As circled in table 8 t</w:t>
      </w:r>
      <w:r w:rsidRPr="000051B6">
        <w:t>hese</w:t>
      </w:r>
      <w:r w:rsidR="00582EDE" w:rsidRPr="000051B6">
        <w:t xml:space="preserve"> AR-DRGs represent </w:t>
      </w:r>
      <w:r w:rsidR="00C927D7" w:rsidRPr="000051B6">
        <w:t>24</w:t>
      </w:r>
      <w:r w:rsidR="00582EDE" w:rsidRPr="000051B6">
        <w:t xml:space="preserve">% </w:t>
      </w:r>
      <w:r w:rsidR="00B033D1">
        <w:t xml:space="preserve">of the total population-adjusted </w:t>
      </w:r>
      <w:r w:rsidR="00582EDE" w:rsidRPr="000051B6">
        <w:t xml:space="preserve">separations.  This indicates that these are a mixture of high volume/high cost AR-DRGs. </w:t>
      </w:r>
    </w:p>
    <w:p w:rsidR="009C5D02" w:rsidRPr="000051B6" w:rsidRDefault="009C5D02" w:rsidP="009C5D02">
      <w:pPr>
        <w:pStyle w:val="PwCNormal"/>
        <w:numPr>
          <w:ilvl w:val="0"/>
          <w:numId w:val="0"/>
        </w:numPr>
        <w:spacing w:after="0"/>
        <w:rPr>
          <w:color w:val="A32020" w:themeColor="text2"/>
        </w:rPr>
      </w:pPr>
      <w:r w:rsidRPr="000051B6">
        <w:rPr>
          <w:color w:val="A32020" w:themeColor="text2"/>
        </w:rPr>
        <w:t>Consistencies between Round 17 and Round 18</w:t>
      </w:r>
    </w:p>
    <w:p w:rsidR="00870CD2" w:rsidRPr="000051B6" w:rsidRDefault="000F5D75" w:rsidP="004F02A5">
      <w:pPr>
        <w:pStyle w:val="PwCNormal"/>
        <w:numPr>
          <w:ilvl w:val="0"/>
          <w:numId w:val="0"/>
        </w:numPr>
      </w:pPr>
      <w:r>
        <w:t>As shown in table 8 t</w:t>
      </w:r>
      <w:r w:rsidR="00870CD2" w:rsidRPr="000051B6">
        <w:t>he top 3 AR-</w:t>
      </w:r>
      <w:r w:rsidR="00992D0E" w:rsidRPr="000051B6">
        <w:t>DRGs (</w:t>
      </w:r>
      <w:r w:rsidR="006E741A" w:rsidRPr="000051B6">
        <w:t xml:space="preserve">I04B - Knee Replacement without Catastrophic or Severe CC, I03B - Hip Replacement without Catastrophic CC, and I09B - Spinal Fusion without Catastrophic CC) </w:t>
      </w:r>
      <w:r w:rsidR="00870CD2" w:rsidRPr="000051B6">
        <w:t xml:space="preserve">where ranked in the same order as Round 17 which is influenced by the </w:t>
      </w:r>
      <w:r w:rsidR="006E741A" w:rsidRPr="000051B6">
        <w:t xml:space="preserve">ALoS being above the average and </w:t>
      </w:r>
      <w:r w:rsidR="0004467D" w:rsidRPr="000051B6">
        <w:t xml:space="preserve">high costs </w:t>
      </w:r>
      <w:r w:rsidR="006E741A" w:rsidRPr="000051B6">
        <w:t xml:space="preserve">prostheses </w:t>
      </w:r>
      <w:r w:rsidR="0004467D" w:rsidRPr="000051B6">
        <w:t xml:space="preserve">being </w:t>
      </w:r>
      <w:r w:rsidR="006E741A" w:rsidRPr="000051B6">
        <w:t>used in these orthopaedic and neurology treatments.</w:t>
      </w:r>
    </w:p>
    <w:p w:rsidR="008A658B" w:rsidRPr="000051B6" w:rsidRDefault="008A658B" w:rsidP="008A658B">
      <w:pPr>
        <w:pStyle w:val="PwCNormal"/>
        <w:numPr>
          <w:ilvl w:val="0"/>
          <w:numId w:val="0"/>
        </w:numPr>
        <w:spacing w:after="0"/>
        <w:rPr>
          <w:color w:val="A32020" w:themeColor="text2"/>
        </w:rPr>
      </w:pPr>
      <w:r w:rsidRPr="000051B6">
        <w:rPr>
          <w:color w:val="A32020" w:themeColor="text2"/>
        </w:rPr>
        <w:t xml:space="preserve">Key </w:t>
      </w:r>
      <w:r>
        <w:rPr>
          <w:color w:val="A32020" w:themeColor="text2"/>
        </w:rPr>
        <w:t xml:space="preserve">changes </w:t>
      </w:r>
      <w:r w:rsidRPr="000051B6">
        <w:rPr>
          <w:color w:val="A32020" w:themeColor="text2"/>
        </w:rPr>
        <w:t>in the top 20</w:t>
      </w:r>
    </w:p>
    <w:p w:rsidR="009C5D02" w:rsidRPr="000051B6" w:rsidRDefault="000F5D75" w:rsidP="004F02A5">
      <w:pPr>
        <w:pStyle w:val="PwCNormal"/>
        <w:numPr>
          <w:ilvl w:val="0"/>
          <w:numId w:val="0"/>
        </w:numPr>
        <w:rPr>
          <w:lang w:eastAsia="en-AU"/>
        </w:rPr>
        <w:sectPr w:rsidR="009C5D02" w:rsidRPr="000051B6" w:rsidSect="009549BC">
          <w:pgSz w:w="11907" w:h="16840" w:code="9"/>
          <w:pgMar w:top="1588" w:right="1843" w:bottom="1418" w:left="1843" w:header="567" w:footer="567" w:gutter="0"/>
          <w:cols w:space="227"/>
          <w:docGrid w:linePitch="360"/>
        </w:sectPr>
      </w:pPr>
      <w:r>
        <w:rPr>
          <w:lang w:eastAsia="en-AU"/>
        </w:rPr>
        <w:t>As demonstrated in table 8 referencing the “Rank Round 18” column (circled) t</w:t>
      </w:r>
      <w:r w:rsidR="006E741A" w:rsidRPr="000051B6">
        <w:rPr>
          <w:lang w:eastAsia="en-AU"/>
        </w:rPr>
        <w:t xml:space="preserve">he new AR-DRGs for Round 18 was A12Z - Insertion of Neurostimulator Device which was ranked number 22 in Round 17 and D40Z - Dental Extractions and Restorations </w:t>
      </w:r>
      <w:r w:rsidR="0004467D" w:rsidRPr="000051B6">
        <w:rPr>
          <w:lang w:eastAsia="en-AU"/>
        </w:rPr>
        <w:t xml:space="preserve">which was </w:t>
      </w:r>
      <w:r w:rsidR="006E741A" w:rsidRPr="000051B6">
        <w:rPr>
          <w:lang w:eastAsia="en-AU"/>
        </w:rPr>
        <w:t>ranked 21 in Round 17.  The reason for these movement</w:t>
      </w:r>
      <w:r w:rsidR="0001799B" w:rsidRPr="000051B6">
        <w:rPr>
          <w:lang w:eastAsia="en-AU"/>
        </w:rPr>
        <w:t>s</w:t>
      </w:r>
      <w:r w:rsidR="006E741A" w:rsidRPr="000051B6">
        <w:rPr>
          <w:lang w:eastAsia="en-AU"/>
        </w:rPr>
        <w:t xml:space="preserve"> is an increase in activity for this treatment by participants</w:t>
      </w:r>
      <w:r w:rsidR="0004467D" w:rsidRPr="000051B6">
        <w:rPr>
          <w:lang w:eastAsia="en-AU"/>
        </w:rPr>
        <w:t xml:space="preserve"> in the current collection</w:t>
      </w:r>
      <w:r w:rsidR="006E741A" w:rsidRPr="000051B6">
        <w:rPr>
          <w:lang w:eastAsia="en-AU"/>
        </w:rPr>
        <w:t xml:space="preserve">. </w:t>
      </w:r>
    </w:p>
    <w:p w:rsidR="00C32A7C" w:rsidRPr="000051B6" w:rsidRDefault="00C32A7C" w:rsidP="004F02A5">
      <w:pPr>
        <w:pStyle w:val="Tablesheadings"/>
        <w:spacing w:after="240"/>
        <w:rPr>
          <w:lang w:val="en-AU"/>
        </w:rPr>
      </w:pPr>
      <w:bookmarkStart w:id="148" w:name="_Toc432078947"/>
      <w:bookmarkStart w:id="149" w:name="_Toc435610613"/>
      <w:r w:rsidRPr="000051B6">
        <w:rPr>
          <w:lang w:val="en-AU"/>
        </w:rPr>
        <w:lastRenderedPageBreak/>
        <w:t xml:space="preserve">Table </w:t>
      </w:r>
      <w:r w:rsidR="006038DA" w:rsidRPr="000051B6">
        <w:rPr>
          <w:lang w:val="en-AU"/>
        </w:rPr>
        <w:t>8</w:t>
      </w:r>
      <w:r w:rsidR="009C5D02" w:rsidRPr="000051B6">
        <w:rPr>
          <w:lang w:val="en-AU"/>
        </w:rPr>
        <w:tab/>
        <w:t xml:space="preserve">Top 20 AR-DRGs ranked by </w:t>
      </w:r>
      <w:bookmarkEnd w:id="148"/>
      <w:r w:rsidR="009C5D02" w:rsidRPr="000051B6">
        <w:rPr>
          <w:lang w:val="en-AU"/>
        </w:rPr>
        <w:t>highest cost-weighted separations</w:t>
      </w:r>
      <w:bookmarkEnd w:id="149"/>
    </w:p>
    <w:tbl>
      <w:tblPr>
        <w:tblW w:w="5048" w:type="pct"/>
        <w:tblLook w:val="04A0" w:firstRow="1" w:lastRow="0" w:firstColumn="1" w:lastColumn="0" w:noHBand="0" w:noVBand="1"/>
        <w:tblCaption w:val="Table 8 Top 20 AR-DRGs ranked by highest cost-weighted separations"/>
        <w:tblDescription w:val="Table 8 shows the Top 20 AR-DRGs ranked by highest cost weighted separations. There are separate columns for whether or not the AR-DRG was in the Top 20 in Round 17, its rank in Round 18, the AR-DRG, the AR-DRG’s description, the cost weight (a), the number of weighted separations (b), the number of cost weighted separations (c) = (a) multiplied by (b), average length of stay, standard error of cost weight, percentage of total separations, percentage of cost weighted separations, Round 17 volume of cost weighted separations and rank in Round 17. AR-DRGs A12Z and D40Z have been circled as they are referred to in the preceding text. At the bottom of the table, for some of the columns are rows for the sub-totals for the top 20 and totals for all AR-DRGs as well as the percentage of the total made up by the top 20."/>
      </w:tblPr>
      <w:tblGrid>
        <w:gridCol w:w="771"/>
        <w:gridCol w:w="962"/>
        <w:gridCol w:w="630"/>
        <w:gridCol w:w="2929"/>
        <w:gridCol w:w="767"/>
        <w:gridCol w:w="1180"/>
        <w:gridCol w:w="1136"/>
        <w:gridCol w:w="1008"/>
        <w:gridCol w:w="1134"/>
        <w:gridCol w:w="659"/>
        <w:gridCol w:w="1180"/>
        <w:gridCol w:w="1066"/>
        <w:gridCol w:w="965"/>
        <w:gridCol w:w="771"/>
      </w:tblGrid>
      <w:tr w:rsidR="00DB602A" w:rsidRPr="00565E9D" w:rsidTr="00DB602A">
        <w:trPr>
          <w:trHeight w:val="240"/>
        </w:trPr>
        <w:tc>
          <w:tcPr>
            <w:tcW w:w="253" w:type="pct"/>
            <w:vMerge w:val="restart"/>
            <w:tcBorders>
              <w:top w:val="single" w:sz="4" w:space="0" w:color="auto"/>
              <w:left w:val="nil"/>
              <w:bottom w:val="single" w:sz="4" w:space="0" w:color="000000"/>
              <w:right w:val="nil"/>
            </w:tcBorders>
            <w:shd w:val="clear" w:color="auto" w:fill="auto"/>
            <w:hideMark/>
          </w:tcPr>
          <w:p w:rsidR="00DB602A" w:rsidRPr="00565E9D" w:rsidRDefault="00DB602A" w:rsidP="00565E9D">
            <w:pPr>
              <w:jc w:val="center"/>
              <w:rPr>
                <w:b/>
                <w:bCs/>
                <w:snapToGrid/>
                <w:color w:val="A32020"/>
                <w:sz w:val="16"/>
                <w:szCs w:val="16"/>
                <w:lang w:eastAsia="en-AU"/>
              </w:rPr>
            </w:pPr>
            <w:r w:rsidRPr="00565E9D">
              <w:rPr>
                <w:b/>
                <w:bCs/>
                <w:snapToGrid/>
                <w:color w:val="A32020"/>
                <w:sz w:val="16"/>
                <w:szCs w:val="16"/>
                <w:lang w:eastAsia="en-AU"/>
              </w:rPr>
              <w:t>Top 20 Round 17</w:t>
            </w:r>
          </w:p>
        </w:tc>
        <w:tc>
          <w:tcPr>
            <w:tcW w:w="315" w:type="pct"/>
            <w:vMerge w:val="restart"/>
            <w:tcBorders>
              <w:top w:val="single" w:sz="4" w:space="0" w:color="auto"/>
              <w:left w:val="nil"/>
              <w:bottom w:val="single" w:sz="4" w:space="0" w:color="000000"/>
              <w:right w:val="nil"/>
            </w:tcBorders>
            <w:shd w:val="clear" w:color="auto" w:fill="auto"/>
            <w:hideMark/>
          </w:tcPr>
          <w:p w:rsidR="00DB602A" w:rsidRPr="00565E9D" w:rsidRDefault="00DB602A" w:rsidP="00565E9D">
            <w:pPr>
              <w:jc w:val="center"/>
              <w:rPr>
                <w:b/>
                <w:bCs/>
                <w:snapToGrid/>
                <w:color w:val="A32020"/>
                <w:sz w:val="16"/>
                <w:szCs w:val="16"/>
                <w:lang w:eastAsia="en-AU"/>
              </w:rPr>
            </w:pPr>
            <w:r w:rsidRPr="00565E9D">
              <w:rPr>
                <w:b/>
                <w:bCs/>
                <w:snapToGrid/>
                <w:color w:val="A32020"/>
                <w:sz w:val="16"/>
                <w:szCs w:val="16"/>
                <w:lang w:eastAsia="en-AU"/>
              </w:rPr>
              <w:t>Rank Round 18</w:t>
            </w:r>
          </w:p>
        </w:tc>
        <w:tc>
          <w:tcPr>
            <w:tcW w:w="206" w:type="pct"/>
            <w:vMerge w:val="restart"/>
            <w:tcBorders>
              <w:top w:val="single" w:sz="4" w:space="0" w:color="auto"/>
              <w:left w:val="nil"/>
              <w:bottom w:val="single" w:sz="4" w:space="0" w:color="000000"/>
              <w:right w:val="nil"/>
            </w:tcBorders>
            <w:shd w:val="clear" w:color="auto" w:fill="auto"/>
            <w:hideMark/>
          </w:tcPr>
          <w:p w:rsidR="00DB602A" w:rsidRPr="00565E9D" w:rsidRDefault="00DB602A" w:rsidP="00565E9D">
            <w:pPr>
              <w:jc w:val="center"/>
              <w:rPr>
                <w:b/>
                <w:bCs/>
                <w:snapToGrid/>
                <w:color w:val="A32020"/>
                <w:sz w:val="16"/>
                <w:szCs w:val="16"/>
                <w:lang w:eastAsia="en-AU"/>
              </w:rPr>
            </w:pPr>
            <w:r w:rsidRPr="00565E9D">
              <w:rPr>
                <w:b/>
                <w:bCs/>
                <w:snapToGrid/>
                <w:color w:val="A32020"/>
                <w:sz w:val="16"/>
                <w:szCs w:val="16"/>
                <w:lang w:eastAsia="en-AU"/>
              </w:rPr>
              <w:t>AR-DRG</w:t>
            </w:r>
          </w:p>
        </w:tc>
        <w:tc>
          <w:tcPr>
            <w:tcW w:w="978" w:type="pct"/>
            <w:vMerge w:val="restart"/>
            <w:tcBorders>
              <w:top w:val="single" w:sz="4" w:space="0" w:color="auto"/>
              <w:left w:val="nil"/>
              <w:bottom w:val="single" w:sz="4" w:space="0" w:color="000000"/>
              <w:right w:val="nil"/>
            </w:tcBorders>
            <w:shd w:val="clear" w:color="auto" w:fill="auto"/>
            <w:hideMark/>
          </w:tcPr>
          <w:p w:rsidR="00DB602A" w:rsidRPr="00565E9D" w:rsidRDefault="00DB602A" w:rsidP="00565E9D">
            <w:pPr>
              <w:jc w:val="center"/>
              <w:rPr>
                <w:b/>
                <w:bCs/>
                <w:snapToGrid/>
                <w:color w:val="A32020"/>
                <w:sz w:val="16"/>
                <w:szCs w:val="16"/>
                <w:lang w:eastAsia="en-AU"/>
              </w:rPr>
            </w:pPr>
            <w:r w:rsidRPr="00565E9D">
              <w:rPr>
                <w:b/>
                <w:bCs/>
                <w:snapToGrid/>
                <w:color w:val="A32020"/>
                <w:sz w:val="16"/>
                <w:szCs w:val="16"/>
                <w:lang w:eastAsia="en-AU"/>
              </w:rPr>
              <w:t>AR-DRG Description</w:t>
            </w:r>
          </w:p>
        </w:tc>
        <w:tc>
          <w:tcPr>
            <w:tcW w:w="251" w:type="pct"/>
            <w:vMerge w:val="restart"/>
            <w:tcBorders>
              <w:top w:val="single" w:sz="4" w:space="0" w:color="auto"/>
              <w:left w:val="nil"/>
              <w:bottom w:val="single" w:sz="4" w:space="0" w:color="000000"/>
              <w:right w:val="nil"/>
            </w:tcBorders>
            <w:shd w:val="clear" w:color="auto" w:fill="auto"/>
            <w:hideMark/>
          </w:tcPr>
          <w:p w:rsidR="00DB602A" w:rsidRPr="00565E9D" w:rsidRDefault="00DB602A" w:rsidP="00565E9D">
            <w:pPr>
              <w:jc w:val="center"/>
              <w:rPr>
                <w:b/>
                <w:bCs/>
                <w:snapToGrid/>
                <w:color w:val="A32020"/>
                <w:sz w:val="16"/>
                <w:szCs w:val="16"/>
                <w:lang w:eastAsia="en-AU"/>
              </w:rPr>
            </w:pPr>
            <w:r w:rsidRPr="00565E9D">
              <w:rPr>
                <w:b/>
                <w:bCs/>
                <w:snapToGrid/>
                <w:color w:val="A32020"/>
                <w:sz w:val="16"/>
                <w:szCs w:val="16"/>
                <w:lang w:eastAsia="en-AU"/>
              </w:rPr>
              <w:t>Cost weight</w:t>
            </w:r>
            <w:r w:rsidRPr="00565E9D">
              <w:rPr>
                <w:b/>
                <w:bCs/>
                <w:snapToGrid/>
                <w:color w:val="A32020"/>
                <w:sz w:val="16"/>
                <w:szCs w:val="16"/>
                <w:lang w:eastAsia="en-AU"/>
              </w:rPr>
              <w:br/>
              <w:t>(a)</w:t>
            </w:r>
          </w:p>
        </w:tc>
        <w:tc>
          <w:tcPr>
            <w:tcW w:w="387" w:type="pct"/>
            <w:vMerge w:val="restart"/>
            <w:tcBorders>
              <w:top w:val="single" w:sz="4" w:space="0" w:color="auto"/>
              <w:left w:val="nil"/>
              <w:bottom w:val="single" w:sz="4" w:space="0" w:color="000000"/>
              <w:right w:val="nil"/>
            </w:tcBorders>
            <w:shd w:val="clear" w:color="auto" w:fill="auto"/>
            <w:hideMark/>
          </w:tcPr>
          <w:p w:rsidR="00DB602A" w:rsidRPr="00565E9D" w:rsidRDefault="00DB602A" w:rsidP="00565E9D">
            <w:pPr>
              <w:jc w:val="center"/>
              <w:rPr>
                <w:b/>
                <w:bCs/>
                <w:snapToGrid/>
                <w:color w:val="A32020"/>
                <w:sz w:val="16"/>
                <w:szCs w:val="16"/>
                <w:lang w:eastAsia="en-AU"/>
              </w:rPr>
            </w:pPr>
            <w:r w:rsidRPr="00565E9D">
              <w:rPr>
                <w:b/>
                <w:bCs/>
                <w:snapToGrid/>
                <w:color w:val="A32020"/>
                <w:sz w:val="16"/>
                <w:szCs w:val="16"/>
                <w:lang w:eastAsia="en-AU"/>
              </w:rPr>
              <w:t xml:space="preserve">No. of </w:t>
            </w:r>
            <w:r>
              <w:rPr>
                <w:b/>
                <w:bCs/>
                <w:snapToGrid/>
                <w:color w:val="A32020"/>
                <w:sz w:val="16"/>
                <w:szCs w:val="16"/>
                <w:lang w:eastAsia="en-AU"/>
              </w:rPr>
              <w:t>population-adjusted seps</w:t>
            </w:r>
            <w:r w:rsidRPr="00565E9D">
              <w:rPr>
                <w:b/>
                <w:bCs/>
                <w:snapToGrid/>
                <w:color w:val="A32020"/>
                <w:sz w:val="16"/>
                <w:szCs w:val="16"/>
                <w:lang w:eastAsia="en-AU"/>
              </w:rPr>
              <w:br/>
              <w:t>(b)</w:t>
            </w:r>
          </w:p>
        </w:tc>
        <w:tc>
          <w:tcPr>
            <w:tcW w:w="372" w:type="pct"/>
            <w:vMerge w:val="restart"/>
            <w:tcBorders>
              <w:top w:val="single" w:sz="4" w:space="0" w:color="auto"/>
              <w:left w:val="nil"/>
              <w:bottom w:val="single" w:sz="4" w:space="0" w:color="000000"/>
              <w:right w:val="nil"/>
            </w:tcBorders>
            <w:shd w:val="clear" w:color="000000" w:fill="F4CACA"/>
            <w:hideMark/>
          </w:tcPr>
          <w:p w:rsidR="00DB602A" w:rsidRPr="00565E9D" w:rsidRDefault="00DB602A" w:rsidP="00565E9D">
            <w:pPr>
              <w:jc w:val="center"/>
              <w:rPr>
                <w:b/>
                <w:bCs/>
                <w:snapToGrid/>
                <w:color w:val="A32020"/>
                <w:sz w:val="16"/>
                <w:szCs w:val="16"/>
                <w:lang w:eastAsia="en-AU"/>
              </w:rPr>
            </w:pPr>
            <w:r w:rsidRPr="00565E9D">
              <w:rPr>
                <w:b/>
                <w:bCs/>
                <w:snapToGrid/>
                <w:color w:val="A32020"/>
                <w:sz w:val="16"/>
                <w:szCs w:val="16"/>
                <w:lang w:eastAsia="en-AU"/>
              </w:rPr>
              <w:t>Cost weighted seps</w:t>
            </w:r>
            <w:r w:rsidRPr="00565E9D">
              <w:rPr>
                <w:b/>
                <w:bCs/>
                <w:snapToGrid/>
                <w:color w:val="A32020"/>
                <w:sz w:val="16"/>
                <w:szCs w:val="16"/>
                <w:lang w:eastAsia="en-AU"/>
              </w:rPr>
              <w:br/>
              <w:t>(c)=(a)x(b)</w:t>
            </w:r>
          </w:p>
        </w:tc>
        <w:tc>
          <w:tcPr>
            <w:tcW w:w="330" w:type="pct"/>
            <w:vMerge w:val="restart"/>
            <w:tcBorders>
              <w:top w:val="single" w:sz="4" w:space="0" w:color="auto"/>
              <w:left w:val="nil"/>
              <w:bottom w:val="single" w:sz="4" w:space="0" w:color="000000"/>
              <w:right w:val="nil"/>
            </w:tcBorders>
            <w:shd w:val="clear" w:color="auto" w:fill="auto"/>
            <w:hideMark/>
          </w:tcPr>
          <w:p w:rsidR="00DB602A" w:rsidRPr="00565E9D" w:rsidRDefault="00DB602A" w:rsidP="00565E9D">
            <w:pPr>
              <w:jc w:val="center"/>
              <w:rPr>
                <w:b/>
                <w:bCs/>
                <w:snapToGrid/>
                <w:color w:val="A32020"/>
                <w:sz w:val="16"/>
                <w:szCs w:val="16"/>
                <w:lang w:eastAsia="en-AU"/>
              </w:rPr>
            </w:pPr>
            <w:r w:rsidRPr="00565E9D">
              <w:rPr>
                <w:b/>
                <w:bCs/>
                <w:snapToGrid/>
                <w:color w:val="A32020"/>
                <w:sz w:val="16"/>
                <w:szCs w:val="16"/>
                <w:lang w:eastAsia="en-AU"/>
              </w:rPr>
              <w:t>Number of days</w:t>
            </w:r>
            <w:r w:rsidRPr="00565E9D">
              <w:rPr>
                <w:b/>
                <w:bCs/>
                <w:snapToGrid/>
                <w:color w:val="A32020"/>
                <w:sz w:val="16"/>
                <w:szCs w:val="16"/>
                <w:lang w:eastAsia="en-AU"/>
              </w:rPr>
              <w:br/>
              <w:t>(d)</w:t>
            </w:r>
          </w:p>
        </w:tc>
        <w:tc>
          <w:tcPr>
            <w:tcW w:w="371" w:type="pct"/>
            <w:vMerge w:val="restart"/>
            <w:tcBorders>
              <w:top w:val="single" w:sz="4" w:space="0" w:color="auto"/>
              <w:left w:val="nil"/>
              <w:bottom w:val="single" w:sz="4" w:space="0" w:color="000000"/>
              <w:right w:val="nil"/>
            </w:tcBorders>
            <w:shd w:val="clear" w:color="auto" w:fill="auto"/>
            <w:hideMark/>
          </w:tcPr>
          <w:p w:rsidR="00DB602A" w:rsidRPr="00565E9D" w:rsidRDefault="00DB602A" w:rsidP="00565E9D">
            <w:pPr>
              <w:jc w:val="center"/>
              <w:rPr>
                <w:b/>
                <w:bCs/>
                <w:snapToGrid/>
                <w:color w:val="A32020"/>
                <w:sz w:val="16"/>
                <w:szCs w:val="16"/>
                <w:lang w:eastAsia="en-AU"/>
              </w:rPr>
            </w:pPr>
            <w:r w:rsidRPr="00565E9D">
              <w:rPr>
                <w:b/>
                <w:bCs/>
                <w:snapToGrid/>
                <w:color w:val="A32020"/>
                <w:sz w:val="16"/>
                <w:szCs w:val="16"/>
                <w:lang w:eastAsia="en-AU"/>
              </w:rPr>
              <w:t>ALoS (days)</w:t>
            </w:r>
            <w:r w:rsidRPr="00565E9D">
              <w:rPr>
                <w:b/>
                <w:bCs/>
                <w:snapToGrid/>
                <w:color w:val="A32020"/>
                <w:sz w:val="16"/>
                <w:szCs w:val="16"/>
                <w:lang w:eastAsia="en-AU"/>
              </w:rPr>
              <w:br/>
              <w:t>(e)=(d)/(b)</w:t>
            </w:r>
          </w:p>
        </w:tc>
        <w:tc>
          <w:tcPr>
            <w:tcW w:w="216" w:type="pct"/>
            <w:vMerge w:val="restart"/>
            <w:tcBorders>
              <w:top w:val="single" w:sz="4" w:space="0" w:color="auto"/>
              <w:left w:val="nil"/>
              <w:bottom w:val="single" w:sz="4" w:space="0" w:color="000000"/>
              <w:right w:val="nil"/>
            </w:tcBorders>
            <w:shd w:val="clear" w:color="auto" w:fill="auto"/>
            <w:hideMark/>
          </w:tcPr>
          <w:p w:rsidR="00DB602A" w:rsidRPr="00565E9D" w:rsidRDefault="00DB602A" w:rsidP="00565E9D">
            <w:pPr>
              <w:jc w:val="center"/>
              <w:rPr>
                <w:b/>
                <w:bCs/>
                <w:snapToGrid/>
                <w:color w:val="A32020"/>
                <w:sz w:val="16"/>
                <w:szCs w:val="16"/>
                <w:lang w:eastAsia="en-AU"/>
              </w:rPr>
            </w:pPr>
            <w:r w:rsidRPr="00565E9D">
              <w:rPr>
                <w:b/>
                <w:bCs/>
                <w:snapToGrid/>
                <w:color w:val="A32020"/>
                <w:sz w:val="16"/>
                <w:szCs w:val="16"/>
                <w:lang w:eastAsia="en-AU"/>
              </w:rPr>
              <w:t>Std error</w:t>
            </w:r>
          </w:p>
        </w:tc>
        <w:tc>
          <w:tcPr>
            <w:tcW w:w="387" w:type="pct"/>
            <w:vMerge w:val="restart"/>
            <w:tcBorders>
              <w:top w:val="single" w:sz="4" w:space="0" w:color="auto"/>
              <w:left w:val="nil"/>
              <w:bottom w:val="single" w:sz="4" w:space="0" w:color="000000"/>
              <w:right w:val="nil"/>
            </w:tcBorders>
            <w:shd w:val="clear" w:color="auto" w:fill="auto"/>
            <w:hideMark/>
          </w:tcPr>
          <w:p w:rsidR="00DB602A" w:rsidRPr="00F205B7" w:rsidRDefault="00DB602A" w:rsidP="0033123C">
            <w:pPr>
              <w:jc w:val="center"/>
              <w:rPr>
                <w:b/>
                <w:bCs/>
                <w:snapToGrid/>
                <w:color w:val="A32020"/>
                <w:sz w:val="16"/>
                <w:szCs w:val="16"/>
                <w:lang w:eastAsia="en-AU"/>
              </w:rPr>
            </w:pPr>
            <w:r w:rsidRPr="00F205B7">
              <w:rPr>
                <w:b/>
                <w:bCs/>
                <w:snapToGrid/>
                <w:color w:val="A32020"/>
                <w:sz w:val="16"/>
                <w:szCs w:val="16"/>
                <w:lang w:eastAsia="en-AU"/>
              </w:rPr>
              <w:t>% of total</w:t>
            </w:r>
            <w:r>
              <w:rPr>
                <w:b/>
                <w:bCs/>
                <w:snapToGrid/>
                <w:color w:val="A32020"/>
                <w:sz w:val="16"/>
                <w:szCs w:val="16"/>
                <w:lang w:eastAsia="en-AU"/>
              </w:rPr>
              <w:t xml:space="preserve"> population-adjusted</w:t>
            </w:r>
            <w:r w:rsidRPr="00F205B7">
              <w:rPr>
                <w:b/>
                <w:bCs/>
                <w:snapToGrid/>
                <w:color w:val="A32020"/>
                <w:sz w:val="16"/>
                <w:szCs w:val="16"/>
                <w:lang w:eastAsia="en-AU"/>
              </w:rPr>
              <w:t xml:space="preserve"> seps</w:t>
            </w:r>
          </w:p>
        </w:tc>
        <w:tc>
          <w:tcPr>
            <w:tcW w:w="364" w:type="pct"/>
            <w:vMerge w:val="restart"/>
            <w:tcBorders>
              <w:top w:val="single" w:sz="4" w:space="0" w:color="auto"/>
              <w:left w:val="nil"/>
              <w:bottom w:val="single" w:sz="4" w:space="0" w:color="000000"/>
              <w:right w:val="nil"/>
            </w:tcBorders>
            <w:shd w:val="clear" w:color="auto" w:fill="auto"/>
            <w:hideMark/>
          </w:tcPr>
          <w:p w:rsidR="00DB602A" w:rsidRPr="00F205B7" w:rsidRDefault="00DB602A" w:rsidP="0033123C">
            <w:pPr>
              <w:jc w:val="center"/>
              <w:rPr>
                <w:b/>
                <w:bCs/>
                <w:snapToGrid/>
                <w:color w:val="A32020"/>
                <w:sz w:val="16"/>
                <w:szCs w:val="16"/>
                <w:lang w:eastAsia="en-AU"/>
              </w:rPr>
            </w:pPr>
            <w:r w:rsidRPr="00F205B7">
              <w:rPr>
                <w:b/>
                <w:bCs/>
                <w:snapToGrid/>
                <w:color w:val="A32020"/>
                <w:sz w:val="16"/>
                <w:szCs w:val="16"/>
                <w:lang w:eastAsia="en-AU"/>
              </w:rPr>
              <w:t xml:space="preserve">% of </w:t>
            </w:r>
            <w:r>
              <w:rPr>
                <w:b/>
                <w:bCs/>
                <w:snapToGrid/>
                <w:color w:val="A32020"/>
                <w:sz w:val="16"/>
                <w:szCs w:val="16"/>
                <w:lang w:eastAsia="en-AU"/>
              </w:rPr>
              <w:t>cost weighted</w:t>
            </w:r>
            <w:r w:rsidRPr="00F205B7">
              <w:rPr>
                <w:b/>
                <w:bCs/>
                <w:snapToGrid/>
                <w:color w:val="A32020"/>
                <w:sz w:val="16"/>
                <w:szCs w:val="16"/>
                <w:lang w:eastAsia="en-AU"/>
              </w:rPr>
              <w:t xml:space="preserve"> seps</w:t>
            </w:r>
          </w:p>
        </w:tc>
        <w:tc>
          <w:tcPr>
            <w:tcW w:w="316" w:type="pct"/>
            <w:vMerge w:val="restart"/>
            <w:tcBorders>
              <w:top w:val="single" w:sz="4" w:space="0" w:color="auto"/>
              <w:left w:val="nil"/>
              <w:bottom w:val="single" w:sz="4" w:space="0" w:color="000000"/>
              <w:right w:val="nil"/>
            </w:tcBorders>
            <w:shd w:val="clear" w:color="auto" w:fill="auto"/>
            <w:hideMark/>
          </w:tcPr>
          <w:p w:rsidR="00DB602A" w:rsidRPr="00565E9D" w:rsidRDefault="00DB602A" w:rsidP="00B033D1">
            <w:pPr>
              <w:jc w:val="center"/>
              <w:rPr>
                <w:b/>
                <w:bCs/>
                <w:snapToGrid/>
                <w:color w:val="A32020"/>
                <w:sz w:val="16"/>
                <w:szCs w:val="16"/>
                <w:lang w:eastAsia="en-AU"/>
              </w:rPr>
            </w:pPr>
            <w:r w:rsidRPr="00565E9D">
              <w:rPr>
                <w:b/>
                <w:bCs/>
                <w:snapToGrid/>
                <w:color w:val="A32020"/>
                <w:sz w:val="16"/>
                <w:szCs w:val="16"/>
                <w:lang w:eastAsia="en-AU"/>
              </w:rPr>
              <w:t>Round 17 cost weighted seps</w:t>
            </w:r>
          </w:p>
        </w:tc>
        <w:tc>
          <w:tcPr>
            <w:tcW w:w="253" w:type="pct"/>
            <w:vMerge w:val="restart"/>
            <w:tcBorders>
              <w:top w:val="single" w:sz="4" w:space="0" w:color="auto"/>
              <w:left w:val="nil"/>
              <w:bottom w:val="single" w:sz="4" w:space="0" w:color="000000"/>
              <w:right w:val="nil"/>
            </w:tcBorders>
            <w:shd w:val="clear" w:color="auto" w:fill="auto"/>
            <w:hideMark/>
          </w:tcPr>
          <w:p w:rsidR="00DB602A" w:rsidRPr="00565E9D" w:rsidRDefault="00DB602A" w:rsidP="00565E9D">
            <w:pPr>
              <w:jc w:val="center"/>
              <w:rPr>
                <w:b/>
                <w:bCs/>
                <w:snapToGrid/>
                <w:color w:val="A32020"/>
                <w:sz w:val="16"/>
                <w:szCs w:val="16"/>
                <w:lang w:eastAsia="en-AU"/>
              </w:rPr>
            </w:pPr>
            <w:r w:rsidRPr="00565E9D">
              <w:rPr>
                <w:b/>
                <w:bCs/>
                <w:snapToGrid/>
                <w:color w:val="A32020"/>
                <w:sz w:val="16"/>
                <w:szCs w:val="16"/>
                <w:lang w:eastAsia="en-AU"/>
              </w:rPr>
              <w:t>Rank Round 17</w:t>
            </w:r>
          </w:p>
        </w:tc>
      </w:tr>
      <w:tr w:rsidR="00DB602A" w:rsidRPr="00565E9D" w:rsidTr="00DB602A">
        <w:trPr>
          <w:trHeight w:val="204"/>
        </w:trPr>
        <w:tc>
          <w:tcPr>
            <w:tcW w:w="253"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15"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206"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978"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251"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87"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72"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30"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71"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216"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87"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64"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16"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253"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r>
      <w:tr w:rsidR="00DB602A" w:rsidRPr="00565E9D" w:rsidTr="00DB602A">
        <w:trPr>
          <w:trHeight w:val="204"/>
        </w:trPr>
        <w:tc>
          <w:tcPr>
            <w:tcW w:w="253"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15"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206"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978"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251"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87"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72"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30"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71"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216"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87"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64"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316"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c>
          <w:tcPr>
            <w:tcW w:w="253" w:type="pct"/>
            <w:vMerge/>
            <w:tcBorders>
              <w:top w:val="single" w:sz="4" w:space="0" w:color="auto"/>
              <w:left w:val="nil"/>
              <w:bottom w:val="single" w:sz="4" w:space="0" w:color="000000"/>
              <w:right w:val="nil"/>
            </w:tcBorders>
            <w:vAlign w:val="center"/>
            <w:hideMark/>
          </w:tcPr>
          <w:p w:rsidR="00565E9D" w:rsidRPr="00565E9D" w:rsidRDefault="00565E9D" w:rsidP="00565E9D">
            <w:pPr>
              <w:rPr>
                <w:b/>
                <w:bCs/>
                <w:snapToGrid/>
                <w:color w:val="A32020"/>
                <w:sz w:val="16"/>
                <w:szCs w:val="16"/>
                <w:lang w:eastAsia="en-AU"/>
              </w:rPr>
            </w:pPr>
          </w:p>
        </w:tc>
      </w:tr>
      <w:tr w:rsidR="00DB602A" w:rsidRPr="00565E9D" w:rsidTr="00DB602A">
        <w:trPr>
          <w:trHeight w:val="255"/>
        </w:trPr>
        <w:tc>
          <w:tcPr>
            <w:tcW w:w="253"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15"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1</w:t>
            </w:r>
          </w:p>
        </w:tc>
        <w:tc>
          <w:tcPr>
            <w:tcW w:w="206"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I04B</w:t>
            </w:r>
          </w:p>
        </w:tc>
        <w:tc>
          <w:tcPr>
            <w:tcW w:w="978"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Knee Replacement W/O Catastrophic or Severe CC</w:t>
            </w:r>
          </w:p>
        </w:tc>
        <w:tc>
          <w:tcPr>
            <w:tcW w:w="25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5.28</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23,462</w:t>
            </w:r>
          </w:p>
        </w:tc>
        <w:tc>
          <w:tcPr>
            <w:tcW w:w="372" w:type="pct"/>
            <w:tcBorders>
              <w:top w:val="nil"/>
              <w:left w:val="nil"/>
              <w:bottom w:val="nil"/>
              <w:right w:val="nil"/>
            </w:tcBorders>
            <w:shd w:val="clear" w:color="000000" w:fill="F4CACA"/>
            <w:noWrap/>
            <w:hideMark/>
          </w:tcPr>
          <w:p w:rsidR="00565E9D" w:rsidRPr="00565E9D" w:rsidRDefault="00613A32" w:rsidP="00565E9D">
            <w:pPr>
              <w:jc w:val="right"/>
              <w:rPr>
                <w:snapToGrid/>
                <w:color w:val="000000"/>
                <w:sz w:val="16"/>
                <w:szCs w:val="16"/>
                <w:lang w:eastAsia="en-AU"/>
              </w:rPr>
            </w:pPr>
            <w:r>
              <w:rPr>
                <w:noProof/>
                <w:snapToGrid/>
                <w:lang w:eastAsia="en-AU"/>
              </w:rPr>
              <mc:AlternateContent>
                <mc:Choice Requires="wps">
                  <w:drawing>
                    <wp:anchor distT="0" distB="0" distL="114300" distR="114300" simplePos="0" relativeHeight="251675648" behindDoc="0" locked="0" layoutInCell="1" allowOverlap="1" wp14:anchorId="12B21ECA" wp14:editId="5653D74A">
                      <wp:simplePos x="0" y="0"/>
                      <wp:positionH relativeFrom="column">
                        <wp:posOffset>-49530</wp:posOffset>
                      </wp:positionH>
                      <wp:positionV relativeFrom="paragraph">
                        <wp:posOffset>3810</wp:posOffset>
                      </wp:positionV>
                      <wp:extent cx="711200" cy="143510"/>
                      <wp:effectExtent l="0" t="0" r="12700" b="27940"/>
                      <wp:wrapNone/>
                      <wp:docPr id="51" name="Rectangle 51"/>
                      <wp:cNvGraphicFramePr/>
                      <a:graphic xmlns:a="http://schemas.openxmlformats.org/drawingml/2006/main">
                        <a:graphicData uri="http://schemas.microsoft.com/office/word/2010/wordprocessingShape">
                          <wps:wsp>
                            <wps:cNvSpPr/>
                            <wps:spPr bwMode="ltGray">
                              <a:xfrm>
                                <a:off x="0" y="0"/>
                                <a:ext cx="711200" cy="143510"/>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26" style="position:absolute;margin-left:-3.9pt;margin-top:.3pt;width:56pt;height:1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" filled="f" strokecolor="#511010 [1604]" strokeweight="1.75pt"/>
                  </w:pict>
                </mc:Fallback>
              </mc:AlternateContent>
            </w:r>
            <w:r w:rsidR="00565E9D" w:rsidRPr="00565E9D">
              <w:rPr>
                <w:snapToGrid/>
                <w:color w:val="000000"/>
                <w:sz w:val="16"/>
                <w:szCs w:val="16"/>
                <w:lang w:eastAsia="en-AU"/>
              </w:rPr>
              <w:t>123,920</w:t>
            </w:r>
          </w:p>
        </w:tc>
        <w:tc>
          <w:tcPr>
            <w:tcW w:w="330"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132,923</w:t>
            </w:r>
          </w:p>
        </w:tc>
        <w:tc>
          <w:tcPr>
            <w:tcW w:w="37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5.7</w:t>
            </w:r>
          </w:p>
        </w:tc>
        <w:tc>
          <w:tcPr>
            <w:tcW w:w="216"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0.01</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0.8%</w:t>
            </w:r>
          </w:p>
        </w:tc>
        <w:tc>
          <w:tcPr>
            <w:tcW w:w="36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4.4%</w:t>
            </w:r>
          </w:p>
        </w:tc>
        <w:tc>
          <w:tcPr>
            <w:tcW w:w="316" w:type="pct"/>
            <w:tcBorders>
              <w:top w:val="nil"/>
              <w:left w:val="nil"/>
              <w:bottom w:val="nil"/>
              <w:right w:val="nil"/>
            </w:tcBorders>
            <w:shd w:val="clear" w:color="auto" w:fill="auto"/>
            <w:noWrap/>
            <w:hideMark/>
          </w:tcPr>
          <w:p w:rsidR="00565E9D" w:rsidRPr="00565E9D" w:rsidRDefault="00565E9D" w:rsidP="00B033D1">
            <w:pPr>
              <w:jc w:val="right"/>
              <w:rPr>
                <w:snapToGrid/>
                <w:color w:val="000000"/>
                <w:sz w:val="16"/>
                <w:szCs w:val="16"/>
                <w:lang w:eastAsia="en-AU"/>
              </w:rPr>
            </w:pPr>
            <w:r>
              <w:rPr>
                <w:noProof/>
                <w:snapToGrid/>
                <w:lang w:eastAsia="en-AU"/>
              </w:rPr>
              <mc:AlternateContent>
                <mc:Choice Requires="wps">
                  <w:drawing>
                    <wp:anchor distT="0" distB="0" distL="114300" distR="114300" simplePos="0" relativeHeight="251677696" behindDoc="0" locked="0" layoutInCell="1" allowOverlap="1" wp14:anchorId="69771CA7" wp14:editId="19932CA7">
                      <wp:simplePos x="0" y="0"/>
                      <wp:positionH relativeFrom="column">
                        <wp:posOffset>-58420</wp:posOffset>
                      </wp:positionH>
                      <wp:positionV relativeFrom="paragraph">
                        <wp:posOffset>-4022</wp:posOffset>
                      </wp:positionV>
                      <wp:extent cx="711200" cy="143510"/>
                      <wp:effectExtent l="0" t="0" r="12700" b="27940"/>
                      <wp:wrapNone/>
                      <wp:docPr id="52" name="Rectangle 52"/>
                      <wp:cNvGraphicFramePr/>
                      <a:graphic xmlns:a="http://schemas.openxmlformats.org/drawingml/2006/main">
                        <a:graphicData uri="http://schemas.microsoft.com/office/word/2010/wordprocessingShape">
                          <wps:wsp>
                            <wps:cNvSpPr/>
                            <wps:spPr bwMode="ltGray">
                              <a:xfrm>
                                <a:off x="0" y="0"/>
                                <a:ext cx="711200" cy="143510"/>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26" style="position:absolute;margin-left:-4.6pt;margin-top:-.3pt;width:56pt;height:1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" filled="f" strokecolor="#511010 [1604]" strokeweight="1.75pt"/>
                  </w:pict>
                </mc:Fallback>
              </mc:AlternateContent>
            </w:r>
            <w:r w:rsidRPr="00565E9D">
              <w:rPr>
                <w:snapToGrid/>
                <w:color w:val="000000"/>
                <w:sz w:val="16"/>
                <w:szCs w:val="16"/>
                <w:lang w:eastAsia="en-AU"/>
              </w:rPr>
              <w:t>135,355</w:t>
            </w:r>
          </w:p>
        </w:tc>
        <w:tc>
          <w:tcPr>
            <w:tcW w:w="25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1 </w:t>
            </w:r>
          </w:p>
        </w:tc>
      </w:tr>
      <w:tr w:rsidR="00DB602A" w:rsidRPr="00565E9D" w:rsidTr="00DB602A">
        <w:trPr>
          <w:trHeight w:val="204"/>
        </w:trPr>
        <w:tc>
          <w:tcPr>
            <w:tcW w:w="253"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15"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2</w:t>
            </w:r>
          </w:p>
        </w:tc>
        <w:tc>
          <w:tcPr>
            <w:tcW w:w="206"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I03B</w:t>
            </w:r>
          </w:p>
        </w:tc>
        <w:tc>
          <w:tcPr>
            <w:tcW w:w="978"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Hip Replacement W/O Catastrophic CC</w:t>
            </w:r>
          </w:p>
        </w:tc>
        <w:tc>
          <w:tcPr>
            <w:tcW w:w="25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6.31</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18,869</w:t>
            </w:r>
          </w:p>
        </w:tc>
        <w:tc>
          <w:tcPr>
            <w:tcW w:w="372"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119,045</w:t>
            </w:r>
          </w:p>
        </w:tc>
        <w:tc>
          <w:tcPr>
            <w:tcW w:w="330"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110,848</w:t>
            </w:r>
          </w:p>
        </w:tc>
        <w:tc>
          <w:tcPr>
            <w:tcW w:w="37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5.9</w:t>
            </w:r>
          </w:p>
        </w:tc>
        <w:tc>
          <w:tcPr>
            <w:tcW w:w="216"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0.02</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0.7%</w:t>
            </w:r>
          </w:p>
        </w:tc>
        <w:tc>
          <w:tcPr>
            <w:tcW w:w="36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4.2%</w:t>
            </w:r>
          </w:p>
        </w:tc>
        <w:tc>
          <w:tcPr>
            <w:tcW w:w="316" w:type="pct"/>
            <w:tcBorders>
              <w:top w:val="nil"/>
              <w:left w:val="nil"/>
              <w:bottom w:val="nil"/>
              <w:right w:val="nil"/>
            </w:tcBorders>
            <w:shd w:val="clear" w:color="auto" w:fill="auto"/>
            <w:noWrap/>
            <w:hideMark/>
          </w:tcPr>
          <w:p w:rsidR="00565E9D" w:rsidRPr="00565E9D" w:rsidRDefault="00565E9D" w:rsidP="00B033D1">
            <w:pPr>
              <w:jc w:val="right"/>
              <w:rPr>
                <w:snapToGrid/>
                <w:color w:val="000000"/>
                <w:sz w:val="16"/>
                <w:szCs w:val="16"/>
                <w:lang w:eastAsia="en-AU"/>
              </w:rPr>
            </w:pPr>
            <w:r w:rsidRPr="00565E9D">
              <w:rPr>
                <w:snapToGrid/>
                <w:color w:val="000000"/>
                <w:sz w:val="16"/>
                <w:szCs w:val="16"/>
                <w:lang w:eastAsia="en-AU"/>
              </w:rPr>
              <w:t>122,18</w:t>
            </w:r>
            <w:r w:rsidR="00B033D1">
              <w:rPr>
                <w:snapToGrid/>
                <w:color w:val="000000"/>
                <w:sz w:val="16"/>
                <w:szCs w:val="16"/>
                <w:lang w:eastAsia="en-AU"/>
              </w:rPr>
              <w:t>9</w:t>
            </w:r>
          </w:p>
        </w:tc>
        <w:tc>
          <w:tcPr>
            <w:tcW w:w="25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2 </w:t>
            </w:r>
          </w:p>
        </w:tc>
      </w:tr>
      <w:tr w:rsidR="00DB602A" w:rsidRPr="00565E9D" w:rsidTr="00DB602A">
        <w:trPr>
          <w:trHeight w:val="204"/>
        </w:trPr>
        <w:tc>
          <w:tcPr>
            <w:tcW w:w="253"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15"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3</w:t>
            </w:r>
          </w:p>
        </w:tc>
        <w:tc>
          <w:tcPr>
            <w:tcW w:w="206"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I09B</w:t>
            </w:r>
          </w:p>
        </w:tc>
        <w:tc>
          <w:tcPr>
            <w:tcW w:w="978"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Spinal Fusion W/O Catastrophic CC</w:t>
            </w:r>
          </w:p>
        </w:tc>
        <w:tc>
          <w:tcPr>
            <w:tcW w:w="25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7.92</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9,554</w:t>
            </w:r>
          </w:p>
        </w:tc>
        <w:tc>
          <w:tcPr>
            <w:tcW w:w="372"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75,662</w:t>
            </w:r>
          </w:p>
        </w:tc>
        <w:tc>
          <w:tcPr>
            <w:tcW w:w="330"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59,163</w:t>
            </w:r>
          </w:p>
        </w:tc>
        <w:tc>
          <w:tcPr>
            <w:tcW w:w="37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6.2</w:t>
            </w:r>
          </w:p>
        </w:tc>
        <w:tc>
          <w:tcPr>
            <w:tcW w:w="216"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0.07</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0.3%</w:t>
            </w:r>
          </w:p>
        </w:tc>
        <w:tc>
          <w:tcPr>
            <w:tcW w:w="36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2.7%</w:t>
            </w:r>
          </w:p>
        </w:tc>
        <w:tc>
          <w:tcPr>
            <w:tcW w:w="316" w:type="pct"/>
            <w:tcBorders>
              <w:top w:val="nil"/>
              <w:left w:val="nil"/>
              <w:bottom w:val="nil"/>
              <w:right w:val="nil"/>
            </w:tcBorders>
            <w:shd w:val="clear" w:color="auto" w:fill="auto"/>
            <w:noWrap/>
            <w:hideMark/>
          </w:tcPr>
          <w:p w:rsidR="00565E9D" w:rsidRPr="00565E9D" w:rsidRDefault="00565E9D" w:rsidP="00B033D1">
            <w:pPr>
              <w:jc w:val="right"/>
              <w:rPr>
                <w:snapToGrid/>
                <w:color w:val="000000"/>
                <w:sz w:val="16"/>
                <w:szCs w:val="16"/>
                <w:lang w:eastAsia="en-AU"/>
              </w:rPr>
            </w:pPr>
            <w:r w:rsidRPr="00565E9D">
              <w:rPr>
                <w:snapToGrid/>
                <w:color w:val="000000"/>
                <w:sz w:val="16"/>
                <w:szCs w:val="16"/>
                <w:lang w:eastAsia="en-AU"/>
              </w:rPr>
              <w:t>81,805</w:t>
            </w:r>
          </w:p>
        </w:tc>
        <w:tc>
          <w:tcPr>
            <w:tcW w:w="25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3 </w:t>
            </w:r>
          </w:p>
        </w:tc>
      </w:tr>
      <w:tr w:rsidR="00DB602A" w:rsidRPr="00565E9D" w:rsidTr="00DB602A">
        <w:trPr>
          <w:trHeight w:val="408"/>
        </w:trPr>
        <w:tc>
          <w:tcPr>
            <w:tcW w:w="253"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15"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4</w:t>
            </w:r>
          </w:p>
        </w:tc>
        <w:tc>
          <w:tcPr>
            <w:tcW w:w="206"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F01B</w:t>
            </w:r>
          </w:p>
        </w:tc>
        <w:tc>
          <w:tcPr>
            <w:tcW w:w="978"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Implantation or Replacement of AICD, Total System W/O Catastrophic CC</w:t>
            </w:r>
          </w:p>
        </w:tc>
        <w:tc>
          <w:tcPr>
            <w:tcW w:w="25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22.45</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2,302</w:t>
            </w:r>
          </w:p>
        </w:tc>
        <w:tc>
          <w:tcPr>
            <w:tcW w:w="372"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51,663</w:t>
            </w:r>
          </w:p>
        </w:tc>
        <w:tc>
          <w:tcPr>
            <w:tcW w:w="330"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5,209</w:t>
            </w:r>
          </w:p>
        </w:tc>
        <w:tc>
          <w:tcPr>
            <w:tcW w:w="37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2.3</w:t>
            </w:r>
          </w:p>
        </w:tc>
        <w:tc>
          <w:tcPr>
            <w:tcW w:w="216"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0.18</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0.1%</w:t>
            </w:r>
          </w:p>
        </w:tc>
        <w:tc>
          <w:tcPr>
            <w:tcW w:w="36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1.8%</w:t>
            </w:r>
          </w:p>
        </w:tc>
        <w:tc>
          <w:tcPr>
            <w:tcW w:w="316" w:type="pct"/>
            <w:tcBorders>
              <w:top w:val="nil"/>
              <w:left w:val="nil"/>
              <w:bottom w:val="nil"/>
              <w:right w:val="nil"/>
            </w:tcBorders>
            <w:shd w:val="clear" w:color="auto" w:fill="auto"/>
            <w:noWrap/>
            <w:hideMark/>
          </w:tcPr>
          <w:p w:rsidR="00565E9D" w:rsidRPr="00565E9D" w:rsidRDefault="00565E9D" w:rsidP="00B033D1">
            <w:pPr>
              <w:jc w:val="right"/>
              <w:rPr>
                <w:snapToGrid/>
                <w:color w:val="000000"/>
                <w:sz w:val="16"/>
                <w:szCs w:val="16"/>
                <w:lang w:eastAsia="en-AU"/>
              </w:rPr>
            </w:pPr>
            <w:r w:rsidRPr="00565E9D">
              <w:rPr>
                <w:snapToGrid/>
                <w:color w:val="000000"/>
                <w:sz w:val="16"/>
                <w:szCs w:val="16"/>
                <w:lang w:eastAsia="en-AU"/>
              </w:rPr>
              <w:t>53,21</w:t>
            </w:r>
            <w:r w:rsidR="00B033D1">
              <w:rPr>
                <w:snapToGrid/>
                <w:color w:val="000000"/>
                <w:sz w:val="16"/>
                <w:szCs w:val="16"/>
                <w:lang w:eastAsia="en-AU"/>
              </w:rPr>
              <w:t>3</w:t>
            </w:r>
          </w:p>
        </w:tc>
        <w:tc>
          <w:tcPr>
            <w:tcW w:w="25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4 </w:t>
            </w:r>
          </w:p>
        </w:tc>
      </w:tr>
      <w:tr w:rsidR="00DB602A" w:rsidRPr="00565E9D" w:rsidTr="00DB602A">
        <w:trPr>
          <w:trHeight w:val="408"/>
        </w:trPr>
        <w:tc>
          <w:tcPr>
            <w:tcW w:w="253"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15"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5</w:t>
            </w:r>
          </w:p>
        </w:tc>
        <w:tc>
          <w:tcPr>
            <w:tcW w:w="206"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O01C</w:t>
            </w:r>
          </w:p>
        </w:tc>
        <w:tc>
          <w:tcPr>
            <w:tcW w:w="978"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Caesarean Delivery W/O Catastrophic or Severe CC</w:t>
            </w:r>
          </w:p>
        </w:tc>
        <w:tc>
          <w:tcPr>
            <w:tcW w:w="25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1.77</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28,325</w:t>
            </w:r>
          </w:p>
        </w:tc>
        <w:tc>
          <w:tcPr>
            <w:tcW w:w="372"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50,210</w:t>
            </w:r>
          </w:p>
        </w:tc>
        <w:tc>
          <w:tcPr>
            <w:tcW w:w="330"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137,181</w:t>
            </w:r>
          </w:p>
        </w:tc>
        <w:tc>
          <w:tcPr>
            <w:tcW w:w="37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4.8</w:t>
            </w:r>
          </w:p>
        </w:tc>
        <w:tc>
          <w:tcPr>
            <w:tcW w:w="216"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0.01</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w:t>
            </w:r>
          </w:p>
        </w:tc>
        <w:tc>
          <w:tcPr>
            <w:tcW w:w="36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1.8%</w:t>
            </w:r>
          </w:p>
        </w:tc>
        <w:tc>
          <w:tcPr>
            <w:tcW w:w="316" w:type="pct"/>
            <w:tcBorders>
              <w:top w:val="nil"/>
              <w:left w:val="nil"/>
              <w:bottom w:val="nil"/>
              <w:right w:val="nil"/>
            </w:tcBorders>
            <w:shd w:val="clear" w:color="auto" w:fill="auto"/>
            <w:noWrap/>
            <w:hideMark/>
          </w:tcPr>
          <w:p w:rsidR="00565E9D" w:rsidRPr="00565E9D" w:rsidRDefault="00565E9D" w:rsidP="00B033D1">
            <w:pPr>
              <w:jc w:val="right"/>
              <w:rPr>
                <w:snapToGrid/>
                <w:color w:val="000000"/>
                <w:sz w:val="16"/>
                <w:szCs w:val="16"/>
                <w:lang w:eastAsia="en-AU"/>
              </w:rPr>
            </w:pPr>
            <w:r w:rsidRPr="00565E9D">
              <w:rPr>
                <w:snapToGrid/>
                <w:color w:val="000000"/>
                <w:sz w:val="16"/>
                <w:szCs w:val="16"/>
                <w:lang w:eastAsia="en-AU"/>
              </w:rPr>
              <w:t>48,91</w:t>
            </w:r>
            <w:r w:rsidR="00B033D1">
              <w:rPr>
                <w:snapToGrid/>
                <w:color w:val="000000"/>
                <w:sz w:val="16"/>
                <w:szCs w:val="16"/>
                <w:lang w:eastAsia="en-AU"/>
              </w:rPr>
              <w:t>6</w:t>
            </w:r>
          </w:p>
        </w:tc>
        <w:tc>
          <w:tcPr>
            <w:tcW w:w="25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5 </w:t>
            </w:r>
          </w:p>
        </w:tc>
      </w:tr>
      <w:tr w:rsidR="00DB602A" w:rsidRPr="00565E9D" w:rsidTr="00DB602A">
        <w:trPr>
          <w:trHeight w:val="408"/>
        </w:trPr>
        <w:tc>
          <w:tcPr>
            <w:tcW w:w="253"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15"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6</w:t>
            </w:r>
          </w:p>
        </w:tc>
        <w:tc>
          <w:tcPr>
            <w:tcW w:w="206"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F12B</w:t>
            </w:r>
          </w:p>
        </w:tc>
        <w:tc>
          <w:tcPr>
            <w:tcW w:w="978"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Implantation or Replacement of Pacemaker, Total System W/O Catastrophic CC</w:t>
            </w:r>
          </w:p>
        </w:tc>
        <w:tc>
          <w:tcPr>
            <w:tcW w:w="25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7.08</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6,844</w:t>
            </w:r>
          </w:p>
        </w:tc>
        <w:tc>
          <w:tcPr>
            <w:tcW w:w="372"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48,490</w:t>
            </w:r>
          </w:p>
        </w:tc>
        <w:tc>
          <w:tcPr>
            <w:tcW w:w="330"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19,750</w:t>
            </w:r>
          </w:p>
        </w:tc>
        <w:tc>
          <w:tcPr>
            <w:tcW w:w="37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2.9</w:t>
            </w:r>
          </w:p>
        </w:tc>
        <w:tc>
          <w:tcPr>
            <w:tcW w:w="216"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0.05</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0.2%</w:t>
            </w:r>
          </w:p>
        </w:tc>
        <w:tc>
          <w:tcPr>
            <w:tcW w:w="36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1.7%</w:t>
            </w:r>
          </w:p>
        </w:tc>
        <w:tc>
          <w:tcPr>
            <w:tcW w:w="316" w:type="pct"/>
            <w:tcBorders>
              <w:top w:val="nil"/>
              <w:left w:val="nil"/>
              <w:bottom w:val="nil"/>
              <w:right w:val="nil"/>
            </w:tcBorders>
            <w:shd w:val="clear" w:color="auto" w:fill="auto"/>
            <w:noWrap/>
            <w:hideMark/>
          </w:tcPr>
          <w:p w:rsidR="00565E9D" w:rsidRPr="00565E9D" w:rsidRDefault="00565E9D" w:rsidP="00B033D1">
            <w:pPr>
              <w:jc w:val="right"/>
              <w:rPr>
                <w:snapToGrid/>
                <w:color w:val="000000"/>
                <w:sz w:val="16"/>
                <w:szCs w:val="16"/>
                <w:lang w:eastAsia="en-AU"/>
              </w:rPr>
            </w:pPr>
            <w:r w:rsidRPr="00565E9D">
              <w:rPr>
                <w:snapToGrid/>
                <w:color w:val="000000"/>
                <w:sz w:val="16"/>
                <w:szCs w:val="16"/>
                <w:lang w:eastAsia="en-AU"/>
              </w:rPr>
              <w:t>46,37</w:t>
            </w:r>
            <w:r w:rsidR="00B033D1">
              <w:rPr>
                <w:snapToGrid/>
                <w:color w:val="000000"/>
                <w:sz w:val="16"/>
                <w:szCs w:val="16"/>
                <w:lang w:eastAsia="en-AU"/>
              </w:rPr>
              <w:t>4</w:t>
            </w:r>
          </w:p>
        </w:tc>
        <w:tc>
          <w:tcPr>
            <w:tcW w:w="25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7 </w:t>
            </w:r>
          </w:p>
        </w:tc>
      </w:tr>
      <w:tr w:rsidR="00DB602A" w:rsidRPr="00565E9D" w:rsidTr="00DB602A">
        <w:trPr>
          <w:trHeight w:val="204"/>
        </w:trPr>
        <w:tc>
          <w:tcPr>
            <w:tcW w:w="253"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15"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7</w:t>
            </w:r>
          </w:p>
        </w:tc>
        <w:tc>
          <w:tcPr>
            <w:tcW w:w="206"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R63Z</w:t>
            </w:r>
          </w:p>
        </w:tc>
        <w:tc>
          <w:tcPr>
            <w:tcW w:w="978"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Chemotherapy</w:t>
            </w:r>
          </w:p>
        </w:tc>
        <w:tc>
          <w:tcPr>
            <w:tcW w:w="25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0.20</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240,396</w:t>
            </w:r>
          </w:p>
        </w:tc>
        <w:tc>
          <w:tcPr>
            <w:tcW w:w="372"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47,558</w:t>
            </w:r>
          </w:p>
        </w:tc>
        <w:tc>
          <w:tcPr>
            <w:tcW w:w="330"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242,821</w:t>
            </w:r>
          </w:p>
        </w:tc>
        <w:tc>
          <w:tcPr>
            <w:tcW w:w="37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w:t>
            </w:r>
          </w:p>
        </w:tc>
        <w:tc>
          <w:tcPr>
            <w:tcW w:w="216"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8.5%</w:t>
            </w:r>
          </w:p>
        </w:tc>
        <w:tc>
          <w:tcPr>
            <w:tcW w:w="36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1.7%</w:t>
            </w:r>
          </w:p>
        </w:tc>
        <w:tc>
          <w:tcPr>
            <w:tcW w:w="316" w:type="pct"/>
            <w:tcBorders>
              <w:top w:val="nil"/>
              <w:left w:val="nil"/>
              <w:bottom w:val="nil"/>
              <w:right w:val="nil"/>
            </w:tcBorders>
            <w:shd w:val="clear" w:color="auto" w:fill="auto"/>
            <w:noWrap/>
            <w:hideMark/>
          </w:tcPr>
          <w:p w:rsidR="00565E9D" w:rsidRPr="00565E9D" w:rsidRDefault="00565E9D" w:rsidP="00B033D1">
            <w:pPr>
              <w:jc w:val="right"/>
              <w:rPr>
                <w:snapToGrid/>
                <w:color w:val="000000"/>
                <w:sz w:val="16"/>
                <w:szCs w:val="16"/>
                <w:lang w:eastAsia="en-AU"/>
              </w:rPr>
            </w:pPr>
            <w:r w:rsidRPr="00565E9D">
              <w:rPr>
                <w:snapToGrid/>
                <w:color w:val="000000"/>
                <w:sz w:val="16"/>
                <w:szCs w:val="16"/>
                <w:lang w:eastAsia="en-AU"/>
              </w:rPr>
              <w:t>44,364</w:t>
            </w:r>
          </w:p>
        </w:tc>
        <w:tc>
          <w:tcPr>
            <w:tcW w:w="25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8 </w:t>
            </w:r>
          </w:p>
        </w:tc>
      </w:tr>
      <w:tr w:rsidR="00DB602A" w:rsidRPr="00565E9D" w:rsidTr="00DB602A">
        <w:trPr>
          <w:trHeight w:val="255"/>
        </w:trPr>
        <w:tc>
          <w:tcPr>
            <w:tcW w:w="253"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15"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8</w:t>
            </w:r>
          </w:p>
        </w:tc>
        <w:tc>
          <w:tcPr>
            <w:tcW w:w="206"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I16Z</w:t>
            </w:r>
          </w:p>
        </w:tc>
        <w:tc>
          <w:tcPr>
            <w:tcW w:w="978"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Other Shoulder Procedures</w:t>
            </w:r>
          </w:p>
        </w:tc>
        <w:tc>
          <w:tcPr>
            <w:tcW w:w="25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1.28</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34,497</w:t>
            </w:r>
          </w:p>
        </w:tc>
        <w:tc>
          <w:tcPr>
            <w:tcW w:w="372"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44,277</w:t>
            </w:r>
          </w:p>
        </w:tc>
        <w:tc>
          <w:tcPr>
            <w:tcW w:w="330"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42,332</w:t>
            </w:r>
          </w:p>
        </w:tc>
        <w:tc>
          <w:tcPr>
            <w:tcW w:w="37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1.2</w:t>
            </w:r>
          </w:p>
        </w:tc>
        <w:tc>
          <w:tcPr>
            <w:tcW w:w="216"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0.01</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1.2%</w:t>
            </w:r>
          </w:p>
        </w:tc>
        <w:tc>
          <w:tcPr>
            <w:tcW w:w="36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1.6%</w:t>
            </w:r>
          </w:p>
        </w:tc>
        <w:tc>
          <w:tcPr>
            <w:tcW w:w="316" w:type="pct"/>
            <w:tcBorders>
              <w:top w:val="nil"/>
              <w:left w:val="nil"/>
              <w:bottom w:val="nil"/>
              <w:right w:val="nil"/>
            </w:tcBorders>
            <w:shd w:val="clear" w:color="auto" w:fill="auto"/>
            <w:noWrap/>
            <w:hideMark/>
          </w:tcPr>
          <w:p w:rsidR="00565E9D" w:rsidRPr="00565E9D" w:rsidRDefault="00565E9D" w:rsidP="00B033D1">
            <w:pPr>
              <w:jc w:val="right"/>
              <w:rPr>
                <w:snapToGrid/>
                <w:color w:val="000000"/>
                <w:sz w:val="16"/>
                <w:szCs w:val="16"/>
                <w:lang w:eastAsia="en-AU"/>
              </w:rPr>
            </w:pPr>
            <w:r w:rsidRPr="00565E9D">
              <w:rPr>
                <w:snapToGrid/>
                <w:color w:val="000000"/>
                <w:sz w:val="16"/>
                <w:szCs w:val="16"/>
                <w:lang w:eastAsia="en-AU"/>
              </w:rPr>
              <w:t>42,76</w:t>
            </w:r>
            <w:r w:rsidR="00B033D1">
              <w:rPr>
                <w:snapToGrid/>
                <w:color w:val="000000"/>
                <w:sz w:val="16"/>
                <w:szCs w:val="16"/>
                <w:lang w:eastAsia="en-AU"/>
              </w:rPr>
              <w:t>5</w:t>
            </w:r>
          </w:p>
        </w:tc>
        <w:tc>
          <w:tcPr>
            <w:tcW w:w="25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9 </w:t>
            </w:r>
          </w:p>
        </w:tc>
      </w:tr>
      <w:tr w:rsidR="00DB602A" w:rsidRPr="00565E9D" w:rsidTr="00DB602A">
        <w:trPr>
          <w:trHeight w:val="255"/>
        </w:trPr>
        <w:tc>
          <w:tcPr>
            <w:tcW w:w="253"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15"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9</w:t>
            </w:r>
          </w:p>
        </w:tc>
        <w:tc>
          <w:tcPr>
            <w:tcW w:w="206"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O60B</w:t>
            </w:r>
          </w:p>
        </w:tc>
        <w:tc>
          <w:tcPr>
            <w:tcW w:w="978"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Vaginal Delivery W/O Catastrophic or Severe CC</w:t>
            </w:r>
          </w:p>
        </w:tc>
        <w:tc>
          <w:tcPr>
            <w:tcW w:w="25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1.14</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33,057</w:t>
            </w:r>
          </w:p>
        </w:tc>
        <w:tc>
          <w:tcPr>
            <w:tcW w:w="372"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37,783</w:t>
            </w:r>
          </w:p>
        </w:tc>
        <w:tc>
          <w:tcPr>
            <w:tcW w:w="330"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135,469</w:t>
            </w:r>
          </w:p>
        </w:tc>
        <w:tc>
          <w:tcPr>
            <w:tcW w:w="37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4.1</w:t>
            </w:r>
          </w:p>
        </w:tc>
        <w:tc>
          <w:tcPr>
            <w:tcW w:w="216"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1.2%</w:t>
            </w:r>
          </w:p>
        </w:tc>
        <w:tc>
          <w:tcPr>
            <w:tcW w:w="36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1.3%</w:t>
            </w:r>
          </w:p>
        </w:tc>
        <w:tc>
          <w:tcPr>
            <w:tcW w:w="316" w:type="pct"/>
            <w:tcBorders>
              <w:top w:val="nil"/>
              <w:left w:val="nil"/>
              <w:bottom w:val="nil"/>
              <w:right w:val="nil"/>
            </w:tcBorders>
            <w:shd w:val="clear" w:color="auto" w:fill="auto"/>
            <w:noWrap/>
            <w:hideMark/>
          </w:tcPr>
          <w:p w:rsidR="00565E9D" w:rsidRPr="00565E9D" w:rsidRDefault="00565E9D" w:rsidP="00B033D1">
            <w:pPr>
              <w:jc w:val="right"/>
              <w:rPr>
                <w:snapToGrid/>
                <w:color w:val="000000"/>
                <w:sz w:val="16"/>
                <w:szCs w:val="16"/>
                <w:lang w:eastAsia="en-AU"/>
              </w:rPr>
            </w:pPr>
            <w:r w:rsidRPr="00565E9D">
              <w:rPr>
                <w:snapToGrid/>
                <w:color w:val="000000"/>
                <w:sz w:val="16"/>
                <w:szCs w:val="16"/>
                <w:lang w:eastAsia="en-AU"/>
              </w:rPr>
              <w:t>48,187</w:t>
            </w:r>
          </w:p>
        </w:tc>
        <w:tc>
          <w:tcPr>
            <w:tcW w:w="25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6 </w:t>
            </w:r>
          </w:p>
        </w:tc>
      </w:tr>
      <w:tr w:rsidR="00DB602A" w:rsidRPr="00565E9D" w:rsidTr="00DB602A">
        <w:trPr>
          <w:trHeight w:val="204"/>
        </w:trPr>
        <w:tc>
          <w:tcPr>
            <w:tcW w:w="253"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15"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10</w:t>
            </w:r>
          </w:p>
        </w:tc>
        <w:tc>
          <w:tcPr>
            <w:tcW w:w="206"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G10B</w:t>
            </w:r>
          </w:p>
        </w:tc>
        <w:tc>
          <w:tcPr>
            <w:tcW w:w="978"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Hernia Procedures W/O CC</w:t>
            </w:r>
          </w:p>
        </w:tc>
        <w:tc>
          <w:tcPr>
            <w:tcW w:w="25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0.95</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34,931</w:t>
            </w:r>
          </w:p>
        </w:tc>
        <w:tc>
          <w:tcPr>
            <w:tcW w:w="372"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33,308</w:t>
            </w:r>
          </w:p>
        </w:tc>
        <w:tc>
          <w:tcPr>
            <w:tcW w:w="330"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44,466</w:t>
            </w:r>
          </w:p>
        </w:tc>
        <w:tc>
          <w:tcPr>
            <w:tcW w:w="37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1.3</w:t>
            </w:r>
          </w:p>
        </w:tc>
        <w:tc>
          <w:tcPr>
            <w:tcW w:w="216"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1.2%</w:t>
            </w:r>
          </w:p>
        </w:tc>
        <w:tc>
          <w:tcPr>
            <w:tcW w:w="36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1.2%</w:t>
            </w:r>
          </w:p>
        </w:tc>
        <w:tc>
          <w:tcPr>
            <w:tcW w:w="316" w:type="pct"/>
            <w:tcBorders>
              <w:top w:val="nil"/>
              <w:left w:val="nil"/>
              <w:bottom w:val="nil"/>
              <w:right w:val="nil"/>
            </w:tcBorders>
            <w:shd w:val="clear" w:color="auto" w:fill="auto"/>
            <w:noWrap/>
            <w:hideMark/>
          </w:tcPr>
          <w:p w:rsidR="00565E9D" w:rsidRPr="00565E9D" w:rsidRDefault="00565E9D" w:rsidP="00B033D1">
            <w:pPr>
              <w:jc w:val="right"/>
              <w:rPr>
                <w:snapToGrid/>
                <w:color w:val="000000"/>
                <w:sz w:val="16"/>
                <w:szCs w:val="16"/>
                <w:lang w:eastAsia="en-AU"/>
              </w:rPr>
            </w:pPr>
            <w:r w:rsidRPr="00565E9D">
              <w:rPr>
                <w:snapToGrid/>
                <w:color w:val="000000"/>
                <w:sz w:val="16"/>
                <w:szCs w:val="16"/>
                <w:lang w:eastAsia="en-AU"/>
              </w:rPr>
              <w:t>31,59</w:t>
            </w:r>
            <w:r w:rsidR="00B033D1">
              <w:rPr>
                <w:snapToGrid/>
                <w:color w:val="000000"/>
                <w:sz w:val="16"/>
                <w:szCs w:val="16"/>
                <w:lang w:eastAsia="en-AU"/>
              </w:rPr>
              <w:t>7</w:t>
            </w:r>
          </w:p>
        </w:tc>
        <w:tc>
          <w:tcPr>
            <w:tcW w:w="25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10 </w:t>
            </w:r>
          </w:p>
        </w:tc>
      </w:tr>
      <w:tr w:rsidR="00DB602A" w:rsidRPr="00565E9D" w:rsidTr="00DB602A">
        <w:trPr>
          <w:trHeight w:val="204"/>
        </w:trPr>
        <w:tc>
          <w:tcPr>
            <w:tcW w:w="253"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15"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11</w:t>
            </w:r>
          </w:p>
        </w:tc>
        <w:tc>
          <w:tcPr>
            <w:tcW w:w="206"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I04A</w:t>
            </w:r>
          </w:p>
        </w:tc>
        <w:tc>
          <w:tcPr>
            <w:tcW w:w="978"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Knee Replacement W Catastrophic or Severe CC</w:t>
            </w:r>
          </w:p>
        </w:tc>
        <w:tc>
          <w:tcPr>
            <w:tcW w:w="25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6.30</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5,045</w:t>
            </w:r>
          </w:p>
        </w:tc>
        <w:tc>
          <w:tcPr>
            <w:tcW w:w="372"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31,781</w:t>
            </w:r>
          </w:p>
        </w:tc>
        <w:tc>
          <w:tcPr>
            <w:tcW w:w="330"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40,805</w:t>
            </w:r>
          </w:p>
        </w:tc>
        <w:tc>
          <w:tcPr>
            <w:tcW w:w="37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8.1</w:t>
            </w:r>
          </w:p>
        </w:tc>
        <w:tc>
          <w:tcPr>
            <w:tcW w:w="216"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0.04</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0.2%</w:t>
            </w:r>
          </w:p>
        </w:tc>
        <w:tc>
          <w:tcPr>
            <w:tcW w:w="36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1.1%</w:t>
            </w:r>
          </w:p>
        </w:tc>
        <w:tc>
          <w:tcPr>
            <w:tcW w:w="316" w:type="pct"/>
            <w:tcBorders>
              <w:top w:val="nil"/>
              <w:left w:val="nil"/>
              <w:bottom w:val="nil"/>
              <w:right w:val="nil"/>
            </w:tcBorders>
            <w:shd w:val="clear" w:color="auto" w:fill="auto"/>
            <w:noWrap/>
            <w:hideMark/>
          </w:tcPr>
          <w:p w:rsidR="00565E9D" w:rsidRPr="00565E9D" w:rsidRDefault="00565E9D" w:rsidP="00B033D1">
            <w:pPr>
              <w:jc w:val="right"/>
              <w:rPr>
                <w:snapToGrid/>
                <w:color w:val="000000"/>
                <w:sz w:val="16"/>
                <w:szCs w:val="16"/>
                <w:lang w:eastAsia="en-AU"/>
              </w:rPr>
            </w:pPr>
            <w:r w:rsidRPr="00565E9D">
              <w:rPr>
                <w:snapToGrid/>
                <w:color w:val="000000"/>
                <w:sz w:val="16"/>
                <w:szCs w:val="16"/>
                <w:lang w:eastAsia="en-AU"/>
              </w:rPr>
              <w:t>27,66</w:t>
            </w:r>
            <w:r w:rsidR="00B033D1">
              <w:rPr>
                <w:snapToGrid/>
                <w:color w:val="000000"/>
                <w:sz w:val="16"/>
                <w:szCs w:val="16"/>
                <w:lang w:eastAsia="en-AU"/>
              </w:rPr>
              <w:t>2</w:t>
            </w:r>
          </w:p>
        </w:tc>
        <w:tc>
          <w:tcPr>
            <w:tcW w:w="25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11 </w:t>
            </w:r>
          </w:p>
        </w:tc>
      </w:tr>
      <w:tr w:rsidR="00DB602A" w:rsidRPr="00565E9D" w:rsidTr="00DB602A">
        <w:trPr>
          <w:trHeight w:val="408"/>
        </w:trPr>
        <w:tc>
          <w:tcPr>
            <w:tcW w:w="253"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15"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12</w:t>
            </w:r>
          </w:p>
        </w:tc>
        <w:tc>
          <w:tcPr>
            <w:tcW w:w="206"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I10B</w:t>
            </w:r>
          </w:p>
        </w:tc>
        <w:tc>
          <w:tcPr>
            <w:tcW w:w="978"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Other Back and Neck Procedures W/O Catastrophic or Severe CC</w:t>
            </w:r>
          </w:p>
        </w:tc>
        <w:tc>
          <w:tcPr>
            <w:tcW w:w="25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1.93</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15,780</w:t>
            </w:r>
          </w:p>
        </w:tc>
        <w:tc>
          <w:tcPr>
            <w:tcW w:w="372"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30,451</w:t>
            </w:r>
          </w:p>
        </w:tc>
        <w:tc>
          <w:tcPr>
            <w:tcW w:w="330"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53,340</w:t>
            </w:r>
          </w:p>
        </w:tc>
        <w:tc>
          <w:tcPr>
            <w:tcW w:w="37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3.4</w:t>
            </w:r>
          </w:p>
        </w:tc>
        <w:tc>
          <w:tcPr>
            <w:tcW w:w="216"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0.01</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0.6%</w:t>
            </w:r>
          </w:p>
        </w:tc>
        <w:tc>
          <w:tcPr>
            <w:tcW w:w="36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1.1%</w:t>
            </w:r>
          </w:p>
        </w:tc>
        <w:tc>
          <w:tcPr>
            <w:tcW w:w="316" w:type="pct"/>
            <w:tcBorders>
              <w:top w:val="nil"/>
              <w:left w:val="nil"/>
              <w:bottom w:val="nil"/>
              <w:right w:val="nil"/>
            </w:tcBorders>
            <w:shd w:val="clear" w:color="auto" w:fill="auto"/>
            <w:noWrap/>
            <w:hideMark/>
          </w:tcPr>
          <w:p w:rsidR="00565E9D" w:rsidRPr="00565E9D" w:rsidRDefault="00565E9D" w:rsidP="00B033D1">
            <w:pPr>
              <w:jc w:val="right"/>
              <w:rPr>
                <w:snapToGrid/>
                <w:color w:val="000000"/>
                <w:sz w:val="16"/>
                <w:szCs w:val="16"/>
                <w:lang w:eastAsia="en-AU"/>
              </w:rPr>
            </w:pPr>
            <w:r w:rsidRPr="00565E9D">
              <w:rPr>
                <w:snapToGrid/>
                <w:color w:val="000000"/>
                <w:sz w:val="16"/>
                <w:szCs w:val="16"/>
                <w:lang w:eastAsia="en-AU"/>
              </w:rPr>
              <w:t>24,172</w:t>
            </w:r>
          </w:p>
        </w:tc>
        <w:tc>
          <w:tcPr>
            <w:tcW w:w="25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16 </w:t>
            </w:r>
          </w:p>
        </w:tc>
      </w:tr>
      <w:tr w:rsidR="00DB602A" w:rsidRPr="00565E9D" w:rsidTr="00DB602A">
        <w:trPr>
          <w:trHeight w:val="408"/>
        </w:trPr>
        <w:tc>
          <w:tcPr>
            <w:tcW w:w="253"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15"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Pr>
                <w:noProof/>
                <w:snapToGrid/>
                <w:lang w:eastAsia="en-AU"/>
              </w:rPr>
              <mc:AlternateContent>
                <mc:Choice Requires="wps">
                  <w:drawing>
                    <wp:anchor distT="0" distB="0" distL="114300" distR="114300" simplePos="0" relativeHeight="251681792" behindDoc="0" locked="0" layoutInCell="1" allowOverlap="1" wp14:anchorId="3E24D16B" wp14:editId="2582CC0A">
                      <wp:simplePos x="0" y="0"/>
                      <wp:positionH relativeFrom="column">
                        <wp:posOffset>33655</wp:posOffset>
                      </wp:positionH>
                      <wp:positionV relativeFrom="paragraph">
                        <wp:posOffset>268605</wp:posOffset>
                      </wp:positionV>
                      <wp:extent cx="914400" cy="219710"/>
                      <wp:effectExtent l="0" t="0" r="19050" b="27940"/>
                      <wp:wrapNone/>
                      <wp:docPr id="54" name="Oval 54"/>
                      <wp:cNvGraphicFramePr/>
                      <a:graphic xmlns:a="http://schemas.openxmlformats.org/drawingml/2006/main">
                        <a:graphicData uri="http://schemas.microsoft.com/office/word/2010/wordprocessingShape">
                          <wps:wsp>
                            <wps:cNvSpPr/>
                            <wps:spPr bwMode="ltGray">
                              <a:xfrm>
                                <a:off x="0" y="0"/>
                                <a:ext cx="914400" cy="21971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4" o:spid="_x0000_s1026" style="position:absolute;margin-left:2.65pt;margin-top:21.15pt;width:1in;height:17.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" filled="f" strokecolor="#511010 [1604]" strokeweight="1pt"/>
                  </w:pict>
                </mc:Fallback>
              </mc:AlternateContent>
            </w:r>
            <w:r w:rsidRPr="00565E9D">
              <w:rPr>
                <w:snapToGrid/>
                <w:color w:val="000000"/>
                <w:sz w:val="16"/>
                <w:szCs w:val="16"/>
                <w:lang w:eastAsia="en-AU"/>
              </w:rPr>
              <w:t>13</w:t>
            </w:r>
          </w:p>
        </w:tc>
        <w:tc>
          <w:tcPr>
            <w:tcW w:w="206"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F42B</w:t>
            </w:r>
          </w:p>
        </w:tc>
        <w:tc>
          <w:tcPr>
            <w:tcW w:w="978"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Circulatory Disorders W/O AMI W Invasive Cardiac Inves Proc W/O Cat or Sev CC</w:t>
            </w:r>
          </w:p>
        </w:tc>
        <w:tc>
          <w:tcPr>
            <w:tcW w:w="25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1.26</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23,080</w:t>
            </w:r>
          </w:p>
        </w:tc>
        <w:tc>
          <w:tcPr>
            <w:tcW w:w="372"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29,137</w:t>
            </w:r>
          </w:p>
        </w:tc>
        <w:tc>
          <w:tcPr>
            <w:tcW w:w="330"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44,122</w:t>
            </w:r>
          </w:p>
        </w:tc>
        <w:tc>
          <w:tcPr>
            <w:tcW w:w="37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1.9</w:t>
            </w:r>
          </w:p>
        </w:tc>
        <w:tc>
          <w:tcPr>
            <w:tcW w:w="216"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0.01</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0.8%</w:t>
            </w:r>
          </w:p>
        </w:tc>
        <w:tc>
          <w:tcPr>
            <w:tcW w:w="36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w:t>
            </w:r>
          </w:p>
        </w:tc>
        <w:tc>
          <w:tcPr>
            <w:tcW w:w="316" w:type="pct"/>
            <w:tcBorders>
              <w:top w:val="nil"/>
              <w:left w:val="nil"/>
              <w:bottom w:val="nil"/>
              <w:right w:val="nil"/>
            </w:tcBorders>
            <w:shd w:val="clear" w:color="auto" w:fill="auto"/>
            <w:noWrap/>
            <w:hideMark/>
          </w:tcPr>
          <w:p w:rsidR="00565E9D" w:rsidRPr="00565E9D" w:rsidRDefault="00565E9D" w:rsidP="00B033D1">
            <w:pPr>
              <w:jc w:val="right"/>
              <w:rPr>
                <w:snapToGrid/>
                <w:color w:val="000000"/>
                <w:sz w:val="16"/>
                <w:szCs w:val="16"/>
                <w:lang w:eastAsia="en-AU"/>
              </w:rPr>
            </w:pPr>
            <w:r w:rsidRPr="00565E9D">
              <w:rPr>
                <w:snapToGrid/>
                <w:color w:val="000000"/>
                <w:sz w:val="16"/>
                <w:szCs w:val="16"/>
                <w:lang w:eastAsia="en-AU"/>
              </w:rPr>
              <w:t>27,035</w:t>
            </w:r>
          </w:p>
        </w:tc>
        <w:tc>
          <w:tcPr>
            <w:tcW w:w="25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12 </w:t>
            </w:r>
          </w:p>
        </w:tc>
      </w:tr>
      <w:tr w:rsidR="00DB602A" w:rsidRPr="00565E9D" w:rsidTr="00DB602A">
        <w:trPr>
          <w:trHeight w:val="255"/>
        </w:trPr>
        <w:tc>
          <w:tcPr>
            <w:tcW w:w="253"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No</w:t>
            </w:r>
          </w:p>
        </w:tc>
        <w:tc>
          <w:tcPr>
            <w:tcW w:w="315"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14</w:t>
            </w:r>
          </w:p>
        </w:tc>
        <w:tc>
          <w:tcPr>
            <w:tcW w:w="206"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A12Z</w:t>
            </w:r>
          </w:p>
        </w:tc>
        <w:tc>
          <w:tcPr>
            <w:tcW w:w="978"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Insertion of Neurostimulator Device</w:t>
            </w:r>
          </w:p>
        </w:tc>
        <w:tc>
          <w:tcPr>
            <w:tcW w:w="25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10.76</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2,665</w:t>
            </w:r>
          </w:p>
        </w:tc>
        <w:tc>
          <w:tcPr>
            <w:tcW w:w="372"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28,665</w:t>
            </w:r>
          </w:p>
        </w:tc>
        <w:tc>
          <w:tcPr>
            <w:tcW w:w="330"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7,727</w:t>
            </w:r>
          </w:p>
        </w:tc>
        <w:tc>
          <w:tcPr>
            <w:tcW w:w="37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2.9</w:t>
            </w:r>
          </w:p>
        </w:tc>
        <w:tc>
          <w:tcPr>
            <w:tcW w:w="216"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0.15</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0.1%</w:t>
            </w:r>
          </w:p>
        </w:tc>
        <w:tc>
          <w:tcPr>
            <w:tcW w:w="36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w:t>
            </w:r>
          </w:p>
        </w:tc>
        <w:tc>
          <w:tcPr>
            <w:tcW w:w="316" w:type="pct"/>
            <w:tcBorders>
              <w:top w:val="nil"/>
              <w:left w:val="nil"/>
              <w:bottom w:val="nil"/>
              <w:right w:val="nil"/>
            </w:tcBorders>
            <w:shd w:val="clear" w:color="auto" w:fill="auto"/>
            <w:noWrap/>
            <w:hideMark/>
          </w:tcPr>
          <w:p w:rsidR="00565E9D" w:rsidRPr="00565E9D" w:rsidRDefault="00565E9D" w:rsidP="00B033D1">
            <w:pPr>
              <w:jc w:val="right"/>
              <w:rPr>
                <w:snapToGrid/>
                <w:color w:val="000000"/>
                <w:sz w:val="16"/>
                <w:szCs w:val="16"/>
                <w:lang w:eastAsia="en-AU"/>
              </w:rPr>
            </w:pPr>
            <w:r w:rsidRPr="00565E9D">
              <w:rPr>
                <w:snapToGrid/>
                <w:color w:val="000000"/>
                <w:sz w:val="16"/>
                <w:szCs w:val="16"/>
                <w:lang w:eastAsia="en-AU"/>
              </w:rPr>
              <w:t>20,16</w:t>
            </w:r>
            <w:r w:rsidR="00B033D1">
              <w:rPr>
                <w:snapToGrid/>
                <w:color w:val="000000"/>
                <w:sz w:val="16"/>
                <w:szCs w:val="16"/>
                <w:lang w:eastAsia="en-AU"/>
              </w:rPr>
              <w:t>4</w:t>
            </w:r>
          </w:p>
        </w:tc>
        <w:tc>
          <w:tcPr>
            <w:tcW w:w="25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22 </w:t>
            </w:r>
          </w:p>
        </w:tc>
      </w:tr>
      <w:tr w:rsidR="00DB602A" w:rsidRPr="00565E9D" w:rsidTr="00DB602A">
        <w:trPr>
          <w:trHeight w:val="204"/>
        </w:trPr>
        <w:tc>
          <w:tcPr>
            <w:tcW w:w="253"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15"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15</w:t>
            </w:r>
          </w:p>
        </w:tc>
        <w:tc>
          <w:tcPr>
            <w:tcW w:w="206"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K04B</w:t>
            </w:r>
          </w:p>
        </w:tc>
        <w:tc>
          <w:tcPr>
            <w:tcW w:w="978"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Major Procedures for Obesity W/O CC</w:t>
            </w:r>
          </w:p>
        </w:tc>
        <w:tc>
          <w:tcPr>
            <w:tcW w:w="25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2.37</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11,643</w:t>
            </w:r>
          </w:p>
        </w:tc>
        <w:tc>
          <w:tcPr>
            <w:tcW w:w="372"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27,650</w:t>
            </w:r>
          </w:p>
        </w:tc>
        <w:tc>
          <w:tcPr>
            <w:tcW w:w="330"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26,771</w:t>
            </w:r>
          </w:p>
        </w:tc>
        <w:tc>
          <w:tcPr>
            <w:tcW w:w="37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2.3</w:t>
            </w:r>
          </w:p>
        </w:tc>
        <w:tc>
          <w:tcPr>
            <w:tcW w:w="216"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0.01</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0.4%</w:t>
            </w:r>
          </w:p>
        </w:tc>
        <w:tc>
          <w:tcPr>
            <w:tcW w:w="36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w:t>
            </w:r>
          </w:p>
        </w:tc>
        <w:tc>
          <w:tcPr>
            <w:tcW w:w="316" w:type="pct"/>
            <w:tcBorders>
              <w:top w:val="nil"/>
              <w:left w:val="nil"/>
              <w:bottom w:val="nil"/>
              <w:right w:val="nil"/>
            </w:tcBorders>
            <w:shd w:val="clear" w:color="auto" w:fill="auto"/>
            <w:noWrap/>
            <w:hideMark/>
          </w:tcPr>
          <w:p w:rsidR="00565E9D" w:rsidRPr="00565E9D" w:rsidRDefault="00565E9D" w:rsidP="00B033D1">
            <w:pPr>
              <w:jc w:val="right"/>
              <w:rPr>
                <w:snapToGrid/>
                <w:color w:val="000000"/>
                <w:sz w:val="16"/>
                <w:szCs w:val="16"/>
                <w:lang w:eastAsia="en-AU"/>
              </w:rPr>
            </w:pPr>
            <w:r w:rsidRPr="00565E9D">
              <w:rPr>
                <w:snapToGrid/>
                <w:color w:val="000000"/>
                <w:sz w:val="16"/>
                <w:szCs w:val="16"/>
                <w:lang w:eastAsia="en-AU"/>
              </w:rPr>
              <w:t>24,43</w:t>
            </w:r>
            <w:r w:rsidR="00B033D1">
              <w:rPr>
                <w:snapToGrid/>
                <w:color w:val="000000"/>
                <w:sz w:val="16"/>
                <w:szCs w:val="16"/>
                <w:lang w:eastAsia="en-AU"/>
              </w:rPr>
              <w:t>8</w:t>
            </w:r>
          </w:p>
        </w:tc>
        <w:tc>
          <w:tcPr>
            <w:tcW w:w="25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15 </w:t>
            </w:r>
          </w:p>
        </w:tc>
      </w:tr>
      <w:tr w:rsidR="00DB602A" w:rsidRPr="00565E9D" w:rsidTr="00DB602A">
        <w:trPr>
          <w:trHeight w:val="255"/>
        </w:trPr>
        <w:tc>
          <w:tcPr>
            <w:tcW w:w="253"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15"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16</w:t>
            </w:r>
          </w:p>
        </w:tc>
        <w:tc>
          <w:tcPr>
            <w:tcW w:w="206"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C16Z</w:t>
            </w:r>
          </w:p>
        </w:tc>
        <w:tc>
          <w:tcPr>
            <w:tcW w:w="978"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Lens Procedures</w:t>
            </w:r>
          </w:p>
        </w:tc>
        <w:tc>
          <w:tcPr>
            <w:tcW w:w="25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0.52</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51,801</w:t>
            </w:r>
          </w:p>
        </w:tc>
        <w:tc>
          <w:tcPr>
            <w:tcW w:w="372"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27,108</w:t>
            </w:r>
          </w:p>
        </w:tc>
        <w:tc>
          <w:tcPr>
            <w:tcW w:w="330"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52,120</w:t>
            </w:r>
          </w:p>
        </w:tc>
        <w:tc>
          <w:tcPr>
            <w:tcW w:w="37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w:t>
            </w:r>
          </w:p>
        </w:tc>
        <w:tc>
          <w:tcPr>
            <w:tcW w:w="216"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1.8%</w:t>
            </w:r>
          </w:p>
        </w:tc>
        <w:tc>
          <w:tcPr>
            <w:tcW w:w="36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w:t>
            </w:r>
          </w:p>
        </w:tc>
        <w:tc>
          <w:tcPr>
            <w:tcW w:w="316" w:type="pct"/>
            <w:tcBorders>
              <w:top w:val="nil"/>
              <w:left w:val="nil"/>
              <w:bottom w:val="nil"/>
              <w:right w:val="nil"/>
            </w:tcBorders>
            <w:shd w:val="clear" w:color="auto" w:fill="auto"/>
            <w:noWrap/>
            <w:hideMark/>
          </w:tcPr>
          <w:p w:rsidR="00565E9D" w:rsidRPr="00565E9D" w:rsidRDefault="00565E9D" w:rsidP="00B033D1">
            <w:pPr>
              <w:jc w:val="right"/>
              <w:rPr>
                <w:snapToGrid/>
                <w:color w:val="000000"/>
                <w:sz w:val="16"/>
                <w:szCs w:val="16"/>
                <w:lang w:eastAsia="en-AU"/>
              </w:rPr>
            </w:pPr>
            <w:r w:rsidRPr="00565E9D">
              <w:rPr>
                <w:snapToGrid/>
                <w:color w:val="000000"/>
                <w:sz w:val="16"/>
                <w:szCs w:val="16"/>
                <w:lang w:eastAsia="en-AU"/>
              </w:rPr>
              <w:t>22,062</w:t>
            </w:r>
          </w:p>
        </w:tc>
        <w:tc>
          <w:tcPr>
            <w:tcW w:w="25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19 </w:t>
            </w:r>
          </w:p>
        </w:tc>
      </w:tr>
      <w:tr w:rsidR="00DB602A" w:rsidRPr="00565E9D" w:rsidTr="00DB602A">
        <w:trPr>
          <w:trHeight w:val="408"/>
        </w:trPr>
        <w:tc>
          <w:tcPr>
            <w:tcW w:w="253"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15"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17</w:t>
            </w:r>
          </w:p>
        </w:tc>
        <w:tc>
          <w:tcPr>
            <w:tcW w:w="206"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F15B</w:t>
            </w:r>
          </w:p>
        </w:tc>
        <w:tc>
          <w:tcPr>
            <w:tcW w:w="978"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Interventional Coronary Procs W/O AMI W Stent Implantation W/O Cat or Sev CC</w:t>
            </w:r>
          </w:p>
        </w:tc>
        <w:tc>
          <w:tcPr>
            <w:tcW w:w="25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3.16</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8,558</w:t>
            </w:r>
          </w:p>
        </w:tc>
        <w:tc>
          <w:tcPr>
            <w:tcW w:w="372"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27,049</w:t>
            </w:r>
          </w:p>
        </w:tc>
        <w:tc>
          <w:tcPr>
            <w:tcW w:w="330"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14,932</w:t>
            </w:r>
          </w:p>
        </w:tc>
        <w:tc>
          <w:tcPr>
            <w:tcW w:w="37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1.7</w:t>
            </w:r>
          </w:p>
        </w:tc>
        <w:tc>
          <w:tcPr>
            <w:tcW w:w="216"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0.02</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0.3%</w:t>
            </w:r>
          </w:p>
        </w:tc>
        <w:tc>
          <w:tcPr>
            <w:tcW w:w="36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w:t>
            </w:r>
          </w:p>
        </w:tc>
        <w:tc>
          <w:tcPr>
            <w:tcW w:w="316" w:type="pct"/>
            <w:tcBorders>
              <w:top w:val="nil"/>
              <w:left w:val="nil"/>
              <w:bottom w:val="nil"/>
              <w:right w:val="nil"/>
            </w:tcBorders>
            <w:shd w:val="clear" w:color="auto" w:fill="auto"/>
            <w:noWrap/>
            <w:hideMark/>
          </w:tcPr>
          <w:p w:rsidR="00565E9D" w:rsidRPr="00565E9D" w:rsidRDefault="00565E9D" w:rsidP="00B033D1">
            <w:pPr>
              <w:jc w:val="right"/>
              <w:rPr>
                <w:snapToGrid/>
                <w:color w:val="000000"/>
                <w:sz w:val="16"/>
                <w:szCs w:val="16"/>
                <w:lang w:eastAsia="en-AU"/>
              </w:rPr>
            </w:pPr>
            <w:r w:rsidRPr="00565E9D">
              <w:rPr>
                <w:snapToGrid/>
                <w:color w:val="000000"/>
                <w:sz w:val="16"/>
                <w:szCs w:val="16"/>
                <w:lang w:eastAsia="en-AU"/>
              </w:rPr>
              <w:t>26,870</w:t>
            </w:r>
          </w:p>
        </w:tc>
        <w:tc>
          <w:tcPr>
            <w:tcW w:w="25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13 </w:t>
            </w:r>
          </w:p>
        </w:tc>
      </w:tr>
      <w:tr w:rsidR="00DB602A" w:rsidRPr="00565E9D" w:rsidTr="00DB602A">
        <w:trPr>
          <w:trHeight w:val="204"/>
        </w:trPr>
        <w:tc>
          <w:tcPr>
            <w:tcW w:w="253"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15"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18</w:t>
            </w:r>
          </w:p>
        </w:tc>
        <w:tc>
          <w:tcPr>
            <w:tcW w:w="206"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I18Z</w:t>
            </w:r>
          </w:p>
        </w:tc>
        <w:tc>
          <w:tcPr>
            <w:tcW w:w="978"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Other Knee Procedures</w:t>
            </w:r>
          </w:p>
        </w:tc>
        <w:tc>
          <w:tcPr>
            <w:tcW w:w="25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0.48</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56,143</w:t>
            </w:r>
          </w:p>
        </w:tc>
        <w:tc>
          <w:tcPr>
            <w:tcW w:w="372"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26,853</w:t>
            </w:r>
          </w:p>
        </w:tc>
        <w:tc>
          <w:tcPr>
            <w:tcW w:w="330"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62,774</w:t>
            </w:r>
          </w:p>
        </w:tc>
        <w:tc>
          <w:tcPr>
            <w:tcW w:w="37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1.1</w:t>
            </w:r>
          </w:p>
        </w:tc>
        <w:tc>
          <w:tcPr>
            <w:tcW w:w="216"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2.0%</w:t>
            </w:r>
          </w:p>
        </w:tc>
        <w:tc>
          <w:tcPr>
            <w:tcW w:w="36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0.9%</w:t>
            </w:r>
          </w:p>
        </w:tc>
        <w:tc>
          <w:tcPr>
            <w:tcW w:w="316" w:type="pct"/>
            <w:tcBorders>
              <w:top w:val="nil"/>
              <w:left w:val="nil"/>
              <w:bottom w:val="nil"/>
              <w:right w:val="nil"/>
            </w:tcBorders>
            <w:shd w:val="clear" w:color="auto" w:fill="auto"/>
            <w:noWrap/>
            <w:hideMark/>
          </w:tcPr>
          <w:p w:rsidR="00565E9D" w:rsidRPr="00565E9D" w:rsidRDefault="00565E9D" w:rsidP="00B033D1">
            <w:pPr>
              <w:jc w:val="right"/>
              <w:rPr>
                <w:snapToGrid/>
                <w:color w:val="000000"/>
                <w:sz w:val="16"/>
                <w:szCs w:val="16"/>
                <w:lang w:eastAsia="en-AU"/>
              </w:rPr>
            </w:pPr>
            <w:r w:rsidRPr="00565E9D">
              <w:rPr>
                <w:snapToGrid/>
                <w:color w:val="000000"/>
                <w:sz w:val="16"/>
                <w:szCs w:val="16"/>
                <w:lang w:eastAsia="en-AU"/>
              </w:rPr>
              <w:t>26,711</w:t>
            </w:r>
          </w:p>
        </w:tc>
        <w:tc>
          <w:tcPr>
            <w:tcW w:w="25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14 </w:t>
            </w:r>
          </w:p>
        </w:tc>
      </w:tr>
      <w:tr w:rsidR="00DB602A" w:rsidRPr="00565E9D" w:rsidTr="00DB602A">
        <w:trPr>
          <w:trHeight w:val="408"/>
        </w:trPr>
        <w:tc>
          <w:tcPr>
            <w:tcW w:w="253"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Yes</w:t>
            </w:r>
          </w:p>
        </w:tc>
        <w:tc>
          <w:tcPr>
            <w:tcW w:w="315"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Pr>
                <w:noProof/>
                <w:snapToGrid/>
                <w:lang w:eastAsia="en-AU"/>
              </w:rPr>
              <mc:AlternateContent>
                <mc:Choice Requires="wps">
                  <w:drawing>
                    <wp:anchor distT="0" distB="0" distL="114300" distR="114300" simplePos="0" relativeHeight="251683840" behindDoc="0" locked="0" layoutInCell="1" allowOverlap="1" wp14:anchorId="25DA7121" wp14:editId="4832BC21">
                      <wp:simplePos x="0" y="0"/>
                      <wp:positionH relativeFrom="column">
                        <wp:posOffset>-33020</wp:posOffset>
                      </wp:positionH>
                      <wp:positionV relativeFrom="paragraph">
                        <wp:posOffset>165735</wp:posOffset>
                      </wp:positionV>
                      <wp:extent cx="1013460" cy="219710"/>
                      <wp:effectExtent l="0" t="0" r="15240" b="27940"/>
                      <wp:wrapNone/>
                      <wp:docPr id="55" name="Oval 55"/>
                      <wp:cNvGraphicFramePr/>
                      <a:graphic xmlns:a="http://schemas.openxmlformats.org/drawingml/2006/main">
                        <a:graphicData uri="http://schemas.microsoft.com/office/word/2010/wordprocessingShape">
                          <wps:wsp>
                            <wps:cNvSpPr/>
                            <wps:spPr bwMode="ltGray">
                              <a:xfrm>
                                <a:off x="0" y="0"/>
                                <a:ext cx="1013460" cy="21971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5" o:spid="_x0000_s1026" style="position:absolute;margin-left:-2.6pt;margin-top:13.05pt;width:79.8pt;height:1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" filled="f" strokecolor="#511010 [1604]" strokeweight="1pt"/>
                  </w:pict>
                </mc:Fallback>
              </mc:AlternateContent>
            </w:r>
            <w:r w:rsidRPr="00565E9D">
              <w:rPr>
                <w:snapToGrid/>
                <w:color w:val="000000"/>
                <w:sz w:val="16"/>
                <w:szCs w:val="16"/>
                <w:lang w:eastAsia="en-AU"/>
              </w:rPr>
              <w:t>19</w:t>
            </w:r>
          </w:p>
        </w:tc>
        <w:tc>
          <w:tcPr>
            <w:tcW w:w="206"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F04A</w:t>
            </w:r>
          </w:p>
        </w:tc>
        <w:tc>
          <w:tcPr>
            <w:tcW w:w="978"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Cardiac Valve Proc W CPB Pump W/O Invasive Cardiac Inves W Cat CC</w:t>
            </w:r>
          </w:p>
        </w:tc>
        <w:tc>
          <w:tcPr>
            <w:tcW w:w="25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12.86</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2,014</w:t>
            </w:r>
          </w:p>
        </w:tc>
        <w:tc>
          <w:tcPr>
            <w:tcW w:w="372"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25,892</w:t>
            </w:r>
          </w:p>
        </w:tc>
        <w:tc>
          <w:tcPr>
            <w:tcW w:w="330"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27,084</w:t>
            </w:r>
          </w:p>
        </w:tc>
        <w:tc>
          <w:tcPr>
            <w:tcW w:w="37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13.4</w:t>
            </w:r>
          </w:p>
        </w:tc>
        <w:tc>
          <w:tcPr>
            <w:tcW w:w="216"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0.21</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0.1%</w:t>
            </w:r>
          </w:p>
        </w:tc>
        <w:tc>
          <w:tcPr>
            <w:tcW w:w="36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0.9%</w:t>
            </w:r>
          </w:p>
        </w:tc>
        <w:tc>
          <w:tcPr>
            <w:tcW w:w="316" w:type="pct"/>
            <w:tcBorders>
              <w:top w:val="nil"/>
              <w:left w:val="nil"/>
              <w:bottom w:val="nil"/>
              <w:right w:val="nil"/>
            </w:tcBorders>
            <w:shd w:val="clear" w:color="auto" w:fill="auto"/>
            <w:noWrap/>
            <w:hideMark/>
          </w:tcPr>
          <w:p w:rsidR="00565E9D" w:rsidRPr="00565E9D" w:rsidRDefault="00565E9D" w:rsidP="00B033D1">
            <w:pPr>
              <w:jc w:val="right"/>
              <w:rPr>
                <w:snapToGrid/>
                <w:color w:val="000000"/>
                <w:sz w:val="16"/>
                <w:szCs w:val="16"/>
                <w:lang w:eastAsia="en-AU"/>
              </w:rPr>
            </w:pPr>
            <w:r w:rsidRPr="00565E9D">
              <w:rPr>
                <w:snapToGrid/>
                <w:color w:val="000000"/>
                <w:sz w:val="16"/>
                <w:szCs w:val="16"/>
                <w:lang w:eastAsia="en-AU"/>
              </w:rPr>
              <w:t>23,89</w:t>
            </w:r>
            <w:r w:rsidR="00B033D1">
              <w:rPr>
                <w:snapToGrid/>
                <w:color w:val="000000"/>
                <w:sz w:val="16"/>
                <w:szCs w:val="16"/>
                <w:lang w:eastAsia="en-AU"/>
              </w:rPr>
              <w:t>6</w:t>
            </w:r>
          </w:p>
        </w:tc>
        <w:tc>
          <w:tcPr>
            <w:tcW w:w="25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17 </w:t>
            </w:r>
          </w:p>
        </w:tc>
      </w:tr>
      <w:tr w:rsidR="00DB602A" w:rsidRPr="00565E9D" w:rsidTr="00DB602A">
        <w:trPr>
          <w:trHeight w:val="204"/>
        </w:trPr>
        <w:tc>
          <w:tcPr>
            <w:tcW w:w="253"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No</w:t>
            </w:r>
          </w:p>
        </w:tc>
        <w:tc>
          <w:tcPr>
            <w:tcW w:w="315"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20</w:t>
            </w:r>
          </w:p>
        </w:tc>
        <w:tc>
          <w:tcPr>
            <w:tcW w:w="206" w:type="pct"/>
            <w:tcBorders>
              <w:top w:val="nil"/>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D40Z</w:t>
            </w:r>
          </w:p>
        </w:tc>
        <w:tc>
          <w:tcPr>
            <w:tcW w:w="978" w:type="pct"/>
            <w:tcBorders>
              <w:top w:val="nil"/>
              <w:left w:val="nil"/>
              <w:bottom w:val="nil"/>
              <w:right w:val="nil"/>
            </w:tcBorders>
            <w:shd w:val="clear" w:color="auto" w:fill="auto"/>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Dental Extractions and Restorations</w:t>
            </w:r>
          </w:p>
        </w:tc>
        <w:tc>
          <w:tcPr>
            <w:tcW w:w="25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0.39</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Pr>
                <w:noProof/>
                <w:snapToGrid/>
                <w:lang w:eastAsia="en-AU"/>
              </w:rPr>
              <mc:AlternateContent>
                <mc:Choice Requires="wps">
                  <w:drawing>
                    <wp:anchor distT="0" distB="0" distL="114300" distR="114300" simplePos="0" relativeHeight="251735040" behindDoc="0" locked="0" layoutInCell="1" allowOverlap="1" wp14:anchorId="5D682038" wp14:editId="7EA8E333">
                      <wp:simplePos x="0" y="0"/>
                      <wp:positionH relativeFrom="column">
                        <wp:posOffset>52705</wp:posOffset>
                      </wp:positionH>
                      <wp:positionV relativeFrom="paragraph">
                        <wp:posOffset>123190</wp:posOffset>
                      </wp:positionV>
                      <wp:extent cx="1433830" cy="406400"/>
                      <wp:effectExtent l="0" t="0" r="13970" b="12700"/>
                      <wp:wrapNone/>
                      <wp:docPr id="5" name="Rounded Rectangle 5"/>
                      <wp:cNvGraphicFramePr/>
                      <a:graphic xmlns:a="http://schemas.openxmlformats.org/drawingml/2006/main">
                        <a:graphicData uri="http://schemas.microsoft.com/office/word/2010/wordprocessingShape">
                          <wps:wsp>
                            <wps:cNvSpPr/>
                            <wps:spPr bwMode="ltGray">
                              <a:xfrm>
                                <a:off x="0" y="0"/>
                                <a:ext cx="1433830" cy="4064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 o:spid="_x0000_s1026" style="position:absolute;margin-left:4.15pt;margin-top:9.7pt;width:112.9pt;height:32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" filled="f" strokecolor="#511010 [1604]" strokeweight="1.5pt"/>
                  </w:pict>
                </mc:Fallback>
              </mc:AlternateContent>
            </w:r>
            <w:r w:rsidRPr="00565E9D">
              <w:rPr>
                <w:snapToGrid/>
                <w:color w:val="000000"/>
                <w:sz w:val="16"/>
                <w:szCs w:val="16"/>
                <w:lang w:eastAsia="en-AU"/>
              </w:rPr>
              <w:t>64,140</w:t>
            </w:r>
          </w:p>
        </w:tc>
        <w:tc>
          <w:tcPr>
            <w:tcW w:w="372" w:type="pct"/>
            <w:tcBorders>
              <w:top w:val="nil"/>
              <w:left w:val="nil"/>
              <w:bottom w:val="nil"/>
              <w:right w:val="nil"/>
            </w:tcBorders>
            <w:shd w:val="clear" w:color="000000" w:fill="F4CACA"/>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25,266</w:t>
            </w:r>
          </w:p>
        </w:tc>
        <w:tc>
          <w:tcPr>
            <w:tcW w:w="330"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64,448</w:t>
            </w:r>
          </w:p>
        </w:tc>
        <w:tc>
          <w:tcPr>
            <w:tcW w:w="371"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w:t>
            </w:r>
          </w:p>
        </w:tc>
        <w:tc>
          <w:tcPr>
            <w:tcW w:w="216"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0.00</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2.3%</w:t>
            </w:r>
          </w:p>
        </w:tc>
        <w:tc>
          <w:tcPr>
            <w:tcW w:w="36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0.9%</w:t>
            </w:r>
          </w:p>
        </w:tc>
        <w:tc>
          <w:tcPr>
            <w:tcW w:w="316" w:type="pct"/>
            <w:tcBorders>
              <w:top w:val="nil"/>
              <w:left w:val="nil"/>
              <w:bottom w:val="nil"/>
              <w:right w:val="nil"/>
            </w:tcBorders>
            <w:shd w:val="clear" w:color="auto" w:fill="auto"/>
            <w:noWrap/>
            <w:hideMark/>
          </w:tcPr>
          <w:p w:rsidR="00565E9D" w:rsidRPr="00565E9D" w:rsidRDefault="00565E9D" w:rsidP="00B033D1">
            <w:pPr>
              <w:jc w:val="right"/>
              <w:rPr>
                <w:snapToGrid/>
                <w:color w:val="000000"/>
                <w:sz w:val="16"/>
                <w:szCs w:val="16"/>
                <w:lang w:eastAsia="en-AU"/>
              </w:rPr>
            </w:pPr>
            <w:r w:rsidRPr="00565E9D">
              <w:rPr>
                <w:snapToGrid/>
                <w:color w:val="000000"/>
                <w:sz w:val="16"/>
                <w:szCs w:val="16"/>
                <w:lang w:eastAsia="en-AU"/>
              </w:rPr>
              <w:t>20,36</w:t>
            </w:r>
            <w:r w:rsidR="00B033D1">
              <w:rPr>
                <w:snapToGrid/>
                <w:color w:val="000000"/>
                <w:sz w:val="16"/>
                <w:szCs w:val="16"/>
                <w:lang w:eastAsia="en-AU"/>
              </w:rPr>
              <w:t>4</w:t>
            </w:r>
          </w:p>
        </w:tc>
        <w:tc>
          <w:tcPr>
            <w:tcW w:w="253"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 xml:space="preserve">21 </w:t>
            </w:r>
          </w:p>
        </w:tc>
      </w:tr>
      <w:tr w:rsidR="00DB602A" w:rsidRPr="00565E9D" w:rsidTr="00DB602A">
        <w:trPr>
          <w:trHeight w:val="204"/>
        </w:trPr>
        <w:tc>
          <w:tcPr>
            <w:tcW w:w="253" w:type="pct"/>
            <w:tcBorders>
              <w:top w:val="single" w:sz="4" w:space="0" w:color="auto"/>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18</w:t>
            </w:r>
          </w:p>
        </w:tc>
        <w:tc>
          <w:tcPr>
            <w:tcW w:w="1500" w:type="pct"/>
            <w:gridSpan w:val="3"/>
            <w:tcBorders>
              <w:top w:val="single" w:sz="4" w:space="0" w:color="auto"/>
              <w:left w:val="nil"/>
              <w:bottom w:val="nil"/>
              <w:right w:val="nil"/>
            </w:tcBorders>
            <w:shd w:val="clear" w:color="auto" w:fill="auto"/>
            <w:noWrap/>
            <w:hideMark/>
          </w:tcPr>
          <w:p w:rsidR="00565E9D" w:rsidRPr="00565E9D" w:rsidRDefault="00565E9D" w:rsidP="00565E9D">
            <w:pPr>
              <w:rPr>
                <w:b/>
                <w:bCs/>
                <w:snapToGrid/>
                <w:color w:val="000000"/>
                <w:sz w:val="16"/>
                <w:szCs w:val="16"/>
                <w:lang w:eastAsia="en-AU"/>
              </w:rPr>
            </w:pPr>
            <w:r w:rsidRPr="00565E9D">
              <w:rPr>
                <w:b/>
                <w:bCs/>
                <w:snapToGrid/>
                <w:color w:val="000000"/>
                <w:sz w:val="16"/>
                <w:szCs w:val="16"/>
                <w:lang w:eastAsia="en-AU"/>
              </w:rPr>
              <w:t>Sub-total, top 20 highest cost-weighted separations</w:t>
            </w:r>
          </w:p>
        </w:tc>
        <w:tc>
          <w:tcPr>
            <w:tcW w:w="251" w:type="pct"/>
            <w:tcBorders>
              <w:top w:val="single" w:sz="4" w:space="0" w:color="auto"/>
              <w:left w:val="nil"/>
              <w:bottom w:val="nil"/>
              <w:right w:val="nil"/>
            </w:tcBorders>
            <w:shd w:val="clear" w:color="auto" w:fill="auto"/>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1.35</w:t>
            </w:r>
          </w:p>
        </w:tc>
        <w:tc>
          <w:tcPr>
            <w:tcW w:w="387" w:type="pct"/>
            <w:tcBorders>
              <w:top w:val="single" w:sz="4" w:space="0" w:color="auto"/>
              <w:left w:val="nil"/>
              <w:bottom w:val="nil"/>
              <w:right w:val="nil"/>
            </w:tcBorders>
            <w:shd w:val="clear" w:color="auto" w:fill="auto"/>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673,107</w:t>
            </w:r>
          </w:p>
        </w:tc>
        <w:tc>
          <w:tcPr>
            <w:tcW w:w="372" w:type="pct"/>
            <w:tcBorders>
              <w:top w:val="single" w:sz="4" w:space="0" w:color="auto"/>
              <w:left w:val="nil"/>
              <w:bottom w:val="nil"/>
              <w:right w:val="nil"/>
            </w:tcBorders>
            <w:shd w:val="clear" w:color="000000" w:fill="F4CACA"/>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911,770</w:t>
            </w:r>
          </w:p>
        </w:tc>
        <w:tc>
          <w:tcPr>
            <w:tcW w:w="330" w:type="pct"/>
            <w:tcBorders>
              <w:top w:val="single" w:sz="4" w:space="0" w:color="auto"/>
              <w:left w:val="nil"/>
              <w:bottom w:val="nil"/>
              <w:right w:val="nil"/>
            </w:tcBorders>
            <w:shd w:val="clear" w:color="auto" w:fill="auto"/>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1,324,285</w:t>
            </w:r>
          </w:p>
        </w:tc>
        <w:tc>
          <w:tcPr>
            <w:tcW w:w="371" w:type="pct"/>
            <w:tcBorders>
              <w:top w:val="single" w:sz="4" w:space="0" w:color="auto"/>
              <w:left w:val="nil"/>
              <w:bottom w:val="nil"/>
              <w:right w:val="nil"/>
            </w:tcBorders>
            <w:shd w:val="clear" w:color="auto" w:fill="auto"/>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2.0</w:t>
            </w:r>
          </w:p>
        </w:tc>
        <w:tc>
          <w:tcPr>
            <w:tcW w:w="216" w:type="pct"/>
            <w:tcBorders>
              <w:top w:val="single" w:sz="4" w:space="0" w:color="auto"/>
              <w:left w:val="nil"/>
              <w:bottom w:val="nil"/>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 </w:t>
            </w:r>
          </w:p>
        </w:tc>
        <w:tc>
          <w:tcPr>
            <w:tcW w:w="387" w:type="pct"/>
            <w:tcBorders>
              <w:top w:val="single" w:sz="4" w:space="0" w:color="auto"/>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24%</w:t>
            </w:r>
          </w:p>
        </w:tc>
        <w:tc>
          <w:tcPr>
            <w:tcW w:w="364" w:type="pct"/>
            <w:tcBorders>
              <w:top w:val="single" w:sz="4" w:space="0" w:color="auto"/>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32%</w:t>
            </w:r>
          </w:p>
        </w:tc>
        <w:tc>
          <w:tcPr>
            <w:tcW w:w="316" w:type="pct"/>
            <w:tcBorders>
              <w:top w:val="single" w:sz="4" w:space="0" w:color="auto"/>
              <w:left w:val="nil"/>
              <w:bottom w:val="nil"/>
              <w:right w:val="nil"/>
            </w:tcBorders>
            <w:shd w:val="clear" w:color="auto" w:fill="auto"/>
            <w:noWrap/>
            <w:hideMark/>
          </w:tcPr>
          <w:p w:rsidR="00565E9D" w:rsidRPr="00565E9D" w:rsidRDefault="00565E9D" w:rsidP="00565E9D">
            <w:pPr>
              <w:rPr>
                <w:b/>
                <w:bCs/>
                <w:snapToGrid/>
                <w:color w:val="000000"/>
                <w:sz w:val="16"/>
                <w:szCs w:val="16"/>
                <w:lang w:eastAsia="en-AU"/>
              </w:rPr>
            </w:pPr>
            <w:r w:rsidRPr="00565E9D">
              <w:rPr>
                <w:b/>
                <w:bCs/>
                <w:snapToGrid/>
                <w:color w:val="000000"/>
                <w:sz w:val="16"/>
                <w:szCs w:val="16"/>
                <w:lang w:eastAsia="en-AU"/>
              </w:rPr>
              <w:t> </w:t>
            </w:r>
          </w:p>
        </w:tc>
        <w:tc>
          <w:tcPr>
            <w:tcW w:w="253" w:type="pct"/>
            <w:tcBorders>
              <w:top w:val="single" w:sz="4" w:space="0" w:color="auto"/>
              <w:left w:val="nil"/>
              <w:bottom w:val="nil"/>
              <w:right w:val="nil"/>
            </w:tcBorders>
            <w:shd w:val="clear" w:color="auto" w:fill="auto"/>
            <w:noWrap/>
            <w:hideMark/>
          </w:tcPr>
          <w:p w:rsidR="00565E9D" w:rsidRPr="00565E9D" w:rsidRDefault="00565E9D" w:rsidP="00565E9D">
            <w:pPr>
              <w:rPr>
                <w:b/>
                <w:bCs/>
                <w:snapToGrid/>
                <w:color w:val="000000"/>
                <w:sz w:val="16"/>
                <w:szCs w:val="16"/>
                <w:lang w:eastAsia="en-AU"/>
              </w:rPr>
            </w:pPr>
            <w:r w:rsidRPr="00565E9D">
              <w:rPr>
                <w:b/>
                <w:bCs/>
                <w:snapToGrid/>
                <w:color w:val="000000"/>
                <w:sz w:val="16"/>
                <w:szCs w:val="16"/>
                <w:lang w:eastAsia="en-AU"/>
              </w:rPr>
              <w:t> </w:t>
            </w:r>
          </w:p>
        </w:tc>
      </w:tr>
      <w:tr w:rsidR="00DB602A" w:rsidRPr="00565E9D" w:rsidTr="00DB602A">
        <w:trPr>
          <w:trHeight w:val="204"/>
        </w:trPr>
        <w:tc>
          <w:tcPr>
            <w:tcW w:w="253" w:type="pct"/>
            <w:tcBorders>
              <w:top w:val="nil"/>
              <w:left w:val="nil"/>
              <w:bottom w:val="nil"/>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 xml:space="preserve">in </w:t>
            </w:r>
          </w:p>
        </w:tc>
        <w:tc>
          <w:tcPr>
            <w:tcW w:w="315" w:type="pct"/>
            <w:tcBorders>
              <w:top w:val="nil"/>
              <w:left w:val="nil"/>
              <w:bottom w:val="nil"/>
              <w:right w:val="nil"/>
            </w:tcBorders>
            <w:shd w:val="clear" w:color="auto" w:fill="auto"/>
            <w:noWrap/>
            <w:hideMark/>
          </w:tcPr>
          <w:p w:rsidR="00565E9D" w:rsidRPr="00565E9D" w:rsidRDefault="00565E9D" w:rsidP="00565E9D">
            <w:pPr>
              <w:rPr>
                <w:b/>
                <w:bCs/>
                <w:snapToGrid/>
                <w:color w:val="000000"/>
                <w:sz w:val="16"/>
                <w:szCs w:val="16"/>
                <w:lang w:eastAsia="en-AU"/>
              </w:rPr>
            </w:pPr>
            <w:r w:rsidRPr="00565E9D">
              <w:rPr>
                <w:b/>
                <w:bCs/>
                <w:snapToGrid/>
                <w:color w:val="000000"/>
                <w:sz w:val="16"/>
                <w:szCs w:val="16"/>
                <w:lang w:eastAsia="en-AU"/>
              </w:rPr>
              <w:t>All DRGs</w:t>
            </w:r>
          </w:p>
        </w:tc>
        <w:tc>
          <w:tcPr>
            <w:tcW w:w="206" w:type="pct"/>
            <w:tcBorders>
              <w:top w:val="nil"/>
              <w:left w:val="nil"/>
              <w:bottom w:val="nil"/>
              <w:right w:val="nil"/>
            </w:tcBorders>
            <w:shd w:val="clear" w:color="auto" w:fill="auto"/>
            <w:noWrap/>
            <w:hideMark/>
          </w:tcPr>
          <w:p w:rsidR="00565E9D" w:rsidRPr="00565E9D" w:rsidRDefault="00565E9D" w:rsidP="00565E9D">
            <w:pPr>
              <w:rPr>
                <w:b/>
                <w:bCs/>
                <w:snapToGrid/>
                <w:color w:val="000000"/>
                <w:sz w:val="16"/>
                <w:szCs w:val="16"/>
                <w:lang w:eastAsia="en-AU"/>
              </w:rPr>
            </w:pPr>
          </w:p>
        </w:tc>
        <w:tc>
          <w:tcPr>
            <w:tcW w:w="978" w:type="pct"/>
            <w:tcBorders>
              <w:top w:val="nil"/>
              <w:left w:val="nil"/>
              <w:bottom w:val="nil"/>
              <w:right w:val="nil"/>
            </w:tcBorders>
            <w:shd w:val="clear" w:color="auto" w:fill="auto"/>
            <w:hideMark/>
          </w:tcPr>
          <w:p w:rsidR="00565E9D" w:rsidRPr="00565E9D" w:rsidRDefault="00565E9D" w:rsidP="00565E9D">
            <w:pPr>
              <w:rPr>
                <w:rFonts w:ascii="Times New Roman" w:hAnsi="Times New Roman" w:cs="Times New Roman"/>
                <w:snapToGrid/>
                <w:lang w:eastAsia="en-AU"/>
              </w:rPr>
            </w:pPr>
          </w:p>
        </w:tc>
        <w:tc>
          <w:tcPr>
            <w:tcW w:w="251" w:type="pct"/>
            <w:tcBorders>
              <w:top w:val="nil"/>
              <w:left w:val="nil"/>
              <w:bottom w:val="nil"/>
              <w:right w:val="nil"/>
            </w:tcBorders>
            <w:shd w:val="clear" w:color="auto" w:fill="auto"/>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1.00</w:t>
            </w:r>
          </w:p>
        </w:tc>
        <w:tc>
          <w:tcPr>
            <w:tcW w:w="387" w:type="pct"/>
            <w:tcBorders>
              <w:top w:val="nil"/>
              <w:left w:val="nil"/>
              <w:bottom w:val="nil"/>
              <w:right w:val="nil"/>
            </w:tcBorders>
            <w:shd w:val="clear" w:color="auto" w:fill="auto"/>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2,827,996</w:t>
            </w:r>
          </w:p>
        </w:tc>
        <w:tc>
          <w:tcPr>
            <w:tcW w:w="372" w:type="pct"/>
            <w:tcBorders>
              <w:top w:val="nil"/>
              <w:left w:val="nil"/>
              <w:bottom w:val="nil"/>
              <w:right w:val="nil"/>
            </w:tcBorders>
            <w:shd w:val="clear" w:color="000000" w:fill="F4CACA"/>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2,827,996</w:t>
            </w:r>
          </w:p>
        </w:tc>
        <w:tc>
          <w:tcPr>
            <w:tcW w:w="330" w:type="pct"/>
            <w:tcBorders>
              <w:top w:val="nil"/>
              <w:left w:val="nil"/>
              <w:bottom w:val="nil"/>
              <w:right w:val="nil"/>
            </w:tcBorders>
            <w:shd w:val="clear" w:color="auto" w:fill="auto"/>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6,821,124</w:t>
            </w:r>
          </w:p>
        </w:tc>
        <w:tc>
          <w:tcPr>
            <w:tcW w:w="371" w:type="pct"/>
            <w:tcBorders>
              <w:top w:val="nil"/>
              <w:left w:val="nil"/>
              <w:bottom w:val="nil"/>
              <w:right w:val="nil"/>
            </w:tcBorders>
            <w:shd w:val="clear" w:color="auto" w:fill="auto"/>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2.4</w:t>
            </w:r>
          </w:p>
        </w:tc>
        <w:tc>
          <w:tcPr>
            <w:tcW w:w="216" w:type="pct"/>
            <w:tcBorders>
              <w:top w:val="nil"/>
              <w:left w:val="nil"/>
              <w:bottom w:val="nil"/>
              <w:right w:val="nil"/>
            </w:tcBorders>
            <w:shd w:val="clear" w:color="auto" w:fill="auto"/>
            <w:noWrap/>
            <w:hideMark/>
          </w:tcPr>
          <w:p w:rsidR="00565E9D" w:rsidRPr="00565E9D" w:rsidRDefault="00565E9D" w:rsidP="00565E9D">
            <w:pPr>
              <w:jc w:val="right"/>
              <w:rPr>
                <w:b/>
                <w:bCs/>
                <w:snapToGrid/>
                <w:color w:val="000000"/>
                <w:sz w:val="16"/>
                <w:szCs w:val="16"/>
                <w:lang w:eastAsia="en-AU"/>
              </w:rPr>
            </w:pPr>
          </w:p>
        </w:tc>
        <w:tc>
          <w:tcPr>
            <w:tcW w:w="387"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100%</w:t>
            </w:r>
          </w:p>
        </w:tc>
        <w:tc>
          <w:tcPr>
            <w:tcW w:w="364"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r w:rsidRPr="00565E9D">
              <w:rPr>
                <w:snapToGrid/>
                <w:color w:val="000000"/>
                <w:sz w:val="16"/>
                <w:szCs w:val="16"/>
                <w:lang w:eastAsia="en-AU"/>
              </w:rPr>
              <w:t>100%</w:t>
            </w:r>
          </w:p>
        </w:tc>
        <w:tc>
          <w:tcPr>
            <w:tcW w:w="316" w:type="pct"/>
            <w:tcBorders>
              <w:top w:val="nil"/>
              <w:left w:val="nil"/>
              <w:bottom w:val="nil"/>
              <w:right w:val="nil"/>
            </w:tcBorders>
            <w:shd w:val="clear" w:color="auto" w:fill="auto"/>
            <w:noWrap/>
            <w:hideMark/>
          </w:tcPr>
          <w:p w:rsidR="00565E9D" w:rsidRPr="00565E9D" w:rsidRDefault="00565E9D" w:rsidP="00565E9D">
            <w:pPr>
              <w:jc w:val="right"/>
              <w:rPr>
                <w:snapToGrid/>
                <w:color w:val="000000"/>
                <w:sz w:val="16"/>
                <w:szCs w:val="16"/>
                <w:lang w:eastAsia="en-AU"/>
              </w:rPr>
            </w:pPr>
          </w:p>
        </w:tc>
        <w:tc>
          <w:tcPr>
            <w:tcW w:w="253" w:type="pct"/>
            <w:tcBorders>
              <w:top w:val="nil"/>
              <w:left w:val="nil"/>
              <w:bottom w:val="nil"/>
              <w:right w:val="nil"/>
            </w:tcBorders>
            <w:shd w:val="clear" w:color="auto" w:fill="auto"/>
            <w:noWrap/>
            <w:hideMark/>
          </w:tcPr>
          <w:p w:rsidR="00565E9D" w:rsidRPr="00565E9D" w:rsidRDefault="00565E9D" w:rsidP="00565E9D">
            <w:pPr>
              <w:rPr>
                <w:rFonts w:ascii="Times New Roman" w:hAnsi="Times New Roman" w:cs="Times New Roman"/>
                <w:snapToGrid/>
                <w:lang w:eastAsia="en-AU"/>
              </w:rPr>
            </w:pPr>
          </w:p>
        </w:tc>
      </w:tr>
      <w:tr w:rsidR="00DB602A" w:rsidRPr="00565E9D" w:rsidTr="00DB602A">
        <w:trPr>
          <w:trHeight w:val="204"/>
        </w:trPr>
        <w:tc>
          <w:tcPr>
            <w:tcW w:w="253" w:type="pct"/>
            <w:tcBorders>
              <w:top w:val="nil"/>
              <w:left w:val="nil"/>
              <w:bottom w:val="single" w:sz="4" w:space="0" w:color="auto"/>
              <w:right w:val="nil"/>
            </w:tcBorders>
            <w:shd w:val="clear" w:color="auto" w:fill="auto"/>
            <w:noWrap/>
            <w:hideMark/>
          </w:tcPr>
          <w:p w:rsidR="00565E9D" w:rsidRPr="00565E9D" w:rsidRDefault="00565E9D" w:rsidP="00565E9D">
            <w:pPr>
              <w:jc w:val="center"/>
              <w:rPr>
                <w:snapToGrid/>
                <w:color w:val="000000"/>
                <w:sz w:val="16"/>
                <w:szCs w:val="16"/>
                <w:lang w:eastAsia="en-AU"/>
              </w:rPr>
            </w:pPr>
            <w:r w:rsidRPr="00565E9D">
              <w:rPr>
                <w:snapToGrid/>
                <w:color w:val="000000"/>
                <w:sz w:val="16"/>
                <w:szCs w:val="16"/>
                <w:lang w:eastAsia="en-AU"/>
              </w:rPr>
              <w:t>Top 20</w:t>
            </w:r>
          </w:p>
        </w:tc>
        <w:tc>
          <w:tcPr>
            <w:tcW w:w="1500" w:type="pct"/>
            <w:gridSpan w:val="3"/>
            <w:tcBorders>
              <w:top w:val="nil"/>
              <w:left w:val="nil"/>
              <w:bottom w:val="single" w:sz="4" w:space="0" w:color="auto"/>
              <w:right w:val="nil"/>
            </w:tcBorders>
            <w:shd w:val="clear" w:color="auto" w:fill="auto"/>
            <w:noWrap/>
            <w:hideMark/>
          </w:tcPr>
          <w:p w:rsidR="00565E9D" w:rsidRPr="00565E9D" w:rsidRDefault="00565E9D" w:rsidP="00565E9D">
            <w:pPr>
              <w:rPr>
                <w:b/>
                <w:bCs/>
                <w:snapToGrid/>
                <w:color w:val="000000"/>
                <w:sz w:val="16"/>
                <w:szCs w:val="16"/>
                <w:lang w:eastAsia="en-AU"/>
              </w:rPr>
            </w:pPr>
            <w:r w:rsidRPr="00565E9D">
              <w:rPr>
                <w:b/>
                <w:bCs/>
                <w:snapToGrid/>
                <w:color w:val="000000"/>
                <w:sz w:val="16"/>
                <w:szCs w:val="16"/>
                <w:lang w:eastAsia="en-AU"/>
              </w:rPr>
              <w:t>Top 20 cost-weighted separations, % of all DRGs</w:t>
            </w:r>
          </w:p>
        </w:tc>
        <w:tc>
          <w:tcPr>
            <w:tcW w:w="251" w:type="pct"/>
            <w:tcBorders>
              <w:top w:val="nil"/>
              <w:left w:val="nil"/>
              <w:bottom w:val="single" w:sz="4" w:space="0" w:color="auto"/>
              <w:right w:val="nil"/>
            </w:tcBorders>
            <w:shd w:val="clear" w:color="auto" w:fill="auto"/>
            <w:noWrap/>
            <w:hideMark/>
          </w:tcPr>
          <w:p w:rsidR="00565E9D" w:rsidRPr="00565E9D" w:rsidRDefault="00565E9D" w:rsidP="00565E9D">
            <w:pPr>
              <w:rPr>
                <w:b/>
                <w:bCs/>
                <w:snapToGrid/>
                <w:color w:val="000000"/>
                <w:sz w:val="16"/>
                <w:szCs w:val="16"/>
                <w:lang w:eastAsia="en-AU"/>
              </w:rPr>
            </w:pPr>
            <w:r w:rsidRPr="00565E9D">
              <w:rPr>
                <w:b/>
                <w:bCs/>
                <w:snapToGrid/>
                <w:color w:val="000000"/>
                <w:sz w:val="16"/>
                <w:szCs w:val="16"/>
                <w:lang w:eastAsia="en-AU"/>
              </w:rPr>
              <w:t> </w:t>
            </w:r>
          </w:p>
        </w:tc>
        <w:tc>
          <w:tcPr>
            <w:tcW w:w="387" w:type="pct"/>
            <w:tcBorders>
              <w:top w:val="nil"/>
              <w:left w:val="nil"/>
              <w:bottom w:val="single" w:sz="4" w:space="0" w:color="auto"/>
              <w:right w:val="nil"/>
            </w:tcBorders>
            <w:shd w:val="clear" w:color="auto" w:fill="auto"/>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24%</w:t>
            </w:r>
          </w:p>
        </w:tc>
        <w:tc>
          <w:tcPr>
            <w:tcW w:w="372" w:type="pct"/>
            <w:tcBorders>
              <w:top w:val="nil"/>
              <w:left w:val="nil"/>
              <w:bottom w:val="single" w:sz="4" w:space="0" w:color="auto"/>
              <w:right w:val="nil"/>
            </w:tcBorders>
            <w:shd w:val="clear" w:color="000000" w:fill="F4CACA"/>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32%</w:t>
            </w:r>
          </w:p>
        </w:tc>
        <w:tc>
          <w:tcPr>
            <w:tcW w:w="330" w:type="pct"/>
            <w:tcBorders>
              <w:top w:val="nil"/>
              <w:left w:val="nil"/>
              <w:bottom w:val="single" w:sz="4" w:space="0" w:color="auto"/>
              <w:right w:val="nil"/>
            </w:tcBorders>
            <w:shd w:val="clear" w:color="auto" w:fill="auto"/>
            <w:noWrap/>
            <w:hideMark/>
          </w:tcPr>
          <w:p w:rsidR="00565E9D" w:rsidRPr="00565E9D" w:rsidRDefault="00565E9D" w:rsidP="00565E9D">
            <w:pPr>
              <w:jc w:val="right"/>
              <w:rPr>
                <w:b/>
                <w:bCs/>
                <w:snapToGrid/>
                <w:color w:val="000000"/>
                <w:sz w:val="16"/>
                <w:szCs w:val="16"/>
                <w:lang w:eastAsia="en-AU"/>
              </w:rPr>
            </w:pPr>
            <w:r w:rsidRPr="00565E9D">
              <w:rPr>
                <w:b/>
                <w:bCs/>
                <w:snapToGrid/>
                <w:color w:val="000000"/>
                <w:sz w:val="16"/>
                <w:szCs w:val="16"/>
                <w:lang w:eastAsia="en-AU"/>
              </w:rPr>
              <w:t>19%</w:t>
            </w:r>
          </w:p>
        </w:tc>
        <w:tc>
          <w:tcPr>
            <w:tcW w:w="371" w:type="pct"/>
            <w:tcBorders>
              <w:top w:val="nil"/>
              <w:left w:val="nil"/>
              <w:bottom w:val="single" w:sz="4" w:space="0" w:color="auto"/>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 </w:t>
            </w:r>
          </w:p>
        </w:tc>
        <w:tc>
          <w:tcPr>
            <w:tcW w:w="216" w:type="pct"/>
            <w:tcBorders>
              <w:top w:val="nil"/>
              <w:left w:val="nil"/>
              <w:bottom w:val="single" w:sz="4" w:space="0" w:color="auto"/>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 </w:t>
            </w:r>
          </w:p>
        </w:tc>
        <w:tc>
          <w:tcPr>
            <w:tcW w:w="387" w:type="pct"/>
            <w:tcBorders>
              <w:top w:val="nil"/>
              <w:left w:val="nil"/>
              <w:bottom w:val="single" w:sz="4" w:space="0" w:color="auto"/>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 </w:t>
            </w:r>
          </w:p>
        </w:tc>
        <w:tc>
          <w:tcPr>
            <w:tcW w:w="364" w:type="pct"/>
            <w:tcBorders>
              <w:top w:val="nil"/>
              <w:left w:val="nil"/>
              <w:bottom w:val="single" w:sz="4" w:space="0" w:color="auto"/>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 </w:t>
            </w:r>
          </w:p>
        </w:tc>
        <w:tc>
          <w:tcPr>
            <w:tcW w:w="316" w:type="pct"/>
            <w:tcBorders>
              <w:top w:val="nil"/>
              <w:left w:val="nil"/>
              <w:bottom w:val="single" w:sz="4" w:space="0" w:color="auto"/>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 </w:t>
            </w:r>
          </w:p>
        </w:tc>
        <w:tc>
          <w:tcPr>
            <w:tcW w:w="253" w:type="pct"/>
            <w:tcBorders>
              <w:top w:val="nil"/>
              <w:left w:val="nil"/>
              <w:bottom w:val="single" w:sz="4" w:space="0" w:color="auto"/>
              <w:right w:val="nil"/>
            </w:tcBorders>
            <w:shd w:val="clear" w:color="auto" w:fill="auto"/>
            <w:noWrap/>
            <w:hideMark/>
          </w:tcPr>
          <w:p w:rsidR="00565E9D" w:rsidRPr="00565E9D" w:rsidRDefault="00565E9D" w:rsidP="00565E9D">
            <w:pPr>
              <w:rPr>
                <w:snapToGrid/>
                <w:color w:val="000000"/>
                <w:sz w:val="16"/>
                <w:szCs w:val="16"/>
                <w:lang w:eastAsia="en-AU"/>
              </w:rPr>
            </w:pPr>
            <w:r w:rsidRPr="00565E9D">
              <w:rPr>
                <w:snapToGrid/>
                <w:color w:val="000000"/>
                <w:sz w:val="16"/>
                <w:szCs w:val="16"/>
                <w:lang w:eastAsia="en-AU"/>
              </w:rPr>
              <w:t> </w:t>
            </w:r>
          </w:p>
        </w:tc>
      </w:tr>
    </w:tbl>
    <w:p w:rsidR="00B50B0E" w:rsidRPr="000051B6" w:rsidRDefault="004F02A5" w:rsidP="00B50B0E">
      <w:pPr>
        <w:rPr>
          <w:sz w:val="16"/>
          <w:szCs w:val="16"/>
        </w:rPr>
      </w:pPr>
      <w:r>
        <w:rPr>
          <w:sz w:val="16"/>
          <w:szCs w:val="16"/>
        </w:rPr>
        <w:t>Notes:</w:t>
      </w:r>
    </w:p>
    <w:p w:rsidR="007511C8" w:rsidRPr="004F02A5" w:rsidRDefault="00B50B0E">
      <w:pPr>
        <w:rPr>
          <w:sz w:val="16"/>
          <w:szCs w:val="16"/>
        </w:rPr>
      </w:pPr>
      <w:r w:rsidRPr="000051B6">
        <w:rPr>
          <w:sz w:val="16"/>
          <w:szCs w:val="16"/>
        </w:rPr>
        <w:t>ALoS means average length of stay</w:t>
      </w:r>
      <w:r w:rsidR="007511C8" w:rsidRPr="000051B6">
        <w:br w:type="page"/>
      </w:r>
    </w:p>
    <w:p w:rsidR="007511C8" w:rsidRPr="000051B6" w:rsidRDefault="007511C8" w:rsidP="004F02A5">
      <w:pPr>
        <w:pStyle w:val="Figureheadings"/>
        <w:spacing w:after="240"/>
        <w:rPr>
          <w:highlight w:val="yellow"/>
          <w:lang w:val="en-AU"/>
        </w:rPr>
      </w:pPr>
      <w:bookmarkStart w:id="150" w:name="_Toc435610628"/>
      <w:r w:rsidRPr="000051B6">
        <w:rPr>
          <w:lang w:val="en-AU"/>
        </w:rPr>
        <w:lastRenderedPageBreak/>
        <w:t xml:space="preserve">Figure 5 </w:t>
      </w:r>
      <w:r w:rsidRPr="000051B6">
        <w:rPr>
          <w:lang w:val="en-AU"/>
        </w:rPr>
        <w:tab/>
        <w:t>Comparison of top 20 AR-DRGs by highest cost-weighted separations</w:t>
      </w:r>
      <w:bookmarkEnd w:id="150"/>
    </w:p>
    <w:p w:rsidR="0001799B" w:rsidRPr="000051B6" w:rsidRDefault="000F5D75">
      <w:pPr>
        <w:rPr>
          <w:highlight w:val="yellow"/>
        </w:rPr>
      </w:pPr>
      <w:r>
        <w:rPr>
          <w:noProof/>
          <w:snapToGrid/>
          <w:lang w:eastAsia="en-AU"/>
        </w:rPr>
        <mc:AlternateContent>
          <mc:Choice Requires="wps">
            <w:drawing>
              <wp:anchor distT="0" distB="0" distL="114300" distR="114300" simplePos="0" relativeHeight="251673600" behindDoc="0" locked="0" layoutInCell="1" allowOverlap="1" wp14:anchorId="30211A15" wp14:editId="00F26988">
                <wp:simplePos x="0" y="0"/>
                <wp:positionH relativeFrom="column">
                  <wp:posOffset>875665</wp:posOffset>
                </wp:positionH>
                <wp:positionV relativeFrom="paragraph">
                  <wp:posOffset>284480</wp:posOffset>
                </wp:positionV>
                <wp:extent cx="448310" cy="3293322"/>
                <wp:effectExtent l="19050" t="19050" r="27940" b="21590"/>
                <wp:wrapNone/>
                <wp:docPr id="49" name="Oval 49"/>
                <wp:cNvGraphicFramePr/>
                <a:graphic xmlns:a="http://schemas.openxmlformats.org/drawingml/2006/main">
                  <a:graphicData uri="http://schemas.microsoft.com/office/word/2010/wordprocessingShape">
                    <wps:wsp>
                      <wps:cNvSpPr/>
                      <wps:spPr bwMode="ltGray">
                        <a:xfrm>
                          <a:off x="0" y="0"/>
                          <a:ext cx="448310" cy="3293322"/>
                        </a:xfrm>
                        <a:prstGeom prst="ellips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 o:spid="_x0000_s1026" style="position:absolute;margin-left:68.95pt;margin-top:22.4pt;width:35.3pt;height:25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" filled="f" strokecolor="#511010 [1604]" strokeweight="3pt"/>
            </w:pict>
          </mc:Fallback>
        </mc:AlternateContent>
      </w:r>
      <w:r w:rsidR="007511C8" w:rsidRPr="000051B6">
        <w:rPr>
          <w:noProof/>
          <w:lang w:eastAsia="en-AU"/>
        </w:rPr>
        <w:drawing>
          <wp:inline distT="0" distB="0" distL="0" distR="0" wp14:anchorId="6EC727F9" wp14:editId="695563AE">
            <wp:extent cx="7933267" cy="3979334"/>
            <wp:effectExtent l="0" t="0" r="0" b="2540"/>
            <wp:docPr id="33" name="Picture 33" descr="Figure 5 is a bar graph showing the Top 20 AR-DRGs ranked by highest cost weighted separations in Round 18 and their number of cost weighted separations in Round 17. I04B has been circled." title="Figure 5  Comparison of top 20 AR-DRGs by highest cost-weighted sepa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944319" cy="3984878"/>
                    </a:xfrm>
                    <a:prstGeom prst="rect">
                      <a:avLst/>
                    </a:prstGeom>
                    <a:noFill/>
                    <a:ln>
                      <a:noFill/>
                    </a:ln>
                  </pic:spPr>
                </pic:pic>
              </a:graphicData>
            </a:graphic>
          </wp:inline>
        </w:drawing>
      </w:r>
    </w:p>
    <w:p w:rsidR="005B4E37" w:rsidRPr="000051B6" w:rsidRDefault="0001799B">
      <w:pPr>
        <w:rPr>
          <w:highlight w:val="yellow"/>
          <w:lang w:eastAsia="en-AU"/>
        </w:rPr>
      </w:pPr>
      <w:r w:rsidRPr="000051B6">
        <w:rPr>
          <w:b/>
        </w:rPr>
        <w:t>Note:</w:t>
      </w:r>
      <w:r w:rsidRPr="000051B6">
        <w:t xml:space="preserve"> when a Round 17 bar is missing from the chart, this is because that AR-DRG was masked in Round 17 due to having less than 5 separations or having less than 3 hospitals with that AR-DRG.</w:t>
      </w:r>
      <w:r w:rsidR="005B4E37" w:rsidRPr="000051B6">
        <w:rPr>
          <w:highlight w:val="yellow"/>
          <w:lang w:eastAsia="en-AU"/>
        </w:rPr>
        <w:br w:type="page"/>
      </w:r>
    </w:p>
    <w:p w:rsidR="009358D1" w:rsidRPr="000051B6" w:rsidRDefault="009358D1" w:rsidP="00663D94">
      <w:pPr>
        <w:pStyle w:val="PwCNormal"/>
        <w:numPr>
          <w:ilvl w:val="0"/>
          <w:numId w:val="0"/>
        </w:numPr>
        <w:rPr>
          <w:highlight w:val="yellow"/>
        </w:rPr>
        <w:sectPr w:rsidR="009358D1" w:rsidRPr="000051B6" w:rsidSect="009549BC">
          <w:pgSz w:w="16840" w:h="11907" w:orient="landscape" w:code="9"/>
          <w:pgMar w:top="1418" w:right="1021" w:bottom="1134" w:left="1021" w:header="567" w:footer="567" w:gutter="0"/>
          <w:cols w:space="227"/>
          <w:docGrid w:linePitch="360"/>
        </w:sectPr>
      </w:pPr>
      <w:bookmarkStart w:id="151" w:name="_Toc355175021"/>
      <w:bookmarkStart w:id="152" w:name="_Toc355175025"/>
      <w:bookmarkStart w:id="153" w:name="_Toc355175026"/>
      <w:bookmarkStart w:id="154" w:name="_Toc355175029"/>
      <w:bookmarkStart w:id="155" w:name="_Toc355175030"/>
      <w:bookmarkStart w:id="156" w:name="_Toc355175031"/>
      <w:bookmarkStart w:id="157" w:name="_Toc355175032"/>
      <w:bookmarkStart w:id="158" w:name="_Toc355175034"/>
      <w:bookmarkStart w:id="159" w:name="_Toc355175035"/>
      <w:bookmarkStart w:id="160" w:name="_Toc355175037"/>
      <w:bookmarkStart w:id="161" w:name="_Toc355175040"/>
      <w:bookmarkStart w:id="162" w:name="_Toc355175041"/>
      <w:bookmarkStart w:id="163" w:name="_Toc355175044"/>
      <w:bookmarkStart w:id="164" w:name="_Toc355175045"/>
      <w:bookmarkStart w:id="165" w:name="_Toc355175046"/>
      <w:bookmarkStart w:id="166" w:name="_Toc355175049"/>
      <w:bookmarkStart w:id="167" w:name="_Toc3551750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9358D1" w:rsidRPr="000051B6" w:rsidRDefault="009358D1" w:rsidP="004F02A5">
      <w:pPr>
        <w:pStyle w:val="Heading3"/>
        <w:spacing w:after="240"/>
      </w:pPr>
      <w:bookmarkStart w:id="168" w:name="_Ref433278909"/>
      <w:r w:rsidRPr="000051B6">
        <w:lastRenderedPageBreak/>
        <w:t>Top 20 AR-DRGs ranked by ALoS</w:t>
      </w:r>
      <w:bookmarkEnd w:id="168"/>
    </w:p>
    <w:p w:rsidR="009358D1" w:rsidRPr="000051B6" w:rsidRDefault="009358D1" w:rsidP="009358D1">
      <w:pPr>
        <w:pStyle w:val="PwCNormal"/>
        <w:numPr>
          <w:ilvl w:val="0"/>
          <w:numId w:val="0"/>
        </w:numPr>
        <w:spacing w:after="0"/>
        <w:rPr>
          <w:color w:val="A32020" w:themeColor="text2"/>
        </w:rPr>
      </w:pPr>
      <w:r w:rsidRPr="000051B6">
        <w:rPr>
          <w:color w:val="A32020" w:themeColor="text2"/>
        </w:rPr>
        <w:t>Key findings</w:t>
      </w:r>
    </w:p>
    <w:p w:rsidR="009358D1" w:rsidRPr="000051B6" w:rsidRDefault="009358D1" w:rsidP="004F02A5">
      <w:pPr>
        <w:pStyle w:val="PwCNormal"/>
        <w:numPr>
          <w:ilvl w:val="0"/>
          <w:numId w:val="0"/>
        </w:numPr>
      </w:pPr>
      <w:r w:rsidRPr="000051B6">
        <w:t xml:space="preserve">Table </w:t>
      </w:r>
      <w:r w:rsidR="0001799B" w:rsidRPr="000051B6">
        <w:t>9</w:t>
      </w:r>
      <w:r w:rsidRPr="000051B6">
        <w:t xml:space="preserve"> show</w:t>
      </w:r>
      <w:r w:rsidR="0001799B" w:rsidRPr="000051B6">
        <w:t>s</w:t>
      </w:r>
      <w:r w:rsidRPr="000051B6">
        <w:t xml:space="preserve"> that the AR-DRG </w:t>
      </w:r>
      <w:r w:rsidR="00A11CF9" w:rsidRPr="000051B6">
        <w:t>with the highest AL</w:t>
      </w:r>
      <w:r w:rsidR="000E32F4">
        <w:t>o</w:t>
      </w:r>
      <w:r w:rsidR="00A11CF9" w:rsidRPr="000051B6">
        <w:t xml:space="preserve">S </w:t>
      </w:r>
      <w:r w:rsidRPr="000051B6">
        <w:t xml:space="preserve">is </w:t>
      </w:r>
      <w:r w:rsidR="0001799B" w:rsidRPr="000051B6">
        <w:t>P62Z - Neonate, Adm</w:t>
      </w:r>
      <w:r w:rsidR="000E32F4">
        <w:t xml:space="preserve">itted </w:t>
      </w:r>
      <w:r w:rsidR="0001799B" w:rsidRPr="000051B6">
        <w:t>W</w:t>
      </w:r>
      <w:r w:rsidR="000E32F4">
        <w:t>eigh</w:t>
      </w:r>
      <w:r w:rsidR="0001799B" w:rsidRPr="000051B6">
        <w:t xml:space="preserve">t 750-999 </w:t>
      </w:r>
      <w:r w:rsidR="000E32F4">
        <w:t xml:space="preserve">grams </w:t>
      </w:r>
      <w:r w:rsidR="000F5D75">
        <w:t xml:space="preserve">(boxed) </w:t>
      </w:r>
      <w:r w:rsidR="00A11CF9" w:rsidRPr="000051B6">
        <w:t>which</w:t>
      </w:r>
      <w:r w:rsidRPr="000051B6">
        <w:t xml:space="preserve"> was ranked number </w:t>
      </w:r>
      <w:r w:rsidR="00F702B3" w:rsidRPr="000051B6">
        <w:t xml:space="preserve">two </w:t>
      </w:r>
      <w:r w:rsidRPr="000051B6">
        <w:t xml:space="preserve">last year and is </w:t>
      </w:r>
      <w:r w:rsidR="00BF05ED">
        <w:t>customary</w:t>
      </w:r>
      <w:r w:rsidRPr="000051B6">
        <w:t xml:space="preserve"> to be ranked number </w:t>
      </w:r>
      <w:r w:rsidR="00F702B3" w:rsidRPr="000051B6">
        <w:t xml:space="preserve">one </w:t>
      </w:r>
      <w:r w:rsidRPr="000051B6">
        <w:t xml:space="preserve">or </w:t>
      </w:r>
      <w:r w:rsidR="00F702B3" w:rsidRPr="000051B6">
        <w:t xml:space="preserve">two </w:t>
      </w:r>
      <w:r w:rsidRPr="000051B6">
        <w:t>given the fact th</w:t>
      </w:r>
      <w:r w:rsidR="00A11CF9" w:rsidRPr="000051B6">
        <w:t>e</w:t>
      </w:r>
      <w:r w:rsidRPr="000051B6">
        <w:t>s</w:t>
      </w:r>
      <w:r w:rsidR="00A11CF9" w:rsidRPr="000051B6">
        <w:t>e</w:t>
      </w:r>
      <w:r w:rsidRPr="000051B6">
        <w:t xml:space="preserve"> </w:t>
      </w:r>
      <w:r w:rsidR="00A11CF9" w:rsidRPr="000051B6">
        <w:t>are</w:t>
      </w:r>
      <w:r w:rsidRPr="000051B6">
        <w:t xml:space="preserve"> highly complex and resource intense patient</w:t>
      </w:r>
      <w:r w:rsidR="00582EDE" w:rsidRPr="000051B6">
        <w:t>s</w:t>
      </w:r>
      <w:r w:rsidRPr="000051B6">
        <w:t>.</w:t>
      </w:r>
    </w:p>
    <w:p w:rsidR="009358D1" w:rsidRPr="000051B6" w:rsidRDefault="00F5775F" w:rsidP="004F02A5">
      <w:pPr>
        <w:pStyle w:val="PwCNormal"/>
        <w:numPr>
          <w:ilvl w:val="0"/>
          <w:numId w:val="0"/>
        </w:numPr>
      </w:pPr>
      <w:r>
        <w:t>As demonstrated in table 9 t</w:t>
      </w:r>
      <w:r w:rsidR="009358D1" w:rsidRPr="000051B6">
        <w:t xml:space="preserve">he AR-DRGs listed in the top 20 are </w:t>
      </w:r>
      <w:r w:rsidR="00BF05ED">
        <w:t>expected</w:t>
      </w:r>
      <w:r w:rsidR="009358D1" w:rsidRPr="000051B6">
        <w:t xml:space="preserve"> to be within this ranking given that </w:t>
      </w:r>
      <w:r w:rsidR="0001799B" w:rsidRPr="000051B6">
        <w:t>they all are complex patients as they have been coded to AR-DRGs ending in A or B which indicates complexity and comorbidities</w:t>
      </w:r>
      <w:r w:rsidR="00822743" w:rsidRPr="000051B6">
        <w:t xml:space="preserve"> which typically leads to a long length of stay</w:t>
      </w:r>
      <w:r w:rsidR="0001799B" w:rsidRPr="000051B6">
        <w:t xml:space="preserve">. </w:t>
      </w:r>
    </w:p>
    <w:p w:rsidR="00582EDE" w:rsidRPr="000051B6" w:rsidRDefault="000F5D75" w:rsidP="004F02A5">
      <w:pPr>
        <w:spacing w:after="240"/>
      </w:pPr>
      <w:r>
        <w:t>As circled in table 9 t</w:t>
      </w:r>
      <w:r w:rsidRPr="000051B6">
        <w:t>hese</w:t>
      </w:r>
      <w:r w:rsidR="0010009F" w:rsidRPr="000051B6">
        <w:t xml:space="preserve"> </w:t>
      </w:r>
      <w:r w:rsidR="00822743" w:rsidRPr="000051B6">
        <w:t>AR-DRGs</w:t>
      </w:r>
      <w:r w:rsidR="0010009F" w:rsidRPr="000051B6">
        <w:t xml:space="preserve"> </w:t>
      </w:r>
      <w:r w:rsidR="00822743" w:rsidRPr="000051B6">
        <w:t xml:space="preserve">as we would </w:t>
      </w:r>
      <w:r w:rsidR="00BF05ED">
        <w:t>anticipate</w:t>
      </w:r>
      <w:r w:rsidR="00822743" w:rsidRPr="000051B6">
        <w:t xml:space="preserve"> represent</w:t>
      </w:r>
      <w:r w:rsidR="00BF05ED">
        <w:t>s</w:t>
      </w:r>
      <w:r w:rsidR="00822743" w:rsidRPr="000051B6">
        <w:t xml:space="preserve"> the minority of separations given that they represent</w:t>
      </w:r>
      <w:r w:rsidR="0010009F" w:rsidRPr="000051B6">
        <w:t xml:space="preserve"> 0.1% (3,5</w:t>
      </w:r>
      <w:r w:rsidR="009A23AC">
        <w:t>36</w:t>
      </w:r>
      <w:r w:rsidR="0010009F" w:rsidRPr="000051B6">
        <w:t xml:space="preserve"> </w:t>
      </w:r>
      <w:r w:rsidR="009A23AC">
        <w:t xml:space="preserve">population-adjusted </w:t>
      </w:r>
      <w:r w:rsidR="0010009F" w:rsidRPr="000051B6">
        <w:t>separ</w:t>
      </w:r>
      <w:r w:rsidR="009A23AC">
        <w:t xml:space="preserve">ations) of the total population-adjusted </w:t>
      </w:r>
      <w:r w:rsidR="0010009F" w:rsidRPr="000051B6">
        <w:t>separations (2.83m</w:t>
      </w:r>
      <w:r w:rsidR="009A23AC">
        <w:t xml:space="preserve"> population-adjusted separations</w:t>
      </w:r>
      <w:r w:rsidR="0010009F" w:rsidRPr="000051B6">
        <w:t>).</w:t>
      </w:r>
      <w:r w:rsidR="00582EDE" w:rsidRPr="000051B6">
        <w:t xml:space="preserve"> </w:t>
      </w:r>
      <w:r>
        <w:t>As circled in table 9 t</w:t>
      </w:r>
      <w:r w:rsidRPr="000051B6">
        <w:t xml:space="preserve">hese </w:t>
      </w:r>
      <w:r w:rsidR="00582EDE" w:rsidRPr="000051B6">
        <w:t>AR-DRGs represent 1.6% (45,6</w:t>
      </w:r>
      <w:r w:rsidR="00DB602A">
        <w:t>78</w:t>
      </w:r>
      <w:r w:rsidR="00822743" w:rsidRPr="000051B6">
        <w:t xml:space="preserve"> cost weighted separations</w:t>
      </w:r>
      <w:r w:rsidR="00582EDE" w:rsidRPr="000051B6">
        <w:t>) of the total population</w:t>
      </w:r>
      <w:r w:rsidR="00822743" w:rsidRPr="000051B6">
        <w:t xml:space="preserve"> </w:t>
      </w:r>
      <w:r w:rsidR="004F02A5">
        <w:t>cost weighted separations.</w:t>
      </w:r>
    </w:p>
    <w:p w:rsidR="009358D1" w:rsidRPr="000051B6" w:rsidRDefault="009358D1" w:rsidP="009358D1">
      <w:pPr>
        <w:pStyle w:val="PwCNormal"/>
        <w:numPr>
          <w:ilvl w:val="0"/>
          <w:numId w:val="0"/>
        </w:numPr>
        <w:spacing w:after="0"/>
        <w:rPr>
          <w:color w:val="A32020" w:themeColor="text2"/>
        </w:rPr>
      </w:pPr>
      <w:r w:rsidRPr="000051B6">
        <w:rPr>
          <w:color w:val="A32020" w:themeColor="text2"/>
        </w:rPr>
        <w:t>Consistencies between Round 17 and Round 18</w:t>
      </w:r>
    </w:p>
    <w:p w:rsidR="009358D1" w:rsidRPr="000051B6" w:rsidRDefault="0010009F" w:rsidP="004F02A5">
      <w:pPr>
        <w:pStyle w:val="PwCNormal"/>
        <w:numPr>
          <w:ilvl w:val="0"/>
          <w:numId w:val="0"/>
        </w:numPr>
      </w:pPr>
      <w:r w:rsidRPr="000051B6">
        <w:t>70</w:t>
      </w:r>
      <w:r w:rsidR="009358D1" w:rsidRPr="000051B6">
        <w:t>% (1</w:t>
      </w:r>
      <w:r w:rsidRPr="000051B6">
        <w:t>4</w:t>
      </w:r>
      <w:r w:rsidR="009358D1" w:rsidRPr="000051B6">
        <w:t xml:space="preserve"> out of 20) of th</w:t>
      </w:r>
      <w:r w:rsidR="006658DF" w:rsidRPr="000051B6">
        <w:t>is Rounds</w:t>
      </w:r>
      <w:r w:rsidR="009358D1" w:rsidRPr="000051B6">
        <w:t xml:space="preserve"> top 20 AR-DRGs were included in Round 17’s.</w:t>
      </w:r>
      <w:r w:rsidRPr="000051B6">
        <w:t xml:space="preserve">  </w:t>
      </w:r>
      <w:r w:rsidR="000F5D75">
        <w:t>As illustrated (boxe</w:t>
      </w:r>
      <w:r w:rsidR="00BB3C2A">
        <w:t>d light pink</w:t>
      </w:r>
      <w:r w:rsidR="000F5D75">
        <w:t>) in table 9 using the column “</w:t>
      </w:r>
      <w:r w:rsidR="00BB3C2A">
        <w:t>R</w:t>
      </w:r>
      <w:r w:rsidR="000F5D75">
        <w:t>ank</w:t>
      </w:r>
      <w:r w:rsidR="00BB3C2A">
        <w:t xml:space="preserve"> Round 17”</w:t>
      </w:r>
      <w:r w:rsidR="000F5D75">
        <w:t xml:space="preserve">  t</w:t>
      </w:r>
      <w:r w:rsidRPr="000051B6">
        <w:t xml:space="preserve">he top </w:t>
      </w:r>
      <w:r w:rsidR="00F702B3" w:rsidRPr="000051B6">
        <w:t>one</w:t>
      </w:r>
      <w:r w:rsidRPr="000051B6">
        <w:t xml:space="preserve"> and </w:t>
      </w:r>
      <w:r w:rsidR="00F702B3" w:rsidRPr="000051B6">
        <w:t>two</w:t>
      </w:r>
      <w:r w:rsidRPr="000051B6">
        <w:t xml:space="preserve"> for this Round were ranked </w:t>
      </w:r>
      <w:r w:rsidR="00F702B3" w:rsidRPr="000051B6">
        <w:t>two</w:t>
      </w:r>
      <w:r w:rsidRPr="000051B6">
        <w:t xml:space="preserve"> and </w:t>
      </w:r>
      <w:r w:rsidR="00F702B3" w:rsidRPr="000051B6">
        <w:t>three</w:t>
      </w:r>
      <w:r w:rsidRPr="000051B6">
        <w:t xml:space="preserve"> in Round 17.</w:t>
      </w:r>
    </w:p>
    <w:p w:rsidR="008A658B" w:rsidRPr="000051B6" w:rsidRDefault="008A658B" w:rsidP="008A658B">
      <w:pPr>
        <w:pStyle w:val="PwCNormal"/>
        <w:numPr>
          <w:ilvl w:val="0"/>
          <w:numId w:val="0"/>
        </w:numPr>
        <w:spacing w:after="0"/>
        <w:rPr>
          <w:color w:val="A32020" w:themeColor="text2"/>
        </w:rPr>
      </w:pPr>
      <w:r w:rsidRPr="000051B6">
        <w:rPr>
          <w:color w:val="A32020" w:themeColor="text2"/>
        </w:rPr>
        <w:t xml:space="preserve">Key </w:t>
      </w:r>
      <w:r>
        <w:rPr>
          <w:color w:val="A32020" w:themeColor="text2"/>
        </w:rPr>
        <w:t xml:space="preserve">changes </w:t>
      </w:r>
      <w:r w:rsidRPr="000051B6">
        <w:rPr>
          <w:color w:val="A32020" w:themeColor="text2"/>
        </w:rPr>
        <w:t>in the top 20</w:t>
      </w:r>
    </w:p>
    <w:p w:rsidR="00582EDE" w:rsidRDefault="00BB3C2A" w:rsidP="004F02A5">
      <w:pPr>
        <w:pStyle w:val="PwCNormal"/>
        <w:numPr>
          <w:ilvl w:val="0"/>
          <w:numId w:val="0"/>
        </w:numPr>
        <w:rPr>
          <w:lang w:eastAsia="en-AU"/>
        </w:rPr>
      </w:pPr>
      <w:r>
        <w:rPr>
          <w:lang w:eastAsia="en-AU"/>
        </w:rPr>
        <w:t>T</w:t>
      </w:r>
      <w:r w:rsidR="0010009F" w:rsidRPr="000051B6">
        <w:rPr>
          <w:lang w:eastAsia="en-AU"/>
        </w:rPr>
        <w:t xml:space="preserve">he major </w:t>
      </w:r>
      <w:r w:rsidR="00822743" w:rsidRPr="000051B6">
        <w:rPr>
          <w:lang w:eastAsia="en-AU"/>
        </w:rPr>
        <w:t>movements in this top 20 are</w:t>
      </w:r>
      <w:r w:rsidR="0010009F" w:rsidRPr="000051B6">
        <w:rPr>
          <w:lang w:eastAsia="en-AU"/>
        </w:rPr>
        <w:t xml:space="preserve"> </w:t>
      </w:r>
      <w:r w:rsidR="00582EDE" w:rsidRPr="000051B6">
        <w:t>B60A –</w:t>
      </w:r>
      <w:r w:rsidR="00992D0E">
        <w:rPr>
          <w:lang w:eastAsia="en-AU"/>
        </w:rPr>
        <w:t xml:space="preserve">Acute Paraplegia/Quadriplegia </w:t>
      </w:r>
      <w:r w:rsidR="00582EDE" w:rsidRPr="000051B6">
        <w:rPr>
          <w:lang w:eastAsia="en-AU"/>
        </w:rPr>
        <w:t>with or without OR Procs with Cat CC</w:t>
      </w:r>
      <w:r w:rsidR="00DB602A">
        <w:rPr>
          <w:lang w:eastAsia="en-AU"/>
        </w:rPr>
        <w:t xml:space="preserve"> (figure 6 –circled)</w:t>
      </w:r>
      <w:r w:rsidR="00582EDE" w:rsidRPr="000051B6">
        <w:rPr>
          <w:lang w:eastAsia="en-AU"/>
        </w:rPr>
        <w:t xml:space="preserve"> has moved between Rounds from </w:t>
      </w:r>
      <w:r w:rsidR="006658DF" w:rsidRPr="000051B6">
        <w:rPr>
          <w:lang w:eastAsia="en-AU"/>
        </w:rPr>
        <w:t xml:space="preserve">ranking </w:t>
      </w:r>
      <w:r w:rsidR="00582EDE" w:rsidRPr="000051B6">
        <w:rPr>
          <w:lang w:eastAsia="en-AU"/>
        </w:rPr>
        <w:t xml:space="preserve">5 (Round 17) </w:t>
      </w:r>
      <w:r w:rsidR="006658DF" w:rsidRPr="000051B6">
        <w:rPr>
          <w:lang w:eastAsia="en-AU"/>
        </w:rPr>
        <w:t>to</w:t>
      </w:r>
      <w:r w:rsidR="00582EDE" w:rsidRPr="000051B6">
        <w:rPr>
          <w:lang w:eastAsia="en-AU"/>
        </w:rPr>
        <w:t xml:space="preserve"> rank</w:t>
      </w:r>
      <w:r w:rsidR="006658DF" w:rsidRPr="000051B6">
        <w:rPr>
          <w:lang w:eastAsia="en-AU"/>
        </w:rPr>
        <w:t>ing</w:t>
      </w:r>
      <w:r w:rsidR="00582EDE" w:rsidRPr="000051B6">
        <w:rPr>
          <w:lang w:eastAsia="en-AU"/>
        </w:rPr>
        <w:t xml:space="preserve"> 17 for this Round</w:t>
      </w:r>
      <w:r w:rsidR="006658DF" w:rsidRPr="000051B6">
        <w:rPr>
          <w:lang w:eastAsia="en-AU"/>
        </w:rPr>
        <w:t>, driven by a</w:t>
      </w:r>
      <w:r w:rsidR="00582EDE" w:rsidRPr="000051B6">
        <w:rPr>
          <w:lang w:eastAsia="en-AU"/>
        </w:rPr>
        <w:t xml:space="preserve"> reduction in the range of ALoS between Rounds</w:t>
      </w:r>
      <w:r>
        <w:rPr>
          <w:lang w:eastAsia="en-AU"/>
        </w:rPr>
        <w:t xml:space="preserve"> as circled in figure 6</w:t>
      </w:r>
      <w:r w:rsidR="00582EDE" w:rsidRPr="000051B6">
        <w:rPr>
          <w:lang w:eastAsia="en-AU"/>
        </w:rPr>
        <w:t>.</w:t>
      </w:r>
    </w:p>
    <w:p w:rsidR="009358D1" w:rsidRPr="000051B6" w:rsidRDefault="00992D0E" w:rsidP="004F02A5">
      <w:pPr>
        <w:pStyle w:val="PwCNormal"/>
        <w:numPr>
          <w:ilvl w:val="0"/>
          <w:numId w:val="0"/>
        </w:numPr>
        <w:rPr>
          <w:highlight w:val="yellow"/>
        </w:rPr>
      </w:pPr>
      <w:r w:rsidRPr="000051B6">
        <w:rPr>
          <w:lang w:eastAsia="en-AU"/>
        </w:rPr>
        <w:t>AR-DRG I61A -Distal Femoral Fractures with CC which was ranked 150 in Round 17 and is now ranked 18. One of the reasons for this is the ALoS</w:t>
      </w:r>
      <w:r>
        <w:rPr>
          <w:lang w:eastAsia="en-AU"/>
        </w:rPr>
        <w:t xml:space="preserve"> nearly doubling betw</w:t>
      </w:r>
      <w:r w:rsidR="00C71B05">
        <w:rPr>
          <w:lang w:eastAsia="en-AU"/>
        </w:rPr>
        <w:t>een Rounds as shown</w:t>
      </w:r>
      <w:r>
        <w:rPr>
          <w:lang w:eastAsia="en-AU"/>
        </w:rPr>
        <w:t xml:space="preserve"> in table 9</w:t>
      </w:r>
      <w:r w:rsidR="00C71B05">
        <w:rPr>
          <w:lang w:eastAsia="en-AU"/>
        </w:rPr>
        <w:t xml:space="preserve"> (circled)</w:t>
      </w:r>
      <w:r>
        <w:rPr>
          <w:lang w:eastAsia="en-AU"/>
        </w:rPr>
        <w:t xml:space="preserve">, </w:t>
      </w:r>
      <w:r w:rsidRPr="000051B6">
        <w:rPr>
          <w:lang w:eastAsia="en-AU"/>
        </w:rPr>
        <w:t>which indicates that these complications/</w:t>
      </w:r>
      <w:r w:rsidRPr="000051B6">
        <w:t xml:space="preserve"> comorbidities are influencing the ALoS.</w:t>
      </w:r>
      <w:r w:rsidR="009358D1" w:rsidRPr="000051B6">
        <w:rPr>
          <w:highlight w:val="yellow"/>
        </w:rPr>
        <w:br w:type="page"/>
      </w:r>
    </w:p>
    <w:p w:rsidR="009358D1" w:rsidRPr="000051B6" w:rsidRDefault="009358D1" w:rsidP="009358D1">
      <w:pPr>
        <w:pStyle w:val="Tablesheadings"/>
        <w:rPr>
          <w:lang w:val="en-AU"/>
        </w:rPr>
        <w:sectPr w:rsidR="009358D1" w:rsidRPr="000051B6" w:rsidSect="009549BC">
          <w:pgSz w:w="11907" w:h="16840" w:code="9"/>
          <w:pgMar w:top="1588" w:right="1843" w:bottom="1418" w:left="1843" w:header="567" w:footer="567" w:gutter="0"/>
          <w:cols w:space="227"/>
          <w:docGrid w:linePitch="360"/>
        </w:sectPr>
      </w:pPr>
    </w:p>
    <w:bookmarkStart w:id="169" w:name="_Toc435610614"/>
    <w:p w:rsidR="009358D1" w:rsidRPr="000051B6" w:rsidRDefault="00F17BAA" w:rsidP="00F17BAA">
      <w:pPr>
        <w:pStyle w:val="Tablesheadings"/>
        <w:rPr>
          <w:lang w:val="en-AU"/>
        </w:rPr>
      </w:pPr>
      <w:r w:rsidRPr="00F17BAA">
        <w:rPr>
          <w:noProof/>
          <w:snapToGrid/>
          <w:sz w:val="14"/>
          <w:szCs w:val="14"/>
          <w:lang w:val="en-AU" w:eastAsia="en-AU"/>
        </w:rPr>
        <w:lastRenderedPageBreak/>
        <mc:AlternateContent>
          <mc:Choice Requires="wps">
            <w:drawing>
              <wp:anchor distT="0" distB="0" distL="114300" distR="114300" simplePos="0" relativeHeight="251689984" behindDoc="0" locked="0" layoutInCell="1" allowOverlap="1" wp14:anchorId="0BDE08EB" wp14:editId="6008D8C4">
                <wp:simplePos x="0" y="0"/>
                <wp:positionH relativeFrom="column">
                  <wp:posOffset>8930640</wp:posOffset>
                </wp:positionH>
                <wp:positionV relativeFrom="paragraph">
                  <wp:posOffset>120650</wp:posOffset>
                </wp:positionV>
                <wp:extent cx="592455" cy="736600"/>
                <wp:effectExtent l="19050" t="19050" r="17145" b="25400"/>
                <wp:wrapNone/>
                <wp:docPr id="58" name="Rectangle 58"/>
                <wp:cNvGraphicFramePr/>
                <a:graphic xmlns:a="http://schemas.openxmlformats.org/drawingml/2006/main">
                  <a:graphicData uri="http://schemas.microsoft.com/office/word/2010/wordprocessingShape">
                    <wps:wsp>
                      <wps:cNvSpPr/>
                      <wps:spPr bwMode="ltGray">
                        <a:xfrm>
                          <a:off x="0" y="0"/>
                          <a:ext cx="592455" cy="736600"/>
                        </a:xfrm>
                        <a:prstGeom prst="rect">
                          <a:avLst/>
                        </a:prstGeom>
                        <a:noFill/>
                        <a:ln w="381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26" style="position:absolute;margin-left:703.2pt;margin-top:9.5pt;width:46.65pt;height: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" filled="f" strokecolor="#ea9595 [1311]" strokeweight="3pt"/>
            </w:pict>
          </mc:Fallback>
        </mc:AlternateContent>
      </w:r>
      <w:r w:rsidR="009358D1" w:rsidRPr="000051B6">
        <w:rPr>
          <w:lang w:val="en-AU"/>
        </w:rPr>
        <w:t>Table 9</w:t>
      </w:r>
      <w:r w:rsidR="009358D1" w:rsidRPr="000051B6">
        <w:rPr>
          <w:lang w:val="en-AU"/>
        </w:rPr>
        <w:tab/>
        <w:t>Top 20 AR-DRGs ranked by ALoS</w:t>
      </w:r>
      <w:bookmarkEnd w:id="169"/>
    </w:p>
    <w:tbl>
      <w:tblPr>
        <w:tblW w:w="5000" w:type="pct"/>
        <w:tblLook w:val="04A0" w:firstRow="1" w:lastRow="0" w:firstColumn="1" w:lastColumn="0" w:noHBand="0" w:noVBand="1"/>
        <w:tblCaption w:val="Table 9 Top 20 AR-DRGs ranked by ALoS"/>
        <w:tblDescription w:val="Table 9 shows the Top 20 AR-DRGs ranked by highest Average Length of stay (ALoS). There are separate columns for whether or not the AR-DRG was in the Top 20 in Round 17, its rank in Round 18, the AR-DRG, the AR-DRG’s description, the ALoS, the minimum ALoS, the maximum ALoS, the cost weight, the number of weighted separations, the number of cost weighted separations, standard error of cost weight, percentage of total separations, percentage of cost weighted separations, Round 17 ALoS and rank in Round 17. AR-DRG P62Z has been circled as it is referred to in the preceding text. At the bottom of the table, for some of the columns are rows for the sub-totals for the top 20 and totals for all AR-DRGs as well as the percentage of the total made up by the top 20."/>
      </w:tblPr>
      <w:tblGrid>
        <w:gridCol w:w="806"/>
        <w:gridCol w:w="782"/>
        <w:gridCol w:w="677"/>
        <w:gridCol w:w="3851"/>
        <w:gridCol w:w="788"/>
        <w:gridCol w:w="789"/>
        <w:gridCol w:w="771"/>
        <w:gridCol w:w="789"/>
        <w:gridCol w:w="1060"/>
        <w:gridCol w:w="1044"/>
        <w:gridCol w:w="669"/>
        <w:gridCol w:w="621"/>
        <w:gridCol w:w="798"/>
        <w:gridCol w:w="783"/>
        <w:gridCol w:w="786"/>
      </w:tblGrid>
      <w:tr w:rsidR="00F17BAA" w:rsidRPr="00F17BAA" w:rsidTr="00F17BAA">
        <w:trPr>
          <w:trHeight w:val="240"/>
        </w:trPr>
        <w:tc>
          <w:tcPr>
            <w:tcW w:w="269" w:type="pct"/>
            <w:vMerge w:val="restart"/>
            <w:tcBorders>
              <w:top w:val="single" w:sz="4" w:space="0" w:color="auto"/>
              <w:left w:val="nil"/>
              <w:bottom w:val="single" w:sz="4" w:space="0" w:color="000000"/>
              <w:right w:val="nil"/>
            </w:tcBorders>
            <w:shd w:val="clear" w:color="auto" w:fill="auto"/>
            <w:hideMark/>
          </w:tcPr>
          <w:bookmarkStart w:id="170" w:name="_Toc433295161"/>
          <w:bookmarkStart w:id="171" w:name="_Toc433296655"/>
          <w:bookmarkStart w:id="172" w:name="_Toc433296917"/>
          <w:bookmarkStart w:id="173" w:name="_Toc433973247"/>
          <w:p w:rsidR="00F17BAA" w:rsidRPr="00F17BAA" w:rsidRDefault="00F17BAA" w:rsidP="00F17BAA">
            <w:pPr>
              <w:jc w:val="center"/>
              <w:rPr>
                <w:b/>
                <w:bCs/>
                <w:snapToGrid/>
                <w:color w:val="A32020"/>
                <w:sz w:val="14"/>
                <w:szCs w:val="14"/>
                <w:lang w:eastAsia="en-AU"/>
              </w:rPr>
            </w:pPr>
            <w:r w:rsidRPr="00F17BAA">
              <w:rPr>
                <w:noProof/>
                <w:snapToGrid/>
                <w:sz w:val="14"/>
                <w:szCs w:val="14"/>
                <w:lang w:eastAsia="en-AU"/>
              </w:rPr>
              <mc:AlternateContent>
                <mc:Choice Requires="wps">
                  <w:drawing>
                    <wp:anchor distT="0" distB="0" distL="114300" distR="114300" simplePos="0" relativeHeight="251685888" behindDoc="0" locked="0" layoutInCell="1" allowOverlap="1" wp14:anchorId="4E70B649" wp14:editId="550DFB9D">
                      <wp:simplePos x="0" y="0"/>
                      <wp:positionH relativeFrom="column">
                        <wp:posOffset>52070</wp:posOffset>
                      </wp:positionH>
                      <wp:positionV relativeFrom="paragraph">
                        <wp:posOffset>402532</wp:posOffset>
                      </wp:positionV>
                      <wp:extent cx="9424035" cy="160866"/>
                      <wp:effectExtent l="0" t="0" r="24765" b="10795"/>
                      <wp:wrapNone/>
                      <wp:docPr id="56" name="Rectangle 56"/>
                      <wp:cNvGraphicFramePr/>
                      <a:graphic xmlns:a="http://schemas.openxmlformats.org/drawingml/2006/main">
                        <a:graphicData uri="http://schemas.microsoft.com/office/word/2010/wordprocessingShape">
                          <wps:wsp>
                            <wps:cNvSpPr/>
                            <wps:spPr bwMode="ltGray">
                              <a:xfrm>
                                <a:off x="0" y="0"/>
                                <a:ext cx="9424035" cy="160866"/>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26" style="position:absolute;margin-left:4.1pt;margin-top:31.7pt;width:742.05pt;height:1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" filled="f" strokecolor="#511010 [1604]" strokeweight="1.75pt"/>
                  </w:pict>
                </mc:Fallback>
              </mc:AlternateContent>
            </w:r>
            <w:bookmarkEnd w:id="170"/>
            <w:bookmarkEnd w:id="171"/>
            <w:bookmarkEnd w:id="172"/>
            <w:bookmarkEnd w:id="173"/>
            <w:r w:rsidRPr="00F17BAA">
              <w:rPr>
                <w:b/>
                <w:bCs/>
                <w:snapToGrid/>
                <w:color w:val="A32020"/>
                <w:sz w:val="14"/>
                <w:szCs w:val="14"/>
                <w:lang w:eastAsia="en-AU"/>
              </w:rPr>
              <w:t>Top 20 Round 17</w:t>
            </w:r>
          </w:p>
        </w:tc>
        <w:tc>
          <w:tcPr>
            <w:tcW w:w="261" w:type="pct"/>
            <w:vMerge w:val="restart"/>
            <w:tcBorders>
              <w:top w:val="single" w:sz="4" w:space="0" w:color="auto"/>
              <w:left w:val="nil"/>
              <w:bottom w:val="single" w:sz="4" w:space="0" w:color="000000"/>
              <w:right w:val="nil"/>
            </w:tcBorders>
            <w:shd w:val="clear" w:color="auto" w:fill="auto"/>
            <w:hideMark/>
          </w:tcPr>
          <w:p w:rsidR="00F17BAA" w:rsidRPr="00F17BAA" w:rsidRDefault="00F17BAA" w:rsidP="00F17BAA">
            <w:pPr>
              <w:jc w:val="center"/>
              <w:rPr>
                <w:b/>
                <w:bCs/>
                <w:snapToGrid/>
                <w:color w:val="A32020"/>
                <w:sz w:val="14"/>
                <w:szCs w:val="14"/>
                <w:lang w:eastAsia="en-AU"/>
              </w:rPr>
            </w:pPr>
            <w:r w:rsidRPr="00F17BAA">
              <w:rPr>
                <w:b/>
                <w:bCs/>
                <w:snapToGrid/>
                <w:color w:val="A32020"/>
                <w:sz w:val="14"/>
                <w:szCs w:val="14"/>
                <w:lang w:eastAsia="en-AU"/>
              </w:rPr>
              <w:t>Rank Round 18</w:t>
            </w:r>
          </w:p>
        </w:tc>
        <w:tc>
          <w:tcPr>
            <w:tcW w:w="226" w:type="pct"/>
            <w:vMerge w:val="restart"/>
            <w:tcBorders>
              <w:top w:val="single" w:sz="4" w:space="0" w:color="auto"/>
              <w:left w:val="nil"/>
              <w:bottom w:val="single" w:sz="4" w:space="0" w:color="000000"/>
              <w:right w:val="nil"/>
            </w:tcBorders>
            <w:shd w:val="clear" w:color="auto" w:fill="auto"/>
            <w:hideMark/>
          </w:tcPr>
          <w:p w:rsidR="00F17BAA" w:rsidRPr="00F17BAA" w:rsidRDefault="00F17BAA" w:rsidP="00F17BAA">
            <w:pPr>
              <w:jc w:val="center"/>
              <w:rPr>
                <w:b/>
                <w:bCs/>
                <w:snapToGrid/>
                <w:color w:val="A32020"/>
                <w:sz w:val="14"/>
                <w:szCs w:val="14"/>
                <w:lang w:eastAsia="en-AU"/>
              </w:rPr>
            </w:pPr>
            <w:r w:rsidRPr="00F17BAA">
              <w:rPr>
                <w:b/>
                <w:bCs/>
                <w:snapToGrid/>
                <w:color w:val="A32020"/>
                <w:sz w:val="14"/>
                <w:szCs w:val="14"/>
                <w:lang w:eastAsia="en-AU"/>
              </w:rPr>
              <w:t>AR-DRG</w:t>
            </w:r>
          </w:p>
        </w:tc>
        <w:tc>
          <w:tcPr>
            <w:tcW w:w="1283" w:type="pct"/>
            <w:vMerge w:val="restart"/>
            <w:tcBorders>
              <w:top w:val="single" w:sz="4" w:space="0" w:color="auto"/>
              <w:left w:val="nil"/>
              <w:bottom w:val="single" w:sz="4" w:space="0" w:color="000000"/>
              <w:right w:val="nil"/>
            </w:tcBorders>
            <w:shd w:val="clear" w:color="auto" w:fill="auto"/>
            <w:hideMark/>
          </w:tcPr>
          <w:p w:rsidR="00F17BAA" w:rsidRPr="00F17BAA" w:rsidRDefault="00F17BAA" w:rsidP="00F17BAA">
            <w:pPr>
              <w:jc w:val="center"/>
              <w:rPr>
                <w:b/>
                <w:bCs/>
                <w:snapToGrid/>
                <w:color w:val="A32020"/>
                <w:sz w:val="14"/>
                <w:szCs w:val="14"/>
                <w:lang w:eastAsia="en-AU"/>
              </w:rPr>
            </w:pPr>
            <w:r w:rsidRPr="00F17BAA">
              <w:rPr>
                <w:b/>
                <w:bCs/>
                <w:snapToGrid/>
                <w:color w:val="A32020"/>
                <w:sz w:val="14"/>
                <w:szCs w:val="14"/>
                <w:lang w:eastAsia="en-AU"/>
              </w:rPr>
              <w:t>AR-DRG Description</w:t>
            </w:r>
          </w:p>
        </w:tc>
        <w:tc>
          <w:tcPr>
            <w:tcW w:w="263" w:type="pct"/>
            <w:vMerge w:val="restart"/>
            <w:tcBorders>
              <w:top w:val="single" w:sz="4" w:space="0" w:color="auto"/>
              <w:left w:val="nil"/>
              <w:bottom w:val="single" w:sz="4" w:space="0" w:color="000000"/>
              <w:right w:val="nil"/>
            </w:tcBorders>
            <w:shd w:val="clear" w:color="000000" w:fill="F4CACA"/>
            <w:hideMark/>
          </w:tcPr>
          <w:p w:rsidR="00F17BAA" w:rsidRPr="00F17BAA" w:rsidRDefault="00F17BAA" w:rsidP="00F17BAA">
            <w:pPr>
              <w:jc w:val="center"/>
              <w:rPr>
                <w:b/>
                <w:bCs/>
                <w:snapToGrid/>
                <w:color w:val="A32020"/>
                <w:sz w:val="14"/>
                <w:szCs w:val="14"/>
                <w:lang w:eastAsia="en-AU"/>
              </w:rPr>
            </w:pPr>
            <w:r w:rsidRPr="00F17BAA">
              <w:rPr>
                <w:b/>
                <w:bCs/>
                <w:snapToGrid/>
                <w:color w:val="A32020"/>
                <w:sz w:val="14"/>
                <w:szCs w:val="14"/>
                <w:lang w:eastAsia="en-AU"/>
              </w:rPr>
              <w:t>ALoS (days)</w:t>
            </w:r>
          </w:p>
        </w:tc>
        <w:tc>
          <w:tcPr>
            <w:tcW w:w="263" w:type="pct"/>
            <w:vMerge w:val="restart"/>
            <w:tcBorders>
              <w:top w:val="single" w:sz="4" w:space="0" w:color="auto"/>
              <w:left w:val="nil"/>
              <w:bottom w:val="single" w:sz="4" w:space="0" w:color="000000"/>
              <w:right w:val="nil"/>
            </w:tcBorders>
            <w:shd w:val="clear" w:color="auto" w:fill="auto"/>
            <w:hideMark/>
          </w:tcPr>
          <w:p w:rsidR="00F17BAA" w:rsidRPr="00F17BAA" w:rsidRDefault="00F17BAA" w:rsidP="00F17BAA">
            <w:pPr>
              <w:jc w:val="center"/>
              <w:rPr>
                <w:b/>
                <w:bCs/>
                <w:snapToGrid/>
                <w:color w:val="A32020"/>
                <w:sz w:val="14"/>
                <w:szCs w:val="14"/>
                <w:lang w:eastAsia="en-AU"/>
              </w:rPr>
            </w:pPr>
            <w:r w:rsidRPr="00F17BAA">
              <w:rPr>
                <w:b/>
                <w:bCs/>
                <w:snapToGrid/>
                <w:color w:val="A32020"/>
                <w:sz w:val="14"/>
                <w:szCs w:val="14"/>
                <w:lang w:eastAsia="en-AU"/>
              </w:rPr>
              <w:t>Min LoS</w:t>
            </w:r>
          </w:p>
        </w:tc>
        <w:tc>
          <w:tcPr>
            <w:tcW w:w="257" w:type="pct"/>
            <w:vMerge w:val="restart"/>
            <w:tcBorders>
              <w:top w:val="single" w:sz="4" w:space="0" w:color="auto"/>
              <w:left w:val="nil"/>
              <w:bottom w:val="single" w:sz="4" w:space="0" w:color="000000"/>
              <w:right w:val="nil"/>
            </w:tcBorders>
            <w:shd w:val="clear" w:color="auto" w:fill="auto"/>
            <w:hideMark/>
          </w:tcPr>
          <w:p w:rsidR="00F17BAA" w:rsidRPr="00F17BAA" w:rsidRDefault="00F17BAA" w:rsidP="00F17BAA">
            <w:pPr>
              <w:jc w:val="center"/>
              <w:rPr>
                <w:b/>
                <w:bCs/>
                <w:snapToGrid/>
                <w:color w:val="A32020"/>
                <w:sz w:val="14"/>
                <w:szCs w:val="14"/>
                <w:lang w:eastAsia="en-AU"/>
              </w:rPr>
            </w:pPr>
            <w:r w:rsidRPr="00F17BAA">
              <w:rPr>
                <w:b/>
                <w:bCs/>
                <w:snapToGrid/>
                <w:color w:val="A32020"/>
                <w:sz w:val="14"/>
                <w:szCs w:val="14"/>
                <w:lang w:eastAsia="en-AU"/>
              </w:rPr>
              <w:t>Max LoS</w:t>
            </w:r>
          </w:p>
        </w:tc>
        <w:tc>
          <w:tcPr>
            <w:tcW w:w="263" w:type="pct"/>
            <w:vMerge w:val="restart"/>
            <w:tcBorders>
              <w:top w:val="single" w:sz="4" w:space="0" w:color="auto"/>
              <w:left w:val="nil"/>
              <w:bottom w:val="single" w:sz="4" w:space="0" w:color="000000"/>
              <w:right w:val="nil"/>
            </w:tcBorders>
            <w:shd w:val="clear" w:color="auto" w:fill="auto"/>
            <w:hideMark/>
          </w:tcPr>
          <w:p w:rsidR="00F17BAA" w:rsidRPr="00F17BAA" w:rsidRDefault="00F17BAA" w:rsidP="00F17BAA">
            <w:pPr>
              <w:jc w:val="center"/>
              <w:rPr>
                <w:b/>
                <w:bCs/>
                <w:snapToGrid/>
                <w:color w:val="A32020"/>
                <w:sz w:val="14"/>
                <w:szCs w:val="14"/>
                <w:lang w:eastAsia="en-AU"/>
              </w:rPr>
            </w:pPr>
            <w:r w:rsidRPr="00F17BAA">
              <w:rPr>
                <w:b/>
                <w:bCs/>
                <w:snapToGrid/>
                <w:color w:val="A32020"/>
                <w:sz w:val="14"/>
                <w:szCs w:val="14"/>
                <w:lang w:eastAsia="en-AU"/>
              </w:rPr>
              <w:t>Cost weight</w:t>
            </w:r>
          </w:p>
        </w:tc>
        <w:tc>
          <w:tcPr>
            <w:tcW w:w="348" w:type="pct"/>
            <w:vMerge w:val="restart"/>
            <w:tcBorders>
              <w:top w:val="single" w:sz="4" w:space="0" w:color="auto"/>
              <w:left w:val="nil"/>
              <w:bottom w:val="single" w:sz="4" w:space="0" w:color="000000"/>
              <w:right w:val="nil"/>
            </w:tcBorders>
            <w:shd w:val="clear" w:color="auto" w:fill="auto"/>
            <w:hideMark/>
          </w:tcPr>
          <w:p w:rsidR="00F17BAA" w:rsidRPr="00F17BAA" w:rsidRDefault="00F17BAA" w:rsidP="00DB602A">
            <w:pPr>
              <w:jc w:val="center"/>
              <w:rPr>
                <w:b/>
                <w:bCs/>
                <w:snapToGrid/>
                <w:color w:val="A32020"/>
                <w:sz w:val="14"/>
                <w:szCs w:val="14"/>
                <w:lang w:eastAsia="en-AU"/>
              </w:rPr>
            </w:pPr>
            <w:r w:rsidRPr="00F17BAA">
              <w:rPr>
                <w:b/>
                <w:bCs/>
                <w:snapToGrid/>
                <w:color w:val="A32020"/>
                <w:sz w:val="14"/>
                <w:szCs w:val="14"/>
                <w:lang w:eastAsia="en-AU"/>
              </w:rPr>
              <w:t xml:space="preserve">No. of </w:t>
            </w:r>
            <w:r w:rsidR="00DB602A">
              <w:rPr>
                <w:b/>
                <w:bCs/>
                <w:snapToGrid/>
                <w:color w:val="A32020"/>
                <w:sz w:val="14"/>
                <w:szCs w:val="14"/>
                <w:lang w:eastAsia="en-AU"/>
              </w:rPr>
              <w:t xml:space="preserve">population-adjusted </w:t>
            </w:r>
            <w:r w:rsidRPr="00F17BAA">
              <w:rPr>
                <w:b/>
                <w:bCs/>
                <w:snapToGrid/>
                <w:color w:val="A32020"/>
                <w:sz w:val="14"/>
                <w:szCs w:val="14"/>
                <w:lang w:eastAsia="en-AU"/>
              </w:rPr>
              <w:t xml:space="preserve"> seps</w:t>
            </w:r>
          </w:p>
        </w:tc>
        <w:tc>
          <w:tcPr>
            <w:tcW w:w="348" w:type="pct"/>
            <w:vMerge w:val="restart"/>
            <w:tcBorders>
              <w:top w:val="single" w:sz="4" w:space="0" w:color="auto"/>
              <w:left w:val="nil"/>
              <w:bottom w:val="single" w:sz="4" w:space="0" w:color="000000"/>
              <w:right w:val="nil"/>
            </w:tcBorders>
            <w:shd w:val="clear" w:color="auto" w:fill="auto"/>
            <w:hideMark/>
          </w:tcPr>
          <w:p w:rsidR="00F17BAA" w:rsidRPr="00F17BAA" w:rsidRDefault="00DB602A" w:rsidP="00F17BAA">
            <w:pPr>
              <w:jc w:val="center"/>
              <w:rPr>
                <w:b/>
                <w:bCs/>
                <w:snapToGrid/>
                <w:color w:val="A32020"/>
                <w:sz w:val="14"/>
                <w:szCs w:val="14"/>
                <w:lang w:eastAsia="en-AU"/>
              </w:rPr>
            </w:pPr>
            <w:r>
              <w:rPr>
                <w:b/>
                <w:bCs/>
                <w:snapToGrid/>
                <w:color w:val="A32020"/>
                <w:sz w:val="14"/>
                <w:szCs w:val="14"/>
                <w:lang w:eastAsia="en-AU"/>
              </w:rPr>
              <w:t xml:space="preserve">No. of </w:t>
            </w:r>
            <w:r w:rsidR="00F17BAA" w:rsidRPr="00F17BAA">
              <w:rPr>
                <w:b/>
                <w:bCs/>
                <w:snapToGrid/>
                <w:color w:val="A32020"/>
                <w:sz w:val="14"/>
                <w:szCs w:val="14"/>
                <w:lang w:eastAsia="en-AU"/>
              </w:rPr>
              <w:t>Cost weighted seps</w:t>
            </w:r>
          </w:p>
        </w:tc>
        <w:tc>
          <w:tcPr>
            <w:tcW w:w="223" w:type="pct"/>
            <w:vMerge w:val="restart"/>
            <w:tcBorders>
              <w:top w:val="single" w:sz="4" w:space="0" w:color="auto"/>
              <w:left w:val="nil"/>
              <w:bottom w:val="single" w:sz="4" w:space="0" w:color="000000"/>
              <w:right w:val="nil"/>
            </w:tcBorders>
            <w:shd w:val="clear" w:color="auto" w:fill="auto"/>
            <w:hideMark/>
          </w:tcPr>
          <w:p w:rsidR="00F17BAA" w:rsidRPr="00F17BAA" w:rsidRDefault="00F17BAA" w:rsidP="00F17BAA">
            <w:pPr>
              <w:jc w:val="center"/>
              <w:rPr>
                <w:b/>
                <w:bCs/>
                <w:snapToGrid/>
                <w:color w:val="A32020"/>
                <w:sz w:val="14"/>
                <w:szCs w:val="14"/>
                <w:lang w:eastAsia="en-AU"/>
              </w:rPr>
            </w:pPr>
            <w:r w:rsidRPr="00F17BAA">
              <w:rPr>
                <w:b/>
                <w:bCs/>
                <w:snapToGrid/>
                <w:color w:val="A32020"/>
                <w:sz w:val="14"/>
                <w:szCs w:val="14"/>
                <w:lang w:eastAsia="en-AU"/>
              </w:rPr>
              <w:t>Std error</w:t>
            </w:r>
          </w:p>
        </w:tc>
        <w:tc>
          <w:tcPr>
            <w:tcW w:w="207" w:type="pct"/>
            <w:vMerge w:val="restart"/>
            <w:tcBorders>
              <w:top w:val="single" w:sz="4" w:space="0" w:color="auto"/>
              <w:left w:val="nil"/>
              <w:bottom w:val="single" w:sz="4" w:space="0" w:color="000000"/>
              <w:right w:val="nil"/>
            </w:tcBorders>
            <w:shd w:val="clear" w:color="auto" w:fill="auto"/>
            <w:hideMark/>
          </w:tcPr>
          <w:p w:rsidR="00F17BAA" w:rsidRPr="00F17BAA" w:rsidRDefault="00F17BAA" w:rsidP="00F17BAA">
            <w:pPr>
              <w:jc w:val="center"/>
              <w:rPr>
                <w:b/>
                <w:bCs/>
                <w:snapToGrid/>
                <w:color w:val="A32020"/>
                <w:sz w:val="14"/>
                <w:szCs w:val="14"/>
                <w:lang w:eastAsia="en-AU"/>
              </w:rPr>
            </w:pPr>
            <w:r w:rsidRPr="00F17BAA">
              <w:rPr>
                <w:b/>
                <w:bCs/>
                <w:snapToGrid/>
                <w:color w:val="A32020"/>
                <w:sz w:val="14"/>
                <w:szCs w:val="14"/>
                <w:lang w:eastAsia="en-AU"/>
              </w:rPr>
              <w:t>% of total seps</w:t>
            </w:r>
          </w:p>
        </w:tc>
        <w:tc>
          <w:tcPr>
            <w:tcW w:w="266" w:type="pct"/>
            <w:vMerge w:val="restart"/>
            <w:tcBorders>
              <w:top w:val="single" w:sz="4" w:space="0" w:color="auto"/>
              <w:left w:val="nil"/>
              <w:bottom w:val="single" w:sz="4" w:space="0" w:color="000000"/>
              <w:right w:val="nil"/>
            </w:tcBorders>
            <w:shd w:val="clear" w:color="auto" w:fill="auto"/>
            <w:hideMark/>
          </w:tcPr>
          <w:p w:rsidR="00F17BAA" w:rsidRPr="00F17BAA" w:rsidRDefault="00F17BAA" w:rsidP="00F17BAA">
            <w:pPr>
              <w:jc w:val="center"/>
              <w:rPr>
                <w:b/>
                <w:bCs/>
                <w:snapToGrid/>
                <w:color w:val="A32020"/>
                <w:sz w:val="14"/>
                <w:szCs w:val="14"/>
                <w:lang w:eastAsia="en-AU"/>
              </w:rPr>
            </w:pPr>
            <w:r w:rsidRPr="00F17BAA">
              <w:rPr>
                <w:b/>
                <w:bCs/>
                <w:snapToGrid/>
                <w:color w:val="A32020"/>
                <w:sz w:val="14"/>
                <w:szCs w:val="14"/>
                <w:lang w:eastAsia="en-AU"/>
              </w:rPr>
              <w:t>% of CW seps</w:t>
            </w:r>
          </w:p>
        </w:tc>
        <w:tc>
          <w:tcPr>
            <w:tcW w:w="261" w:type="pct"/>
            <w:vMerge w:val="restart"/>
            <w:tcBorders>
              <w:top w:val="single" w:sz="4" w:space="0" w:color="auto"/>
              <w:left w:val="nil"/>
              <w:bottom w:val="single" w:sz="4" w:space="0" w:color="000000"/>
              <w:right w:val="nil"/>
            </w:tcBorders>
            <w:shd w:val="clear" w:color="auto" w:fill="auto"/>
            <w:hideMark/>
          </w:tcPr>
          <w:p w:rsidR="00F17BAA" w:rsidRPr="00F17BAA" w:rsidRDefault="00F17BAA" w:rsidP="00F17BAA">
            <w:pPr>
              <w:jc w:val="center"/>
              <w:rPr>
                <w:b/>
                <w:bCs/>
                <w:snapToGrid/>
                <w:color w:val="A32020"/>
                <w:sz w:val="14"/>
                <w:szCs w:val="14"/>
                <w:lang w:eastAsia="en-AU"/>
              </w:rPr>
            </w:pPr>
            <w:r w:rsidRPr="00F17BAA">
              <w:rPr>
                <w:b/>
                <w:bCs/>
                <w:snapToGrid/>
                <w:color w:val="A32020"/>
                <w:sz w:val="14"/>
                <w:szCs w:val="14"/>
                <w:lang w:eastAsia="en-AU"/>
              </w:rPr>
              <w:t>Round 17 ALoS</w:t>
            </w:r>
          </w:p>
        </w:tc>
        <w:tc>
          <w:tcPr>
            <w:tcW w:w="262" w:type="pct"/>
            <w:vMerge w:val="restart"/>
            <w:tcBorders>
              <w:top w:val="single" w:sz="4" w:space="0" w:color="auto"/>
              <w:left w:val="nil"/>
              <w:bottom w:val="single" w:sz="4" w:space="0" w:color="000000"/>
              <w:right w:val="nil"/>
            </w:tcBorders>
            <w:shd w:val="clear" w:color="auto" w:fill="auto"/>
            <w:hideMark/>
          </w:tcPr>
          <w:p w:rsidR="00F17BAA" w:rsidRPr="00F17BAA" w:rsidRDefault="00F17BAA" w:rsidP="00F17BAA">
            <w:pPr>
              <w:jc w:val="center"/>
              <w:rPr>
                <w:b/>
                <w:bCs/>
                <w:snapToGrid/>
                <w:color w:val="A32020"/>
                <w:sz w:val="14"/>
                <w:szCs w:val="14"/>
                <w:lang w:eastAsia="en-AU"/>
              </w:rPr>
            </w:pPr>
            <w:r w:rsidRPr="00F17BAA">
              <w:rPr>
                <w:b/>
                <w:bCs/>
                <w:snapToGrid/>
                <w:color w:val="A32020"/>
                <w:sz w:val="14"/>
                <w:szCs w:val="14"/>
                <w:lang w:eastAsia="en-AU"/>
              </w:rPr>
              <w:t>Rank Round 17</w:t>
            </w:r>
          </w:p>
        </w:tc>
      </w:tr>
      <w:tr w:rsidR="00F17BAA" w:rsidRPr="00F17BAA" w:rsidTr="00F17BAA">
        <w:trPr>
          <w:trHeight w:val="204"/>
        </w:trPr>
        <w:tc>
          <w:tcPr>
            <w:tcW w:w="269"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261"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226"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1283"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263"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263"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257"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263"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348"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348"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223"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207"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266"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261"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262"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r>
      <w:tr w:rsidR="00F17BAA" w:rsidRPr="00F17BAA" w:rsidTr="00F17BAA">
        <w:trPr>
          <w:trHeight w:val="204"/>
        </w:trPr>
        <w:tc>
          <w:tcPr>
            <w:tcW w:w="269"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261"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226"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1283"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263"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263"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257"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263"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348"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348"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223"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207"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266"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261"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c>
          <w:tcPr>
            <w:tcW w:w="262" w:type="pct"/>
            <w:vMerge/>
            <w:tcBorders>
              <w:top w:val="single" w:sz="4" w:space="0" w:color="auto"/>
              <w:left w:val="nil"/>
              <w:bottom w:val="single" w:sz="4" w:space="0" w:color="000000"/>
              <w:right w:val="nil"/>
            </w:tcBorders>
            <w:vAlign w:val="center"/>
            <w:hideMark/>
          </w:tcPr>
          <w:p w:rsidR="00F17BAA" w:rsidRPr="00F17BAA" w:rsidRDefault="00F17BAA" w:rsidP="00F17BAA">
            <w:pPr>
              <w:rPr>
                <w:b/>
                <w:bCs/>
                <w:snapToGrid/>
                <w:color w:val="A32020"/>
                <w:sz w:val="14"/>
                <w:szCs w:val="14"/>
                <w:lang w:eastAsia="en-AU"/>
              </w:rPr>
            </w:pPr>
          </w:p>
        </w:tc>
      </w:tr>
      <w:tr w:rsidR="00F17BAA" w:rsidRPr="00F17BAA" w:rsidTr="00F17BAA">
        <w:trPr>
          <w:trHeight w:val="255"/>
        </w:trPr>
        <w:tc>
          <w:tcPr>
            <w:tcW w:w="269"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Yes</w:t>
            </w:r>
          </w:p>
        </w:tc>
        <w:tc>
          <w:tcPr>
            <w:tcW w:w="261"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1</w:t>
            </w:r>
          </w:p>
        </w:tc>
        <w:tc>
          <w:tcPr>
            <w:tcW w:w="226" w:type="pct"/>
            <w:tcBorders>
              <w:top w:val="nil"/>
              <w:left w:val="nil"/>
              <w:bottom w:val="nil"/>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P62Z</w:t>
            </w:r>
          </w:p>
        </w:tc>
        <w:tc>
          <w:tcPr>
            <w:tcW w:w="1283" w:type="pct"/>
            <w:tcBorders>
              <w:top w:val="nil"/>
              <w:left w:val="nil"/>
              <w:bottom w:val="nil"/>
              <w:right w:val="nil"/>
            </w:tcBorders>
            <w:shd w:val="clear" w:color="auto" w:fill="auto"/>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Neonate, AdmWt 750-999 g</w:t>
            </w:r>
          </w:p>
        </w:tc>
        <w:tc>
          <w:tcPr>
            <w:tcW w:w="263" w:type="pct"/>
            <w:tcBorders>
              <w:top w:val="nil"/>
              <w:left w:val="nil"/>
              <w:bottom w:val="nil"/>
              <w:right w:val="nil"/>
            </w:tcBorders>
            <w:shd w:val="clear" w:color="000000" w:fill="F4CACA"/>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53.0</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w:t>
            </w:r>
          </w:p>
        </w:tc>
        <w:tc>
          <w:tcPr>
            <w:tcW w:w="25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105</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35.71</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28</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1,006</w:t>
            </w:r>
          </w:p>
        </w:tc>
        <w:tc>
          <w:tcPr>
            <w:tcW w:w="22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4.50</w:t>
            </w:r>
          </w:p>
        </w:tc>
        <w:tc>
          <w:tcPr>
            <w:tcW w:w="20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6"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1"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64.78</w:t>
            </w:r>
          </w:p>
        </w:tc>
        <w:tc>
          <w:tcPr>
            <w:tcW w:w="262"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 xml:space="preserve">2 </w:t>
            </w:r>
          </w:p>
        </w:tc>
      </w:tr>
      <w:tr w:rsidR="00F17BAA" w:rsidRPr="00F17BAA" w:rsidTr="00F17BAA">
        <w:trPr>
          <w:trHeight w:val="408"/>
        </w:trPr>
        <w:tc>
          <w:tcPr>
            <w:tcW w:w="269"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Yes</w:t>
            </w:r>
          </w:p>
        </w:tc>
        <w:tc>
          <w:tcPr>
            <w:tcW w:w="261"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2</w:t>
            </w:r>
          </w:p>
        </w:tc>
        <w:tc>
          <w:tcPr>
            <w:tcW w:w="226" w:type="pct"/>
            <w:tcBorders>
              <w:top w:val="nil"/>
              <w:left w:val="nil"/>
              <w:bottom w:val="nil"/>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A06A</w:t>
            </w:r>
          </w:p>
        </w:tc>
        <w:tc>
          <w:tcPr>
            <w:tcW w:w="1283" w:type="pct"/>
            <w:tcBorders>
              <w:top w:val="nil"/>
              <w:left w:val="nil"/>
              <w:bottom w:val="nil"/>
              <w:right w:val="nil"/>
            </w:tcBorders>
            <w:shd w:val="clear" w:color="auto" w:fill="auto"/>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Tracheostomy W Ventilation &gt;95 hours W Catastrophic CC</w:t>
            </w:r>
          </w:p>
        </w:tc>
        <w:tc>
          <w:tcPr>
            <w:tcW w:w="263" w:type="pct"/>
            <w:tcBorders>
              <w:top w:val="nil"/>
              <w:left w:val="nil"/>
              <w:bottom w:val="nil"/>
              <w:right w:val="nil"/>
            </w:tcBorders>
            <w:shd w:val="clear" w:color="000000" w:fill="F4CACA"/>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52.3</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6</w:t>
            </w:r>
          </w:p>
        </w:tc>
        <w:tc>
          <w:tcPr>
            <w:tcW w:w="25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148</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45.16</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206</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9,310</w:t>
            </w:r>
          </w:p>
        </w:tc>
        <w:tc>
          <w:tcPr>
            <w:tcW w:w="22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2.76</w:t>
            </w:r>
          </w:p>
        </w:tc>
        <w:tc>
          <w:tcPr>
            <w:tcW w:w="20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6"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0.3%</w:t>
            </w:r>
          </w:p>
        </w:tc>
        <w:tc>
          <w:tcPr>
            <w:tcW w:w="261"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52.55</w:t>
            </w:r>
          </w:p>
        </w:tc>
        <w:tc>
          <w:tcPr>
            <w:tcW w:w="262"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 xml:space="preserve">3 </w:t>
            </w:r>
          </w:p>
        </w:tc>
      </w:tr>
      <w:tr w:rsidR="00F17BAA" w:rsidRPr="00F17BAA" w:rsidTr="00F17BAA">
        <w:trPr>
          <w:trHeight w:val="408"/>
        </w:trPr>
        <w:tc>
          <w:tcPr>
            <w:tcW w:w="269"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Yes</w:t>
            </w:r>
          </w:p>
        </w:tc>
        <w:tc>
          <w:tcPr>
            <w:tcW w:w="261"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3</w:t>
            </w:r>
          </w:p>
        </w:tc>
        <w:tc>
          <w:tcPr>
            <w:tcW w:w="226" w:type="pct"/>
            <w:tcBorders>
              <w:top w:val="nil"/>
              <w:left w:val="nil"/>
              <w:bottom w:val="nil"/>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P04Z</w:t>
            </w:r>
          </w:p>
        </w:tc>
        <w:tc>
          <w:tcPr>
            <w:tcW w:w="1283" w:type="pct"/>
            <w:tcBorders>
              <w:top w:val="nil"/>
              <w:left w:val="nil"/>
              <w:bottom w:val="nil"/>
              <w:right w:val="nil"/>
            </w:tcBorders>
            <w:shd w:val="clear" w:color="auto" w:fill="auto"/>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Neonate, AdmWt 1500-1999 g W Significant OR Procedure</w:t>
            </w:r>
          </w:p>
        </w:tc>
        <w:tc>
          <w:tcPr>
            <w:tcW w:w="263" w:type="pct"/>
            <w:tcBorders>
              <w:top w:val="nil"/>
              <w:left w:val="nil"/>
              <w:bottom w:val="nil"/>
              <w:right w:val="nil"/>
            </w:tcBorders>
            <w:shd w:val="clear" w:color="000000" w:fill="F4CACA"/>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41.6</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25</w:t>
            </w:r>
          </w:p>
        </w:tc>
        <w:tc>
          <w:tcPr>
            <w:tcW w:w="25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64</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19.57</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23</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447</w:t>
            </w:r>
          </w:p>
        </w:tc>
        <w:tc>
          <w:tcPr>
            <w:tcW w:w="22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2.38</w:t>
            </w:r>
          </w:p>
        </w:tc>
        <w:tc>
          <w:tcPr>
            <w:tcW w:w="20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6"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1"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36.93</w:t>
            </w:r>
          </w:p>
        </w:tc>
        <w:tc>
          <w:tcPr>
            <w:tcW w:w="262"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 xml:space="preserve">6 </w:t>
            </w:r>
          </w:p>
        </w:tc>
      </w:tr>
      <w:tr w:rsidR="00F17BAA" w:rsidRPr="00F17BAA" w:rsidTr="00F17BAA">
        <w:trPr>
          <w:trHeight w:val="408"/>
        </w:trPr>
        <w:tc>
          <w:tcPr>
            <w:tcW w:w="269"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No</w:t>
            </w:r>
          </w:p>
        </w:tc>
        <w:tc>
          <w:tcPr>
            <w:tcW w:w="261"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4</w:t>
            </w:r>
          </w:p>
        </w:tc>
        <w:tc>
          <w:tcPr>
            <w:tcW w:w="226" w:type="pct"/>
            <w:tcBorders>
              <w:top w:val="nil"/>
              <w:left w:val="nil"/>
              <w:bottom w:val="nil"/>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A11A</w:t>
            </w:r>
          </w:p>
        </w:tc>
        <w:tc>
          <w:tcPr>
            <w:tcW w:w="1283" w:type="pct"/>
            <w:tcBorders>
              <w:top w:val="nil"/>
              <w:left w:val="nil"/>
              <w:bottom w:val="nil"/>
              <w:right w:val="nil"/>
            </w:tcBorders>
            <w:shd w:val="clear" w:color="auto" w:fill="auto"/>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Insertion of Implantable Spinal Infusion Device W Catastrophic CC</w:t>
            </w:r>
          </w:p>
        </w:tc>
        <w:tc>
          <w:tcPr>
            <w:tcW w:w="263" w:type="pct"/>
            <w:tcBorders>
              <w:top w:val="nil"/>
              <w:left w:val="nil"/>
              <w:bottom w:val="nil"/>
              <w:right w:val="nil"/>
            </w:tcBorders>
            <w:shd w:val="clear" w:color="000000" w:fill="F4CACA"/>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34.4</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6</w:t>
            </w:r>
          </w:p>
        </w:tc>
        <w:tc>
          <w:tcPr>
            <w:tcW w:w="25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78</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17.61</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13</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232</w:t>
            </w:r>
          </w:p>
        </w:tc>
        <w:tc>
          <w:tcPr>
            <w:tcW w:w="22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4.30</w:t>
            </w:r>
          </w:p>
        </w:tc>
        <w:tc>
          <w:tcPr>
            <w:tcW w:w="20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6"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1"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23.16</w:t>
            </w:r>
          </w:p>
        </w:tc>
        <w:tc>
          <w:tcPr>
            <w:tcW w:w="262"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 xml:space="preserve">27 </w:t>
            </w:r>
          </w:p>
        </w:tc>
      </w:tr>
      <w:tr w:rsidR="00F17BAA" w:rsidRPr="00F17BAA" w:rsidTr="00F17BAA">
        <w:trPr>
          <w:trHeight w:val="408"/>
        </w:trPr>
        <w:tc>
          <w:tcPr>
            <w:tcW w:w="269"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Yes</w:t>
            </w:r>
          </w:p>
        </w:tc>
        <w:tc>
          <w:tcPr>
            <w:tcW w:w="261"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5</w:t>
            </w:r>
          </w:p>
        </w:tc>
        <w:tc>
          <w:tcPr>
            <w:tcW w:w="226" w:type="pct"/>
            <w:tcBorders>
              <w:top w:val="nil"/>
              <w:left w:val="nil"/>
              <w:bottom w:val="nil"/>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P63Z</w:t>
            </w:r>
          </w:p>
        </w:tc>
        <w:tc>
          <w:tcPr>
            <w:tcW w:w="1283" w:type="pct"/>
            <w:tcBorders>
              <w:top w:val="nil"/>
              <w:left w:val="nil"/>
              <w:bottom w:val="nil"/>
              <w:right w:val="nil"/>
            </w:tcBorders>
            <w:shd w:val="clear" w:color="auto" w:fill="auto"/>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Neonate, AdmWt 1000-1249 g W/O Significant OR Procedure</w:t>
            </w:r>
          </w:p>
        </w:tc>
        <w:tc>
          <w:tcPr>
            <w:tcW w:w="263" w:type="pct"/>
            <w:tcBorders>
              <w:top w:val="nil"/>
              <w:left w:val="nil"/>
              <w:bottom w:val="nil"/>
              <w:right w:val="nil"/>
            </w:tcBorders>
            <w:shd w:val="clear" w:color="000000" w:fill="F4CACA"/>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33.2</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10</w:t>
            </w:r>
          </w:p>
        </w:tc>
        <w:tc>
          <w:tcPr>
            <w:tcW w:w="25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51</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8.82</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31</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277</w:t>
            </w:r>
          </w:p>
        </w:tc>
        <w:tc>
          <w:tcPr>
            <w:tcW w:w="22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1.65</w:t>
            </w:r>
          </w:p>
        </w:tc>
        <w:tc>
          <w:tcPr>
            <w:tcW w:w="20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6"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1"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25.63</w:t>
            </w:r>
          </w:p>
        </w:tc>
        <w:tc>
          <w:tcPr>
            <w:tcW w:w="262"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 xml:space="preserve">18 </w:t>
            </w:r>
          </w:p>
        </w:tc>
      </w:tr>
      <w:tr w:rsidR="00F17BAA" w:rsidRPr="00F17BAA" w:rsidTr="00F17BAA">
        <w:trPr>
          <w:trHeight w:val="408"/>
        </w:trPr>
        <w:tc>
          <w:tcPr>
            <w:tcW w:w="269"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Yes</w:t>
            </w:r>
          </w:p>
        </w:tc>
        <w:tc>
          <w:tcPr>
            <w:tcW w:w="261"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6</w:t>
            </w:r>
          </w:p>
        </w:tc>
        <w:tc>
          <w:tcPr>
            <w:tcW w:w="226" w:type="pct"/>
            <w:tcBorders>
              <w:top w:val="nil"/>
              <w:left w:val="nil"/>
              <w:bottom w:val="nil"/>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W04A</w:t>
            </w:r>
          </w:p>
        </w:tc>
        <w:tc>
          <w:tcPr>
            <w:tcW w:w="1283" w:type="pct"/>
            <w:tcBorders>
              <w:top w:val="nil"/>
              <w:left w:val="nil"/>
              <w:bottom w:val="nil"/>
              <w:right w:val="nil"/>
            </w:tcBorders>
            <w:shd w:val="clear" w:color="auto" w:fill="auto"/>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Other OR Procs for Multiple Significant Trauma W Catastrophic or Severe CC</w:t>
            </w:r>
          </w:p>
        </w:tc>
        <w:tc>
          <w:tcPr>
            <w:tcW w:w="263" w:type="pct"/>
            <w:tcBorders>
              <w:top w:val="nil"/>
              <w:left w:val="nil"/>
              <w:bottom w:val="nil"/>
              <w:right w:val="nil"/>
            </w:tcBorders>
            <w:shd w:val="clear" w:color="000000" w:fill="F4CACA"/>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32.1</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w:t>
            </w:r>
          </w:p>
        </w:tc>
        <w:tc>
          <w:tcPr>
            <w:tcW w:w="25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74</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9.45</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12</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110</w:t>
            </w:r>
          </w:p>
        </w:tc>
        <w:tc>
          <w:tcPr>
            <w:tcW w:w="22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2.71</w:t>
            </w:r>
          </w:p>
        </w:tc>
        <w:tc>
          <w:tcPr>
            <w:tcW w:w="20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6"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1"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32.43</w:t>
            </w:r>
          </w:p>
        </w:tc>
        <w:tc>
          <w:tcPr>
            <w:tcW w:w="262"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 xml:space="preserve">10 </w:t>
            </w:r>
          </w:p>
        </w:tc>
      </w:tr>
      <w:tr w:rsidR="00F17BAA" w:rsidRPr="00F17BAA" w:rsidTr="00F17BAA">
        <w:trPr>
          <w:trHeight w:val="408"/>
        </w:trPr>
        <w:tc>
          <w:tcPr>
            <w:tcW w:w="269"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Yes</w:t>
            </w:r>
          </w:p>
        </w:tc>
        <w:tc>
          <w:tcPr>
            <w:tcW w:w="261"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7</w:t>
            </w:r>
          </w:p>
        </w:tc>
        <w:tc>
          <w:tcPr>
            <w:tcW w:w="226" w:type="pct"/>
            <w:tcBorders>
              <w:top w:val="nil"/>
              <w:left w:val="nil"/>
              <w:bottom w:val="nil"/>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K01A</w:t>
            </w:r>
          </w:p>
        </w:tc>
        <w:tc>
          <w:tcPr>
            <w:tcW w:w="1283" w:type="pct"/>
            <w:tcBorders>
              <w:top w:val="nil"/>
              <w:left w:val="nil"/>
              <w:bottom w:val="nil"/>
              <w:right w:val="nil"/>
            </w:tcBorders>
            <w:shd w:val="clear" w:color="auto" w:fill="auto"/>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OR Procedures for Diabetic Complications W Catastrophic CC</w:t>
            </w:r>
          </w:p>
        </w:tc>
        <w:tc>
          <w:tcPr>
            <w:tcW w:w="263" w:type="pct"/>
            <w:tcBorders>
              <w:top w:val="nil"/>
              <w:left w:val="nil"/>
              <w:bottom w:val="nil"/>
              <w:right w:val="nil"/>
            </w:tcBorders>
            <w:shd w:val="clear" w:color="000000" w:fill="F4CACA"/>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32.0</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4</w:t>
            </w:r>
          </w:p>
        </w:tc>
        <w:tc>
          <w:tcPr>
            <w:tcW w:w="25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93</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8.99</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153</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1,376</w:t>
            </w:r>
          </w:p>
        </w:tc>
        <w:tc>
          <w:tcPr>
            <w:tcW w:w="22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0.74</w:t>
            </w:r>
          </w:p>
        </w:tc>
        <w:tc>
          <w:tcPr>
            <w:tcW w:w="20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6"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1"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32.74</w:t>
            </w:r>
          </w:p>
        </w:tc>
        <w:tc>
          <w:tcPr>
            <w:tcW w:w="262"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 xml:space="preserve">9 </w:t>
            </w:r>
          </w:p>
        </w:tc>
      </w:tr>
      <w:tr w:rsidR="00F17BAA" w:rsidRPr="00F17BAA" w:rsidTr="00F17BAA">
        <w:trPr>
          <w:trHeight w:val="255"/>
        </w:trPr>
        <w:tc>
          <w:tcPr>
            <w:tcW w:w="269"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Yes</w:t>
            </w:r>
          </w:p>
        </w:tc>
        <w:tc>
          <w:tcPr>
            <w:tcW w:w="261"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8</w:t>
            </w:r>
          </w:p>
        </w:tc>
        <w:tc>
          <w:tcPr>
            <w:tcW w:w="226" w:type="pct"/>
            <w:tcBorders>
              <w:top w:val="nil"/>
              <w:left w:val="nil"/>
              <w:bottom w:val="nil"/>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F11A</w:t>
            </w:r>
          </w:p>
        </w:tc>
        <w:tc>
          <w:tcPr>
            <w:tcW w:w="1283" w:type="pct"/>
            <w:tcBorders>
              <w:top w:val="nil"/>
              <w:left w:val="nil"/>
              <w:bottom w:val="nil"/>
              <w:right w:val="nil"/>
            </w:tcBorders>
            <w:shd w:val="clear" w:color="auto" w:fill="auto"/>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Amputation for Circ System Except Upper Limb and Toe W Catastrophic CC</w:t>
            </w:r>
          </w:p>
        </w:tc>
        <w:tc>
          <w:tcPr>
            <w:tcW w:w="263" w:type="pct"/>
            <w:tcBorders>
              <w:top w:val="nil"/>
              <w:left w:val="nil"/>
              <w:bottom w:val="nil"/>
              <w:right w:val="nil"/>
            </w:tcBorders>
            <w:shd w:val="clear" w:color="000000" w:fill="F4CACA"/>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31.9</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5</w:t>
            </w:r>
          </w:p>
        </w:tc>
        <w:tc>
          <w:tcPr>
            <w:tcW w:w="25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106</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8.63</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69</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595</w:t>
            </w:r>
          </w:p>
        </w:tc>
        <w:tc>
          <w:tcPr>
            <w:tcW w:w="22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1.17</w:t>
            </w:r>
          </w:p>
        </w:tc>
        <w:tc>
          <w:tcPr>
            <w:tcW w:w="20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6"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1"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29.43</w:t>
            </w:r>
          </w:p>
        </w:tc>
        <w:tc>
          <w:tcPr>
            <w:tcW w:w="262"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 xml:space="preserve">12 </w:t>
            </w:r>
          </w:p>
        </w:tc>
      </w:tr>
      <w:tr w:rsidR="00F17BAA" w:rsidRPr="00F17BAA" w:rsidTr="00F17BAA">
        <w:trPr>
          <w:trHeight w:val="255"/>
        </w:trPr>
        <w:tc>
          <w:tcPr>
            <w:tcW w:w="269"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Yes</w:t>
            </w:r>
          </w:p>
        </w:tc>
        <w:tc>
          <w:tcPr>
            <w:tcW w:w="261"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9</w:t>
            </w:r>
          </w:p>
        </w:tc>
        <w:tc>
          <w:tcPr>
            <w:tcW w:w="226" w:type="pct"/>
            <w:tcBorders>
              <w:top w:val="nil"/>
              <w:left w:val="nil"/>
              <w:bottom w:val="nil"/>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P65A</w:t>
            </w:r>
          </w:p>
        </w:tc>
        <w:tc>
          <w:tcPr>
            <w:tcW w:w="1283" w:type="pct"/>
            <w:tcBorders>
              <w:top w:val="nil"/>
              <w:left w:val="nil"/>
              <w:bottom w:val="nil"/>
              <w:right w:val="nil"/>
            </w:tcBorders>
            <w:shd w:val="clear" w:color="auto" w:fill="auto"/>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Neonate, AdmWt 1500-1999 g W/O Significant OR Proc W Multi Major Problems</w:t>
            </w:r>
          </w:p>
        </w:tc>
        <w:tc>
          <w:tcPr>
            <w:tcW w:w="263" w:type="pct"/>
            <w:tcBorders>
              <w:top w:val="nil"/>
              <w:left w:val="nil"/>
              <w:bottom w:val="nil"/>
              <w:right w:val="nil"/>
            </w:tcBorders>
            <w:shd w:val="clear" w:color="000000" w:fill="F4CACA"/>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28.8</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21</w:t>
            </w:r>
          </w:p>
        </w:tc>
        <w:tc>
          <w:tcPr>
            <w:tcW w:w="25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40</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9.75</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11</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110</w:t>
            </w:r>
          </w:p>
        </w:tc>
        <w:tc>
          <w:tcPr>
            <w:tcW w:w="22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1.42</w:t>
            </w:r>
          </w:p>
        </w:tc>
        <w:tc>
          <w:tcPr>
            <w:tcW w:w="20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6"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1"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26.15</w:t>
            </w:r>
          </w:p>
        </w:tc>
        <w:tc>
          <w:tcPr>
            <w:tcW w:w="262"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 xml:space="preserve">16 </w:t>
            </w:r>
          </w:p>
        </w:tc>
      </w:tr>
      <w:tr w:rsidR="00F17BAA" w:rsidRPr="00F17BAA" w:rsidTr="00F17BAA">
        <w:trPr>
          <w:trHeight w:val="408"/>
        </w:trPr>
        <w:tc>
          <w:tcPr>
            <w:tcW w:w="269"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Yes</w:t>
            </w:r>
          </w:p>
        </w:tc>
        <w:tc>
          <w:tcPr>
            <w:tcW w:w="261"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10</w:t>
            </w:r>
          </w:p>
        </w:tc>
        <w:tc>
          <w:tcPr>
            <w:tcW w:w="226" w:type="pct"/>
            <w:tcBorders>
              <w:top w:val="nil"/>
              <w:left w:val="nil"/>
              <w:bottom w:val="nil"/>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A06B</w:t>
            </w:r>
          </w:p>
        </w:tc>
        <w:tc>
          <w:tcPr>
            <w:tcW w:w="1283" w:type="pct"/>
            <w:tcBorders>
              <w:top w:val="nil"/>
              <w:left w:val="nil"/>
              <w:bottom w:val="nil"/>
              <w:right w:val="nil"/>
            </w:tcBorders>
            <w:shd w:val="clear" w:color="auto" w:fill="auto"/>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Trach W Vent &gt;95 hours W/O Cat CC or Trach/Vent &gt;95 hours W Cat CC</w:t>
            </w:r>
          </w:p>
        </w:tc>
        <w:tc>
          <w:tcPr>
            <w:tcW w:w="263" w:type="pct"/>
            <w:tcBorders>
              <w:top w:val="nil"/>
              <w:left w:val="nil"/>
              <w:bottom w:val="nil"/>
              <w:right w:val="nil"/>
            </w:tcBorders>
            <w:shd w:val="clear" w:color="000000" w:fill="F4CACA"/>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28.4</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w:t>
            </w:r>
          </w:p>
        </w:tc>
        <w:tc>
          <w:tcPr>
            <w:tcW w:w="25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181</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22.61</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735</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16,614</w:t>
            </w:r>
          </w:p>
        </w:tc>
        <w:tc>
          <w:tcPr>
            <w:tcW w:w="22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0.84</w:t>
            </w:r>
          </w:p>
        </w:tc>
        <w:tc>
          <w:tcPr>
            <w:tcW w:w="20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6"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0.6%</w:t>
            </w:r>
          </w:p>
        </w:tc>
        <w:tc>
          <w:tcPr>
            <w:tcW w:w="261"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27.55</w:t>
            </w:r>
          </w:p>
        </w:tc>
        <w:tc>
          <w:tcPr>
            <w:tcW w:w="262"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 xml:space="preserve">13 </w:t>
            </w:r>
          </w:p>
        </w:tc>
      </w:tr>
      <w:tr w:rsidR="00F17BAA" w:rsidRPr="00F17BAA" w:rsidTr="00F17BAA">
        <w:trPr>
          <w:trHeight w:val="408"/>
        </w:trPr>
        <w:tc>
          <w:tcPr>
            <w:tcW w:w="269"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Yes</w:t>
            </w:r>
          </w:p>
        </w:tc>
        <w:tc>
          <w:tcPr>
            <w:tcW w:w="261"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11</w:t>
            </w:r>
          </w:p>
        </w:tc>
        <w:tc>
          <w:tcPr>
            <w:tcW w:w="226" w:type="pct"/>
            <w:tcBorders>
              <w:top w:val="nil"/>
              <w:left w:val="nil"/>
              <w:bottom w:val="nil"/>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P64Z</w:t>
            </w:r>
          </w:p>
        </w:tc>
        <w:tc>
          <w:tcPr>
            <w:tcW w:w="1283" w:type="pct"/>
            <w:tcBorders>
              <w:top w:val="nil"/>
              <w:left w:val="nil"/>
              <w:bottom w:val="nil"/>
              <w:right w:val="nil"/>
            </w:tcBorders>
            <w:shd w:val="clear" w:color="auto" w:fill="auto"/>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Neonate, AdmWt 1250-1499 g W/O Significant OR Procedure</w:t>
            </w:r>
          </w:p>
        </w:tc>
        <w:tc>
          <w:tcPr>
            <w:tcW w:w="263" w:type="pct"/>
            <w:tcBorders>
              <w:top w:val="nil"/>
              <w:left w:val="nil"/>
              <w:bottom w:val="nil"/>
              <w:right w:val="nil"/>
            </w:tcBorders>
            <w:shd w:val="clear" w:color="000000" w:fill="F4CACA"/>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28.4</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w:t>
            </w:r>
          </w:p>
        </w:tc>
        <w:tc>
          <w:tcPr>
            <w:tcW w:w="25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53</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7.51</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153</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1,152</w:t>
            </w:r>
          </w:p>
        </w:tc>
        <w:tc>
          <w:tcPr>
            <w:tcW w:w="22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0.61</w:t>
            </w:r>
          </w:p>
        </w:tc>
        <w:tc>
          <w:tcPr>
            <w:tcW w:w="20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6"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1"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30.83</w:t>
            </w:r>
          </w:p>
        </w:tc>
        <w:tc>
          <w:tcPr>
            <w:tcW w:w="262"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 xml:space="preserve">11 </w:t>
            </w:r>
          </w:p>
        </w:tc>
      </w:tr>
      <w:tr w:rsidR="00F17BAA" w:rsidRPr="00F17BAA" w:rsidTr="00F17BAA">
        <w:trPr>
          <w:trHeight w:val="204"/>
        </w:trPr>
        <w:tc>
          <w:tcPr>
            <w:tcW w:w="269"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Yes</w:t>
            </w:r>
          </w:p>
        </w:tc>
        <w:tc>
          <w:tcPr>
            <w:tcW w:w="261"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12</w:t>
            </w:r>
          </w:p>
        </w:tc>
        <w:tc>
          <w:tcPr>
            <w:tcW w:w="226" w:type="pct"/>
            <w:tcBorders>
              <w:top w:val="nil"/>
              <w:left w:val="nil"/>
              <w:bottom w:val="nil"/>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F61A</w:t>
            </w:r>
          </w:p>
        </w:tc>
        <w:tc>
          <w:tcPr>
            <w:tcW w:w="1283" w:type="pct"/>
            <w:tcBorders>
              <w:top w:val="nil"/>
              <w:left w:val="nil"/>
              <w:bottom w:val="nil"/>
              <w:right w:val="nil"/>
            </w:tcBorders>
            <w:shd w:val="clear" w:color="auto" w:fill="auto"/>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Infective Endocarditis W Catastrophic CC</w:t>
            </w:r>
          </w:p>
        </w:tc>
        <w:tc>
          <w:tcPr>
            <w:tcW w:w="263" w:type="pct"/>
            <w:tcBorders>
              <w:top w:val="nil"/>
              <w:left w:val="nil"/>
              <w:bottom w:val="nil"/>
              <w:right w:val="nil"/>
            </w:tcBorders>
            <w:shd w:val="clear" w:color="000000" w:fill="F4CACA"/>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28.1</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w:t>
            </w:r>
          </w:p>
        </w:tc>
        <w:tc>
          <w:tcPr>
            <w:tcW w:w="25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62</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6.33</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76</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480</w:t>
            </w:r>
          </w:p>
        </w:tc>
        <w:tc>
          <w:tcPr>
            <w:tcW w:w="22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0.55</w:t>
            </w:r>
          </w:p>
        </w:tc>
        <w:tc>
          <w:tcPr>
            <w:tcW w:w="20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6"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1"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26.91</w:t>
            </w:r>
          </w:p>
        </w:tc>
        <w:tc>
          <w:tcPr>
            <w:tcW w:w="262"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 xml:space="preserve">15 </w:t>
            </w:r>
          </w:p>
        </w:tc>
      </w:tr>
      <w:tr w:rsidR="00F17BAA" w:rsidRPr="00F17BAA" w:rsidTr="00F17BAA">
        <w:trPr>
          <w:trHeight w:val="408"/>
        </w:trPr>
        <w:tc>
          <w:tcPr>
            <w:tcW w:w="269"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Yes</w:t>
            </w:r>
          </w:p>
        </w:tc>
        <w:tc>
          <w:tcPr>
            <w:tcW w:w="261"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13</w:t>
            </w:r>
          </w:p>
        </w:tc>
        <w:tc>
          <w:tcPr>
            <w:tcW w:w="226" w:type="pct"/>
            <w:tcBorders>
              <w:top w:val="nil"/>
              <w:left w:val="nil"/>
              <w:bottom w:val="nil"/>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P65B</w:t>
            </w:r>
          </w:p>
        </w:tc>
        <w:tc>
          <w:tcPr>
            <w:tcW w:w="1283" w:type="pct"/>
            <w:tcBorders>
              <w:top w:val="nil"/>
              <w:left w:val="nil"/>
              <w:bottom w:val="nil"/>
              <w:right w:val="nil"/>
            </w:tcBorders>
            <w:shd w:val="clear" w:color="auto" w:fill="auto"/>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Neonate, AdmWt 1500-1999 g W/O Significant OR Procedure W Major Problem</w:t>
            </w:r>
          </w:p>
        </w:tc>
        <w:tc>
          <w:tcPr>
            <w:tcW w:w="263" w:type="pct"/>
            <w:tcBorders>
              <w:top w:val="nil"/>
              <w:left w:val="nil"/>
              <w:bottom w:val="nil"/>
              <w:right w:val="nil"/>
            </w:tcBorders>
            <w:shd w:val="clear" w:color="000000" w:fill="F4CACA"/>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26.6</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w:t>
            </w:r>
          </w:p>
        </w:tc>
        <w:tc>
          <w:tcPr>
            <w:tcW w:w="25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56</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8.46</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211</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1,788</w:t>
            </w:r>
          </w:p>
        </w:tc>
        <w:tc>
          <w:tcPr>
            <w:tcW w:w="22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0.55</w:t>
            </w:r>
          </w:p>
        </w:tc>
        <w:tc>
          <w:tcPr>
            <w:tcW w:w="20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6"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0.1%</w:t>
            </w:r>
          </w:p>
        </w:tc>
        <w:tc>
          <w:tcPr>
            <w:tcW w:w="261"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25.68</w:t>
            </w:r>
          </w:p>
        </w:tc>
        <w:tc>
          <w:tcPr>
            <w:tcW w:w="262"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 xml:space="preserve">17 </w:t>
            </w:r>
          </w:p>
        </w:tc>
      </w:tr>
      <w:tr w:rsidR="00F17BAA" w:rsidRPr="00F17BAA" w:rsidTr="00F17BAA">
        <w:trPr>
          <w:trHeight w:val="255"/>
        </w:trPr>
        <w:tc>
          <w:tcPr>
            <w:tcW w:w="269"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No</w:t>
            </w:r>
          </w:p>
        </w:tc>
        <w:tc>
          <w:tcPr>
            <w:tcW w:w="261"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14</w:t>
            </w:r>
          </w:p>
        </w:tc>
        <w:tc>
          <w:tcPr>
            <w:tcW w:w="226" w:type="pct"/>
            <w:tcBorders>
              <w:top w:val="nil"/>
              <w:left w:val="nil"/>
              <w:bottom w:val="nil"/>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P05Z</w:t>
            </w:r>
          </w:p>
        </w:tc>
        <w:tc>
          <w:tcPr>
            <w:tcW w:w="1283" w:type="pct"/>
            <w:tcBorders>
              <w:top w:val="nil"/>
              <w:left w:val="nil"/>
              <w:bottom w:val="nil"/>
              <w:right w:val="nil"/>
            </w:tcBorders>
            <w:shd w:val="clear" w:color="auto" w:fill="auto"/>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Neonate, AdmWt 2000-2499 g W Significant OR Procedure</w:t>
            </w:r>
          </w:p>
        </w:tc>
        <w:tc>
          <w:tcPr>
            <w:tcW w:w="263" w:type="pct"/>
            <w:tcBorders>
              <w:top w:val="nil"/>
              <w:left w:val="nil"/>
              <w:bottom w:val="nil"/>
              <w:right w:val="nil"/>
            </w:tcBorders>
            <w:shd w:val="clear" w:color="000000" w:fill="F4CACA"/>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26.6</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6</w:t>
            </w:r>
          </w:p>
        </w:tc>
        <w:tc>
          <w:tcPr>
            <w:tcW w:w="25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58</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13.37</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26</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349</w:t>
            </w:r>
          </w:p>
        </w:tc>
        <w:tc>
          <w:tcPr>
            <w:tcW w:w="22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3.47</w:t>
            </w:r>
          </w:p>
        </w:tc>
        <w:tc>
          <w:tcPr>
            <w:tcW w:w="20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6"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1"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24.00</w:t>
            </w:r>
          </w:p>
        </w:tc>
        <w:tc>
          <w:tcPr>
            <w:tcW w:w="262"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 xml:space="preserve">23 </w:t>
            </w:r>
          </w:p>
        </w:tc>
      </w:tr>
      <w:tr w:rsidR="00F17BAA" w:rsidRPr="00F17BAA" w:rsidTr="00F17BAA">
        <w:trPr>
          <w:trHeight w:val="204"/>
        </w:trPr>
        <w:tc>
          <w:tcPr>
            <w:tcW w:w="269"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Yes</w:t>
            </w:r>
          </w:p>
        </w:tc>
        <w:tc>
          <w:tcPr>
            <w:tcW w:w="261"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15</w:t>
            </w:r>
          </w:p>
        </w:tc>
        <w:tc>
          <w:tcPr>
            <w:tcW w:w="226" w:type="pct"/>
            <w:tcBorders>
              <w:top w:val="nil"/>
              <w:left w:val="nil"/>
              <w:bottom w:val="nil"/>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A08A</w:t>
            </w:r>
          </w:p>
        </w:tc>
        <w:tc>
          <w:tcPr>
            <w:tcW w:w="1283" w:type="pct"/>
            <w:tcBorders>
              <w:top w:val="nil"/>
              <w:left w:val="nil"/>
              <w:bottom w:val="nil"/>
              <w:right w:val="nil"/>
            </w:tcBorders>
            <w:shd w:val="clear" w:color="auto" w:fill="auto"/>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Autologous Bone Marrow Transplant W Catastrophic CC</w:t>
            </w:r>
          </w:p>
        </w:tc>
        <w:tc>
          <w:tcPr>
            <w:tcW w:w="263" w:type="pct"/>
            <w:tcBorders>
              <w:top w:val="nil"/>
              <w:left w:val="nil"/>
              <w:bottom w:val="nil"/>
              <w:right w:val="nil"/>
            </w:tcBorders>
            <w:shd w:val="clear" w:color="000000" w:fill="F4CACA"/>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25.8</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13</w:t>
            </w:r>
          </w:p>
        </w:tc>
        <w:tc>
          <w:tcPr>
            <w:tcW w:w="25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120</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7.91</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113</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891</w:t>
            </w:r>
          </w:p>
        </w:tc>
        <w:tc>
          <w:tcPr>
            <w:tcW w:w="22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0.55</w:t>
            </w:r>
          </w:p>
        </w:tc>
        <w:tc>
          <w:tcPr>
            <w:tcW w:w="20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6"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1"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25.33</w:t>
            </w:r>
          </w:p>
        </w:tc>
        <w:tc>
          <w:tcPr>
            <w:tcW w:w="262"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 xml:space="preserve">19 </w:t>
            </w:r>
          </w:p>
        </w:tc>
      </w:tr>
      <w:tr w:rsidR="00F17BAA" w:rsidRPr="00F17BAA" w:rsidTr="00F17BAA">
        <w:trPr>
          <w:trHeight w:val="255"/>
        </w:trPr>
        <w:tc>
          <w:tcPr>
            <w:tcW w:w="269"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No</w:t>
            </w:r>
          </w:p>
        </w:tc>
        <w:tc>
          <w:tcPr>
            <w:tcW w:w="261"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16</w:t>
            </w:r>
          </w:p>
        </w:tc>
        <w:tc>
          <w:tcPr>
            <w:tcW w:w="226" w:type="pct"/>
            <w:tcBorders>
              <w:top w:val="nil"/>
              <w:left w:val="nil"/>
              <w:bottom w:val="nil"/>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U66Z</w:t>
            </w:r>
          </w:p>
        </w:tc>
        <w:tc>
          <w:tcPr>
            <w:tcW w:w="1283" w:type="pct"/>
            <w:tcBorders>
              <w:top w:val="nil"/>
              <w:left w:val="nil"/>
              <w:bottom w:val="nil"/>
              <w:right w:val="nil"/>
            </w:tcBorders>
            <w:shd w:val="clear" w:color="auto" w:fill="auto"/>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Eating and Obsessive-Compulsive Disorders</w:t>
            </w:r>
          </w:p>
        </w:tc>
        <w:tc>
          <w:tcPr>
            <w:tcW w:w="263" w:type="pct"/>
            <w:tcBorders>
              <w:top w:val="nil"/>
              <w:left w:val="nil"/>
              <w:bottom w:val="nil"/>
              <w:right w:val="nil"/>
            </w:tcBorders>
            <w:shd w:val="clear" w:color="000000" w:fill="F4CACA"/>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25.2</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w:t>
            </w:r>
          </w:p>
        </w:tc>
        <w:tc>
          <w:tcPr>
            <w:tcW w:w="25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111</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4.38</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626</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2,742</w:t>
            </w:r>
          </w:p>
        </w:tc>
        <w:tc>
          <w:tcPr>
            <w:tcW w:w="22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0.15</w:t>
            </w:r>
          </w:p>
        </w:tc>
        <w:tc>
          <w:tcPr>
            <w:tcW w:w="20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6"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0.1%</w:t>
            </w:r>
          </w:p>
        </w:tc>
        <w:tc>
          <w:tcPr>
            <w:tcW w:w="261"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24.46</w:t>
            </w:r>
          </w:p>
        </w:tc>
        <w:tc>
          <w:tcPr>
            <w:tcW w:w="262"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 xml:space="preserve">22 </w:t>
            </w:r>
          </w:p>
        </w:tc>
      </w:tr>
      <w:tr w:rsidR="00F17BAA" w:rsidRPr="00F17BAA" w:rsidTr="00F17BAA">
        <w:trPr>
          <w:trHeight w:val="408"/>
        </w:trPr>
        <w:tc>
          <w:tcPr>
            <w:tcW w:w="269"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Yes</w:t>
            </w:r>
          </w:p>
        </w:tc>
        <w:tc>
          <w:tcPr>
            <w:tcW w:w="261"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17</w:t>
            </w:r>
          </w:p>
        </w:tc>
        <w:tc>
          <w:tcPr>
            <w:tcW w:w="226" w:type="pct"/>
            <w:tcBorders>
              <w:top w:val="nil"/>
              <w:left w:val="nil"/>
              <w:bottom w:val="nil"/>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B60A</w:t>
            </w:r>
          </w:p>
        </w:tc>
        <w:tc>
          <w:tcPr>
            <w:tcW w:w="1283" w:type="pct"/>
            <w:tcBorders>
              <w:top w:val="nil"/>
              <w:left w:val="nil"/>
              <w:bottom w:val="nil"/>
              <w:right w:val="nil"/>
            </w:tcBorders>
            <w:shd w:val="clear" w:color="auto" w:fill="auto"/>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Acute Paraplegia/Quadriplegia W or W/O OR Procs W Cat CC</w:t>
            </w:r>
          </w:p>
        </w:tc>
        <w:tc>
          <w:tcPr>
            <w:tcW w:w="263" w:type="pct"/>
            <w:tcBorders>
              <w:top w:val="nil"/>
              <w:left w:val="nil"/>
              <w:bottom w:val="nil"/>
              <w:right w:val="nil"/>
            </w:tcBorders>
            <w:shd w:val="clear" w:color="000000" w:fill="F4CACA"/>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25.2</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6</w:t>
            </w:r>
          </w:p>
        </w:tc>
        <w:tc>
          <w:tcPr>
            <w:tcW w:w="25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39</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16.61</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15</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255</w:t>
            </w:r>
          </w:p>
        </w:tc>
        <w:tc>
          <w:tcPr>
            <w:tcW w:w="22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3.73</w:t>
            </w:r>
          </w:p>
        </w:tc>
        <w:tc>
          <w:tcPr>
            <w:tcW w:w="20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6"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1"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noProof/>
                <w:snapToGrid/>
                <w:sz w:val="14"/>
                <w:szCs w:val="14"/>
                <w:lang w:eastAsia="en-AU"/>
              </w:rPr>
              <mc:AlternateContent>
                <mc:Choice Requires="wps">
                  <w:drawing>
                    <wp:anchor distT="0" distB="0" distL="114300" distR="114300" simplePos="0" relativeHeight="251739136" behindDoc="0" locked="0" layoutInCell="1" allowOverlap="1" wp14:anchorId="147AA1DC" wp14:editId="3FA03702">
                      <wp:simplePos x="0" y="0"/>
                      <wp:positionH relativeFrom="column">
                        <wp:posOffset>-21590</wp:posOffset>
                      </wp:positionH>
                      <wp:positionV relativeFrom="paragraph">
                        <wp:posOffset>224367</wp:posOffset>
                      </wp:positionV>
                      <wp:extent cx="550758" cy="159244"/>
                      <wp:effectExtent l="0" t="0" r="20955" b="12700"/>
                      <wp:wrapNone/>
                      <wp:docPr id="12" name="Oval 12"/>
                      <wp:cNvGraphicFramePr/>
                      <a:graphic xmlns:a="http://schemas.openxmlformats.org/drawingml/2006/main">
                        <a:graphicData uri="http://schemas.microsoft.com/office/word/2010/wordprocessingShape">
                          <wps:wsp>
                            <wps:cNvSpPr/>
                            <wps:spPr bwMode="ltGray">
                              <a:xfrm>
                                <a:off x="0" y="0"/>
                                <a:ext cx="550758" cy="159244"/>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26" style="position:absolute;margin-left:-1.7pt;margin-top:17.65pt;width:43.35pt;height:12.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" filled="f" strokecolor="#511010 [1604]" strokeweight="1pt"/>
                  </w:pict>
                </mc:Fallback>
              </mc:AlternateContent>
            </w:r>
            <w:r w:rsidRPr="00F17BAA">
              <w:rPr>
                <w:snapToGrid/>
                <w:color w:val="000000"/>
                <w:sz w:val="14"/>
                <w:szCs w:val="14"/>
                <w:lang w:eastAsia="en-AU"/>
              </w:rPr>
              <w:t>39.01</w:t>
            </w:r>
          </w:p>
        </w:tc>
        <w:tc>
          <w:tcPr>
            <w:tcW w:w="262"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 xml:space="preserve">5 </w:t>
            </w:r>
          </w:p>
        </w:tc>
      </w:tr>
      <w:tr w:rsidR="00F17BAA" w:rsidRPr="00F17BAA" w:rsidTr="00F17BAA">
        <w:trPr>
          <w:trHeight w:val="204"/>
        </w:trPr>
        <w:tc>
          <w:tcPr>
            <w:tcW w:w="269"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No</w:t>
            </w:r>
          </w:p>
        </w:tc>
        <w:tc>
          <w:tcPr>
            <w:tcW w:w="261"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18</w:t>
            </w:r>
          </w:p>
        </w:tc>
        <w:tc>
          <w:tcPr>
            <w:tcW w:w="226" w:type="pct"/>
            <w:tcBorders>
              <w:top w:val="nil"/>
              <w:left w:val="nil"/>
              <w:bottom w:val="nil"/>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I61A</w:t>
            </w:r>
          </w:p>
        </w:tc>
        <w:tc>
          <w:tcPr>
            <w:tcW w:w="1283" w:type="pct"/>
            <w:tcBorders>
              <w:top w:val="nil"/>
              <w:left w:val="nil"/>
              <w:bottom w:val="nil"/>
              <w:right w:val="nil"/>
            </w:tcBorders>
            <w:shd w:val="clear" w:color="auto" w:fill="auto"/>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Distal Femoral Fractures W CC</w:t>
            </w:r>
          </w:p>
        </w:tc>
        <w:tc>
          <w:tcPr>
            <w:tcW w:w="263" w:type="pct"/>
            <w:tcBorders>
              <w:top w:val="nil"/>
              <w:left w:val="nil"/>
              <w:bottom w:val="nil"/>
              <w:right w:val="nil"/>
            </w:tcBorders>
            <w:shd w:val="clear" w:color="000000" w:fill="F4CACA"/>
            <w:noWrap/>
            <w:hideMark/>
          </w:tcPr>
          <w:p w:rsidR="00F17BAA" w:rsidRPr="00F17BAA" w:rsidRDefault="00F17BAA" w:rsidP="00F17BAA">
            <w:pPr>
              <w:jc w:val="right"/>
              <w:rPr>
                <w:snapToGrid/>
                <w:color w:val="000000"/>
                <w:sz w:val="14"/>
                <w:szCs w:val="14"/>
                <w:lang w:eastAsia="en-AU"/>
              </w:rPr>
            </w:pPr>
            <w:r w:rsidRPr="00F17BAA">
              <w:rPr>
                <w:noProof/>
                <w:snapToGrid/>
                <w:sz w:val="14"/>
                <w:szCs w:val="14"/>
                <w:lang w:eastAsia="en-AU"/>
              </w:rPr>
              <mc:AlternateContent>
                <mc:Choice Requires="wps">
                  <w:drawing>
                    <wp:anchor distT="0" distB="0" distL="114300" distR="114300" simplePos="0" relativeHeight="251741184" behindDoc="0" locked="0" layoutInCell="1" allowOverlap="1" wp14:anchorId="006B2983" wp14:editId="2A243BA4">
                      <wp:simplePos x="0" y="0"/>
                      <wp:positionH relativeFrom="column">
                        <wp:posOffset>30691</wp:posOffset>
                      </wp:positionH>
                      <wp:positionV relativeFrom="paragraph">
                        <wp:posOffset>-20997</wp:posOffset>
                      </wp:positionV>
                      <wp:extent cx="499534" cy="144864"/>
                      <wp:effectExtent l="0" t="0" r="15240" b="26670"/>
                      <wp:wrapNone/>
                      <wp:docPr id="13" name="Oval 13"/>
                      <wp:cNvGraphicFramePr/>
                      <a:graphic xmlns:a="http://schemas.openxmlformats.org/drawingml/2006/main">
                        <a:graphicData uri="http://schemas.microsoft.com/office/word/2010/wordprocessingShape">
                          <wps:wsp>
                            <wps:cNvSpPr/>
                            <wps:spPr bwMode="ltGray">
                              <a:xfrm>
                                <a:off x="0" y="0"/>
                                <a:ext cx="499534" cy="144864"/>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6" style="position:absolute;margin-left:2.4pt;margin-top:-1.65pt;width:39.35pt;height:11.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" filled="f" strokecolor="#511010 [1604]" strokeweight="1pt"/>
                  </w:pict>
                </mc:Fallback>
              </mc:AlternateContent>
            </w:r>
            <w:r w:rsidRPr="00F17BAA">
              <w:rPr>
                <w:snapToGrid/>
                <w:color w:val="000000"/>
                <w:sz w:val="14"/>
                <w:szCs w:val="14"/>
                <w:lang w:eastAsia="en-AU"/>
              </w:rPr>
              <w:t>24.7</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w:t>
            </w:r>
          </w:p>
        </w:tc>
        <w:tc>
          <w:tcPr>
            <w:tcW w:w="25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152</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4.05</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48</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193</w:t>
            </w:r>
          </w:p>
        </w:tc>
        <w:tc>
          <w:tcPr>
            <w:tcW w:w="22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0.79</w:t>
            </w:r>
          </w:p>
        </w:tc>
        <w:tc>
          <w:tcPr>
            <w:tcW w:w="20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6"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1"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10.78</w:t>
            </w:r>
          </w:p>
        </w:tc>
        <w:tc>
          <w:tcPr>
            <w:tcW w:w="262"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 xml:space="preserve">150 </w:t>
            </w:r>
          </w:p>
        </w:tc>
      </w:tr>
      <w:tr w:rsidR="00F17BAA" w:rsidRPr="00F17BAA" w:rsidTr="00F17BAA">
        <w:trPr>
          <w:trHeight w:val="408"/>
        </w:trPr>
        <w:tc>
          <w:tcPr>
            <w:tcW w:w="269"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No</w:t>
            </w:r>
          </w:p>
        </w:tc>
        <w:tc>
          <w:tcPr>
            <w:tcW w:w="261"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19</w:t>
            </w:r>
          </w:p>
        </w:tc>
        <w:tc>
          <w:tcPr>
            <w:tcW w:w="226" w:type="pct"/>
            <w:tcBorders>
              <w:top w:val="nil"/>
              <w:left w:val="nil"/>
              <w:bottom w:val="nil"/>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T01A</w:t>
            </w:r>
          </w:p>
        </w:tc>
        <w:tc>
          <w:tcPr>
            <w:tcW w:w="1283" w:type="pct"/>
            <w:tcBorders>
              <w:top w:val="nil"/>
              <w:left w:val="nil"/>
              <w:bottom w:val="nil"/>
              <w:right w:val="nil"/>
            </w:tcBorders>
            <w:shd w:val="clear" w:color="auto" w:fill="auto"/>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OR Procedures for Infectious and Parasitic Diseases W Catastrophic CC</w:t>
            </w:r>
          </w:p>
        </w:tc>
        <w:tc>
          <w:tcPr>
            <w:tcW w:w="263" w:type="pct"/>
            <w:tcBorders>
              <w:top w:val="nil"/>
              <w:left w:val="nil"/>
              <w:bottom w:val="nil"/>
              <w:right w:val="nil"/>
            </w:tcBorders>
            <w:shd w:val="clear" w:color="000000" w:fill="F4CACA"/>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24.5</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w:t>
            </w:r>
          </w:p>
        </w:tc>
        <w:tc>
          <w:tcPr>
            <w:tcW w:w="25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162</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8.38</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685</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5,747</w:t>
            </w:r>
          </w:p>
        </w:tc>
        <w:tc>
          <w:tcPr>
            <w:tcW w:w="22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0.44</w:t>
            </w:r>
          </w:p>
        </w:tc>
        <w:tc>
          <w:tcPr>
            <w:tcW w:w="20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6"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0.2%</w:t>
            </w:r>
          </w:p>
        </w:tc>
        <w:tc>
          <w:tcPr>
            <w:tcW w:w="261"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21.67</w:t>
            </w:r>
          </w:p>
        </w:tc>
        <w:tc>
          <w:tcPr>
            <w:tcW w:w="262"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 xml:space="preserve">30 </w:t>
            </w:r>
          </w:p>
        </w:tc>
      </w:tr>
      <w:tr w:rsidR="00F17BAA" w:rsidRPr="00F17BAA" w:rsidTr="00F17BAA">
        <w:trPr>
          <w:trHeight w:val="408"/>
        </w:trPr>
        <w:tc>
          <w:tcPr>
            <w:tcW w:w="269"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No</w:t>
            </w:r>
          </w:p>
        </w:tc>
        <w:tc>
          <w:tcPr>
            <w:tcW w:w="261"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20</w:t>
            </w:r>
          </w:p>
        </w:tc>
        <w:tc>
          <w:tcPr>
            <w:tcW w:w="226" w:type="pct"/>
            <w:tcBorders>
              <w:top w:val="nil"/>
              <w:left w:val="nil"/>
              <w:bottom w:val="nil"/>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P65C</w:t>
            </w:r>
          </w:p>
        </w:tc>
        <w:tc>
          <w:tcPr>
            <w:tcW w:w="1283" w:type="pct"/>
            <w:tcBorders>
              <w:top w:val="nil"/>
              <w:left w:val="nil"/>
              <w:bottom w:val="nil"/>
              <w:right w:val="nil"/>
            </w:tcBorders>
            <w:shd w:val="clear" w:color="auto" w:fill="auto"/>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Neonate, AdmWt 1500-1999 g W/O Significant OR Procedure W Other Problem</w:t>
            </w:r>
          </w:p>
        </w:tc>
        <w:tc>
          <w:tcPr>
            <w:tcW w:w="263" w:type="pct"/>
            <w:tcBorders>
              <w:top w:val="nil"/>
              <w:left w:val="nil"/>
              <w:bottom w:val="nil"/>
              <w:right w:val="nil"/>
            </w:tcBorders>
            <w:shd w:val="clear" w:color="000000" w:fill="F4CACA"/>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24.0</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4</w:t>
            </w:r>
          </w:p>
        </w:tc>
        <w:tc>
          <w:tcPr>
            <w:tcW w:w="25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61</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6.65</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noProof/>
                <w:snapToGrid/>
                <w:sz w:val="14"/>
                <w:szCs w:val="14"/>
                <w:lang w:eastAsia="en-AU"/>
              </w:rPr>
              <mc:AlternateContent>
                <mc:Choice Requires="wps">
                  <w:drawing>
                    <wp:anchor distT="0" distB="0" distL="114300" distR="114300" simplePos="0" relativeHeight="251687936" behindDoc="0" locked="0" layoutInCell="1" allowOverlap="1" wp14:anchorId="4B10CD22" wp14:editId="5E9A6C6D">
                      <wp:simplePos x="0" y="0"/>
                      <wp:positionH relativeFrom="column">
                        <wp:posOffset>38100</wp:posOffset>
                      </wp:positionH>
                      <wp:positionV relativeFrom="paragraph">
                        <wp:posOffset>165523</wp:posOffset>
                      </wp:positionV>
                      <wp:extent cx="1315720" cy="521335"/>
                      <wp:effectExtent l="0" t="0" r="17780" b="12065"/>
                      <wp:wrapNone/>
                      <wp:docPr id="57" name="Oval 57"/>
                      <wp:cNvGraphicFramePr/>
                      <a:graphic xmlns:a="http://schemas.openxmlformats.org/drawingml/2006/main">
                        <a:graphicData uri="http://schemas.microsoft.com/office/word/2010/wordprocessingShape">
                          <wps:wsp>
                            <wps:cNvSpPr/>
                            <wps:spPr bwMode="ltGray">
                              <a:xfrm>
                                <a:off x="0" y="0"/>
                                <a:ext cx="1315720" cy="52133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7" o:spid="_x0000_s1026" style="position:absolute;margin-left:3pt;margin-top:13.05pt;width:103.6pt;height:4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" filled="f" strokecolor="#511010 [1604]" strokeweight="1pt"/>
                  </w:pict>
                </mc:Fallback>
              </mc:AlternateContent>
            </w:r>
            <w:r w:rsidRPr="00F17BAA">
              <w:rPr>
                <w:snapToGrid/>
                <w:color w:val="000000"/>
                <w:sz w:val="14"/>
                <w:szCs w:val="14"/>
                <w:lang w:eastAsia="en-AU"/>
              </w:rPr>
              <w:t>302</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2,005</w:t>
            </w:r>
          </w:p>
        </w:tc>
        <w:tc>
          <w:tcPr>
            <w:tcW w:w="223"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0.38</w:t>
            </w:r>
          </w:p>
        </w:tc>
        <w:tc>
          <w:tcPr>
            <w:tcW w:w="20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0.0%</w:t>
            </w:r>
          </w:p>
        </w:tc>
        <w:tc>
          <w:tcPr>
            <w:tcW w:w="266"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0.1%</w:t>
            </w:r>
          </w:p>
        </w:tc>
        <w:tc>
          <w:tcPr>
            <w:tcW w:w="261"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20.49</w:t>
            </w:r>
          </w:p>
        </w:tc>
        <w:tc>
          <w:tcPr>
            <w:tcW w:w="262"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 xml:space="preserve">36 </w:t>
            </w:r>
          </w:p>
        </w:tc>
      </w:tr>
      <w:tr w:rsidR="00F17BAA" w:rsidRPr="00F17BAA" w:rsidTr="00F17BAA">
        <w:trPr>
          <w:trHeight w:val="204"/>
        </w:trPr>
        <w:tc>
          <w:tcPr>
            <w:tcW w:w="269" w:type="pct"/>
            <w:tcBorders>
              <w:top w:val="single" w:sz="4" w:space="0" w:color="auto"/>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14</w:t>
            </w:r>
          </w:p>
        </w:tc>
        <w:tc>
          <w:tcPr>
            <w:tcW w:w="1770" w:type="pct"/>
            <w:gridSpan w:val="3"/>
            <w:tcBorders>
              <w:top w:val="single" w:sz="4" w:space="0" w:color="auto"/>
              <w:left w:val="nil"/>
              <w:bottom w:val="nil"/>
              <w:right w:val="nil"/>
            </w:tcBorders>
            <w:shd w:val="clear" w:color="auto" w:fill="auto"/>
            <w:noWrap/>
            <w:hideMark/>
          </w:tcPr>
          <w:p w:rsidR="00F17BAA" w:rsidRPr="00F17BAA" w:rsidRDefault="00F17BAA" w:rsidP="00F17BAA">
            <w:pPr>
              <w:rPr>
                <w:b/>
                <w:bCs/>
                <w:snapToGrid/>
                <w:color w:val="000000"/>
                <w:sz w:val="14"/>
                <w:szCs w:val="14"/>
                <w:lang w:eastAsia="en-AU"/>
              </w:rPr>
            </w:pPr>
            <w:r w:rsidRPr="00F17BAA">
              <w:rPr>
                <w:b/>
                <w:bCs/>
                <w:snapToGrid/>
                <w:color w:val="000000"/>
                <w:sz w:val="14"/>
                <w:szCs w:val="14"/>
                <w:lang w:eastAsia="en-AU"/>
              </w:rPr>
              <w:t>Sub-total, top 20 highest cost-weighted separations</w:t>
            </w:r>
          </w:p>
        </w:tc>
        <w:tc>
          <w:tcPr>
            <w:tcW w:w="263" w:type="pct"/>
            <w:tcBorders>
              <w:top w:val="single" w:sz="4" w:space="0" w:color="auto"/>
              <w:left w:val="nil"/>
              <w:bottom w:val="nil"/>
              <w:right w:val="nil"/>
            </w:tcBorders>
            <w:shd w:val="clear" w:color="000000" w:fill="F4CACA"/>
            <w:noWrap/>
            <w:hideMark/>
          </w:tcPr>
          <w:p w:rsidR="00F17BAA" w:rsidRPr="00F17BAA" w:rsidRDefault="00F17BAA" w:rsidP="00F17BAA">
            <w:pPr>
              <w:jc w:val="right"/>
              <w:rPr>
                <w:b/>
                <w:bCs/>
                <w:snapToGrid/>
                <w:color w:val="000000"/>
                <w:sz w:val="14"/>
                <w:szCs w:val="14"/>
                <w:lang w:eastAsia="en-AU"/>
              </w:rPr>
            </w:pPr>
            <w:r w:rsidRPr="00F17BAA">
              <w:rPr>
                <w:b/>
                <w:bCs/>
                <w:snapToGrid/>
                <w:color w:val="000000"/>
                <w:sz w:val="14"/>
                <w:szCs w:val="14"/>
                <w:lang w:eastAsia="en-AU"/>
              </w:rPr>
              <w:t>28.4</w:t>
            </w:r>
          </w:p>
        </w:tc>
        <w:tc>
          <w:tcPr>
            <w:tcW w:w="263" w:type="pct"/>
            <w:tcBorders>
              <w:top w:val="single" w:sz="4" w:space="0" w:color="auto"/>
              <w:left w:val="nil"/>
              <w:bottom w:val="nil"/>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 </w:t>
            </w:r>
          </w:p>
        </w:tc>
        <w:tc>
          <w:tcPr>
            <w:tcW w:w="257" w:type="pct"/>
            <w:tcBorders>
              <w:top w:val="single" w:sz="4" w:space="0" w:color="auto"/>
              <w:left w:val="nil"/>
              <w:bottom w:val="nil"/>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 </w:t>
            </w:r>
          </w:p>
        </w:tc>
        <w:tc>
          <w:tcPr>
            <w:tcW w:w="263" w:type="pct"/>
            <w:tcBorders>
              <w:top w:val="single" w:sz="4" w:space="0" w:color="auto"/>
              <w:left w:val="nil"/>
              <w:bottom w:val="nil"/>
              <w:right w:val="nil"/>
            </w:tcBorders>
            <w:shd w:val="clear" w:color="auto" w:fill="auto"/>
            <w:noWrap/>
            <w:hideMark/>
          </w:tcPr>
          <w:p w:rsidR="00F17BAA" w:rsidRPr="00F17BAA" w:rsidRDefault="00F17BAA" w:rsidP="00F17BAA">
            <w:pPr>
              <w:jc w:val="right"/>
              <w:rPr>
                <w:b/>
                <w:bCs/>
                <w:snapToGrid/>
                <w:color w:val="000000"/>
                <w:sz w:val="14"/>
                <w:szCs w:val="14"/>
                <w:lang w:eastAsia="en-AU"/>
              </w:rPr>
            </w:pPr>
            <w:r w:rsidRPr="00F17BAA">
              <w:rPr>
                <w:b/>
                <w:bCs/>
                <w:snapToGrid/>
                <w:color w:val="000000"/>
                <w:sz w:val="14"/>
                <w:szCs w:val="14"/>
                <w:lang w:eastAsia="en-AU"/>
              </w:rPr>
              <w:t>12.92</w:t>
            </w:r>
          </w:p>
        </w:tc>
        <w:tc>
          <w:tcPr>
            <w:tcW w:w="348" w:type="pct"/>
            <w:tcBorders>
              <w:top w:val="single" w:sz="4" w:space="0" w:color="auto"/>
              <w:left w:val="nil"/>
              <w:bottom w:val="nil"/>
              <w:right w:val="nil"/>
            </w:tcBorders>
            <w:shd w:val="clear" w:color="auto" w:fill="auto"/>
            <w:noWrap/>
            <w:hideMark/>
          </w:tcPr>
          <w:p w:rsidR="00F17BAA" w:rsidRPr="00F17BAA" w:rsidRDefault="00F17BAA" w:rsidP="00F17BAA">
            <w:pPr>
              <w:jc w:val="right"/>
              <w:rPr>
                <w:b/>
                <w:bCs/>
                <w:snapToGrid/>
                <w:color w:val="000000"/>
                <w:sz w:val="14"/>
                <w:szCs w:val="14"/>
                <w:lang w:eastAsia="en-AU"/>
              </w:rPr>
            </w:pPr>
            <w:r w:rsidRPr="00F17BAA">
              <w:rPr>
                <w:b/>
                <w:bCs/>
                <w:snapToGrid/>
                <w:color w:val="000000"/>
                <w:sz w:val="14"/>
                <w:szCs w:val="14"/>
                <w:lang w:eastAsia="en-AU"/>
              </w:rPr>
              <w:t>3,536</w:t>
            </w:r>
          </w:p>
        </w:tc>
        <w:tc>
          <w:tcPr>
            <w:tcW w:w="348" w:type="pct"/>
            <w:tcBorders>
              <w:top w:val="single" w:sz="4" w:space="0" w:color="auto"/>
              <w:left w:val="nil"/>
              <w:bottom w:val="nil"/>
              <w:right w:val="nil"/>
            </w:tcBorders>
            <w:shd w:val="clear" w:color="auto" w:fill="auto"/>
            <w:noWrap/>
            <w:hideMark/>
          </w:tcPr>
          <w:p w:rsidR="00F17BAA" w:rsidRPr="00F17BAA" w:rsidRDefault="00F17BAA" w:rsidP="00F17BAA">
            <w:pPr>
              <w:jc w:val="right"/>
              <w:rPr>
                <w:b/>
                <w:bCs/>
                <w:snapToGrid/>
                <w:color w:val="000000"/>
                <w:sz w:val="14"/>
                <w:szCs w:val="14"/>
                <w:lang w:eastAsia="en-AU"/>
              </w:rPr>
            </w:pPr>
            <w:r w:rsidRPr="00F17BAA">
              <w:rPr>
                <w:b/>
                <w:bCs/>
                <w:snapToGrid/>
                <w:color w:val="000000"/>
                <w:sz w:val="14"/>
                <w:szCs w:val="14"/>
                <w:lang w:eastAsia="en-AU"/>
              </w:rPr>
              <w:t>45,678</w:t>
            </w:r>
          </w:p>
        </w:tc>
        <w:tc>
          <w:tcPr>
            <w:tcW w:w="223" w:type="pct"/>
            <w:tcBorders>
              <w:top w:val="single" w:sz="4" w:space="0" w:color="auto"/>
              <w:left w:val="nil"/>
              <w:bottom w:val="nil"/>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 </w:t>
            </w:r>
          </w:p>
        </w:tc>
        <w:tc>
          <w:tcPr>
            <w:tcW w:w="207" w:type="pct"/>
            <w:tcBorders>
              <w:top w:val="single" w:sz="4" w:space="0" w:color="auto"/>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0.1%</w:t>
            </w:r>
          </w:p>
        </w:tc>
        <w:tc>
          <w:tcPr>
            <w:tcW w:w="266" w:type="pct"/>
            <w:tcBorders>
              <w:top w:val="single" w:sz="4" w:space="0" w:color="auto"/>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1.6%</w:t>
            </w:r>
          </w:p>
        </w:tc>
        <w:tc>
          <w:tcPr>
            <w:tcW w:w="261" w:type="pct"/>
            <w:tcBorders>
              <w:top w:val="single" w:sz="4" w:space="0" w:color="auto"/>
              <w:left w:val="nil"/>
              <w:bottom w:val="nil"/>
              <w:right w:val="nil"/>
            </w:tcBorders>
            <w:shd w:val="clear" w:color="auto" w:fill="auto"/>
            <w:noWrap/>
            <w:hideMark/>
          </w:tcPr>
          <w:p w:rsidR="00F17BAA" w:rsidRPr="00F17BAA" w:rsidRDefault="00F17BAA" w:rsidP="00F17BAA">
            <w:pPr>
              <w:rPr>
                <w:b/>
                <w:bCs/>
                <w:snapToGrid/>
                <w:color w:val="000000"/>
                <w:sz w:val="14"/>
                <w:szCs w:val="14"/>
                <w:lang w:eastAsia="en-AU"/>
              </w:rPr>
            </w:pPr>
            <w:r w:rsidRPr="00F17BAA">
              <w:rPr>
                <w:b/>
                <w:bCs/>
                <w:snapToGrid/>
                <w:color w:val="000000"/>
                <w:sz w:val="14"/>
                <w:szCs w:val="14"/>
                <w:lang w:eastAsia="en-AU"/>
              </w:rPr>
              <w:t> </w:t>
            </w:r>
          </w:p>
        </w:tc>
        <w:tc>
          <w:tcPr>
            <w:tcW w:w="262" w:type="pct"/>
            <w:tcBorders>
              <w:top w:val="single" w:sz="4" w:space="0" w:color="auto"/>
              <w:left w:val="nil"/>
              <w:bottom w:val="nil"/>
              <w:right w:val="nil"/>
            </w:tcBorders>
            <w:shd w:val="clear" w:color="auto" w:fill="auto"/>
            <w:noWrap/>
            <w:hideMark/>
          </w:tcPr>
          <w:p w:rsidR="00F17BAA" w:rsidRPr="00F17BAA" w:rsidRDefault="00F17BAA" w:rsidP="00F17BAA">
            <w:pPr>
              <w:rPr>
                <w:b/>
                <w:bCs/>
                <w:snapToGrid/>
                <w:color w:val="000000"/>
                <w:sz w:val="14"/>
                <w:szCs w:val="14"/>
                <w:lang w:eastAsia="en-AU"/>
              </w:rPr>
            </w:pPr>
            <w:r w:rsidRPr="00F17BAA">
              <w:rPr>
                <w:b/>
                <w:bCs/>
                <w:snapToGrid/>
                <w:color w:val="000000"/>
                <w:sz w:val="14"/>
                <w:szCs w:val="14"/>
                <w:lang w:eastAsia="en-AU"/>
              </w:rPr>
              <w:t> </w:t>
            </w:r>
          </w:p>
        </w:tc>
      </w:tr>
      <w:tr w:rsidR="00F17BAA" w:rsidRPr="00F17BAA" w:rsidTr="00F17BAA">
        <w:trPr>
          <w:trHeight w:val="204"/>
        </w:trPr>
        <w:tc>
          <w:tcPr>
            <w:tcW w:w="269" w:type="pct"/>
            <w:tcBorders>
              <w:top w:val="nil"/>
              <w:left w:val="nil"/>
              <w:bottom w:val="nil"/>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 xml:space="preserve">in </w:t>
            </w:r>
          </w:p>
        </w:tc>
        <w:tc>
          <w:tcPr>
            <w:tcW w:w="487" w:type="pct"/>
            <w:gridSpan w:val="2"/>
            <w:tcBorders>
              <w:top w:val="nil"/>
              <w:left w:val="nil"/>
              <w:bottom w:val="nil"/>
              <w:right w:val="nil"/>
            </w:tcBorders>
            <w:shd w:val="clear" w:color="auto" w:fill="auto"/>
            <w:noWrap/>
            <w:hideMark/>
          </w:tcPr>
          <w:p w:rsidR="00F17BAA" w:rsidRPr="00F17BAA" w:rsidRDefault="00F17BAA" w:rsidP="00F17BAA">
            <w:pPr>
              <w:rPr>
                <w:b/>
                <w:bCs/>
                <w:snapToGrid/>
                <w:color w:val="000000"/>
                <w:sz w:val="14"/>
                <w:szCs w:val="14"/>
                <w:lang w:eastAsia="en-AU"/>
              </w:rPr>
            </w:pPr>
            <w:r w:rsidRPr="00F17BAA">
              <w:rPr>
                <w:b/>
                <w:bCs/>
                <w:snapToGrid/>
                <w:color w:val="000000"/>
                <w:sz w:val="14"/>
                <w:szCs w:val="14"/>
                <w:lang w:eastAsia="en-AU"/>
              </w:rPr>
              <w:t>All DRGs</w:t>
            </w:r>
          </w:p>
        </w:tc>
        <w:tc>
          <w:tcPr>
            <w:tcW w:w="1283" w:type="pct"/>
            <w:tcBorders>
              <w:top w:val="nil"/>
              <w:left w:val="nil"/>
              <w:bottom w:val="nil"/>
              <w:right w:val="nil"/>
            </w:tcBorders>
            <w:shd w:val="clear" w:color="auto" w:fill="auto"/>
            <w:hideMark/>
          </w:tcPr>
          <w:p w:rsidR="00F17BAA" w:rsidRPr="00F17BAA" w:rsidRDefault="00F17BAA" w:rsidP="00F17BAA">
            <w:pPr>
              <w:rPr>
                <w:b/>
                <w:bCs/>
                <w:snapToGrid/>
                <w:color w:val="000000"/>
                <w:sz w:val="14"/>
                <w:szCs w:val="14"/>
                <w:lang w:eastAsia="en-AU"/>
              </w:rPr>
            </w:pPr>
          </w:p>
        </w:tc>
        <w:tc>
          <w:tcPr>
            <w:tcW w:w="263" w:type="pct"/>
            <w:tcBorders>
              <w:top w:val="nil"/>
              <w:left w:val="nil"/>
              <w:bottom w:val="nil"/>
              <w:right w:val="nil"/>
            </w:tcBorders>
            <w:shd w:val="clear" w:color="000000" w:fill="F4CACA"/>
            <w:noWrap/>
            <w:hideMark/>
          </w:tcPr>
          <w:p w:rsidR="00F17BAA" w:rsidRPr="00F17BAA" w:rsidRDefault="00F17BAA" w:rsidP="00F17BAA">
            <w:pPr>
              <w:jc w:val="right"/>
              <w:rPr>
                <w:b/>
                <w:bCs/>
                <w:snapToGrid/>
                <w:color w:val="000000"/>
                <w:sz w:val="14"/>
                <w:szCs w:val="14"/>
                <w:lang w:eastAsia="en-AU"/>
              </w:rPr>
            </w:pPr>
            <w:r w:rsidRPr="00F17BAA">
              <w:rPr>
                <w:b/>
                <w:bCs/>
                <w:snapToGrid/>
                <w:color w:val="000000"/>
                <w:sz w:val="14"/>
                <w:szCs w:val="14"/>
                <w:lang w:eastAsia="en-AU"/>
              </w:rPr>
              <w:t>2.4</w:t>
            </w:r>
          </w:p>
        </w:tc>
        <w:tc>
          <w:tcPr>
            <w:tcW w:w="263" w:type="pct"/>
            <w:tcBorders>
              <w:top w:val="nil"/>
              <w:left w:val="nil"/>
              <w:bottom w:val="nil"/>
              <w:right w:val="nil"/>
            </w:tcBorders>
            <w:shd w:val="clear" w:color="auto" w:fill="auto"/>
            <w:noWrap/>
            <w:hideMark/>
          </w:tcPr>
          <w:p w:rsidR="00F17BAA" w:rsidRPr="00F17BAA" w:rsidRDefault="00F17BAA" w:rsidP="00F17BAA">
            <w:pPr>
              <w:jc w:val="right"/>
              <w:rPr>
                <w:b/>
                <w:bCs/>
                <w:snapToGrid/>
                <w:color w:val="000000"/>
                <w:sz w:val="14"/>
                <w:szCs w:val="14"/>
                <w:lang w:eastAsia="en-AU"/>
              </w:rPr>
            </w:pPr>
          </w:p>
        </w:tc>
        <w:tc>
          <w:tcPr>
            <w:tcW w:w="257" w:type="pct"/>
            <w:tcBorders>
              <w:top w:val="nil"/>
              <w:left w:val="nil"/>
              <w:bottom w:val="nil"/>
              <w:right w:val="nil"/>
            </w:tcBorders>
            <w:shd w:val="clear" w:color="auto" w:fill="auto"/>
            <w:noWrap/>
            <w:hideMark/>
          </w:tcPr>
          <w:p w:rsidR="00F17BAA" w:rsidRPr="00F17BAA" w:rsidRDefault="00F17BAA" w:rsidP="00F17BAA">
            <w:pPr>
              <w:rPr>
                <w:rFonts w:ascii="Times New Roman" w:hAnsi="Times New Roman" w:cs="Times New Roman"/>
                <w:snapToGrid/>
                <w:sz w:val="14"/>
                <w:szCs w:val="14"/>
                <w:lang w:eastAsia="en-AU"/>
              </w:rPr>
            </w:pPr>
          </w:p>
        </w:tc>
        <w:tc>
          <w:tcPr>
            <w:tcW w:w="263" w:type="pct"/>
            <w:tcBorders>
              <w:top w:val="nil"/>
              <w:left w:val="nil"/>
              <w:bottom w:val="nil"/>
              <w:right w:val="nil"/>
            </w:tcBorders>
            <w:shd w:val="clear" w:color="auto" w:fill="auto"/>
            <w:noWrap/>
            <w:hideMark/>
          </w:tcPr>
          <w:p w:rsidR="00F17BAA" w:rsidRPr="00F17BAA" w:rsidRDefault="00F17BAA" w:rsidP="00F17BAA">
            <w:pPr>
              <w:jc w:val="right"/>
              <w:rPr>
                <w:b/>
                <w:bCs/>
                <w:snapToGrid/>
                <w:color w:val="000000"/>
                <w:sz w:val="14"/>
                <w:szCs w:val="14"/>
                <w:lang w:eastAsia="en-AU"/>
              </w:rPr>
            </w:pPr>
            <w:r w:rsidRPr="00F17BAA">
              <w:rPr>
                <w:b/>
                <w:bCs/>
                <w:snapToGrid/>
                <w:color w:val="000000"/>
                <w:sz w:val="14"/>
                <w:szCs w:val="14"/>
                <w:lang w:eastAsia="en-AU"/>
              </w:rPr>
              <w:t>1.00</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b/>
                <w:bCs/>
                <w:snapToGrid/>
                <w:color w:val="000000"/>
                <w:sz w:val="14"/>
                <w:szCs w:val="14"/>
                <w:lang w:eastAsia="en-AU"/>
              </w:rPr>
            </w:pPr>
            <w:r w:rsidRPr="00F17BAA">
              <w:rPr>
                <w:b/>
                <w:bCs/>
                <w:snapToGrid/>
                <w:color w:val="000000"/>
                <w:sz w:val="14"/>
                <w:szCs w:val="14"/>
                <w:lang w:eastAsia="en-AU"/>
              </w:rPr>
              <w:t>2,827,996</w:t>
            </w:r>
          </w:p>
        </w:tc>
        <w:tc>
          <w:tcPr>
            <w:tcW w:w="348" w:type="pct"/>
            <w:tcBorders>
              <w:top w:val="nil"/>
              <w:left w:val="nil"/>
              <w:bottom w:val="nil"/>
              <w:right w:val="nil"/>
            </w:tcBorders>
            <w:shd w:val="clear" w:color="auto" w:fill="auto"/>
            <w:noWrap/>
            <w:hideMark/>
          </w:tcPr>
          <w:p w:rsidR="00F17BAA" w:rsidRPr="00F17BAA" w:rsidRDefault="00F17BAA" w:rsidP="00F17BAA">
            <w:pPr>
              <w:jc w:val="right"/>
              <w:rPr>
                <w:b/>
                <w:bCs/>
                <w:snapToGrid/>
                <w:color w:val="000000"/>
                <w:sz w:val="14"/>
                <w:szCs w:val="14"/>
                <w:lang w:eastAsia="en-AU"/>
              </w:rPr>
            </w:pPr>
            <w:r w:rsidRPr="00F17BAA">
              <w:rPr>
                <w:b/>
                <w:bCs/>
                <w:snapToGrid/>
                <w:color w:val="000000"/>
                <w:sz w:val="14"/>
                <w:szCs w:val="14"/>
                <w:lang w:eastAsia="en-AU"/>
              </w:rPr>
              <w:t>2,827,996</w:t>
            </w:r>
          </w:p>
        </w:tc>
        <w:tc>
          <w:tcPr>
            <w:tcW w:w="223" w:type="pct"/>
            <w:tcBorders>
              <w:top w:val="nil"/>
              <w:left w:val="nil"/>
              <w:bottom w:val="nil"/>
              <w:right w:val="nil"/>
            </w:tcBorders>
            <w:shd w:val="clear" w:color="auto" w:fill="auto"/>
            <w:noWrap/>
            <w:hideMark/>
          </w:tcPr>
          <w:p w:rsidR="00F17BAA" w:rsidRPr="00F17BAA" w:rsidRDefault="00F17BAA" w:rsidP="00F17BAA">
            <w:pPr>
              <w:jc w:val="right"/>
              <w:rPr>
                <w:b/>
                <w:bCs/>
                <w:snapToGrid/>
                <w:color w:val="000000"/>
                <w:sz w:val="14"/>
                <w:szCs w:val="14"/>
                <w:lang w:eastAsia="en-AU"/>
              </w:rPr>
            </w:pPr>
          </w:p>
        </w:tc>
        <w:tc>
          <w:tcPr>
            <w:tcW w:w="207"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100%</w:t>
            </w:r>
          </w:p>
        </w:tc>
        <w:tc>
          <w:tcPr>
            <w:tcW w:w="266"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r w:rsidRPr="00F17BAA">
              <w:rPr>
                <w:snapToGrid/>
                <w:color w:val="000000"/>
                <w:sz w:val="14"/>
                <w:szCs w:val="14"/>
                <w:lang w:eastAsia="en-AU"/>
              </w:rPr>
              <w:t>100%</w:t>
            </w:r>
          </w:p>
        </w:tc>
        <w:tc>
          <w:tcPr>
            <w:tcW w:w="261" w:type="pct"/>
            <w:tcBorders>
              <w:top w:val="nil"/>
              <w:left w:val="nil"/>
              <w:bottom w:val="nil"/>
              <w:right w:val="nil"/>
            </w:tcBorders>
            <w:shd w:val="clear" w:color="auto" w:fill="auto"/>
            <w:noWrap/>
            <w:hideMark/>
          </w:tcPr>
          <w:p w:rsidR="00F17BAA" w:rsidRPr="00F17BAA" w:rsidRDefault="00F17BAA" w:rsidP="00F17BAA">
            <w:pPr>
              <w:jc w:val="right"/>
              <w:rPr>
                <w:snapToGrid/>
                <w:color w:val="000000"/>
                <w:sz w:val="14"/>
                <w:szCs w:val="14"/>
                <w:lang w:eastAsia="en-AU"/>
              </w:rPr>
            </w:pPr>
          </w:p>
        </w:tc>
        <w:tc>
          <w:tcPr>
            <w:tcW w:w="262" w:type="pct"/>
            <w:tcBorders>
              <w:top w:val="nil"/>
              <w:left w:val="nil"/>
              <w:bottom w:val="nil"/>
              <w:right w:val="nil"/>
            </w:tcBorders>
            <w:shd w:val="clear" w:color="auto" w:fill="auto"/>
            <w:noWrap/>
            <w:hideMark/>
          </w:tcPr>
          <w:p w:rsidR="00F17BAA" w:rsidRPr="00F17BAA" w:rsidRDefault="00F17BAA" w:rsidP="00F17BAA">
            <w:pPr>
              <w:rPr>
                <w:rFonts w:ascii="Times New Roman" w:hAnsi="Times New Roman" w:cs="Times New Roman"/>
                <w:snapToGrid/>
                <w:sz w:val="14"/>
                <w:szCs w:val="14"/>
                <w:lang w:eastAsia="en-AU"/>
              </w:rPr>
            </w:pPr>
          </w:p>
        </w:tc>
      </w:tr>
      <w:tr w:rsidR="00F17BAA" w:rsidRPr="00F17BAA" w:rsidTr="00F17BAA">
        <w:trPr>
          <w:trHeight w:val="204"/>
        </w:trPr>
        <w:tc>
          <w:tcPr>
            <w:tcW w:w="269" w:type="pct"/>
            <w:tcBorders>
              <w:top w:val="nil"/>
              <w:left w:val="nil"/>
              <w:bottom w:val="single" w:sz="4" w:space="0" w:color="auto"/>
              <w:right w:val="nil"/>
            </w:tcBorders>
            <w:shd w:val="clear" w:color="auto" w:fill="auto"/>
            <w:noWrap/>
            <w:hideMark/>
          </w:tcPr>
          <w:p w:rsidR="00F17BAA" w:rsidRPr="00F17BAA" w:rsidRDefault="00F17BAA" w:rsidP="00F17BAA">
            <w:pPr>
              <w:jc w:val="center"/>
              <w:rPr>
                <w:snapToGrid/>
                <w:color w:val="000000"/>
                <w:sz w:val="14"/>
                <w:szCs w:val="14"/>
                <w:lang w:eastAsia="en-AU"/>
              </w:rPr>
            </w:pPr>
            <w:r w:rsidRPr="00F17BAA">
              <w:rPr>
                <w:snapToGrid/>
                <w:color w:val="000000"/>
                <w:sz w:val="14"/>
                <w:szCs w:val="14"/>
                <w:lang w:eastAsia="en-AU"/>
              </w:rPr>
              <w:t>Top 20</w:t>
            </w:r>
          </w:p>
        </w:tc>
        <w:tc>
          <w:tcPr>
            <w:tcW w:w="1770" w:type="pct"/>
            <w:gridSpan w:val="3"/>
            <w:tcBorders>
              <w:top w:val="nil"/>
              <w:left w:val="nil"/>
              <w:bottom w:val="single" w:sz="4" w:space="0" w:color="auto"/>
              <w:right w:val="nil"/>
            </w:tcBorders>
            <w:shd w:val="clear" w:color="auto" w:fill="auto"/>
            <w:noWrap/>
            <w:hideMark/>
          </w:tcPr>
          <w:p w:rsidR="00F17BAA" w:rsidRPr="00F17BAA" w:rsidRDefault="00F17BAA" w:rsidP="00F17BAA">
            <w:pPr>
              <w:rPr>
                <w:b/>
                <w:bCs/>
                <w:snapToGrid/>
                <w:color w:val="000000"/>
                <w:sz w:val="14"/>
                <w:szCs w:val="14"/>
                <w:lang w:eastAsia="en-AU"/>
              </w:rPr>
            </w:pPr>
            <w:r w:rsidRPr="00F17BAA">
              <w:rPr>
                <w:b/>
                <w:bCs/>
                <w:snapToGrid/>
                <w:color w:val="000000"/>
                <w:sz w:val="14"/>
                <w:szCs w:val="14"/>
                <w:lang w:eastAsia="en-AU"/>
              </w:rPr>
              <w:t>Top 20 cost-weighted separations, % of all DRGs</w:t>
            </w:r>
          </w:p>
        </w:tc>
        <w:tc>
          <w:tcPr>
            <w:tcW w:w="263" w:type="pct"/>
            <w:tcBorders>
              <w:top w:val="nil"/>
              <w:left w:val="nil"/>
              <w:bottom w:val="single" w:sz="4" w:space="0" w:color="auto"/>
              <w:right w:val="nil"/>
            </w:tcBorders>
            <w:shd w:val="clear" w:color="000000" w:fill="F4CACA"/>
            <w:noWrap/>
            <w:hideMark/>
          </w:tcPr>
          <w:p w:rsidR="00F17BAA" w:rsidRPr="00F17BAA" w:rsidRDefault="00F17BAA" w:rsidP="00F17BAA">
            <w:pPr>
              <w:rPr>
                <w:b/>
                <w:bCs/>
                <w:snapToGrid/>
                <w:color w:val="000000"/>
                <w:sz w:val="14"/>
                <w:szCs w:val="14"/>
                <w:lang w:eastAsia="en-AU"/>
              </w:rPr>
            </w:pPr>
            <w:r w:rsidRPr="00F17BAA">
              <w:rPr>
                <w:b/>
                <w:bCs/>
                <w:snapToGrid/>
                <w:color w:val="000000"/>
                <w:sz w:val="14"/>
                <w:szCs w:val="14"/>
                <w:lang w:eastAsia="en-AU"/>
              </w:rPr>
              <w:t> </w:t>
            </w:r>
          </w:p>
        </w:tc>
        <w:tc>
          <w:tcPr>
            <w:tcW w:w="263" w:type="pct"/>
            <w:tcBorders>
              <w:top w:val="nil"/>
              <w:left w:val="nil"/>
              <w:bottom w:val="single" w:sz="4" w:space="0" w:color="auto"/>
              <w:right w:val="nil"/>
            </w:tcBorders>
            <w:shd w:val="clear" w:color="auto" w:fill="auto"/>
            <w:noWrap/>
            <w:hideMark/>
          </w:tcPr>
          <w:p w:rsidR="00F17BAA" w:rsidRPr="00F17BAA" w:rsidRDefault="00F17BAA" w:rsidP="00F17BAA">
            <w:pPr>
              <w:rPr>
                <w:b/>
                <w:bCs/>
                <w:snapToGrid/>
                <w:color w:val="000000"/>
                <w:sz w:val="14"/>
                <w:szCs w:val="14"/>
                <w:lang w:eastAsia="en-AU"/>
              </w:rPr>
            </w:pPr>
            <w:r w:rsidRPr="00F17BAA">
              <w:rPr>
                <w:b/>
                <w:bCs/>
                <w:snapToGrid/>
                <w:color w:val="000000"/>
                <w:sz w:val="14"/>
                <w:szCs w:val="14"/>
                <w:lang w:eastAsia="en-AU"/>
              </w:rPr>
              <w:t> </w:t>
            </w:r>
          </w:p>
        </w:tc>
        <w:tc>
          <w:tcPr>
            <w:tcW w:w="257" w:type="pct"/>
            <w:tcBorders>
              <w:top w:val="nil"/>
              <w:left w:val="nil"/>
              <w:bottom w:val="single" w:sz="4" w:space="0" w:color="auto"/>
              <w:right w:val="nil"/>
            </w:tcBorders>
            <w:shd w:val="clear" w:color="auto" w:fill="auto"/>
            <w:noWrap/>
            <w:hideMark/>
          </w:tcPr>
          <w:p w:rsidR="00F17BAA" w:rsidRPr="00F17BAA" w:rsidRDefault="00F17BAA" w:rsidP="00F17BAA">
            <w:pPr>
              <w:rPr>
                <w:b/>
                <w:bCs/>
                <w:snapToGrid/>
                <w:color w:val="000000"/>
                <w:sz w:val="14"/>
                <w:szCs w:val="14"/>
                <w:lang w:eastAsia="en-AU"/>
              </w:rPr>
            </w:pPr>
            <w:r w:rsidRPr="00F17BAA">
              <w:rPr>
                <w:b/>
                <w:bCs/>
                <w:snapToGrid/>
                <w:color w:val="000000"/>
                <w:sz w:val="14"/>
                <w:szCs w:val="14"/>
                <w:lang w:eastAsia="en-AU"/>
              </w:rPr>
              <w:t> </w:t>
            </w:r>
          </w:p>
        </w:tc>
        <w:tc>
          <w:tcPr>
            <w:tcW w:w="263" w:type="pct"/>
            <w:tcBorders>
              <w:top w:val="nil"/>
              <w:left w:val="nil"/>
              <w:bottom w:val="single" w:sz="4" w:space="0" w:color="auto"/>
              <w:right w:val="nil"/>
            </w:tcBorders>
            <w:shd w:val="clear" w:color="auto" w:fill="auto"/>
            <w:noWrap/>
            <w:hideMark/>
          </w:tcPr>
          <w:p w:rsidR="00F17BAA" w:rsidRPr="00F17BAA" w:rsidRDefault="00F17BAA" w:rsidP="00F17BAA">
            <w:pPr>
              <w:rPr>
                <w:b/>
                <w:bCs/>
                <w:snapToGrid/>
                <w:color w:val="000000"/>
                <w:sz w:val="14"/>
                <w:szCs w:val="14"/>
                <w:lang w:eastAsia="en-AU"/>
              </w:rPr>
            </w:pPr>
            <w:r w:rsidRPr="00F17BAA">
              <w:rPr>
                <w:b/>
                <w:bCs/>
                <w:snapToGrid/>
                <w:color w:val="000000"/>
                <w:sz w:val="14"/>
                <w:szCs w:val="14"/>
                <w:lang w:eastAsia="en-AU"/>
              </w:rPr>
              <w:t> </w:t>
            </w:r>
          </w:p>
        </w:tc>
        <w:tc>
          <w:tcPr>
            <w:tcW w:w="348" w:type="pct"/>
            <w:tcBorders>
              <w:top w:val="nil"/>
              <w:left w:val="nil"/>
              <w:bottom w:val="single" w:sz="4" w:space="0" w:color="auto"/>
              <w:right w:val="nil"/>
            </w:tcBorders>
            <w:shd w:val="clear" w:color="auto" w:fill="auto"/>
            <w:noWrap/>
            <w:hideMark/>
          </w:tcPr>
          <w:p w:rsidR="00F17BAA" w:rsidRPr="00F17BAA" w:rsidRDefault="00F17BAA" w:rsidP="00F17BAA">
            <w:pPr>
              <w:jc w:val="right"/>
              <w:rPr>
                <w:b/>
                <w:bCs/>
                <w:snapToGrid/>
                <w:color w:val="000000"/>
                <w:sz w:val="14"/>
                <w:szCs w:val="14"/>
                <w:lang w:eastAsia="en-AU"/>
              </w:rPr>
            </w:pPr>
            <w:r w:rsidRPr="00F17BAA">
              <w:rPr>
                <w:b/>
                <w:bCs/>
                <w:snapToGrid/>
                <w:color w:val="000000"/>
                <w:sz w:val="14"/>
                <w:szCs w:val="14"/>
                <w:lang w:eastAsia="en-AU"/>
              </w:rPr>
              <w:t>0.1%</w:t>
            </w:r>
          </w:p>
        </w:tc>
        <w:tc>
          <w:tcPr>
            <w:tcW w:w="348" w:type="pct"/>
            <w:tcBorders>
              <w:top w:val="nil"/>
              <w:left w:val="nil"/>
              <w:bottom w:val="single" w:sz="4" w:space="0" w:color="auto"/>
              <w:right w:val="nil"/>
            </w:tcBorders>
            <w:shd w:val="clear" w:color="auto" w:fill="auto"/>
            <w:noWrap/>
            <w:hideMark/>
          </w:tcPr>
          <w:p w:rsidR="00F17BAA" w:rsidRPr="00F17BAA" w:rsidRDefault="00F17BAA" w:rsidP="00F17BAA">
            <w:pPr>
              <w:jc w:val="right"/>
              <w:rPr>
                <w:b/>
                <w:bCs/>
                <w:snapToGrid/>
                <w:color w:val="000000"/>
                <w:sz w:val="14"/>
                <w:szCs w:val="14"/>
                <w:lang w:eastAsia="en-AU"/>
              </w:rPr>
            </w:pPr>
            <w:r w:rsidRPr="00F17BAA">
              <w:rPr>
                <w:b/>
                <w:bCs/>
                <w:snapToGrid/>
                <w:color w:val="000000"/>
                <w:sz w:val="14"/>
                <w:szCs w:val="14"/>
                <w:lang w:eastAsia="en-AU"/>
              </w:rPr>
              <w:t>1.6%</w:t>
            </w:r>
          </w:p>
        </w:tc>
        <w:tc>
          <w:tcPr>
            <w:tcW w:w="223" w:type="pct"/>
            <w:tcBorders>
              <w:top w:val="nil"/>
              <w:left w:val="nil"/>
              <w:bottom w:val="single" w:sz="4" w:space="0" w:color="auto"/>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 </w:t>
            </w:r>
          </w:p>
        </w:tc>
        <w:tc>
          <w:tcPr>
            <w:tcW w:w="207" w:type="pct"/>
            <w:tcBorders>
              <w:top w:val="nil"/>
              <w:left w:val="nil"/>
              <w:bottom w:val="single" w:sz="4" w:space="0" w:color="auto"/>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 </w:t>
            </w:r>
          </w:p>
        </w:tc>
        <w:tc>
          <w:tcPr>
            <w:tcW w:w="266" w:type="pct"/>
            <w:tcBorders>
              <w:top w:val="nil"/>
              <w:left w:val="nil"/>
              <w:bottom w:val="single" w:sz="4" w:space="0" w:color="auto"/>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 </w:t>
            </w:r>
          </w:p>
        </w:tc>
        <w:tc>
          <w:tcPr>
            <w:tcW w:w="261" w:type="pct"/>
            <w:tcBorders>
              <w:top w:val="nil"/>
              <w:left w:val="nil"/>
              <w:bottom w:val="single" w:sz="4" w:space="0" w:color="auto"/>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 </w:t>
            </w:r>
          </w:p>
        </w:tc>
        <w:tc>
          <w:tcPr>
            <w:tcW w:w="262" w:type="pct"/>
            <w:tcBorders>
              <w:top w:val="nil"/>
              <w:left w:val="nil"/>
              <w:bottom w:val="single" w:sz="4" w:space="0" w:color="auto"/>
              <w:right w:val="nil"/>
            </w:tcBorders>
            <w:shd w:val="clear" w:color="auto" w:fill="auto"/>
            <w:noWrap/>
            <w:hideMark/>
          </w:tcPr>
          <w:p w:rsidR="00F17BAA" w:rsidRPr="00F17BAA" w:rsidRDefault="00F17BAA" w:rsidP="00F17BAA">
            <w:pPr>
              <w:rPr>
                <w:snapToGrid/>
                <w:color w:val="000000"/>
                <w:sz w:val="14"/>
                <w:szCs w:val="14"/>
                <w:lang w:eastAsia="en-AU"/>
              </w:rPr>
            </w:pPr>
            <w:r w:rsidRPr="00F17BAA">
              <w:rPr>
                <w:snapToGrid/>
                <w:color w:val="000000"/>
                <w:sz w:val="14"/>
                <w:szCs w:val="14"/>
                <w:lang w:eastAsia="en-AU"/>
              </w:rPr>
              <w:t> </w:t>
            </w:r>
          </w:p>
        </w:tc>
      </w:tr>
    </w:tbl>
    <w:p w:rsidR="004C4F58" w:rsidRPr="000051B6" w:rsidRDefault="004F02A5" w:rsidP="004C4F58">
      <w:pPr>
        <w:rPr>
          <w:sz w:val="16"/>
          <w:szCs w:val="16"/>
        </w:rPr>
      </w:pPr>
      <w:r>
        <w:rPr>
          <w:sz w:val="16"/>
          <w:szCs w:val="16"/>
        </w:rPr>
        <w:t>Notes:</w:t>
      </w:r>
    </w:p>
    <w:p w:rsidR="0001799B" w:rsidRPr="000051B6" w:rsidRDefault="004C4F58">
      <w:pPr>
        <w:rPr>
          <w:rFonts w:asciiTheme="majorHAnsi" w:hAnsiTheme="majorHAnsi"/>
          <w:b/>
          <w:bCs/>
          <w:color w:val="A32020" w:themeColor="text2"/>
        </w:rPr>
      </w:pPr>
      <w:r w:rsidRPr="000051B6">
        <w:rPr>
          <w:sz w:val="16"/>
          <w:szCs w:val="16"/>
        </w:rPr>
        <w:t>ALoS means average length of stay</w:t>
      </w:r>
      <w:r w:rsidR="0001799B" w:rsidRPr="000051B6">
        <w:br w:type="page"/>
      </w:r>
    </w:p>
    <w:p w:rsidR="0001799B" w:rsidRPr="000051B6" w:rsidRDefault="00443BB8" w:rsidP="004F02A5">
      <w:pPr>
        <w:pStyle w:val="Figureheadings"/>
        <w:spacing w:after="240"/>
        <w:rPr>
          <w:lang w:val="en-AU"/>
        </w:rPr>
      </w:pPr>
      <w:bookmarkStart w:id="174" w:name="_Toc435610629"/>
      <w:r>
        <w:rPr>
          <w:lang w:val="en-AU"/>
        </w:rPr>
        <w:lastRenderedPageBreak/>
        <w:t>Figure 6</w:t>
      </w:r>
      <w:r w:rsidR="0001799B" w:rsidRPr="000051B6">
        <w:rPr>
          <w:lang w:val="en-AU"/>
        </w:rPr>
        <w:tab/>
        <w:t>Comparison of top 20 AR-DRGs by ALoS</w:t>
      </w:r>
      <w:bookmarkEnd w:id="174"/>
    </w:p>
    <w:p w:rsidR="00784247" w:rsidRPr="000051B6" w:rsidRDefault="00BB3C2A" w:rsidP="0001799B">
      <w:pPr>
        <w:rPr>
          <w:b/>
        </w:rPr>
      </w:pPr>
      <w:r>
        <w:rPr>
          <w:noProof/>
          <w:snapToGrid/>
          <w:lang w:eastAsia="en-AU"/>
        </w:rPr>
        <mc:AlternateContent>
          <mc:Choice Requires="wps">
            <w:drawing>
              <wp:anchor distT="0" distB="0" distL="114300" distR="114300" simplePos="0" relativeHeight="251694080" behindDoc="0" locked="0" layoutInCell="1" allowOverlap="1" wp14:anchorId="653E7660" wp14:editId="2850267B">
                <wp:simplePos x="0" y="0"/>
                <wp:positionH relativeFrom="column">
                  <wp:posOffset>6154420</wp:posOffset>
                </wp:positionH>
                <wp:positionV relativeFrom="paragraph">
                  <wp:posOffset>662305</wp:posOffset>
                </wp:positionV>
                <wp:extent cx="372533" cy="2360930"/>
                <wp:effectExtent l="19050" t="19050" r="27940" b="20320"/>
                <wp:wrapNone/>
                <wp:docPr id="60" name="Oval 60"/>
                <wp:cNvGraphicFramePr/>
                <a:graphic xmlns:a="http://schemas.openxmlformats.org/drawingml/2006/main">
                  <a:graphicData uri="http://schemas.microsoft.com/office/word/2010/wordprocessingShape">
                    <wps:wsp>
                      <wps:cNvSpPr/>
                      <wps:spPr bwMode="ltGray">
                        <a:xfrm>
                          <a:off x="0" y="0"/>
                          <a:ext cx="372533" cy="2360930"/>
                        </a:xfrm>
                        <a:prstGeom prst="ellips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0" o:spid="_x0000_s1026" style="position:absolute;margin-left:484.6pt;margin-top:52.15pt;width:29.35pt;height:18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" filled="f" strokecolor="#511010 [1604]" strokeweight="3pt"/>
            </w:pict>
          </mc:Fallback>
        </mc:AlternateContent>
      </w:r>
      <w:r w:rsidR="00805489">
        <w:rPr>
          <w:b/>
          <w:noProof/>
          <w:snapToGrid/>
          <w:lang w:eastAsia="en-AU"/>
        </w:rPr>
        <w:drawing>
          <wp:inline distT="0" distB="0" distL="0" distR="0" wp14:anchorId="25E0FBDA" wp14:editId="432A9264">
            <wp:extent cx="7714800" cy="3578400"/>
            <wp:effectExtent l="0" t="0" r="63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714800" cy="3578400"/>
                    </a:xfrm>
                    <a:prstGeom prst="rect">
                      <a:avLst/>
                    </a:prstGeom>
                    <a:noFill/>
                  </pic:spPr>
                </pic:pic>
              </a:graphicData>
            </a:graphic>
          </wp:inline>
        </w:drawing>
      </w:r>
    </w:p>
    <w:p w:rsidR="009358D1" w:rsidRPr="000051B6" w:rsidRDefault="0001799B">
      <w:pPr>
        <w:rPr>
          <w:highlight w:val="yellow"/>
        </w:rPr>
      </w:pPr>
      <w:r w:rsidRPr="000051B6">
        <w:rPr>
          <w:b/>
        </w:rPr>
        <w:t>Note:</w:t>
      </w:r>
      <w:r w:rsidRPr="000051B6">
        <w:t xml:space="preserve"> when a Round 17 bar is missing from the chart, this is because that AR-DRG was masked in Round 17 due to having less than 5 separations or having less than 3 hospitals with that AR-DRG.</w:t>
      </w:r>
      <w:r w:rsidR="009358D1" w:rsidRPr="000051B6">
        <w:rPr>
          <w:highlight w:val="yellow"/>
        </w:rPr>
        <w:br w:type="page"/>
      </w:r>
    </w:p>
    <w:p w:rsidR="009358D1" w:rsidRPr="000051B6" w:rsidRDefault="009358D1">
      <w:pPr>
        <w:rPr>
          <w:highlight w:val="yellow"/>
        </w:rPr>
        <w:sectPr w:rsidR="009358D1" w:rsidRPr="000051B6" w:rsidSect="009549BC">
          <w:pgSz w:w="16840" w:h="11907" w:orient="landscape" w:code="9"/>
          <w:pgMar w:top="1418" w:right="1021" w:bottom="1134" w:left="1021" w:header="567" w:footer="567" w:gutter="0"/>
          <w:cols w:space="227"/>
          <w:docGrid w:linePitch="360"/>
        </w:sectPr>
      </w:pPr>
    </w:p>
    <w:p w:rsidR="00427C15" w:rsidRPr="000051B6" w:rsidRDefault="00427C15" w:rsidP="001222BC">
      <w:pPr>
        <w:pStyle w:val="Heading2"/>
        <w:spacing w:after="240"/>
      </w:pPr>
      <w:bookmarkStart w:id="175" w:name="_Ref433279805"/>
      <w:bookmarkStart w:id="176" w:name="_Ref433279808"/>
      <w:bookmarkStart w:id="177" w:name="_Toc435611230"/>
      <w:r w:rsidRPr="000051B6">
        <w:lastRenderedPageBreak/>
        <w:t>Analysis of cost buckets</w:t>
      </w:r>
      <w:bookmarkEnd w:id="175"/>
      <w:bookmarkEnd w:id="176"/>
      <w:bookmarkEnd w:id="177"/>
    </w:p>
    <w:p w:rsidR="00AE2E92" w:rsidRPr="000051B6" w:rsidRDefault="00427C15" w:rsidP="00AE2E92">
      <w:pPr>
        <w:spacing w:line="276" w:lineRule="auto"/>
      </w:pPr>
      <w:r w:rsidRPr="000051B6">
        <w:t>This section is the analysis of the cost buckets</w:t>
      </w:r>
      <w:r w:rsidR="00AE2E92" w:rsidRPr="000051B6">
        <w:t xml:space="preserve"> by top 20 AR-DRG.  The cost buckets are:</w:t>
      </w:r>
    </w:p>
    <w:p w:rsidR="00AE2E92" w:rsidRPr="000051B6" w:rsidRDefault="00AE2E92" w:rsidP="00C71B05">
      <w:pPr>
        <w:pStyle w:val="ListParagraph"/>
        <w:numPr>
          <w:ilvl w:val="0"/>
          <w:numId w:val="42"/>
        </w:numPr>
        <w:spacing w:line="276" w:lineRule="auto"/>
      </w:pPr>
      <w:r w:rsidRPr="000051B6">
        <w:t>Critical care;</w:t>
      </w:r>
    </w:p>
    <w:p w:rsidR="00AE2E92" w:rsidRPr="000051B6" w:rsidRDefault="00AE2E92" w:rsidP="00C71B05">
      <w:pPr>
        <w:pStyle w:val="ListParagraph"/>
        <w:numPr>
          <w:ilvl w:val="0"/>
          <w:numId w:val="42"/>
        </w:numPr>
        <w:spacing w:line="276" w:lineRule="auto"/>
      </w:pPr>
      <w:r w:rsidRPr="000051B6">
        <w:t>Operating room/Specialised Procedure Suite;</w:t>
      </w:r>
    </w:p>
    <w:p w:rsidR="00AE2E92" w:rsidRPr="000051B6" w:rsidRDefault="00AE2E92" w:rsidP="00C71B05">
      <w:pPr>
        <w:pStyle w:val="ListParagraph"/>
        <w:numPr>
          <w:ilvl w:val="0"/>
          <w:numId w:val="42"/>
        </w:numPr>
        <w:spacing w:line="276" w:lineRule="auto"/>
      </w:pPr>
      <w:r w:rsidRPr="000051B6">
        <w:t>P</w:t>
      </w:r>
      <w:r w:rsidR="00427C15" w:rsidRPr="000051B6">
        <w:t>rostheses</w:t>
      </w:r>
      <w:r w:rsidRPr="000051B6">
        <w:t>;</w:t>
      </w:r>
      <w:r w:rsidR="00427C15" w:rsidRPr="000051B6">
        <w:t xml:space="preserve"> and </w:t>
      </w:r>
    </w:p>
    <w:p w:rsidR="00AE2E92" w:rsidRPr="000051B6" w:rsidRDefault="00AE2E92" w:rsidP="00AE2E92">
      <w:pPr>
        <w:pStyle w:val="ListParagraph"/>
        <w:numPr>
          <w:ilvl w:val="0"/>
          <w:numId w:val="42"/>
        </w:numPr>
        <w:spacing w:line="276" w:lineRule="auto"/>
      </w:pPr>
      <w:r w:rsidRPr="000051B6">
        <w:t>Miscellaneous.</w:t>
      </w:r>
    </w:p>
    <w:p w:rsidR="00AE2E92" w:rsidRPr="000051B6" w:rsidRDefault="00AE2E92" w:rsidP="004F02A5">
      <w:pPr>
        <w:pStyle w:val="Heading3"/>
        <w:spacing w:before="240" w:after="240"/>
      </w:pPr>
      <w:r w:rsidRPr="000051B6">
        <w:t>Overall</w:t>
      </w:r>
      <w:r w:rsidR="00312A2E" w:rsidRPr="000051B6">
        <w:t xml:space="preserve"> cost buckets </w:t>
      </w:r>
      <w:r w:rsidR="003F7DF9" w:rsidRPr="000051B6">
        <w:t>Round 17 compared to Round 18</w:t>
      </w:r>
    </w:p>
    <w:p w:rsidR="00F5775F" w:rsidRDefault="008B7B84" w:rsidP="004F02A5">
      <w:pPr>
        <w:pStyle w:val="BodyText"/>
      </w:pPr>
      <w:r w:rsidRPr="000051B6">
        <w:t>Table 10</w:t>
      </w:r>
      <w:r w:rsidR="003F7DF9" w:rsidRPr="000051B6">
        <w:t xml:space="preserve"> shows the break-down of cost buckets and how they have changed between Rounds.  </w:t>
      </w:r>
    </w:p>
    <w:p w:rsidR="001C0E93" w:rsidRPr="000051B6" w:rsidRDefault="00F5775F" w:rsidP="004F02A5">
      <w:pPr>
        <w:pStyle w:val="BodyText"/>
      </w:pPr>
      <w:r>
        <w:t>As highlighted in table 10 the o</w:t>
      </w:r>
      <w:r w:rsidR="001C0E93" w:rsidRPr="000051B6">
        <w:t xml:space="preserve">perating rooms and specialist procedure suites (OR/SPS) has had the largest movement between Rounds of 2.7%.  A potential reason for this </w:t>
      </w:r>
      <w:r w:rsidR="008A658B" w:rsidRPr="000051B6">
        <w:t>change</w:t>
      </w:r>
      <w:r w:rsidR="001C0E93" w:rsidRPr="000051B6">
        <w:t xml:space="preserve"> is the increased use of participant’s own feeder data and allocation statistics providing more accurate cost allocations, changes in service weights between Rounds and increase in same day theatre related separations.</w:t>
      </w:r>
    </w:p>
    <w:p w:rsidR="00312A2E" w:rsidRPr="000051B6" w:rsidRDefault="003F7DF9" w:rsidP="004F02A5">
      <w:pPr>
        <w:pStyle w:val="BodyText"/>
      </w:pPr>
      <w:r w:rsidRPr="000051B6">
        <w:t xml:space="preserve">For Round 18 there was an increase in </w:t>
      </w:r>
      <w:r w:rsidR="00312A2E" w:rsidRPr="000051B6">
        <w:t xml:space="preserve">participant’s </w:t>
      </w:r>
      <w:r w:rsidRPr="000051B6">
        <w:t xml:space="preserve">providing their </w:t>
      </w:r>
      <w:r w:rsidR="00312A2E" w:rsidRPr="000051B6">
        <w:t>own feeder data</w:t>
      </w:r>
      <w:r w:rsidRPr="000051B6">
        <w:t xml:space="preserve"> to allocate costs to patients and </w:t>
      </w:r>
      <w:r w:rsidR="00312A2E" w:rsidRPr="000051B6">
        <w:t>changes i</w:t>
      </w:r>
      <w:r w:rsidRPr="000051B6">
        <w:t>n service weights between Rounds</w:t>
      </w:r>
      <w:r w:rsidR="00312A2E" w:rsidRPr="000051B6">
        <w:t>.</w:t>
      </w:r>
    </w:p>
    <w:p w:rsidR="00781408" w:rsidRDefault="00312A2E" w:rsidP="004F02A5">
      <w:pPr>
        <w:pStyle w:val="Tablesheadings"/>
        <w:spacing w:after="240"/>
        <w:rPr>
          <w:lang w:val="en-AU"/>
        </w:rPr>
      </w:pPr>
      <w:bookmarkStart w:id="178" w:name="_Toc435610615"/>
      <w:r w:rsidRPr="000051B6">
        <w:rPr>
          <w:lang w:val="en-AU"/>
        </w:rPr>
        <w:t>Table 1</w:t>
      </w:r>
      <w:r w:rsidR="008B7B84" w:rsidRPr="000051B6">
        <w:rPr>
          <w:lang w:val="en-AU"/>
        </w:rPr>
        <w:t>0</w:t>
      </w:r>
      <w:r w:rsidRPr="000051B6">
        <w:rPr>
          <w:lang w:val="en-AU"/>
        </w:rPr>
        <w:t xml:space="preserve">  </w:t>
      </w:r>
      <w:r w:rsidRPr="000051B6">
        <w:rPr>
          <w:lang w:val="en-AU"/>
        </w:rPr>
        <w:tab/>
        <w:t>Overall cost buckets Round 17 compared to Round 1</w:t>
      </w:r>
      <w:r w:rsidR="00443BB8">
        <w:rPr>
          <w:lang w:val="en-AU"/>
        </w:rPr>
        <w:t>8</w:t>
      </w:r>
      <w:bookmarkEnd w:id="178"/>
    </w:p>
    <w:tbl>
      <w:tblPr>
        <w:tblW w:w="8520" w:type="dxa"/>
        <w:tblLook w:val="04A0" w:firstRow="1" w:lastRow="0" w:firstColumn="1" w:lastColumn="0" w:noHBand="0" w:noVBand="1"/>
        <w:tblCaption w:val="Table 10 Overall cost buckets Round 17 compared to Round 18"/>
        <w:tblDescription w:val="Table 10 contains a breakdown of cost by cost-bucket group. There are separate columns for the cost bucket, Round 17 (2012-13), Round 18 (2013-14) and the movement between rounds. The rows are the cost-buckets; Operating Rooms and Specialist Procedure Suites, Critical Care, Prostheses and Miscellaneous and there is a total."/>
      </w:tblPr>
      <w:tblGrid>
        <w:gridCol w:w="4656"/>
        <w:gridCol w:w="1204"/>
        <w:gridCol w:w="1204"/>
        <w:gridCol w:w="1456"/>
      </w:tblGrid>
      <w:tr w:rsidR="00714123" w:rsidRPr="00714123" w:rsidTr="00714123">
        <w:trPr>
          <w:trHeight w:val="276"/>
        </w:trPr>
        <w:tc>
          <w:tcPr>
            <w:tcW w:w="4656" w:type="dxa"/>
            <w:vMerge w:val="restart"/>
            <w:tcBorders>
              <w:top w:val="single" w:sz="4" w:space="0" w:color="auto"/>
              <w:left w:val="nil"/>
              <w:bottom w:val="single" w:sz="8" w:space="0" w:color="000000"/>
              <w:right w:val="nil"/>
            </w:tcBorders>
            <w:shd w:val="clear" w:color="auto" w:fill="auto"/>
            <w:noWrap/>
            <w:hideMark/>
          </w:tcPr>
          <w:p w:rsidR="00714123" w:rsidRPr="00714123" w:rsidRDefault="00714123" w:rsidP="00714123">
            <w:pPr>
              <w:jc w:val="center"/>
              <w:rPr>
                <w:b/>
                <w:bCs/>
                <w:snapToGrid/>
                <w:color w:val="A32020"/>
                <w:sz w:val="18"/>
                <w:szCs w:val="18"/>
                <w:lang w:eastAsia="en-AU"/>
              </w:rPr>
            </w:pPr>
            <w:r w:rsidRPr="00714123">
              <w:rPr>
                <w:b/>
                <w:bCs/>
                <w:snapToGrid/>
                <w:color w:val="A32020"/>
                <w:sz w:val="18"/>
                <w:szCs w:val="18"/>
                <w:lang w:eastAsia="en-AU"/>
              </w:rPr>
              <w:t>Cost Bucket</w:t>
            </w:r>
          </w:p>
        </w:tc>
        <w:tc>
          <w:tcPr>
            <w:tcW w:w="1204" w:type="dxa"/>
            <w:vMerge w:val="restart"/>
            <w:tcBorders>
              <w:top w:val="single" w:sz="4" w:space="0" w:color="auto"/>
              <w:left w:val="nil"/>
              <w:bottom w:val="single" w:sz="8" w:space="0" w:color="000000"/>
              <w:right w:val="nil"/>
            </w:tcBorders>
            <w:shd w:val="clear" w:color="auto" w:fill="auto"/>
            <w:hideMark/>
          </w:tcPr>
          <w:p w:rsidR="00714123" w:rsidRPr="00714123" w:rsidRDefault="00714123" w:rsidP="00714123">
            <w:pPr>
              <w:jc w:val="center"/>
              <w:rPr>
                <w:b/>
                <w:bCs/>
                <w:snapToGrid/>
                <w:color w:val="A32020"/>
                <w:sz w:val="18"/>
                <w:szCs w:val="18"/>
                <w:lang w:eastAsia="en-AU"/>
              </w:rPr>
            </w:pPr>
            <w:r w:rsidRPr="00714123">
              <w:rPr>
                <w:b/>
                <w:bCs/>
                <w:snapToGrid/>
                <w:color w:val="A32020"/>
                <w:sz w:val="18"/>
                <w:szCs w:val="18"/>
                <w:lang w:eastAsia="en-AU"/>
              </w:rPr>
              <w:t>Round 17 2012-13</w:t>
            </w:r>
          </w:p>
        </w:tc>
        <w:tc>
          <w:tcPr>
            <w:tcW w:w="1204" w:type="dxa"/>
            <w:vMerge w:val="restart"/>
            <w:tcBorders>
              <w:top w:val="single" w:sz="4" w:space="0" w:color="auto"/>
              <w:left w:val="nil"/>
              <w:bottom w:val="single" w:sz="8" w:space="0" w:color="000000"/>
              <w:right w:val="nil"/>
            </w:tcBorders>
            <w:shd w:val="clear" w:color="auto" w:fill="auto"/>
            <w:hideMark/>
          </w:tcPr>
          <w:p w:rsidR="00714123" w:rsidRPr="00714123" w:rsidRDefault="00714123" w:rsidP="00714123">
            <w:pPr>
              <w:jc w:val="center"/>
              <w:rPr>
                <w:b/>
                <w:bCs/>
                <w:snapToGrid/>
                <w:color w:val="A32020"/>
                <w:sz w:val="18"/>
                <w:szCs w:val="18"/>
                <w:lang w:eastAsia="en-AU"/>
              </w:rPr>
            </w:pPr>
            <w:r w:rsidRPr="00714123">
              <w:rPr>
                <w:b/>
                <w:bCs/>
                <w:snapToGrid/>
                <w:color w:val="A32020"/>
                <w:sz w:val="18"/>
                <w:szCs w:val="18"/>
                <w:lang w:eastAsia="en-AU"/>
              </w:rPr>
              <w:t>Round 18 2013-14</w:t>
            </w:r>
          </w:p>
        </w:tc>
        <w:tc>
          <w:tcPr>
            <w:tcW w:w="1456" w:type="dxa"/>
            <w:vMerge w:val="restart"/>
            <w:tcBorders>
              <w:top w:val="single" w:sz="4" w:space="0" w:color="auto"/>
              <w:left w:val="nil"/>
              <w:bottom w:val="single" w:sz="8" w:space="0" w:color="000000"/>
              <w:right w:val="nil"/>
            </w:tcBorders>
            <w:shd w:val="clear" w:color="auto" w:fill="auto"/>
            <w:noWrap/>
            <w:hideMark/>
          </w:tcPr>
          <w:p w:rsidR="00714123" w:rsidRPr="00714123" w:rsidRDefault="00714123" w:rsidP="00714123">
            <w:pPr>
              <w:jc w:val="center"/>
              <w:rPr>
                <w:b/>
                <w:bCs/>
                <w:snapToGrid/>
                <w:color w:val="A32020"/>
                <w:sz w:val="18"/>
                <w:szCs w:val="18"/>
                <w:lang w:eastAsia="en-AU"/>
              </w:rPr>
            </w:pPr>
            <w:r w:rsidRPr="00714123">
              <w:rPr>
                <w:b/>
                <w:bCs/>
                <w:snapToGrid/>
                <w:color w:val="A32020"/>
                <w:sz w:val="18"/>
                <w:szCs w:val="18"/>
                <w:lang w:eastAsia="en-AU"/>
              </w:rPr>
              <w:t>Movement</w:t>
            </w:r>
          </w:p>
        </w:tc>
      </w:tr>
      <w:tr w:rsidR="00714123" w:rsidRPr="00714123" w:rsidTr="00714123">
        <w:trPr>
          <w:trHeight w:val="288"/>
        </w:trPr>
        <w:tc>
          <w:tcPr>
            <w:tcW w:w="4656" w:type="dxa"/>
            <w:vMerge/>
            <w:tcBorders>
              <w:top w:val="single" w:sz="4" w:space="0" w:color="auto"/>
              <w:left w:val="nil"/>
              <w:bottom w:val="single" w:sz="8" w:space="0" w:color="000000"/>
              <w:right w:val="nil"/>
            </w:tcBorders>
            <w:vAlign w:val="center"/>
            <w:hideMark/>
          </w:tcPr>
          <w:p w:rsidR="00714123" w:rsidRPr="00714123" w:rsidRDefault="00714123" w:rsidP="00714123">
            <w:pPr>
              <w:rPr>
                <w:b/>
                <w:bCs/>
                <w:snapToGrid/>
                <w:color w:val="A32020"/>
                <w:sz w:val="18"/>
                <w:szCs w:val="18"/>
                <w:lang w:eastAsia="en-AU"/>
              </w:rPr>
            </w:pPr>
          </w:p>
        </w:tc>
        <w:tc>
          <w:tcPr>
            <w:tcW w:w="1204" w:type="dxa"/>
            <w:vMerge/>
            <w:tcBorders>
              <w:top w:val="single" w:sz="4" w:space="0" w:color="auto"/>
              <w:left w:val="nil"/>
              <w:bottom w:val="single" w:sz="8" w:space="0" w:color="000000"/>
              <w:right w:val="nil"/>
            </w:tcBorders>
            <w:vAlign w:val="center"/>
            <w:hideMark/>
          </w:tcPr>
          <w:p w:rsidR="00714123" w:rsidRPr="00714123" w:rsidRDefault="00714123" w:rsidP="00714123">
            <w:pPr>
              <w:rPr>
                <w:b/>
                <w:bCs/>
                <w:snapToGrid/>
                <w:color w:val="A32020"/>
                <w:sz w:val="18"/>
                <w:szCs w:val="18"/>
                <w:lang w:eastAsia="en-AU"/>
              </w:rPr>
            </w:pPr>
          </w:p>
        </w:tc>
        <w:tc>
          <w:tcPr>
            <w:tcW w:w="1204" w:type="dxa"/>
            <w:vMerge/>
            <w:tcBorders>
              <w:top w:val="single" w:sz="4" w:space="0" w:color="auto"/>
              <w:left w:val="nil"/>
              <w:bottom w:val="single" w:sz="8" w:space="0" w:color="000000"/>
              <w:right w:val="nil"/>
            </w:tcBorders>
            <w:vAlign w:val="center"/>
            <w:hideMark/>
          </w:tcPr>
          <w:p w:rsidR="00714123" w:rsidRPr="00714123" w:rsidRDefault="00714123" w:rsidP="00714123">
            <w:pPr>
              <w:rPr>
                <w:b/>
                <w:bCs/>
                <w:snapToGrid/>
                <w:color w:val="A32020"/>
                <w:sz w:val="18"/>
                <w:szCs w:val="18"/>
                <w:lang w:eastAsia="en-AU"/>
              </w:rPr>
            </w:pPr>
          </w:p>
        </w:tc>
        <w:tc>
          <w:tcPr>
            <w:tcW w:w="1456" w:type="dxa"/>
            <w:vMerge/>
            <w:tcBorders>
              <w:top w:val="single" w:sz="4" w:space="0" w:color="auto"/>
              <w:left w:val="nil"/>
              <w:bottom w:val="single" w:sz="8" w:space="0" w:color="000000"/>
              <w:right w:val="nil"/>
            </w:tcBorders>
            <w:vAlign w:val="center"/>
            <w:hideMark/>
          </w:tcPr>
          <w:p w:rsidR="00714123" w:rsidRPr="00714123" w:rsidRDefault="00714123" w:rsidP="00714123">
            <w:pPr>
              <w:rPr>
                <w:b/>
                <w:bCs/>
                <w:snapToGrid/>
                <w:color w:val="A32020"/>
                <w:sz w:val="18"/>
                <w:szCs w:val="18"/>
                <w:lang w:eastAsia="en-AU"/>
              </w:rPr>
            </w:pPr>
          </w:p>
        </w:tc>
      </w:tr>
      <w:tr w:rsidR="00714123" w:rsidRPr="00714123" w:rsidTr="00714123">
        <w:trPr>
          <w:trHeight w:val="276"/>
        </w:trPr>
        <w:tc>
          <w:tcPr>
            <w:tcW w:w="4656" w:type="dxa"/>
            <w:tcBorders>
              <w:top w:val="nil"/>
              <w:left w:val="nil"/>
              <w:bottom w:val="nil"/>
              <w:right w:val="nil"/>
            </w:tcBorders>
            <w:shd w:val="clear" w:color="000000" w:fill="F4CACA"/>
            <w:noWrap/>
            <w:hideMark/>
          </w:tcPr>
          <w:p w:rsidR="00714123" w:rsidRPr="00714123" w:rsidRDefault="00714123" w:rsidP="00714123">
            <w:pPr>
              <w:rPr>
                <w:snapToGrid/>
                <w:color w:val="000000"/>
                <w:sz w:val="18"/>
                <w:szCs w:val="18"/>
                <w:lang w:eastAsia="en-AU"/>
              </w:rPr>
            </w:pPr>
            <w:r w:rsidRPr="00714123">
              <w:rPr>
                <w:snapToGrid/>
                <w:color w:val="000000"/>
                <w:sz w:val="18"/>
                <w:szCs w:val="18"/>
                <w:lang w:eastAsia="en-AU"/>
              </w:rPr>
              <w:t>Operating Rooms and Specialist Procedure Suites</w:t>
            </w:r>
          </w:p>
        </w:tc>
        <w:tc>
          <w:tcPr>
            <w:tcW w:w="1204" w:type="dxa"/>
            <w:tcBorders>
              <w:top w:val="nil"/>
              <w:left w:val="nil"/>
              <w:bottom w:val="nil"/>
              <w:right w:val="nil"/>
            </w:tcBorders>
            <w:shd w:val="clear" w:color="000000" w:fill="F4CACA"/>
            <w:noWrap/>
            <w:hideMark/>
          </w:tcPr>
          <w:p w:rsidR="00714123" w:rsidRPr="00714123" w:rsidRDefault="00714123" w:rsidP="00714123">
            <w:pPr>
              <w:jc w:val="center"/>
              <w:rPr>
                <w:snapToGrid/>
                <w:color w:val="000000"/>
                <w:sz w:val="18"/>
                <w:szCs w:val="18"/>
                <w:lang w:eastAsia="en-AU"/>
              </w:rPr>
            </w:pPr>
            <w:r w:rsidRPr="00714123">
              <w:rPr>
                <w:snapToGrid/>
                <w:color w:val="000000"/>
                <w:sz w:val="18"/>
                <w:szCs w:val="18"/>
                <w:lang w:eastAsia="en-AU"/>
              </w:rPr>
              <w:t>20.5%</w:t>
            </w:r>
          </w:p>
        </w:tc>
        <w:tc>
          <w:tcPr>
            <w:tcW w:w="1204" w:type="dxa"/>
            <w:tcBorders>
              <w:top w:val="nil"/>
              <w:left w:val="nil"/>
              <w:bottom w:val="nil"/>
              <w:right w:val="nil"/>
            </w:tcBorders>
            <w:shd w:val="clear" w:color="000000" w:fill="F4CACA"/>
            <w:noWrap/>
            <w:hideMark/>
          </w:tcPr>
          <w:p w:rsidR="00714123" w:rsidRPr="00714123" w:rsidRDefault="00714123" w:rsidP="00714123">
            <w:pPr>
              <w:jc w:val="center"/>
              <w:rPr>
                <w:snapToGrid/>
                <w:color w:val="000000"/>
                <w:sz w:val="18"/>
                <w:szCs w:val="18"/>
                <w:lang w:eastAsia="en-AU"/>
              </w:rPr>
            </w:pPr>
            <w:r w:rsidRPr="00714123">
              <w:rPr>
                <w:snapToGrid/>
                <w:color w:val="000000"/>
                <w:sz w:val="18"/>
                <w:szCs w:val="18"/>
                <w:lang w:eastAsia="en-AU"/>
              </w:rPr>
              <w:t>23.2%</w:t>
            </w:r>
          </w:p>
        </w:tc>
        <w:tc>
          <w:tcPr>
            <w:tcW w:w="1456" w:type="dxa"/>
            <w:tcBorders>
              <w:top w:val="nil"/>
              <w:left w:val="nil"/>
              <w:bottom w:val="nil"/>
              <w:right w:val="nil"/>
            </w:tcBorders>
            <w:shd w:val="clear" w:color="000000" w:fill="F4CACA"/>
            <w:noWrap/>
            <w:hideMark/>
          </w:tcPr>
          <w:p w:rsidR="00714123" w:rsidRPr="00714123" w:rsidRDefault="00714123" w:rsidP="00714123">
            <w:pPr>
              <w:jc w:val="center"/>
              <w:rPr>
                <w:snapToGrid/>
                <w:color w:val="000000"/>
                <w:sz w:val="18"/>
                <w:szCs w:val="18"/>
                <w:lang w:eastAsia="en-AU"/>
              </w:rPr>
            </w:pPr>
            <w:r w:rsidRPr="00714123">
              <w:rPr>
                <w:snapToGrid/>
                <w:color w:val="000000"/>
                <w:sz w:val="18"/>
                <w:szCs w:val="18"/>
                <w:lang w:eastAsia="en-AU"/>
              </w:rPr>
              <w:t>2.7%</w:t>
            </w:r>
          </w:p>
        </w:tc>
      </w:tr>
      <w:tr w:rsidR="00714123" w:rsidRPr="00714123" w:rsidTr="00714123">
        <w:trPr>
          <w:trHeight w:val="276"/>
        </w:trPr>
        <w:tc>
          <w:tcPr>
            <w:tcW w:w="4656" w:type="dxa"/>
            <w:tcBorders>
              <w:top w:val="nil"/>
              <w:left w:val="nil"/>
              <w:bottom w:val="nil"/>
              <w:right w:val="nil"/>
            </w:tcBorders>
            <w:shd w:val="clear" w:color="auto" w:fill="auto"/>
            <w:noWrap/>
            <w:hideMark/>
          </w:tcPr>
          <w:p w:rsidR="00714123" w:rsidRPr="00714123" w:rsidRDefault="00714123" w:rsidP="00714123">
            <w:pPr>
              <w:rPr>
                <w:snapToGrid/>
                <w:color w:val="000000"/>
                <w:sz w:val="18"/>
                <w:szCs w:val="18"/>
                <w:lang w:eastAsia="en-AU"/>
              </w:rPr>
            </w:pPr>
            <w:r w:rsidRPr="00714123">
              <w:rPr>
                <w:snapToGrid/>
                <w:color w:val="000000"/>
                <w:sz w:val="18"/>
                <w:szCs w:val="18"/>
                <w:lang w:eastAsia="en-AU"/>
              </w:rPr>
              <w:t>Critical Care</w:t>
            </w:r>
          </w:p>
        </w:tc>
        <w:tc>
          <w:tcPr>
            <w:tcW w:w="1204" w:type="dxa"/>
            <w:tcBorders>
              <w:top w:val="nil"/>
              <w:left w:val="nil"/>
              <w:bottom w:val="nil"/>
              <w:right w:val="nil"/>
            </w:tcBorders>
            <w:shd w:val="clear" w:color="auto" w:fill="auto"/>
            <w:noWrap/>
            <w:hideMark/>
          </w:tcPr>
          <w:p w:rsidR="00714123" w:rsidRPr="00714123" w:rsidRDefault="00714123" w:rsidP="00714123">
            <w:pPr>
              <w:jc w:val="center"/>
              <w:rPr>
                <w:snapToGrid/>
                <w:color w:val="000000"/>
                <w:sz w:val="18"/>
                <w:szCs w:val="18"/>
                <w:lang w:eastAsia="en-AU"/>
              </w:rPr>
            </w:pPr>
            <w:r w:rsidRPr="00714123">
              <w:rPr>
                <w:snapToGrid/>
                <w:color w:val="000000"/>
                <w:sz w:val="18"/>
                <w:szCs w:val="18"/>
                <w:lang w:eastAsia="en-AU"/>
              </w:rPr>
              <w:t>5.8%</w:t>
            </w:r>
          </w:p>
        </w:tc>
        <w:tc>
          <w:tcPr>
            <w:tcW w:w="1204" w:type="dxa"/>
            <w:tcBorders>
              <w:top w:val="nil"/>
              <w:left w:val="nil"/>
              <w:bottom w:val="nil"/>
              <w:right w:val="nil"/>
            </w:tcBorders>
            <w:shd w:val="clear" w:color="auto" w:fill="auto"/>
            <w:noWrap/>
            <w:hideMark/>
          </w:tcPr>
          <w:p w:rsidR="00714123" w:rsidRPr="00714123" w:rsidRDefault="00714123" w:rsidP="00714123">
            <w:pPr>
              <w:jc w:val="center"/>
              <w:rPr>
                <w:snapToGrid/>
                <w:color w:val="000000"/>
                <w:sz w:val="18"/>
                <w:szCs w:val="18"/>
                <w:lang w:eastAsia="en-AU"/>
              </w:rPr>
            </w:pPr>
            <w:r w:rsidRPr="00714123">
              <w:rPr>
                <w:snapToGrid/>
                <w:color w:val="000000"/>
                <w:sz w:val="18"/>
                <w:szCs w:val="18"/>
                <w:lang w:eastAsia="en-AU"/>
              </w:rPr>
              <w:t>5.9%</w:t>
            </w:r>
          </w:p>
        </w:tc>
        <w:tc>
          <w:tcPr>
            <w:tcW w:w="1456" w:type="dxa"/>
            <w:tcBorders>
              <w:top w:val="nil"/>
              <w:left w:val="nil"/>
              <w:bottom w:val="nil"/>
              <w:right w:val="nil"/>
            </w:tcBorders>
            <w:shd w:val="clear" w:color="auto" w:fill="auto"/>
            <w:noWrap/>
            <w:hideMark/>
          </w:tcPr>
          <w:p w:rsidR="00714123" w:rsidRPr="00714123" w:rsidRDefault="00714123" w:rsidP="00714123">
            <w:pPr>
              <w:jc w:val="center"/>
              <w:rPr>
                <w:snapToGrid/>
                <w:color w:val="000000"/>
                <w:sz w:val="18"/>
                <w:szCs w:val="18"/>
                <w:lang w:eastAsia="en-AU"/>
              </w:rPr>
            </w:pPr>
            <w:r w:rsidRPr="00714123">
              <w:rPr>
                <w:snapToGrid/>
                <w:color w:val="000000"/>
                <w:sz w:val="18"/>
                <w:szCs w:val="18"/>
                <w:lang w:eastAsia="en-AU"/>
              </w:rPr>
              <w:t>0.1%</w:t>
            </w:r>
          </w:p>
        </w:tc>
      </w:tr>
      <w:tr w:rsidR="00714123" w:rsidRPr="00714123" w:rsidTr="00714123">
        <w:trPr>
          <w:trHeight w:val="276"/>
        </w:trPr>
        <w:tc>
          <w:tcPr>
            <w:tcW w:w="4656" w:type="dxa"/>
            <w:tcBorders>
              <w:top w:val="nil"/>
              <w:left w:val="nil"/>
              <w:bottom w:val="nil"/>
              <w:right w:val="nil"/>
            </w:tcBorders>
            <w:shd w:val="clear" w:color="auto" w:fill="auto"/>
            <w:noWrap/>
            <w:hideMark/>
          </w:tcPr>
          <w:p w:rsidR="00714123" w:rsidRPr="00714123" w:rsidRDefault="00714123" w:rsidP="00714123">
            <w:pPr>
              <w:rPr>
                <w:snapToGrid/>
                <w:color w:val="000000"/>
                <w:sz w:val="18"/>
                <w:szCs w:val="18"/>
                <w:lang w:eastAsia="en-AU"/>
              </w:rPr>
            </w:pPr>
            <w:r w:rsidRPr="00714123">
              <w:rPr>
                <w:snapToGrid/>
                <w:color w:val="000000"/>
                <w:sz w:val="18"/>
                <w:szCs w:val="18"/>
                <w:lang w:eastAsia="en-AU"/>
              </w:rPr>
              <w:t>Prostheses</w:t>
            </w:r>
          </w:p>
        </w:tc>
        <w:tc>
          <w:tcPr>
            <w:tcW w:w="1204" w:type="dxa"/>
            <w:tcBorders>
              <w:top w:val="nil"/>
              <w:left w:val="nil"/>
              <w:bottom w:val="nil"/>
              <w:right w:val="nil"/>
            </w:tcBorders>
            <w:shd w:val="clear" w:color="auto" w:fill="auto"/>
            <w:noWrap/>
            <w:hideMark/>
          </w:tcPr>
          <w:p w:rsidR="00714123" w:rsidRPr="00714123" w:rsidRDefault="00714123" w:rsidP="00714123">
            <w:pPr>
              <w:jc w:val="center"/>
              <w:rPr>
                <w:snapToGrid/>
                <w:color w:val="000000"/>
                <w:sz w:val="18"/>
                <w:szCs w:val="18"/>
                <w:lang w:eastAsia="en-AU"/>
              </w:rPr>
            </w:pPr>
            <w:r w:rsidRPr="00714123">
              <w:rPr>
                <w:snapToGrid/>
                <w:color w:val="000000"/>
                <w:sz w:val="18"/>
                <w:szCs w:val="18"/>
                <w:lang w:eastAsia="en-AU"/>
              </w:rPr>
              <w:t>22.9%</w:t>
            </w:r>
          </w:p>
        </w:tc>
        <w:tc>
          <w:tcPr>
            <w:tcW w:w="1204" w:type="dxa"/>
            <w:tcBorders>
              <w:top w:val="nil"/>
              <w:left w:val="nil"/>
              <w:bottom w:val="nil"/>
              <w:right w:val="nil"/>
            </w:tcBorders>
            <w:shd w:val="clear" w:color="auto" w:fill="auto"/>
            <w:noWrap/>
            <w:hideMark/>
          </w:tcPr>
          <w:p w:rsidR="00714123" w:rsidRPr="00714123" w:rsidRDefault="00714123" w:rsidP="00714123">
            <w:pPr>
              <w:jc w:val="center"/>
              <w:rPr>
                <w:snapToGrid/>
                <w:color w:val="000000"/>
                <w:sz w:val="18"/>
                <w:szCs w:val="18"/>
                <w:lang w:eastAsia="en-AU"/>
              </w:rPr>
            </w:pPr>
            <w:r w:rsidRPr="00714123">
              <w:rPr>
                <w:snapToGrid/>
                <w:color w:val="000000"/>
                <w:sz w:val="18"/>
                <w:szCs w:val="18"/>
                <w:lang w:eastAsia="en-AU"/>
              </w:rPr>
              <w:t>21.9%</w:t>
            </w:r>
          </w:p>
        </w:tc>
        <w:tc>
          <w:tcPr>
            <w:tcW w:w="1456" w:type="dxa"/>
            <w:tcBorders>
              <w:top w:val="nil"/>
              <w:left w:val="nil"/>
              <w:bottom w:val="nil"/>
              <w:right w:val="nil"/>
            </w:tcBorders>
            <w:shd w:val="clear" w:color="auto" w:fill="auto"/>
            <w:noWrap/>
            <w:hideMark/>
          </w:tcPr>
          <w:p w:rsidR="00714123" w:rsidRPr="00714123" w:rsidRDefault="00714123" w:rsidP="00714123">
            <w:pPr>
              <w:jc w:val="center"/>
              <w:rPr>
                <w:snapToGrid/>
                <w:color w:val="000000"/>
                <w:sz w:val="18"/>
                <w:szCs w:val="18"/>
                <w:lang w:eastAsia="en-AU"/>
              </w:rPr>
            </w:pPr>
            <w:r w:rsidRPr="00714123">
              <w:rPr>
                <w:snapToGrid/>
                <w:color w:val="000000"/>
                <w:sz w:val="18"/>
                <w:szCs w:val="18"/>
                <w:lang w:eastAsia="en-AU"/>
              </w:rPr>
              <w:t>-1.0%</w:t>
            </w:r>
          </w:p>
        </w:tc>
      </w:tr>
      <w:tr w:rsidR="00714123" w:rsidRPr="00714123" w:rsidTr="00714123">
        <w:trPr>
          <w:trHeight w:val="276"/>
        </w:trPr>
        <w:tc>
          <w:tcPr>
            <w:tcW w:w="4656" w:type="dxa"/>
            <w:tcBorders>
              <w:top w:val="nil"/>
              <w:left w:val="nil"/>
              <w:bottom w:val="nil"/>
              <w:right w:val="nil"/>
            </w:tcBorders>
            <w:shd w:val="clear" w:color="auto" w:fill="auto"/>
            <w:noWrap/>
            <w:hideMark/>
          </w:tcPr>
          <w:p w:rsidR="00714123" w:rsidRPr="00714123" w:rsidRDefault="00714123" w:rsidP="00714123">
            <w:pPr>
              <w:rPr>
                <w:snapToGrid/>
                <w:color w:val="000000"/>
                <w:sz w:val="18"/>
                <w:szCs w:val="18"/>
                <w:lang w:eastAsia="en-AU"/>
              </w:rPr>
            </w:pPr>
            <w:r w:rsidRPr="00714123">
              <w:rPr>
                <w:snapToGrid/>
                <w:color w:val="000000"/>
                <w:sz w:val="18"/>
                <w:szCs w:val="18"/>
                <w:lang w:eastAsia="en-AU"/>
              </w:rPr>
              <w:t>Miscellaneous</w:t>
            </w:r>
          </w:p>
        </w:tc>
        <w:tc>
          <w:tcPr>
            <w:tcW w:w="1204" w:type="dxa"/>
            <w:tcBorders>
              <w:top w:val="nil"/>
              <w:left w:val="nil"/>
              <w:bottom w:val="nil"/>
              <w:right w:val="nil"/>
            </w:tcBorders>
            <w:shd w:val="clear" w:color="auto" w:fill="auto"/>
            <w:noWrap/>
            <w:hideMark/>
          </w:tcPr>
          <w:p w:rsidR="00714123" w:rsidRPr="00714123" w:rsidRDefault="00714123" w:rsidP="00714123">
            <w:pPr>
              <w:jc w:val="center"/>
              <w:rPr>
                <w:snapToGrid/>
                <w:color w:val="000000"/>
                <w:sz w:val="18"/>
                <w:szCs w:val="18"/>
                <w:lang w:eastAsia="en-AU"/>
              </w:rPr>
            </w:pPr>
            <w:r w:rsidRPr="00714123">
              <w:rPr>
                <w:snapToGrid/>
                <w:color w:val="000000"/>
                <w:sz w:val="18"/>
                <w:szCs w:val="18"/>
                <w:lang w:eastAsia="en-AU"/>
              </w:rPr>
              <w:t>50.9%</w:t>
            </w:r>
          </w:p>
        </w:tc>
        <w:tc>
          <w:tcPr>
            <w:tcW w:w="1204" w:type="dxa"/>
            <w:tcBorders>
              <w:top w:val="nil"/>
              <w:left w:val="nil"/>
              <w:bottom w:val="nil"/>
              <w:right w:val="nil"/>
            </w:tcBorders>
            <w:shd w:val="clear" w:color="auto" w:fill="auto"/>
            <w:noWrap/>
            <w:hideMark/>
          </w:tcPr>
          <w:p w:rsidR="00714123" w:rsidRPr="00714123" w:rsidRDefault="00714123" w:rsidP="00714123">
            <w:pPr>
              <w:jc w:val="center"/>
              <w:rPr>
                <w:snapToGrid/>
                <w:color w:val="000000"/>
                <w:sz w:val="18"/>
                <w:szCs w:val="18"/>
                <w:lang w:eastAsia="en-AU"/>
              </w:rPr>
            </w:pPr>
            <w:r w:rsidRPr="00714123">
              <w:rPr>
                <w:snapToGrid/>
                <w:color w:val="000000"/>
                <w:sz w:val="18"/>
                <w:szCs w:val="18"/>
                <w:lang w:eastAsia="en-AU"/>
              </w:rPr>
              <w:t>49.0%</w:t>
            </w:r>
          </w:p>
        </w:tc>
        <w:tc>
          <w:tcPr>
            <w:tcW w:w="1456" w:type="dxa"/>
            <w:tcBorders>
              <w:top w:val="nil"/>
              <w:left w:val="nil"/>
              <w:bottom w:val="nil"/>
              <w:right w:val="nil"/>
            </w:tcBorders>
            <w:shd w:val="clear" w:color="auto" w:fill="auto"/>
            <w:noWrap/>
            <w:hideMark/>
          </w:tcPr>
          <w:p w:rsidR="00714123" w:rsidRPr="00714123" w:rsidRDefault="00714123" w:rsidP="00714123">
            <w:pPr>
              <w:jc w:val="center"/>
              <w:rPr>
                <w:snapToGrid/>
                <w:color w:val="000000"/>
                <w:sz w:val="18"/>
                <w:szCs w:val="18"/>
                <w:lang w:eastAsia="en-AU"/>
              </w:rPr>
            </w:pPr>
            <w:r w:rsidRPr="00714123">
              <w:rPr>
                <w:snapToGrid/>
                <w:color w:val="000000"/>
                <w:sz w:val="18"/>
                <w:szCs w:val="18"/>
                <w:lang w:eastAsia="en-AU"/>
              </w:rPr>
              <w:t>-1.8%</w:t>
            </w:r>
          </w:p>
        </w:tc>
      </w:tr>
      <w:tr w:rsidR="00714123" w:rsidRPr="00714123" w:rsidTr="00714123">
        <w:trPr>
          <w:trHeight w:val="288"/>
        </w:trPr>
        <w:tc>
          <w:tcPr>
            <w:tcW w:w="4656" w:type="dxa"/>
            <w:tcBorders>
              <w:top w:val="single" w:sz="4" w:space="0" w:color="auto"/>
              <w:left w:val="nil"/>
              <w:bottom w:val="single" w:sz="8" w:space="0" w:color="auto"/>
              <w:right w:val="nil"/>
            </w:tcBorders>
            <w:shd w:val="clear" w:color="auto" w:fill="auto"/>
            <w:noWrap/>
            <w:hideMark/>
          </w:tcPr>
          <w:p w:rsidR="00714123" w:rsidRPr="00714123" w:rsidRDefault="00714123" w:rsidP="00714123">
            <w:pPr>
              <w:rPr>
                <w:snapToGrid/>
                <w:color w:val="000000"/>
                <w:sz w:val="18"/>
                <w:szCs w:val="18"/>
                <w:lang w:eastAsia="en-AU"/>
              </w:rPr>
            </w:pPr>
            <w:r w:rsidRPr="00714123">
              <w:rPr>
                <w:snapToGrid/>
                <w:color w:val="000000"/>
                <w:sz w:val="18"/>
                <w:szCs w:val="18"/>
                <w:lang w:eastAsia="en-AU"/>
              </w:rPr>
              <w:t>Total</w:t>
            </w:r>
          </w:p>
        </w:tc>
        <w:tc>
          <w:tcPr>
            <w:tcW w:w="1204" w:type="dxa"/>
            <w:tcBorders>
              <w:top w:val="single" w:sz="4" w:space="0" w:color="auto"/>
              <w:left w:val="nil"/>
              <w:bottom w:val="single" w:sz="8" w:space="0" w:color="auto"/>
              <w:right w:val="nil"/>
            </w:tcBorders>
            <w:shd w:val="clear" w:color="auto" w:fill="auto"/>
            <w:noWrap/>
            <w:hideMark/>
          </w:tcPr>
          <w:p w:rsidR="00714123" w:rsidRPr="00714123" w:rsidRDefault="00714123" w:rsidP="00714123">
            <w:pPr>
              <w:jc w:val="center"/>
              <w:rPr>
                <w:snapToGrid/>
                <w:color w:val="000000"/>
                <w:sz w:val="18"/>
                <w:szCs w:val="18"/>
                <w:lang w:eastAsia="en-AU"/>
              </w:rPr>
            </w:pPr>
            <w:r w:rsidRPr="00714123">
              <w:rPr>
                <w:snapToGrid/>
                <w:color w:val="000000"/>
                <w:sz w:val="18"/>
                <w:szCs w:val="18"/>
                <w:lang w:eastAsia="en-AU"/>
              </w:rPr>
              <w:t>100.0%</w:t>
            </w:r>
          </w:p>
        </w:tc>
        <w:tc>
          <w:tcPr>
            <w:tcW w:w="1204" w:type="dxa"/>
            <w:tcBorders>
              <w:top w:val="single" w:sz="4" w:space="0" w:color="auto"/>
              <w:left w:val="nil"/>
              <w:bottom w:val="single" w:sz="8" w:space="0" w:color="auto"/>
              <w:right w:val="nil"/>
            </w:tcBorders>
            <w:shd w:val="clear" w:color="auto" w:fill="auto"/>
            <w:noWrap/>
            <w:hideMark/>
          </w:tcPr>
          <w:p w:rsidR="00714123" w:rsidRPr="00714123" w:rsidRDefault="00714123" w:rsidP="00714123">
            <w:pPr>
              <w:jc w:val="center"/>
              <w:rPr>
                <w:snapToGrid/>
                <w:color w:val="000000"/>
                <w:sz w:val="18"/>
                <w:szCs w:val="18"/>
                <w:lang w:eastAsia="en-AU"/>
              </w:rPr>
            </w:pPr>
            <w:r w:rsidRPr="00714123">
              <w:rPr>
                <w:snapToGrid/>
                <w:color w:val="000000"/>
                <w:sz w:val="18"/>
                <w:szCs w:val="18"/>
                <w:lang w:eastAsia="en-AU"/>
              </w:rPr>
              <w:t>100.0%</w:t>
            </w:r>
          </w:p>
        </w:tc>
        <w:tc>
          <w:tcPr>
            <w:tcW w:w="1456" w:type="dxa"/>
            <w:tcBorders>
              <w:top w:val="single" w:sz="4" w:space="0" w:color="auto"/>
              <w:left w:val="nil"/>
              <w:bottom w:val="single" w:sz="8" w:space="0" w:color="auto"/>
              <w:right w:val="nil"/>
            </w:tcBorders>
            <w:shd w:val="clear" w:color="auto" w:fill="auto"/>
            <w:noWrap/>
            <w:hideMark/>
          </w:tcPr>
          <w:p w:rsidR="00714123" w:rsidRPr="00714123" w:rsidRDefault="00714123" w:rsidP="00714123">
            <w:pPr>
              <w:jc w:val="center"/>
              <w:rPr>
                <w:snapToGrid/>
                <w:color w:val="000000"/>
                <w:sz w:val="18"/>
                <w:szCs w:val="18"/>
                <w:lang w:eastAsia="en-AU"/>
              </w:rPr>
            </w:pPr>
            <w:r w:rsidRPr="00714123">
              <w:rPr>
                <w:snapToGrid/>
                <w:color w:val="000000"/>
                <w:sz w:val="18"/>
                <w:szCs w:val="18"/>
                <w:lang w:eastAsia="en-AU"/>
              </w:rPr>
              <w:t>0.0%</w:t>
            </w:r>
          </w:p>
        </w:tc>
      </w:tr>
    </w:tbl>
    <w:p w:rsidR="00AE2E92" w:rsidRPr="000051B6" w:rsidRDefault="00AE2E92" w:rsidP="004F02A5">
      <w:pPr>
        <w:pStyle w:val="Heading3"/>
        <w:spacing w:before="480" w:after="240"/>
      </w:pPr>
      <w:r w:rsidRPr="000051B6">
        <w:t>Critical care</w:t>
      </w:r>
      <w:r w:rsidR="00111F19" w:rsidRPr="000051B6">
        <w:t xml:space="preserve"> cost bucket</w:t>
      </w:r>
    </w:p>
    <w:p w:rsidR="00AE2E92" w:rsidRPr="000051B6" w:rsidRDefault="00AE2E92" w:rsidP="00AE2E92">
      <w:pPr>
        <w:pStyle w:val="PwCNormal"/>
        <w:numPr>
          <w:ilvl w:val="0"/>
          <w:numId w:val="0"/>
        </w:numPr>
        <w:spacing w:after="0"/>
        <w:rPr>
          <w:color w:val="A32020" w:themeColor="text2"/>
        </w:rPr>
      </w:pPr>
      <w:r w:rsidRPr="000051B6">
        <w:rPr>
          <w:color w:val="A32020" w:themeColor="text2"/>
        </w:rPr>
        <w:t>Key findings</w:t>
      </w:r>
    </w:p>
    <w:p w:rsidR="00AE2E92" w:rsidRPr="000051B6" w:rsidRDefault="00AE2E92" w:rsidP="004F02A5">
      <w:pPr>
        <w:pStyle w:val="PwCNormal"/>
        <w:numPr>
          <w:ilvl w:val="0"/>
          <w:numId w:val="0"/>
        </w:numPr>
      </w:pPr>
      <w:r w:rsidRPr="000051B6">
        <w:t xml:space="preserve">Table </w:t>
      </w:r>
      <w:r w:rsidR="004C4F58" w:rsidRPr="000051B6">
        <w:t>1</w:t>
      </w:r>
      <w:r w:rsidR="006038DA" w:rsidRPr="000051B6">
        <w:t>1</w:t>
      </w:r>
      <w:r w:rsidRPr="000051B6">
        <w:t xml:space="preserve"> </w:t>
      </w:r>
      <w:r w:rsidR="00F5775F">
        <w:t xml:space="preserve">demonstrates (boxed) </w:t>
      </w:r>
      <w:r w:rsidRPr="000051B6">
        <w:t xml:space="preserve">that the highest cost weigh AR-DRG is </w:t>
      </w:r>
      <w:r w:rsidR="004C4F58" w:rsidRPr="000051B6">
        <w:t>P62Z - Neonate, Adm</w:t>
      </w:r>
      <w:r w:rsidR="001C0E93" w:rsidRPr="000051B6">
        <w:t xml:space="preserve">itted </w:t>
      </w:r>
      <w:r w:rsidR="004C4F58" w:rsidRPr="000051B6">
        <w:t>W</w:t>
      </w:r>
      <w:r w:rsidR="001C0E93" w:rsidRPr="000051B6">
        <w:t>eight</w:t>
      </w:r>
      <w:r w:rsidR="004C4F58" w:rsidRPr="000051B6">
        <w:t xml:space="preserve"> 750-999 grams</w:t>
      </w:r>
      <w:r w:rsidR="005600FF" w:rsidRPr="000051B6">
        <w:t>. T</w:t>
      </w:r>
      <w:r w:rsidR="001C0E93" w:rsidRPr="000051B6">
        <w:t>h</w:t>
      </w:r>
      <w:r w:rsidR="005D1C0C">
        <w:t>is was ranked number two</w:t>
      </w:r>
      <w:r w:rsidR="00582EDE" w:rsidRPr="000051B6">
        <w:t xml:space="preserve"> </w:t>
      </w:r>
      <w:r w:rsidR="00BF05ED">
        <w:t>last year and is predicted</w:t>
      </w:r>
      <w:r w:rsidRPr="000051B6">
        <w:t xml:space="preserve"> to be ranked number </w:t>
      </w:r>
      <w:r w:rsidR="00F702B3" w:rsidRPr="000051B6">
        <w:t>one</w:t>
      </w:r>
      <w:r w:rsidRPr="000051B6">
        <w:t xml:space="preserve"> or </w:t>
      </w:r>
      <w:r w:rsidR="00F702B3" w:rsidRPr="000051B6">
        <w:t>two</w:t>
      </w:r>
      <w:r w:rsidRPr="000051B6">
        <w:t xml:space="preserve"> given the fact this is a highly complex and resource intense patient.</w:t>
      </w:r>
    </w:p>
    <w:p w:rsidR="00AE2E92" w:rsidRPr="000051B6" w:rsidRDefault="00F5775F" w:rsidP="004F02A5">
      <w:pPr>
        <w:pStyle w:val="PwCNormal"/>
        <w:numPr>
          <w:ilvl w:val="0"/>
          <w:numId w:val="0"/>
        </w:numPr>
      </w:pPr>
      <w:r>
        <w:t xml:space="preserve">As seen </w:t>
      </w:r>
      <w:r w:rsidR="0089577C">
        <w:t>in</w:t>
      </w:r>
      <w:r>
        <w:t xml:space="preserve"> table 11 t</w:t>
      </w:r>
      <w:r w:rsidR="00AE2E92" w:rsidRPr="000051B6">
        <w:t xml:space="preserve">he AR-DRGs listed in the top 20 are </w:t>
      </w:r>
      <w:r w:rsidR="00BF05ED">
        <w:t>typical</w:t>
      </w:r>
      <w:r w:rsidR="00AE2E92" w:rsidRPr="000051B6">
        <w:t xml:space="preserve"> to be within this ranking given that </w:t>
      </w:r>
      <w:r w:rsidR="004C4F58" w:rsidRPr="000051B6">
        <w:t>they are either mechanical ventilation or neonatal AR-DRGs.</w:t>
      </w:r>
    </w:p>
    <w:p w:rsidR="00AE2E92" w:rsidRPr="000051B6" w:rsidRDefault="00AE2E92" w:rsidP="00AE2E92">
      <w:pPr>
        <w:pStyle w:val="PwCNormal"/>
        <w:numPr>
          <w:ilvl w:val="0"/>
          <w:numId w:val="0"/>
        </w:numPr>
        <w:spacing w:after="0"/>
        <w:rPr>
          <w:color w:val="A32020" w:themeColor="text2"/>
        </w:rPr>
      </w:pPr>
      <w:r w:rsidRPr="000051B6">
        <w:rPr>
          <w:color w:val="A32020" w:themeColor="text2"/>
        </w:rPr>
        <w:t xml:space="preserve">Consistencies </w:t>
      </w:r>
      <w:r w:rsidR="00EF041E" w:rsidRPr="000051B6">
        <w:rPr>
          <w:color w:val="A32020" w:themeColor="text2"/>
        </w:rPr>
        <w:t xml:space="preserve">between </w:t>
      </w:r>
      <w:r w:rsidR="00EF041E">
        <w:rPr>
          <w:color w:val="A32020" w:themeColor="text2"/>
        </w:rPr>
        <w:t>Round</w:t>
      </w:r>
      <w:r w:rsidRPr="000051B6">
        <w:rPr>
          <w:color w:val="A32020" w:themeColor="text2"/>
        </w:rPr>
        <w:t xml:space="preserve"> 17 and Round 18</w:t>
      </w:r>
    </w:p>
    <w:p w:rsidR="00AE2E92" w:rsidRPr="000051B6" w:rsidRDefault="004C4F58" w:rsidP="004F02A5">
      <w:pPr>
        <w:pStyle w:val="PwCNormal"/>
        <w:numPr>
          <w:ilvl w:val="0"/>
          <w:numId w:val="0"/>
        </w:numPr>
      </w:pPr>
      <w:r w:rsidRPr="000051B6">
        <w:t xml:space="preserve">AR-DRGs ranked </w:t>
      </w:r>
      <w:r w:rsidR="00F702B3" w:rsidRPr="000051B6">
        <w:t>one</w:t>
      </w:r>
      <w:r w:rsidRPr="000051B6">
        <w:t xml:space="preserve"> and </w:t>
      </w:r>
      <w:r w:rsidR="00F702B3" w:rsidRPr="000051B6">
        <w:t>two</w:t>
      </w:r>
      <w:r w:rsidRPr="000051B6">
        <w:t xml:space="preserve"> </w:t>
      </w:r>
      <w:r w:rsidR="0089577C">
        <w:t xml:space="preserve">(circled in figure 7) </w:t>
      </w:r>
      <w:r w:rsidRPr="000051B6">
        <w:t xml:space="preserve">were in the top </w:t>
      </w:r>
      <w:r w:rsidR="00F702B3" w:rsidRPr="000051B6">
        <w:t>three</w:t>
      </w:r>
      <w:r w:rsidRPr="000051B6">
        <w:t xml:space="preserve"> for Round 17</w:t>
      </w:r>
      <w:r w:rsidR="005600FF" w:rsidRPr="000051B6">
        <w:t>. T</w:t>
      </w:r>
      <w:r w:rsidRPr="000051B6">
        <w:t xml:space="preserve">his change is </w:t>
      </w:r>
      <w:r w:rsidR="005600FF" w:rsidRPr="000051B6">
        <w:t xml:space="preserve">driven by the </w:t>
      </w:r>
      <w:r w:rsidRPr="000051B6">
        <w:t>increased use of critical care feeder data compared to Round 17 which used service weights</w:t>
      </w:r>
      <w:r w:rsidR="00AE2E92" w:rsidRPr="000051B6">
        <w:t>.</w:t>
      </w:r>
    </w:p>
    <w:p w:rsidR="000A2939" w:rsidRPr="000051B6" w:rsidRDefault="00CC4AD0" w:rsidP="004F02A5">
      <w:pPr>
        <w:pStyle w:val="PwCNormal"/>
        <w:numPr>
          <w:ilvl w:val="0"/>
          <w:numId w:val="0"/>
        </w:numPr>
      </w:pPr>
      <w:r w:rsidRPr="000051B6">
        <w:t>The average cost weight mov</w:t>
      </w:r>
      <w:r w:rsidR="002032F1" w:rsidRPr="000051B6">
        <w:t>ed</w:t>
      </w:r>
      <w:r w:rsidRPr="000051B6">
        <w:t xml:space="preserve"> by </w:t>
      </w:r>
      <w:r w:rsidR="00354728" w:rsidRPr="000051B6">
        <w:t>-</w:t>
      </w:r>
      <w:r w:rsidR="000D7A61">
        <w:t>1.19</w:t>
      </w:r>
      <w:r w:rsidRPr="000051B6">
        <w:t xml:space="preserve"> </w:t>
      </w:r>
      <w:r w:rsidR="001B5BFA" w:rsidRPr="000051B6">
        <w:t xml:space="preserve">between years indicating that this is a relatively stable cost bucket.  The biggest reduction was </w:t>
      </w:r>
      <w:r w:rsidR="00354728" w:rsidRPr="000051B6">
        <w:t>P06A - Neonate, Adm</w:t>
      </w:r>
      <w:r w:rsidR="00EF041E">
        <w:t xml:space="preserve">itted </w:t>
      </w:r>
      <w:r w:rsidR="00354728" w:rsidRPr="000051B6">
        <w:t>W</w:t>
      </w:r>
      <w:r w:rsidR="00EF041E">
        <w:t>eight</w:t>
      </w:r>
      <w:r w:rsidR="00354728" w:rsidRPr="000051B6">
        <w:t xml:space="preserve"> &gt;2499 g W Significant OR Procedure </w:t>
      </w:r>
      <w:r w:rsidR="001B5BFA" w:rsidRPr="000051B6">
        <w:t>with</w:t>
      </w:r>
      <w:r w:rsidR="00354728" w:rsidRPr="000051B6">
        <w:t xml:space="preserve"> Multi Major Problems </w:t>
      </w:r>
      <w:r w:rsidR="001B5BFA" w:rsidRPr="000051B6">
        <w:t>decreasing its cost weight by -14.19.  The biggest increase was</w:t>
      </w:r>
      <w:r w:rsidR="00D64643" w:rsidRPr="000051B6">
        <w:t xml:space="preserve"> </w:t>
      </w:r>
      <w:r w:rsidR="000D7A61">
        <w:t xml:space="preserve">A06D - </w:t>
      </w:r>
      <w:r w:rsidR="000D7A61" w:rsidRPr="000D7A61">
        <w:t xml:space="preserve">Tracheostomy </w:t>
      </w:r>
      <w:r w:rsidR="000D7A61">
        <w:t>without</w:t>
      </w:r>
      <w:r w:rsidR="000D7A61" w:rsidRPr="000D7A61">
        <w:t xml:space="preserve"> Catastrophic CC</w:t>
      </w:r>
      <w:r w:rsidR="000D7A61">
        <w:t xml:space="preserve"> </w:t>
      </w:r>
      <w:r w:rsidR="001B5BFA" w:rsidRPr="000051B6">
        <w:t>increasing its cost weight by +</w:t>
      </w:r>
      <w:r w:rsidR="000D7A61">
        <w:t>4.68</w:t>
      </w:r>
      <w:r w:rsidR="00354728" w:rsidRPr="000051B6">
        <w:t>.</w:t>
      </w:r>
      <w:r w:rsidR="00EC4240" w:rsidRPr="000051B6">
        <w:t xml:space="preserve">  </w:t>
      </w:r>
      <w:r w:rsidR="000A2939" w:rsidRPr="000051B6">
        <w:t>These both relate to increased feeder data and allocation statistics being utilised and service weight changes between Rounds.</w:t>
      </w:r>
    </w:p>
    <w:p w:rsidR="008A658B" w:rsidRPr="000051B6" w:rsidRDefault="008A658B" w:rsidP="008A658B">
      <w:pPr>
        <w:pStyle w:val="PwCNormal"/>
        <w:numPr>
          <w:ilvl w:val="0"/>
          <w:numId w:val="0"/>
        </w:numPr>
        <w:spacing w:after="0"/>
        <w:rPr>
          <w:color w:val="A32020" w:themeColor="text2"/>
        </w:rPr>
      </w:pPr>
      <w:r w:rsidRPr="000051B6">
        <w:rPr>
          <w:color w:val="A32020" w:themeColor="text2"/>
        </w:rPr>
        <w:lastRenderedPageBreak/>
        <w:t xml:space="preserve">Key </w:t>
      </w:r>
      <w:r>
        <w:rPr>
          <w:color w:val="A32020" w:themeColor="text2"/>
        </w:rPr>
        <w:t xml:space="preserve">changes </w:t>
      </w:r>
      <w:r w:rsidRPr="000051B6">
        <w:rPr>
          <w:color w:val="A32020" w:themeColor="text2"/>
        </w:rPr>
        <w:t>in the top 20</w:t>
      </w:r>
    </w:p>
    <w:p w:rsidR="00AE2E92" w:rsidRPr="000051B6" w:rsidRDefault="0089577C" w:rsidP="00AE2E92">
      <w:pPr>
        <w:pStyle w:val="PwCNormal"/>
        <w:numPr>
          <w:ilvl w:val="0"/>
          <w:numId w:val="0"/>
        </w:numPr>
        <w:rPr>
          <w:lang w:eastAsia="en-AU"/>
        </w:rPr>
      </w:pPr>
      <w:r>
        <w:rPr>
          <w:lang w:eastAsia="en-AU"/>
        </w:rPr>
        <w:t xml:space="preserve">As shown in table 11 (boxed) </w:t>
      </w:r>
      <w:r w:rsidR="004C4F58" w:rsidRPr="000051B6">
        <w:rPr>
          <w:lang w:eastAsia="en-AU"/>
        </w:rPr>
        <w:t xml:space="preserve">A06C - Ventilation &gt;95 hours without Catastrophic CC is included in top 20 this year ranked </w:t>
      </w:r>
      <w:r w:rsidR="00F702B3" w:rsidRPr="000051B6">
        <w:rPr>
          <w:lang w:eastAsia="en-AU"/>
        </w:rPr>
        <w:t>four</w:t>
      </w:r>
      <w:r w:rsidR="005600FF" w:rsidRPr="000051B6">
        <w:rPr>
          <w:lang w:eastAsia="en-AU"/>
        </w:rPr>
        <w:t>,</w:t>
      </w:r>
      <w:r w:rsidR="004C4F58" w:rsidRPr="000051B6">
        <w:rPr>
          <w:lang w:eastAsia="en-AU"/>
        </w:rPr>
        <w:t xml:space="preserve"> </w:t>
      </w:r>
      <w:r w:rsidR="00B44920" w:rsidRPr="000051B6">
        <w:rPr>
          <w:lang w:eastAsia="en-AU"/>
        </w:rPr>
        <w:t>this was masked last year as the AR-DRG had less than 5 separations.</w:t>
      </w:r>
    </w:p>
    <w:p w:rsidR="00B44920" w:rsidRPr="000051B6" w:rsidRDefault="0089577C" w:rsidP="00AE2E92">
      <w:pPr>
        <w:pStyle w:val="PwCNormal"/>
        <w:numPr>
          <w:ilvl w:val="0"/>
          <w:numId w:val="0"/>
        </w:numPr>
        <w:rPr>
          <w:lang w:eastAsia="en-AU"/>
        </w:rPr>
      </w:pPr>
      <w:r>
        <w:rPr>
          <w:lang w:eastAsia="en-AU"/>
        </w:rPr>
        <w:t xml:space="preserve">As circled in table 11 </w:t>
      </w:r>
      <w:r w:rsidR="00B44920" w:rsidRPr="000051B6">
        <w:rPr>
          <w:lang w:eastAsia="en-AU"/>
        </w:rPr>
        <w:t xml:space="preserve">B60A - Acute Paraplegia/Quadriplegia with or without OR Procs </w:t>
      </w:r>
      <w:r w:rsidR="001C0E93" w:rsidRPr="000051B6">
        <w:rPr>
          <w:lang w:eastAsia="en-AU"/>
        </w:rPr>
        <w:t>with</w:t>
      </w:r>
      <w:r w:rsidR="00B44920" w:rsidRPr="000051B6">
        <w:rPr>
          <w:lang w:eastAsia="en-AU"/>
        </w:rPr>
        <w:t xml:space="preserve"> Cat CC has a cost weight of 3.38 compared to a cost weight of 0.46 in Round 17</w:t>
      </w:r>
      <w:r w:rsidR="005600FF" w:rsidRPr="000051B6">
        <w:rPr>
          <w:lang w:eastAsia="en-AU"/>
        </w:rPr>
        <w:t xml:space="preserve">, driven by </w:t>
      </w:r>
      <w:r w:rsidR="00B44920" w:rsidRPr="000051B6">
        <w:rPr>
          <w:lang w:eastAsia="en-AU"/>
        </w:rPr>
        <w:t>the increase</w:t>
      </w:r>
      <w:r w:rsidR="001C0E93" w:rsidRPr="000051B6">
        <w:rPr>
          <w:lang w:eastAsia="en-AU"/>
        </w:rPr>
        <w:t xml:space="preserve"> of feeder data being used for R</w:t>
      </w:r>
      <w:r w:rsidR="00B44920" w:rsidRPr="000051B6">
        <w:rPr>
          <w:lang w:eastAsia="en-AU"/>
        </w:rPr>
        <w:t>ound 18 increasing the accuracy of the costed output.</w:t>
      </w:r>
    </w:p>
    <w:p w:rsidR="00427C15" w:rsidRPr="000051B6" w:rsidRDefault="00427C15" w:rsidP="00663D94">
      <w:pPr>
        <w:pStyle w:val="PwCNormal"/>
        <w:numPr>
          <w:ilvl w:val="0"/>
          <w:numId w:val="0"/>
        </w:numPr>
      </w:pPr>
    </w:p>
    <w:p w:rsidR="003F7DF9" w:rsidRPr="000051B6" w:rsidRDefault="003F7DF9" w:rsidP="003F7DF9">
      <w:pPr>
        <w:pStyle w:val="Heading3"/>
        <w:numPr>
          <w:ilvl w:val="0"/>
          <w:numId w:val="0"/>
        </w:numPr>
        <w:ind w:left="720" w:hanging="720"/>
        <w:sectPr w:rsidR="003F7DF9" w:rsidRPr="000051B6" w:rsidSect="009549BC">
          <w:headerReference w:type="even" r:id="rId27"/>
          <w:footerReference w:type="even" r:id="rId28"/>
          <w:footerReference w:type="default" r:id="rId29"/>
          <w:headerReference w:type="first" r:id="rId30"/>
          <w:footerReference w:type="first" r:id="rId31"/>
          <w:pgSz w:w="11907" w:h="16840" w:code="9"/>
          <w:pgMar w:top="1588" w:right="1843" w:bottom="1418" w:left="1843" w:header="567" w:footer="567" w:gutter="0"/>
          <w:cols w:space="227"/>
          <w:docGrid w:linePitch="360"/>
        </w:sectPr>
      </w:pPr>
    </w:p>
    <w:p w:rsidR="003F7DF9" w:rsidRPr="000051B6" w:rsidRDefault="003F7DF9" w:rsidP="00855476">
      <w:pPr>
        <w:pStyle w:val="Tablesheadings"/>
        <w:rPr>
          <w:lang w:val="en-AU"/>
        </w:rPr>
      </w:pPr>
      <w:bookmarkStart w:id="179" w:name="_Toc435610616"/>
      <w:r w:rsidRPr="000051B6">
        <w:rPr>
          <w:lang w:val="en-AU"/>
        </w:rPr>
        <w:lastRenderedPageBreak/>
        <w:t>Table 1</w:t>
      </w:r>
      <w:r w:rsidR="00855476" w:rsidRPr="000051B6">
        <w:rPr>
          <w:lang w:val="en-AU"/>
        </w:rPr>
        <w:t>1</w:t>
      </w:r>
      <w:r w:rsidRPr="000051B6">
        <w:rPr>
          <w:lang w:val="en-AU"/>
        </w:rPr>
        <w:tab/>
        <w:t>Top 20 AR-DRGs for critical care cost bucket</w:t>
      </w:r>
      <w:bookmarkEnd w:id="179"/>
    </w:p>
    <w:tbl>
      <w:tblPr>
        <w:tblW w:w="5000" w:type="pct"/>
        <w:tblLook w:val="04A0" w:firstRow="1" w:lastRow="0" w:firstColumn="1" w:lastColumn="0" w:noHBand="0" w:noVBand="1"/>
        <w:tblCaption w:val="Table 11 Top 20 AR-DRGs for critical care cost bucket"/>
        <w:tblDescription w:val="Table 11 shows the Top 20 AR-DRGs ranked by highest critical care cost bucket. There are separate columns for whether or not the AR-DRG was in the Top 20 in Round 17, its rank in Round 18, the AR-DRG, the AR-DRG’s description, the critical care cost weight, the number of weighted separations, overall cost weight, average length of stay, the percentage of AR-DRG total cost divided into Operating Room and Special Procedure Suites, Critical care, Prosthesis and Miscellaneous, and the Round 17 critical care cost weight. AR-DRGs P62Z and A06C have been circled as they are referred to in the preceding text. At the bottom of the table, for some of the columns are rows for the sub-totals for the top 20 and totals for all AR-DRGs as well as the percentage of the total made up by the top 20."/>
      </w:tblPr>
      <w:tblGrid>
        <w:gridCol w:w="872"/>
        <w:gridCol w:w="845"/>
        <w:gridCol w:w="841"/>
        <w:gridCol w:w="3906"/>
        <w:gridCol w:w="1018"/>
        <w:gridCol w:w="1180"/>
        <w:gridCol w:w="947"/>
        <w:gridCol w:w="761"/>
        <w:gridCol w:w="627"/>
        <w:gridCol w:w="826"/>
        <w:gridCol w:w="1080"/>
        <w:gridCol w:w="905"/>
        <w:gridCol w:w="1206"/>
      </w:tblGrid>
      <w:tr w:rsidR="00714123" w:rsidRPr="00660308" w:rsidTr="007C2B28">
        <w:trPr>
          <w:trHeight w:val="168"/>
        </w:trPr>
        <w:tc>
          <w:tcPr>
            <w:tcW w:w="300" w:type="pct"/>
            <w:vMerge w:val="restart"/>
            <w:tcBorders>
              <w:top w:val="single" w:sz="4" w:space="0" w:color="auto"/>
              <w:left w:val="nil"/>
              <w:bottom w:val="single" w:sz="4" w:space="0" w:color="000000"/>
              <w:right w:val="nil"/>
            </w:tcBorders>
            <w:shd w:val="clear" w:color="auto" w:fill="auto"/>
            <w:hideMark/>
          </w:tcPr>
          <w:p w:rsidR="00714123" w:rsidRPr="00660308" w:rsidRDefault="00714123" w:rsidP="00714123">
            <w:pPr>
              <w:jc w:val="center"/>
              <w:rPr>
                <w:b/>
                <w:bCs/>
                <w:snapToGrid/>
                <w:color w:val="A32020"/>
                <w:sz w:val="16"/>
                <w:szCs w:val="16"/>
                <w:lang w:eastAsia="en-AU"/>
              </w:rPr>
            </w:pPr>
            <w:r w:rsidRPr="00660308">
              <w:rPr>
                <w:b/>
                <w:bCs/>
                <w:snapToGrid/>
                <w:color w:val="A32020"/>
                <w:sz w:val="16"/>
                <w:szCs w:val="16"/>
                <w:lang w:eastAsia="en-AU"/>
              </w:rPr>
              <w:t>Top 20 Round 17</w:t>
            </w:r>
          </w:p>
        </w:tc>
        <w:tc>
          <w:tcPr>
            <w:tcW w:w="291" w:type="pct"/>
            <w:vMerge w:val="restart"/>
            <w:tcBorders>
              <w:top w:val="single" w:sz="4" w:space="0" w:color="auto"/>
              <w:left w:val="nil"/>
              <w:bottom w:val="single" w:sz="4" w:space="0" w:color="000000"/>
              <w:right w:val="nil"/>
            </w:tcBorders>
            <w:shd w:val="clear" w:color="auto" w:fill="auto"/>
            <w:hideMark/>
          </w:tcPr>
          <w:p w:rsidR="00714123" w:rsidRPr="00660308" w:rsidRDefault="00714123" w:rsidP="00714123">
            <w:pPr>
              <w:jc w:val="center"/>
              <w:rPr>
                <w:b/>
                <w:bCs/>
                <w:snapToGrid/>
                <w:color w:val="A32020"/>
                <w:sz w:val="16"/>
                <w:szCs w:val="16"/>
                <w:lang w:eastAsia="en-AU"/>
              </w:rPr>
            </w:pPr>
            <w:r w:rsidRPr="00660308">
              <w:rPr>
                <w:b/>
                <w:bCs/>
                <w:snapToGrid/>
                <w:color w:val="A32020"/>
                <w:sz w:val="16"/>
                <w:szCs w:val="16"/>
                <w:lang w:eastAsia="en-AU"/>
              </w:rPr>
              <w:t>Rank Round 18</w:t>
            </w:r>
          </w:p>
        </w:tc>
        <w:tc>
          <w:tcPr>
            <w:tcW w:w="280" w:type="pct"/>
            <w:vMerge w:val="restart"/>
            <w:tcBorders>
              <w:top w:val="single" w:sz="4" w:space="0" w:color="auto"/>
              <w:left w:val="nil"/>
              <w:bottom w:val="single" w:sz="4" w:space="0" w:color="000000"/>
              <w:right w:val="nil"/>
            </w:tcBorders>
            <w:shd w:val="clear" w:color="auto" w:fill="auto"/>
            <w:hideMark/>
          </w:tcPr>
          <w:p w:rsidR="00714123" w:rsidRPr="00660308" w:rsidRDefault="00714123" w:rsidP="00714123">
            <w:pPr>
              <w:jc w:val="center"/>
              <w:rPr>
                <w:b/>
                <w:bCs/>
                <w:snapToGrid/>
                <w:color w:val="A32020"/>
                <w:sz w:val="16"/>
                <w:szCs w:val="16"/>
                <w:lang w:eastAsia="en-AU"/>
              </w:rPr>
            </w:pPr>
            <w:r w:rsidRPr="00660308">
              <w:rPr>
                <w:b/>
                <w:bCs/>
                <w:snapToGrid/>
                <w:color w:val="A32020"/>
                <w:sz w:val="16"/>
                <w:szCs w:val="16"/>
                <w:lang w:eastAsia="en-AU"/>
              </w:rPr>
              <w:t>AR-DRG</w:t>
            </w:r>
          </w:p>
        </w:tc>
        <w:tc>
          <w:tcPr>
            <w:tcW w:w="1301" w:type="pct"/>
            <w:vMerge w:val="restart"/>
            <w:tcBorders>
              <w:top w:val="single" w:sz="4" w:space="0" w:color="auto"/>
              <w:left w:val="nil"/>
              <w:bottom w:val="single" w:sz="4" w:space="0" w:color="000000"/>
              <w:right w:val="nil"/>
            </w:tcBorders>
            <w:shd w:val="clear" w:color="auto" w:fill="auto"/>
            <w:hideMark/>
          </w:tcPr>
          <w:p w:rsidR="00714123" w:rsidRPr="00660308" w:rsidRDefault="00714123" w:rsidP="00714123">
            <w:pPr>
              <w:jc w:val="center"/>
              <w:rPr>
                <w:b/>
                <w:bCs/>
                <w:snapToGrid/>
                <w:color w:val="A32020"/>
                <w:sz w:val="16"/>
                <w:szCs w:val="16"/>
                <w:lang w:eastAsia="en-AU"/>
              </w:rPr>
            </w:pPr>
            <w:r w:rsidRPr="00660308">
              <w:rPr>
                <w:b/>
                <w:bCs/>
                <w:snapToGrid/>
                <w:color w:val="A32020"/>
                <w:sz w:val="16"/>
                <w:szCs w:val="16"/>
                <w:lang w:eastAsia="en-AU"/>
              </w:rPr>
              <w:t>AR-DRG Description</w:t>
            </w:r>
          </w:p>
        </w:tc>
        <w:tc>
          <w:tcPr>
            <w:tcW w:w="358" w:type="pct"/>
            <w:vMerge w:val="restart"/>
            <w:tcBorders>
              <w:top w:val="single" w:sz="4" w:space="0" w:color="auto"/>
              <w:left w:val="nil"/>
              <w:bottom w:val="single" w:sz="4" w:space="0" w:color="000000"/>
              <w:right w:val="nil"/>
            </w:tcBorders>
            <w:shd w:val="clear" w:color="000000" w:fill="F4CACA"/>
            <w:hideMark/>
          </w:tcPr>
          <w:p w:rsidR="00714123" w:rsidRPr="00660308" w:rsidRDefault="00714123" w:rsidP="00714123">
            <w:pPr>
              <w:jc w:val="center"/>
              <w:rPr>
                <w:b/>
                <w:bCs/>
                <w:snapToGrid/>
                <w:color w:val="A32020"/>
                <w:sz w:val="16"/>
                <w:szCs w:val="16"/>
                <w:lang w:eastAsia="en-AU"/>
              </w:rPr>
            </w:pPr>
            <w:r w:rsidRPr="00660308">
              <w:rPr>
                <w:b/>
                <w:bCs/>
                <w:snapToGrid/>
                <w:color w:val="A32020"/>
                <w:sz w:val="16"/>
                <w:szCs w:val="16"/>
                <w:lang w:eastAsia="en-AU"/>
              </w:rPr>
              <w:t>Critical care cost weight</w:t>
            </w:r>
            <w:r w:rsidRPr="00660308">
              <w:rPr>
                <w:b/>
                <w:bCs/>
                <w:snapToGrid/>
                <w:color w:val="A32020"/>
                <w:sz w:val="16"/>
                <w:szCs w:val="16"/>
                <w:lang w:eastAsia="en-AU"/>
              </w:rPr>
              <w:br/>
              <w:t>(a)</w:t>
            </w:r>
          </w:p>
        </w:tc>
        <w:tc>
          <w:tcPr>
            <w:tcW w:w="380" w:type="pct"/>
            <w:vMerge w:val="restart"/>
            <w:tcBorders>
              <w:top w:val="single" w:sz="4" w:space="0" w:color="auto"/>
              <w:left w:val="nil"/>
              <w:bottom w:val="single" w:sz="4" w:space="0" w:color="000000"/>
              <w:right w:val="nil"/>
            </w:tcBorders>
            <w:shd w:val="clear" w:color="auto" w:fill="auto"/>
            <w:hideMark/>
          </w:tcPr>
          <w:p w:rsidR="00714123" w:rsidRPr="00660308" w:rsidRDefault="00714123" w:rsidP="00DD1929">
            <w:pPr>
              <w:jc w:val="center"/>
              <w:rPr>
                <w:b/>
                <w:bCs/>
                <w:snapToGrid/>
                <w:color w:val="A32020"/>
                <w:sz w:val="16"/>
                <w:szCs w:val="16"/>
                <w:lang w:eastAsia="en-AU"/>
              </w:rPr>
            </w:pPr>
            <w:r w:rsidRPr="00660308">
              <w:rPr>
                <w:b/>
                <w:bCs/>
                <w:snapToGrid/>
                <w:color w:val="A32020"/>
                <w:sz w:val="16"/>
                <w:szCs w:val="16"/>
                <w:lang w:eastAsia="en-AU"/>
              </w:rPr>
              <w:t xml:space="preserve">No. of </w:t>
            </w:r>
            <w:r w:rsidR="00DD1929">
              <w:rPr>
                <w:b/>
                <w:bCs/>
                <w:snapToGrid/>
                <w:color w:val="A32020"/>
                <w:sz w:val="16"/>
                <w:szCs w:val="16"/>
                <w:lang w:eastAsia="en-AU"/>
              </w:rPr>
              <w:t>population-adjusted</w:t>
            </w:r>
            <w:r w:rsidRPr="00660308">
              <w:rPr>
                <w:b/>
                <w:bCs/>
                <w:snapToGrid/>
                <w:color w:val="A32020"/>
                <w:sz w:val="16"/>
                <w:szCs w:val="16"/>
                <w:lang w:eastAsia="en-AU"/>
              </w:rPr>
              <w:t xml:space="preserve"> seps</w:t>
            </w:r>
            <w:r w:rsidRPr="00660308">
              <w:rPr>
                <w:b/>
                <w:bCs/>
                <w:snapToGrid/>
                <w:color w:val="A32020"/>
                <w:sz w:val="16"/>
                <w:szCs w:val="16"/>
                <w:lang w:eastAsia="en-AU"/>
              </w:rPr>
              <w:br/>
              <w:t>(b)</w:t>
            </w:r>
          </w:p>
        </w:tc>
        <w:tc>
          <w:tcPr>
            <w:tcW w:w="325" w:type="pct"/>
            <w:vMerge w:val="restart"/>
            <w:tcBorders>
              <w:top w:val="single" w:sz="4" w:space="0" w:color="auto"/>
              <w:left w:val="nil"/>
              <w:bottom w:val="single" w:sz="4" w:space="0" w:color="000000"/>
              <w:right w:val="nil"/>
            </w:tcBorders>
            <w:shd w:val="clear" w:color="auto" w:fill="auto"/>
            <w:hideMark/>
          </w:tcPr>
          <w:p w:rsidR="00714123" w:rsidRPr="00660308" w:rsidRDefault="00714123" w:rsidP="00714123">
            <w:pPr>
              <w:jc w:val="center"/>
              <w:rPr>
                <w:b/>
                <w:bCs/>
                <w:snapToGrid/>
                <w:color w:val="A32020"/>
                <w:sz w:val="16"/>
                <w:szCs w:val="16"/>
                <w:lang w:eastAsia="en-AU"/>
              </w:rPr>
            </w:pPr>
            <w:r w:rsidRPr="00660308">
              <w:rPr>
                <w:b/>
                <w:bCs/>
                <w:snapToGrid/>
                <w:color w:val="A32020"/>
                <w:sz w:val="16"/>
                <w:szCs w:val="16"/>
                <w:lang w:eastAsia="en-AU"/>
              </w:rPr>
              <w:t>Overall cost weight</w:t>
            </w:r>
            <w:r w:rsidRPr="00660308">
              <w:rPr>
                <w:b/>
                <w:bCs/>
                <w:snapToGrid/>
                <w:color w:val="A32020"/>
                <w:sz w:val="16"/>
                <w:szCs w:val="16"/>
                <w:lang w:eastAsia="en-AU"/>
              </w:rPr>
              <w:br/>
              <w:t>(c)</w:t>
            </w:r>
          </w:p>
        </w:tc>
        <w:tc>
          <w:tcPr>
            <w:tcW w:w="263" w:type="pct"/>
            <w:vMerge w:val="restart"/>
            <w:tcBorders>
              <w:top w:val="single" w:sz="4" w:space="0" w:color="auto"/>
              <w:left w:val="nil"/>
              <w:bottom w:val="single" w:sz="4" w:space="0" w:color="000000"/>
              <w:right w:val="single" w:sz="4" w:space="0" w:color="000000"/>
            </w:tcBorders>
            <w:shd w:val="clear" w:color="auto" w:fill="auto"/>
            <w:hideMark/>
          </w:tcPr>
          <w:p w:rsidR="00714123" w:rsidRPr="00660308" w:rsidRDefault="00714123" w:rsidP="00714123">
            <w:pPr>
              <w:jc w:val="center"/>
              <w:rPr>
                <w:b/>
                <w:bCs/>
                <w:snapToGrid/>
                <w:color w:val="A32020"/>
                <w:sz w:val="16"/>
                <w:szCs w:val="16"/>
                <w:lang w:eastAsia="en-AU"/>
              </w:rPr>
            </w:pPr>
            <w:r w:rsidRPr="00660308">
              <w:rPr>
                <w:b/>
                <w:bCs/>
                <w:snapToGrid/>
                <w:color w:val="A32020"/>
                <w:sz w:val="16"/>
                <w:szCs w:val="16"/>
                <w:lang w:eastAsia="en-AU"/>
              </w:rPr>
              <w:t>ALoS (days)</w:t>
            </w:r>
            <w:r w:rsidRPr="00660308">
              <w:rPr>
                <w:b/>
                <w:bCs/>
                <w:snapToGrid/>
                <w:color w:val="A32020"/>
                <w:sz w:val="16"/>
                <w:szCs w:val="16"/>
                <w:lang w:eastAsia="en-AU"/>
              </w:rPr>
              <w:br/>
              <w:t>(e)</w:t>
            </w:r>
          </w:p>
        </w:tc>
        <w:tc>
          <w:tcPr>
            <w:tcW w:w="1091" w:type="pct"/>
            <w:gridSpan w:val="4"/>
            <w:tcBorders>
              <w:top w:val="single" w:sz="4" w:space="0" w:color="auto"/>
              <w:left w:val="single" w:sz="4" w:space="0" w:color="000000"/>
              <w:bottom w:val="single" w:sz="4" w:space="0" w:color="auto"/>
              <w:right w:val="nil"/>
            </w:tcBorders>
            <w:shd w:val="clear" w:color="auto" w:fill="auto"/>
            <w:noWrap/>
            <w:hideMark/>
          </w:tcPr>
          <w:p w:rsidR="00714123" w:rsidRPr="00660308" w:rsidRDefault="00714123" w:rsidP="00714123">
            <w:pPr>
              <w:jc w:val="center"/>
              <w:rPr>
                <w:b/>
                <w:bCs/>
                <w:snapToGrid/>
                <w:color w:val="A32020"/>
                <w:sz w:val="16"/>
                <w:szCs w:val="16"/>
                <w:lang w:eastAsia="en-AU"/>
              </w:rPr>
            </w:pPr>
            <w:r w:rsidRPr="00660308">
              <w:rPr>
                <w:b/>
                <w:bCs/>
                <w:snapToGrid/>
                <w:color w:val="A32020"/>
                <w:sz w:val="16"/>
                <w:szCs w:val="16"/>
                <w:lang w:eastAsia="en-AU"/>
              </w:rPr>
              <w:t>% of AR-DRG total cost</w:t>
            </w:r>
          </w:p>
        </w:tc>
        <w:tc>
          <w:tcPr>
            <w:tcW w:w="411" w:type="pct"/>
            <w:vMerge w:val="restart"/>
            <w:tcBorders>
              <w:top w:val="single" w:sz="4" w:space="0" w:color="auto"/>
              <w:left w:val="single" w:sz="4" w:space="0" w:color="auto"/>
              <w:bottom w:val="single" w:sz="4" w:space="0" w:color="000000"/>
              <w:right w:val="nil"/>
            </w:tcBorders>
            <w:shd w:val="clear" w:color="auto" w:fill="auto"/>
            <w:hideMark/>
          </w:tcPr>
          <w:p w:rsidR="00714123" w:rsidRPr="00660308" w:rsidRDefault="00714123" w:rsidP="00714123">
            <w:pPr>
              <w:jc w:val="center"/>
              <w:rPr>
                <w:b/>
                <w:bCs/>
                <w:snapToGrid/>
                <w:color w:val="A32020"/>
                <w:sz w:val="16"/>
                <w:szCs w:val="16"/>
                <w:lang w:eastAsia="en-AU"/>
              </w:rPr>
            </w:pPr>
            <w:r w:rsidRPr="00660308">
              <w:rPr>
                <w:b/>
                <w:bCs/>
                <w:snapToGrid/>
                <w:color w:val="A32020"/>
                <w:sz w:val="16"/>
                <w:szCs w:val="16"/>
                <w:lang w:eastAsia="en-AU"/>
              </w:rPr>
              <w:t>Round 17 critical care cost weight</w:t>
            </w:r>
          </w:p>
        </w:tc>
      </w:tr>
      <w:tr w:rsidR="00714123" w:rsidRPr="00660308" w:rsidTr="00714123">
        <w:trPr>
          <w:trHeight w:val="182"/>
        </w:trPr>
        <w:tc>
          <w:tcPr>
            <w:tcW w:w="300" w:type="pct"/>
            <w:vMerge/>
            <w:tcBorders>
              <w:top w:val="single" w:sz="4" w:space="0" w:color="auto"/>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291" w:type="pct"/>
            <w:vMerge/>
            <w:tcBorders>
              <w:top w:val="single" w:sz="4" w:space="0" w:color="auto"/>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280" w:type="pct"/>
            <w:vMerge/>
            <w:tcBorders>
              <w:top w:val="single" w:sz="4" w:space="0" w:color="auto"/>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1301" w:type="pct"/>
            <w:vMerge/>
            <w:tcBorders>
              <w:top w:val="single" w:sz="4" w:space="0" w:color="auto"/>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358" w:type="pct"/>
            <w:vMerge/>
            <w:tcBorders>
              <w:top w:val="single" w:sz="4" w:space="0" w:color="auto"/>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380" w:type="pct"/>
            <w:vMerge/>
            <w:tcBorders>
              <w:top w:val="single" w:sz="4" w:space="0" w:color="auto"/>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325" w:type="pct"/>
            <w:vMerge/>
            <w:tcBorders>
              <w:top w:val="single" w:sz="4" w:space="0" w:color="auto"/>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263" w:type="pct"/>
            <w:vMerge/>
            <w:tcBorders>
              <w:top w:val="single" w:sz="4" w:space="0" w:color="auto"/>
              <w:left w:val="nil"/>
              <w:bottom w:val="single" w:sz="4" w:space="0" w:color="000000"/>
              <w:right w:val="single" w:sz="4" w:space="0" w:color="000000"/>
            </w:tcBorders>
            <w:vAlign w:val="center"/>
            <w:hideMark/>
          </w:tcPr>
          <w:p w:rsidR="00714123" w:rsidRPr="00660308" w:rsidRDefault="00714123" w:rsidP="00714123">
            <w:pPr>
              <w:rPr>
                <w:b/>
                <w:bCs/>
                <w:snapToGrid/>
                <w:color w:val="A32020"/>
                <w:sz w:val="16"/>
                <w:szCs w:val="16"/>
                <w:lang w:eastAsia="en-AU"/>
              </w:rPr>
            </w:pPr>
          </w:p>
        </w:tc>
        <w:tc>
          <w:tcPr>
            <w:tcW w:w="218" w:type="pct"/>
            <w:vMerge w:val="restart"/>
            <w:tcBorders>
              <w:top w:val="nil"/>
              <w:left w:val="single" w:sz="4" w:space="0" w:color="000000"/>
              <w:bottom w:val="single" w:sz="4" w:space="0" w:color="000000"/>
              <w:right w:val="nil"/>
            </w:tcBorders>
            <w:shd w:val="clear" w:color="auto" w:fill="auto"/>
            <w:hideMark/>
          </w:tcPr>
          <w:p w:rsidR="00714123" w:rsidRPr="00660308" w:rsidRDefault="00714123" w:rsidP="00714123">
            <w:pPr>
              <w:jc w:val="center"/>
              <w:rPr>
                <w:b/>
                <w:bCs/>
                <w:snapToGrid/>
                <w:color w:val="A32020"/>
                <w:sz w:val="16"/>
                <w:szCs w:val="16"/>
                <w:lang w:eastAsia="en-AU"/>
              </w:rPr>
            </w:pPr>
            <w:r w:rsidRPr="00660308">
              <w:rPr>
                <w:b/>
                <w:bCs/>
                <w:snapToGrid/>
                <w:color w:val="A32020"/>
                <w:sz w:val="16"/>
                <w:szCs w:val="16"/>
                <w:lang w:eastAsia="en-AU"/>
              </w:rPr>
              <w:t>OR and SPS</w:t>
            </w:r>
          </w:p>
        </w:tc>
        <w:tc>
          <w:tcPr>
            <w:tcW w:w="284" w:type="pct"/>
            <w:vMerge w:val="restart"/>
            <w:tcBorders>
              <w:top w:val="nil"/>
              <w:left w:val="nil"/>
              <w:bottom w:val="single" w:sz="4" w:space="0" w:color="000000"/>
              <w:right w:val="nil"/>
            </w:tcBorders>
            <w:shd w:val="clear" w:color="auto" w:fill="auto"/>
            <w:hideMark/>
          </w:tcPr>
          <w:p w:rsidR="00714123" w:rsidRPr="00660308" w:rsidRDefault="00714123" w:rsidP="00714123">
            <w:pPr>
              <w:jc w:val="center"/>
              <w:rPr>
                <w:b/>
                <w:bCs/>
                <w:snapToGrid/>
                <w:color w:val="A32020"/>
                <w:sz w:val="16"/>
                <w:szCs w:val="16"/>
                <w:lang w:eastAsia="en-AU"/>
              </w:rPr>
            </w:pPr>
            <w:r w:rsidRPr="00660308">
              <w:rPr>
                <w:b/>
                <w:bCs/>
                <w:snapToGrid/>
                <w:color w:val="A32020"/>
                <w:sz w:val="16"/>
                <w:szCs w:val="16"/>
                <w:lang w:eastAsia="en-AU"/>
              </w:rPr>
              <w:t>Critical care</w:t>
            </w:r>
          </w:p>
        </w:tc>
        <w:tc>
          <w:tcPr>
            <w:tcW w:w="278" w:type="pct"/>
            <w:vMerge w:val="restart"/>
            <w:tcBorders>
              <w:top w:val="nil"/>
              <w:left w:val="nil"/>
              <w:bottom w:val="single" w:sz="4" w:space="0" w:color="000000"/>
              <w:right w:val="nil"/>
            </w:tcBorders>
            <w:shd w:val="clear" w:color="auto" w:fill="auto"/>
            <w:hideMark/>
          </w:tcPr>
          <w:p w:rsidR="00714123" w:rsidRPr="00660308" w:rsidRDefault="00714123" w:rsidP="00805489">
            <w:pPr>
              <w:jc w:val="center"/>
              <w:rPr>
                <w:b/>
                <w:bCs/>
                <w:snapToGrid/>
                <w:color w:val="A32020"/>
                <w:sz w:val="16"/>
                <w:szCs w:val="16"/>
                <w:lang w:eastAsia="en-AU"/>
              </w:rPr>
            </w:pPr>
            <w:r w:rsidRPr="00660308">
              <w:rPr>
                <w:b/>
                <w:bCs/>
                <w:snapToGrid/>
                <w:color w:val="A32020"/>
                <w:sz w:val="16"/>
                <w:szCs w:val="16"/>
                <w:lang w:eastAsia="en-AU"/>
              </w:rPr>
              <w:t>Prosthesis</w:t>
            </w:r>
          </w:p>
        </w:tc>
        <w:tc>
          <w:tcPr>
            <w:tcW w:w="311" w:type="pct"/>
            <w:vMerge w:val="restart"/>
            <w:tcBorders>
              <w:top w:val="nil"/>
              <w:left w:val="nil"/>
              <w:bottom w:val="single" w:sz="4" w:space="0" w:color="000000"/>
              <w:right w:val="nil"/>
            </w:tcBorders>
            <w:shd w:val="clear" w:color="auto" w:fill="auto"/>
            <w:hideMark/>
          </w:tcPr>
          <w:p w:rsidR="00714123" w:rsidRPr="00660308" w:rsidRDefault="00DD1929" w:rsidP="00714123">
            <w:pPr>
              <w:jc w:val="center"/>
              <w:rPr>
                <w:b/>
                <w:bCs/>
                <w:snapToGrid/>
                <w:color w:val="A32020"/>
                <w:sz w:val="16"/>
                <w:szCs w:val="16"/>
                <w:lang w:eastAsia="en-AU"/>
              </w:rPr>
            </w:pPr>
            <w:r>
              <w:rPr>
                <w:b/>
                <w:bCs/>
                <w:snapToGrid/>
                <w:color w:val="A32020"/>
                <w:sz w:val="16"/>
                <w:szCs w:val="16"/>
                <w:lang w:eastAsia="en-AU"/>
              </w:rPr>
              <w:t>Misc.</w:t>
            </w:r>
            <w:r w:rsidR="00714123" w:rsidRPr="00660308">
              <w:rPr>
                <w:b/>
                <w:bCs/>
                <w:snapToGrid/>
                <w:color w:val="A32020"/>
                <w:sz w:val="16"/>
                <w:szCs w:val="16"/>
                <w:lang w:eastAsia="en-AU"/>
              </w:rPr>
              <w:t xml:space="preserve"> </w:t>
            </w:r>
          </w:p>
        </w:tc>
        <w:tc>
          <w:tcPr>
            <w:tcW w:w="411" w:type="pct"/>
            <w:vMerge/>
            <w:tcBorders>
              <w:top w:val="single" w:sz="4" w:space="0" w:color="auto"/>
              <w:left w:val="single" w:sz="4" w:space="0" w:color="auto"/>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r>
      <w:tr w:rsidR="00714123" w:rsidRPr="00660308" w:rsidTr="00714123">
        <w:trPr>
          <w:trHeight w:val="182"/>
        </w:trPr>
        <w:tc>
          <w:tcPr>
            <w:tcW w:w="300" w:type="pct"/>
            <w:vMerge/>
            <w:tcBorders>
              <w:top w:val="single" w:sz="4" w:space="0" w:color="auto"/>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291" w:type="pct"/>
            <w:vMerge/>
            <w:tcBorders>
              <w:top w:val="single" w:sz="4" w:space="0" w:color="auto"/>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280" w:type="pct"/>
            <w:vMerge/>
            <w:tcBorders>
              <w:top w:val="single" w:sz="4" w:space="0" w:color="auto"/>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1301" w:type="pct"/>
            <w:vMerge/>
            <w:tcBorders>
              <w:top w:val="single" w:sz="4" w:space="0" w:color="auto"/>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358" w:type="pct"/>
            <w:vMerge/>
            <w:tcBorders>
              <w:top w:val="single" w:sz="4" w:space="0" w:color="auto"/>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380" w:type="pct"/>
            <w:vMerge/>
            <w:tcBorders>
              <w:top w:val="single" w:sz="4" w:space="0" w:color="auto"/>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325" w:type="pct"/>
            <w:vMerge/>
            <w:tcBorders>
              <w:top w:val="single" w:sz="4" w:space="0" w:color="auto"/>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263" w:type="pct"/>
            <w:vMerge/>
            <w:tcBorders>
              <w:top w:val="single" w:sz="4" w:space="0" w:color="auto"/>
              <w:left w:val="nil"/>
              <w:bottom w:val="single" w:sz="4" w:space="0" w:color="000000"/>
              <w:right w:val="single" w:sz="4" w:space="0" w:color="000000"/>
            </w:tcBorders>
            <w:vAlign w:val="center"/>
            <w:hideMark/>
          </w:tcPr>
          <w:p w:rsidR="00714123" w:rsidRPr="00660308" w:rsidRDefault="00714123" w:rsidP="00714123">
            <w:pPr>
              <w:rPr>
                <w:b/>
                <w:bCs/>
                <w:snapToGrid/>
                <w:color w:val="A32020"/>
                <w:sz w:val="16"/>
                <w:szCs w:val="16"/>
                <w:lang w:eastAsia="en-AU"/>
              </w:rPr>
            </w:pPr>
          </w:p>
        </w:tc>
        <w:tc>
          <w:tcPr>
            <w:tcW w:w="218" w:type="pct"/>
            <w:vMerge/>
            <w:tcBorders>
              <w:top w:val="nil"/>
              <w:left w:val="single" w:sz="4" w:space="0" w:color="000000"/>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284" w:type="pct"/>
            <w:vMerge/>
            <w:tcBorders>
              <w:top w:val="nil"/>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278" w:type="pct"/>
            <w:vMerge/>
            <w:tcBorders>
              <w:top w:val="nil"/>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311" w:type="pct"/>
            <w:vMerge/>
            <w:tcBorders>
              <w:top w:val="nil"/>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411" w:type="pct"/>
            <w:vMerge/>
            <w:tcBorders>
              <w:top w:val="single" w:sz="4" w:space="0" w:color="auto"/>
              <w:left w:val="single" w:sz="4" w:space="0" w:color="auto"/>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r>
      <w:tr w:rsidR="00714123" w:rsidRPr="00660308" w:rsidTr="00714123">
        <w:trPr>
          <w:trHeight w:val="182"/>
        </w:trPr>
        <w:tc>
          <w:tcPr>
            <w:tcW w:w="300" w:type="pct"/>
            <w:vMerge/>
            <w:tcBorders>
              <w:top w:val="single" w:sz="4" w:space="0" w:color="auto"/>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291" w:type="pct"/>
            <w:vMerge/>
            <w:tcBorders>
              <w:top w:val="single" w:sz="4" w:space="0" w:color="auto"/>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280" w:type="pct"/>
            <w:vMerge/>
            <w:tcBorders>
              <w:top w:val="single" w:sz="4" w:space="0" w:color="auto"/>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1301" w:type="pct"/>
            <w:vMerge/>
            <w:tcBorders>
              <w:top w:val="single" w:sz="4" w:space="0" w:color="auto"/>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358" w:type="pct"/>
            <w:vMerge/>
            <w:tcBorders>
              <w:top w:val="single" w:sz="4" w:space="0" w:color="auto"/>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380" w:type="pct"/>
            <w:vMerge/>
            <w:tcBorders>
              <w:top w:val="single" w:sz="4" w:space="0" w:color="auto"/>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325" w:type="pct"/>
            <w:vMerge/>
            <w:tcBorders>
              <w:top w:val="single" w:sz="4" w:space="0" w:color="auto"/>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263" w:type="pct"/>
            <w:vMerge/>
            <w:tcBorders>
              <w:top w:val="single" w:sz="4" w:space="0" w:color="auto"/>
              <w:left w:val="nil"/>
              <w:bottom w:val="single" w:sz="4" w:space="0" w:color="000000"/>
              <w:right w:val="single" w:sz="4" w:space="0" w:color="000000"/>
            </w:tcBorders>
            <w:vAlign w:val="center"/>
            <w:hideMark/>
          </w:tcPr>
          <w:p w:rsidR="00714123" w:rsidRPr="00660308" w:rsidRDefault="00714123" w:rsidP="00714123">
            <w:pPr>
              <w:rPr>
                <w:b/>
                <w:bCs/>
                <w:snapToGrid/>
                <w:color w:val="A32020"/>
                <w:sz w:val="16"/>
                <w:szCs w:val="16"/>
                <w:lang w:eastAsia="en-AU"/>
              </w:rPr>
            </w:pPr>
          </w:p>
        </w:tc>
        <w:tc>
          <w:tcPr>
            <w:tcW w:w="218" w:type="pct"/>
            <w:vMerge/>
            <w:tcBorders>
              <w:top w:val="nil"/>
              <w:left w:val="single" w:sz="4" w:space="0" w:color="000000"/>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284" w:type="pct"/>
            <w:vMerge/>
            <w:tcBorders>
              <w:top w:val="nil"/>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278" w:type="pct"/>
            <w:vMerge/>
            <w:tcBorders>
              <w:top w:val="nil"/>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311" w:type="pct"/>
            <w:vMerge/>
            <w:tcBorders>
              <w:top w:val="nil"/>
              <w:left w:val="nil"/>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c>
          <w:tcPr>
            <w:tcW w:w="411" w:type="pct"/>
            <w:vMerge/>
            <w:tcBorders>
              <w:top w:val="single" w:sz="4" w:space="0" w:color="auto"/>
              <w:left w:val="single" w:sz="4" w:space="0" w:color="auto"/>
              <w:bottom w:val="single" w:sz="4" w:space="0" w:color="000000"/>
              <w:right w:val="nil"/>
            </w:tcBorders>
            <w:vAlign w:val="center"/>
            <w:hideMark/>
          </w:tcPr>
          <w:p w:rsidR="00714123" w:rsidRPr="00660308" w:rsidRDefault="00714123" w:rsidP="00714123">
            <w:pPr>
              <w:rPr>
                <w:b/>
                <w:bCs/>
                <w:snapToGrid/>
                <w:color w:val="A32020"/>
                <w:sz w:val="16"/>
                <w:szCs w:val="16"/>
                <w:lang w:eastAsia="en-AU"/>
              </w:rPr>
            </w:pPr>
          </w:p>
        </w:tc>
      </w:tr>
      <w:tr w:rsidR="00714123" w:rsidRPr="00660308" w:rsidTr="00714123">
        <w:trPr>
          <w:trHeight w:val="168"/>
        </w:trPr>
        <w:tc>
          <w:tcPr>
            <w:tcW w:w="300" w:type="pct"/>
            <w:tcBorders>
              <w:top w:val="nil"/>
              <w:left w:val="nil"/>
              <w:bottom w:val="nil"/>
              <w:right w:val="nil"/>
            </w:tcBorders>
            <w:shd w:val="clear" w:color="auto" w:fill="auto"/>
            <w:noWrap/>
            <w:hideMark/>
          </w:tcPr>
          <w:p w:rsidR="00714123" w:rsidRPr="00660308" w:rsidRDefault="00DD1929" w:rsidP="00714123">
            <w:pPr>
              <w:jc w:val="center"/>
              <w:rPr>
                <w:snapToGrid/>
                <w:color w:val="000000"/>
                <w:sz w:val="16"/>
                <w:szCs w:val="16"/>
                <w:lang w:eastAsia="en-AU"/>
              </w:rPr>
            </w:pPr>
            <w:r w:rsidRPr="00660308">
              <w:rPr>
                <w:noProof/>
                <w:snapToGrid/>
                <w:sz w:val="16"/>
                <w:szCs w:val="16"/>
                <w:lang w:eastAsia="en-AU"/>
              </w:rPr>
              <mc:AlternateContent>
                <mc:Choice Requires="wps">
                  <w:drawing>
                    <wp:anchor distT="0" distB="0" distL="114300" distR="114300" simplePos="0" relativeHeight="251696128" behindDoc="0" locked="0" layoutInCell="1" allowOverlap="1" wp14:anchorId="533EE902" wp14:editId="2F7DD409">
                      <wp:simplePos x="0" y="0"/>
                      <wp:positionH relativeFrom="column">
                        <wp:posOffset>80010</wp:posOffset>
                      </wp:positionH>
                      <wp:positionV relativeFrom="paragraph">
                        <wp:posOffset>-1905</wp:posOffset>
                      </wp:positionV>
                      <wp:extent cx="9338310" cy="120015"/>
                      <wp:effectExtent l="0" t="0" r="15240" b="13335"/>
                      <wp:wrapNone/>
                      <wp:docPr id="61" name="Rectangle 61"/>
                      <wp:cNvGraphicFramePr/>
                      <a:graphic xmlns:a="http://schemas.openxmlformats.org/drawingml/2006/main">
                        <a:graphicData uri="http://schemas.microsoft.com/office/word/2010/wordprocessingShape">
                          <wps:wsp>
                            <wps:cNvSpPr/>
                            <wps:spPr bwMode="ltGray">
                              <a:xfrm>
                                <a:off x="0" y="0"/>
                                <a:ext cx="9338310" cy="120015"/>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26" style="position:absolute;margin-left:6.3pt;margin-top:-.15pt;width:735.3pt;height:9.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" filled="f" strokecolor="#511010 [1604]" strokeweight="1.75pt"/>
                  </w:pict>
                </mc:Fallback>
              </mc:AlternateContent>
            </w:r>
            <w:r w:rsidR="00714123" w:rsidRPr="00660308">
              <w:rPr>
                <w:snapToGrid/>
                <w:color w:val="000000"/>
                <w:sz w:val="16"/>
                <w:szCs w:val="16"/>
                <w:lang w:eastAsia="en-AU"/>
              </w:rPr>
              <w:t>Yes</w:t>
            </w:r>
          </w:p>
        </w:tc>
        <w:tc>
          <w:tcPr>
            <w:tcW w:w="291"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1</w:t>
            </w:r>
          </w:p>
        </w:tc>
        <w:tc>
          <w:tcPr>
            <w:tcW w:w="280" w:type="pct"/>
            <w:tcBorders>
              <w:top w:val="nil"/>
              <w:left w:val="nil"/>
              <w:bottom w:val="nil"/>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P62Z</w:t>
            </w:r>
          </w:p>
        </w:tc>
        <w:tc>
          <w:tcPr>
            <w:tcW w:w="1301" w:type="pct"/>
            <w:tcBorders>
              <w:top w:val="nil"/>
              <w:left w:val="nil"/>
              <w:bottom w:val="nil"/>
              <w:right w:val="nil"/>
            </w:tcBorders>
            <w:shd w:val="clear" w:color="auto" w:fill="auto"/>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Neonate, AdmWt 750-999 g</w:t>
            </w:r>
          </w:p>
        </w:tc>
        <w:tc>
          <w:tcPr>
            <w:tcW w:w="358" w:type="pct"/>
            <w:tcBorders>
              <w:top w:val="nil"/>
              <w:left w:val="nil"/>
              <w:bottom w:val="nil"/>
              <w:right w:val="nil"/>
            </w:tcBorders>
            <w:shd w:val="clear" w:color="000000" w:fill="F4CACA"/>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26.49</w:t>
            </w:r>
          </w:p>
        </w:tc>
        <w:tc>
          <w:tcPr>
            <w:tcW w:w="380"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28</w:t>
            </w:r>
          </w:p>
        </w:tc>
        <w:tc>
          <w:tcPr>
            <w:tcW w:w="325"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35.71</w:t>
            </w:r>
          </w:p>
        </w:tc>
        <w:tc>
          <w:tcPr>
            <w:tcW w:w="263"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53.0</w:t>
            </w:r>
          </w:p>
        </w:tc>
        <w:tc>
          <w:tcPr>
            <w:tcW w:w="218" w:type="pct"/>
            <w:tcBorders>
              <w:top w:val="nil"/>
              <w:left w:val="single" w:sz="4" w:space="0" w:color="000000"/>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0%</w:t>
            </w:r>
          </w:p>
        </w:tc>
        <w:tc>
          <w:tcPr>
            <w:tcW w:w="284"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74%</w:t>
            </w:r>
          </w:p>
        </w:tc>
        <w:tc>
          <w:tcPr>
            <w:tcW w:w="278"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0%</w:t>
            </w:r>
          </w:p>
        </w:tc>
        <w:tc>
          <w:tcPr>
            <w:tcW w:w="311"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25%</w:t>
            </w:r>
          </w:p>
        </w:tc>
        <w:tc>
          <w:tcPr>
            <w:tcW w:w="411" w:type="pct"/>
            <w:tcBorders>
              <w:top w:val="nil"/>
              <w:left w:val="single" w:sz="4" w:space="0" w:color="auto"/>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31.65</w:t>
            </w:r>
          </w:p>
        </w:tc>
      </w:tr>
      <w:tr w:rsidR="00714123" w:rsidRPr="00660308" w:rsidTr="00714123">
        <w:trPr>
          <w:trHeight w:val="168"/>
        </w:trPr>
        <w:tc>
          <w:tcPr>
            <w:tcW w:w="300"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Yes</w:t>
            </w:r>
          </w:p>
        </w:tc>
        <w:tc>
          <w:tcPr>
            <w:tcW w:w="291"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2</w:t>
            </w:r>
          </w:p>
        </w:tc>
        <w:tc>
          <w:tcPr>
            <w:tcW w:w="280" w:type="pct"/>
            <w:tcBorders>
              <w:top w:val="nil"/>
              <w:left w:val="nil"/>
              <w:bottom w:val="nil"/>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A06A</w:t>
            </w:r>
          </w:p>
        </w:tc>
        <w:tc>
          <w:tcPr>
            <w:tcW w:w="1301" w:type="pct"/>
            <w:tcBorders>
              <w:top w:val="nil"/>
              <w:left w:val="nil"/>
              <w:bottom w:val="nil"/>
              <w:right w:val="nil"/>
            </w:tcBorders>
            <w:shd w:val="clear" w:color="auto" w:fill="auto"/>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Tracheostomy W Ventilation &gt;95 hours W Catastrophic CC</w:t>
            </w:r>
          </w:p>
        </w:tc>
        <w:tc>
          <w:tcPr>
            <w:tcW w:w="358" w:type="pct"/>
            <w:tcBorders>
              <w:top w:val="nil"/>
              <w:left w:val="nil"/>
              <w:bottom w:val="nil"/>
              <w:right w:val="nil"/>
            </w:tcBorders>
            <w:shd w:val="clear" w:color="000000" w:fill="F4CACA"/>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21.08</w:t>
            </w:r>
          </w:p>
        </w:tc>
        <w:tc>
          <w:tcPr>
            <w:tcW w:w="380"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206</w:t>
            </w:r>
          </w:p>
        </w:tc>
        <w:tc>
          <w:tcPr>
            <w:tcW w:w="325"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45.16</w:t>
            </w:r>
          </w:p>
        </w:tc>
        <w:tc>
          <w:tcPr>
            <w:tcW w:w="263"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52.3</w:t>
            </w:r>
          </w:p>
        </w:tc>
        <w:tc>
          <w:tcPr>
            <w:tcW w:w="218" w:type="pct"/>
            <w:tcBorders>
              <w:top w:val="nil"/>
              <w:left w:val="single" w:sz="4" w:space="0" w:color="000000"/>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5%</w:t>
            </w:r>
          </w:p>
        </w:tc>
        <w:tc>
          <w:tcPr>
            <w:tcW w:w="284"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47%</w:t>
            </w:r>
          </w:p>
        </w:tc>
        <w:tc>
          <w:tcPr>
            <w:tcW w:w="278"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16%</w:t>
            </w:r>
          </w:p>
        </w:tc>
        <w:tc>
          <w:tcPr>
            <w:tcW w:w="311"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33%</w:t>
            </w:r>
          </w:p>
        </w:tc>
        <w:tc>
          <w:tcPr>
            <w:tcW w:w="411" w:type="pct"/>
            <w:tcBorders>
              <w:top w:val="nil"/>
              <w:left w:val="single" w:sz="4" w:space="0" w:color="auto"/>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26.52</w:t>
            </w:r>
          </w:p>
        </w:tc>
      </w:tr>
      <w:tr w:rsidR="00714123" w:rsidRPr="00660308" w:rsidTr="00714123">
        <w:trPr>
          <w:trHeight w:val="168"/>
        </w:trPr>
        <w:tc>
          <w:tcPr>
            <w:tcW w:w="300" w:type="pct"/>
            <w:tcBorders>
              <w:top w:val="nil"/>
              <w:left w:val="nil"/>
              <w:bottom w:val="nil"/>
              <w:right w:val="nil"/>
            </w:tcBorders>
            <w:shd w:val="clear" w:color="auto" w:fill="auto"/>
            <w:noWrap/>
            <w:hideMark/>
          </w:tcPr>
          <w:p w:rsidR="00714123" w:rsidRPr="00660308" w:rsidRDefault="007C2B28" w:rsidP="00714123">
            <w:pPr>
              <w:jc w:val="center"/>
              <w:rPr>
                <w:snapToGrid/>
                <w:color w:val="000000"/>
                <w:sz w:val="16"/>
                <w:szCs w:val="16"/>
                <w:lang w:eastAsia="en-AU"/>
              </w:rPr>
            </w:pPr>
            <w:r w:rsidRPr="00660308">
              <w:rPr>
                <w:noProof/>
                <w:snapToGrid/>
                <w:sz w:val="16"/>
                <w:szCs w:val="16"/>
                <w:lang w:eastAsia="en-AU"/>
              </w:rPr>
              <mc:AlternateContent>
                <mc:Choice Requires="wps">
                  <w:drawing>
                    <wp:anchor distT="0" distB="0" distL="114300" distR="114300" simplePos="0" relativeHeight="251743232" behindDoc="0" locked="0" layoutInCell="1" allowOverlap="1" wp14:anchorId="093C1CBD" wp14:editId="62272C5D">
                      <wp:simplePos x="0" y="0"/>
                      <wp:positionH relativeFrom="column">
                        <wp:posOffset>71120</wp:posOffset>
                      </wp:positionH>
                      <wp:positionV relativeFrom="paragraph">
                        <wp:posOffset>233045</wp:posOffset>
                      </wp:positionV>
                      <wp:extent cx="9338310" cy="120015"/>
                      <wp:effectExtent l="0" t="0" r="15240" b="13335"/>
                      <wp:wrapNone/>
                      <wp:docPr id="16" name="Rectangle 16"/>
                      <wp:cNvGraphicFramePr/>
                      <a:graphic xmlns:a="http://schemas.openxmlformats.org/drawingml/2006/main">
                        <a:graphicData uri="http://schemas.microsoft.com/office/word/2010/wordprocessingShape">
                          <wps:wsp>
                            <wps:cNvSpPr/>
                            <wps:spPr bwMode="ltGray">
                              <a:xfrm>
                                <a:off x="0" y="0"/>
                                <a:ext cx="9338310" cy="120015"/>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5.6pt;margin-top:18.35pt;width:735.3pt;height:9.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" filled="f" strokecolor="#511010 [1604]" strokeweight="1.75pt"/>
                  </w:pict>
                </mc:Fallback>
              </mc:AlternateContent>
            </w:r>
            <w:r w:rsidR="00714123" w:rsidRPr="00660308">
              <w:rPr>
                <w:snapToGrid/>
                <w:color w:val="000000"/>
                <w:sz w:val="16"/>
                <w:szCs w:val="16"/>
                <w:lang w:eastAsia="en-AU"/>
              </w:rPr>
              <w:t>Yes</w:t>
            </w:r>
          </w:p>
        </w:tc>
        <w:tc>
          <w:tcPr>
            <w:tcW w:w="291"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3</w:t>
            </w:r>
          </w:p>
        </w:tc>
        <w:tc>
          <w:tcPr>
            <w:tcW w:w="280" w:type="pct"/>
            <w:tcBorders>
              <w:top w:val="nil"/>
              <w:left w:val="nil"/>
              <w:bottom w:val="nil"/>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A06B</w:t>
            </w:r>
          </w:p>
        </w:tc>
        <w:tc>
          <w:tcPr>
            <w:tcW w:w="1301" w:type="pct"/>
            <w:tcBorders>
              <w:top w:val="nil"/>
              <w:left w:val="nil"/>
              <w:bottom w:val="nil"/>
              <w:right w:val="nil"/>
            </w:tcBorders>
            <w:shd w:val="clear" w:color="auto" w:fill="auto"/>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Trach W Vent &gt;95 hours W/O Cat CC or Trach/Vent &gt;95 hours W Cat CC</w:t>
            </w:r>
          </w:p>
        </w:tc>
        <w:tc>
          <w:tcPr>
            <w:tcW w:w="358" w:type="pct"/>
            <w:tcBorders>
              <w:top w:val="nil"/>
              <w:left w:val="nil"/>
              <w:bottom w:val="nil"/>
              <w:right w:val="nil"/>
            </w:tcBorders>
            <w:shd w:val="clear" w:color="000000" w:fill="F4CACA"/>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9.56</w:t>
            </w:r>
          </w:p>
        </w:tc>
        <w:tc>
          <w:tcPr>
            <w:tcW w:w="380"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735</w:t>
            </w:r>
          </w:p>
        </w:tc>
        <w:tc>
          <w:tcPr>
            <w:tcW w:w="325"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22.61</w:t>
            </w:r>
          </w:p>
        </w:tc>
        <w:tc>
          <w:tcPr>
            <w:tcW w:w="263"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28.4</w:t>
            </w:r>
          </w:p>
        </w:tc>
        <w:tc>
          <w:tcPr>
            <w:tcW w:w="218" w:type="pct"/>
            <w:tcBorders>
              <w:top w:val="nil"/>
              <w:left w:val="single" w:sz="4" w:space="0" w:color="000000"/>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6%</w:t>
            </w:r>
          </w:p>
        </w:tc>
        <w:tc>
          <w:tcPr>
            <w:tcW w:w="284"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42%</w:t>
            </w:r>
          </w:p>
        </w:tc>
        <w:tc>
          <w:tcPr>
            <w:tcW w:w="278"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13%</w:t>
            </w:r>
          </w:p>
        </w:tc>
        <w:tc>
          <w:tcPr>
            <w:tcW w:w="311"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38%</w:t>
            </w:r>
          </w:p>
        </w:tc>
        <w:tc>
          <w:tcPr>
            <w:tcW w:w="411" w:type="pct"/>
            <w:tcBorders>
              <w:top w:val="nil"/>
              <w:left w:val="single" w:sz="4" w:space="0" w:color="auto"/>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9.</w:t>
            </w:r>
            <w:r w:rsidR="007C2B28" w:rsidRPr="00660308">
              <w:rPr>
                <w:noProof/>
                <w:snapToGrid/>
                <w:sz w:val="16"/>
                <w:szCs w:val="16"/>
                <w:lang w:eastAsia="en-AU"/>
              </w:rPr>
              <w:t xml:space="preserve"> </w:t>
            </w:r>
            <w:r w:rsidRPr="00660308">
              <w:rPr>
                <w:snapToGrid/>
                <w:color w:val="000000"/>
                <w:sz w:val="16"/>
                <w:szCs w:val="16"/>
                <w:lang w:eastAsia="en-AU"/>
              </w:rPr>
              <w:t>17</w:t>
            </w:r>
          </w:p>
        </w:tc>
      </w:tr>
      <w:tr w:rsidR="00714123" w:rsidRPr="00660308" w:rsidTr="00714123">
        <w:trPr>
          <w:trHeight w:val="168"/>
        </w:trPr>
        <w:tc>
          <w:tcPr>
            <w:tcW w:w="300"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No</w:t>
            </w:r>
          </w:p>
        </w:tc>
        <w:tc>
          <w:tcPr>
            <w:tcW w:w="291"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4</w:t>
            </w:r>
          </w:p>
        </w:tc>
        <w:tc>
          <w:tcPr>
            <w:tcW w:w="280" w:type="pct"/>
            <w:tcBorders>
              <w:top w:val="nil"/>
              <w:left w:val="nil"/>
              <w:bottom w:val="nil"/>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A06C</w:t>
            </w:r>
          </w:p>
        </w:tc>
        <w:tc>
          <w:tcPr>
            <w:tcW w:w="1301" w:type="pct"/>
            <w:tcBorders>
              <w:top w:val="nil"/>
              <w:left w:val="nil"/>
              <w:bottom w:val="nil"/>
              <w:right w:val="nil"/>
            </w:tcBorders>
            <w:shd w:val="clear" w:color="auto" w:fill="auto"/>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Ventilation &gt;95 hours W/O Catastrophic CC</w:t>
            </w:r>
          </w:p>
        </w:tc>
        <w:tc>
          <w:tcPr>
            <w:tcW w:w="358" w:type="pct"/>
            <w:tcBorders>
              <w:top w:val="nil"/>
              <w:left w:val="nil"/>
              <w:bottom w:val="nil"/>
              <w:right w:val="nil"/>
            </w:tcBorders>
            <w:shd w:val="clear" w:color="000000" w:fill="F4CACA"/>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9.22</w:t>
            </w:r>
          </w:p>
        </w:tc>
        <w:tc>
          <w:tcPr>
            <w:tcW w:w="380"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7</w:t>
            </w:r>
          </w:p>
        </w:tc>
        <w:tc>
          <w:tcPr>
            <w:tcW w:w="325"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17.89</w:t>
            </w:r>
          </w:p>
        </w:tc>
        <w:tc>
          <w:tcPr>
            <w:tcW w:w="263"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14.6</w:t>
            </w:r>
          </w:p>
        </w:tc>
        <w:tc>
          <w:tcPr>
            <w:tcW w:w="218" w:type="pct"/>
            <w:tcBorders>
              <w:top w:val="nil"/>
              <w:left w:val="single" w:sz="4" w:space="0" w:color="000000"/>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9%</w:t>
            </w:r>
          </w:p>
        </w:tc>
        <w:tc>
          <w:tcPr>
            <w:tcW w:w="284"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52%</w:t>
            </w:r>
          </w:p>
        </w:tc>
        <w:tc>
          <w:tcPr>
            <w:tcW w:w="278"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16%</w:t>
            </w:r>
          </w:p>
        </w:tc>
        <w:tc>
          <w:tcPr>
            <w:tcW w:w="311"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24%</w:t>
            </w:r>
          </w:p>
        </w:tc>
        <w:tc>
          <w:tcPr>
            <w:tcW w:w="411" w:type="pct"/>
            <w:tcBorders>
              <w:top w:val="nil"/>
              <w:left w:val="single" w:sz="4" w:space="0" w:color="auto"/>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w:t>
            </w:r>
          </w:p>
        </w:tc>
      </w:tr>
      <w:tr w:rsidR="00714123" w:rsidRPr="00660308" w:rsidTr="00714123">
        <w:trPr>
          <w:trHeight w:val="168"/>
        </w:trPr>
        <w:tc>
          <w:tcPr>
            <w:tcW w:w="300"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No</w:t>
            </w:r>
          </w:p>
        </w:tc>
        <w:tc>
          <w:tcPr>
            <w:tcW w:w="291"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5</w:t>
            </w:r>
          </w:p>
        </w:tc>
        <w:tc>
          <w:tcPr>
            <w:tcW w:w="280" w:type="pct"/>
            <w:tcBorders>
              <w:top w:val="nil"/>
              <w:left w:val="nil"/>
              <w:bottom w:val="nil"/>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A06D</w:t>
            </w:r>
          </w:p>
        </w:tc>
        <w:tc>
          <w:tcPr>
            <w:tcW w:w="1301" w:type="pct"/>
            <w:tcBorders>
              <w:top w:val="nil"/>
              <w:left w:val="nil"/>
              <w:bottom w:val="nil"/>
              <w:right w:val="nil"/>
            </w:tcBorders>
            <w:shd w:val="clear" w:color="auto" w:fill="auto"/>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Tracheostomy W/O Catastrophic CC</w:t>
            </w:r>
          </w:p>
        </w:tc>
        <w:tc>
          <w:tcPr>
            <w:tcW w:w="358" w:type="pct"/>
            <w:tcBorders>
              <w:top w:val="nil"/>
              <w:left w:val="nil"/>
              <w:bottom w:val="nil"/>
              <w:right w:val="nil"/>
            </w:tcBorders>
            <w:shd w:val="clear" w:color="000000" w:fill="F4CACA"/>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6.82</w:t>
            </w:r>
          </w:p>
        </w:tc>
        <w:tc>
          <w:tcPr>
            <w:tcW w:w="380"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65</w:t>
            </w:r>
          </w:p>
        </w:tc>
        <w:tc>
          <w:tcPr>
            <w:tcW w:w="325"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12.52</w:t>
            </w:r>
          </w:p>
        </w:tc>
        <w:tc>
          <w:tcPr>
            <w:tcW w:w="263"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12.0</w:t>
            </w:r>
          </w:p>
        </w:tc>
        <w:tc>
          <w:tcPr>
            <w:tcW w:w="218" w:type="pct"/>
            <w:tcBorders>
              <w:top w:val="nil"/>
              <w:left w:val="single" w:sz="4" w:space="0" w:color="000000"/>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12%</w:t>
            </w:r>
          </w:p>
        </w:tc>
        <w:tc>
          <w:tcPr>
            <w:tcW w:w="284"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54%</w:t>
            </w:r>
          </w:p>
        </w:tc>
        <w:tc>
          <w:tcPr>
            <w:tcW w:w="278"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8%</w:t>
            </w:r>
          </w:p>
        </w:tc>
        <w:tc>
          <w:tcPr>
            <w:tcW w:w="311"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26%</w:t>
            </w:r>
          </w:p>
        </w:tc>
        <w:tc>
          <w:tcPr>
            <w:tcW w:w="411" w:type="pct"/>
            <w:tcBorders>
              <w:top w:val="nil"/>
              <w:left w:val="single" w:sz="4" w:space="0" w:color="auto"/>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2.14</w:t>
            </w:r>
          </w:p>
        </w:tc>
      </w:tr>
      <w:tr w:rsidR="00714123" w:rsidRPr="00660308" w:rsidTr="00714123">
        <w:trPr>
          <w:trHeight w:val="168"/>
        </w:trPr>
        <w:tc>
          <w:tcPr>
            <w:tcW w:w="300"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Yes</w:t>
            </w:r>
          </w:p>
        </w:tc>
        <w:tc>
          <w:tcPr>
            <w:tcW w:w="291"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6</w:t>
            </w:r>
          </w:p>
        </w:tc>
        <w:tc>
          <w:tcPr>
            <w:tcW w:w="280" w:type="pct"/>
            <w:tcBorders>
              <w:top w:val="nil"/>
              <w:left w:val="nil"/>
              <w:bottom w:val="nil"/>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P05Z</w:t>
            </w:r>
          </w:p>
        </w:tc>
        <w:tc>
          <w:tcPr>
            <w:tcW w:w="1301" w:type="pct"/>
            <w:tcBorders>
              <w:top w:val="nil"/>
              <w:left w:val="nil"/>
              <w:bottom w:val="nil"/>
              <w:right w:val="nil"/>
            </w:tcBorders>
            <w:shd w:val="clear" w:color="auto" w:fill="auto"/>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Neonate, AdmWt 2000-2499 g W Significant OR Procedure</w:t>
            </w:r>
          </w:p>
        </w:tc>
        <w:tc>
          <w:tcPr>
            <w:tcW w:w="358" w:type="pct"/>
            <w:tcBorders>
              <w:top w:val="nil"/>
              <w:left w:val="nil"/>
              <w:bottom w:val="nil"/>
              <w:right w:val="nil"/>
            </w:tcBorders>
            <w:shd w:val="clear" w:color="000000" w:fill="F4CACA"/>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5.78</w:t>
            </w:r>
          </w:p>
        </w:tc>
        <w:tc>
          <w:tcPr>
            <w:tcW w:w="380"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26</w:t>
            </w:r>
          </w:p>
        </w:tc>
        <w:tc>
          <w:tcPr>
            <w:tcW w:w="325"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13.37</w:t>
            </w:r>
          </w:p>
        </w:tc>
        <w:tc>
          <w:tcPr>
            <w:tcW w:w="263"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26.6</w:t>
            </w:r>
          </w:p>
        </w:tc>
        <w:tc>
          <w:tcPr>
            <w:tcW w:w="218" w:type="pct"/>
            <w:tcBorders>
              <w:top w:val="nil"/>
              <w:left w:val="single" w:sz="4" w:space="0" w:color="000000"/>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w:t>
            </w:r>
          </w:p>
        </w:tc>
        <w:tc>
          <w:tcPr>
            <w:tcW w:w="284"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43%</w:t>
            </w:r>
          </w:p>
        </w:tc>
        <w:tc>
          <w:tcPr>
            <w:tcW w:w="278"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0%</w:t>
            </w:r>
          </w:p>
        </w:tc>
        <w:tc>
          <w:tcPr>
            <w:tcW w:w="311"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55%</w:t>
            </w:r>
          </w:p>
        </w:tc>
        <w:tc>
          <w:tcPr>
            <w:tcW w:w="411" w:type="pct"/>
            <w:tcBorders>
              <w:top w:val="nil"/>
              <w:left w:val="single" w:sz="4" w:space="0" w:color="auto"/>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10.28</w:t>
            </w:r>
          </w:p>
        </w:tc>
      </w:tr>
      <w:tr w:rsidR="00714123" w:rsidRPr="00660308" w:rsidTr="00714123">
        <w:trPr>
          <w:trHeight w:val="168"/>
        </w:trPr>
        <w:tc>
          <w:tcPr>
            <w:tcW w:w="300"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Yes</w:t>
            </w:r>
          </w:p>
        </w:tc>
        <w:tc>
          <w:tcPr>
            <w:tcW w:w="291"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7</w:t>
            </w:r>
          </w:p>
        </w:tc>
        <w:tc>
          <w:tcPr>
            <w:tcW w:w="280" w:type="pct"/>
            <w:tcBorders>
              <w:top w:val="nil"/>
              <w:left w:val="nil"/>
              <w:bottom w:val="nil"/>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P04Z</w:t>
            </w:r>
          </w:p>
        </w:tc>
        <w:tc>
          <w:tcPr>
            <w:tcW w:w="1301" w:type="pct"/>
            <w:tcBorders>
              <w:top w:val="nil"/>
              <w:left w:val="nil"/>
              <w:bottom w:val="nil"/>
              <w:right w:val="nil"/>
            </w:tcBorders>
            <w:shd w:val="clear" w:color="auto" w:fill="auto"/>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Neonate, AdmWt 1500-1999 g W Significant OR Procedure</w:t>
            </w:r>
          </w:p>
        </w:tc>
        <w:tc>
          <w:tcPr>
            <w:tcW w:w="358" w:type="pct"/>
            <w:tcBorders>
              <w:top w:val="nil"/>
              <w:left w:val="nil"/>
              <w:bottom w:val="nil"/>
              <w:right w:val="nil"/>
            </w:tcBorders>
            <w:shd w:val="clear" w:color="000000" w:fill="F4CACA"/>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5.77</w:t>
            </w:r>
          </w:p>
        </w:tc>
        <w:tc>
          <w:tcPr>
            <w:tcW w:w="380"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23</w:t>
            </w:r>
          </w:p>
        </w:tc>
        <w:tc>
          <w:tcPr>
            <w:tcW w:w="325"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19.57</w:t>
            </w:r>
          </w:p>
        </w:tc>
        <w:tc>
          <w:tcPr>
            <w:tcW w:w="263"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41.6</w:t>
            </w:r>
          </w:p>
        </w:tc>
        <w:tc>
          <w:tcPr>
            <w:tcW w:w="218" w:type="pct"/>
            <w:tcBorders>
              <w:top w:val="nil"/>
              <w:left w:val="single" w:sz="4" w:space="0" w:color="000000"/>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w:t>
            </w:r>
          </w:p>
        </w:tc>
        <w:tc>
          <w:tcPr>
            <w:tcW w:w="284"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29%</w:t>
            </w:r>
          </w:p>
        </w:tc>
        <w:tc>
          <w:tcPr>
            <w:tcW w:w="278"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0%</w:t>
            </w:r>
          </w:p>
        </w:tc>
        <w:tc>
          <w:tcPr>
            <w:tcW w:w="311"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69%</w:t>
            </w:r>
          </w:p>
        </w:tc>
        <w:tc>
          <w:tcPr>
            <w:tcW w:w="411" w:type="pct"/>
            <w:tcBorders>
              <w:top w:val="nil"/>
              <w:left w:val="single" w:sz="4" w:space="0" w:color="auto"/>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15.08</w:t>
            </w:r>
          </w:p>
        </w:tc>
      </w:tr>
      <w:tr w:rsidR="00714123" w:rsidRPr="00660308" w:rsidTr="00714123">
        <w:trPr>
          <w:trHeight w:val="168"/>
        </w:trPr>
        <w:tc>
          <w:tcPr>
            <w:tcW w:w="300"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Yes</w:t>
            </w:r>
          </w:p>
        </w:tc>
        <w:tc>
          <w:tcPr>
            <w:tcW w:w="291"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8</w:t>
            </w:r>
          </w:p>
        </w:tc>
        <w:tc>
          <w:tcPr>
            <w:tcW w:w="280" w:type="pct"/>
            <w:tcBorders>
              <w:top w:val="nil"/>
              <w:left w:val="nil"/>
              <w:bottom w:val="nil"/>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E40A</w:t>
            </w:r>
          </w:p>
        </w:tc>
        <w:tc>
          <w:tcPr>
            <w:tcW w:w="1301" w:type="pct"/>
            <w:tcBorders>
              <w:top w:val="nil"/>
              <w:left w:val="nil"/>
              <w:bottom w:val="nil"/>
              <w:right w:val="nil"/>
            </w:tcBorders>
            <w:shd w:val="clear" w:color="auto" w:fill="auto"/>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Respiratory System Diagnosis W Ventilator Support W Catastrophic CC</w:t>
            </w:r>
          </w:p>
        </w:tc>
        <w:tc>
          <w:tcPr>
            <w:tcW w:w="358" w:type="pct"/>
            <w:tcBorders>
              <w:top w:val="nil"/>
              <w:left w:val="nil"/>
              <w:bottom w:val="nil"/>
              <w:right w:val="nil"/>
            </w:tcBorders>
            <w:shd w:val="clear" w:color="000000" w:fill="F4CACA"/>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5.50</w:t>
            </w:r>
          </w:p>
        </w:tc>
        <w:tc>
          <w:tcPr>
            <w:tcW w:w="380"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77</w:t>
            </w:r>
          </w:p>
        </w:tc>
        <w:tc>
          <w:tcPr>
            <w:tcW w:w="325"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10.69</w:t>
            </w:r>
          </w:p>
        </w:tc>
        <w:tc>
          <w:tcPr>
            <w:tcW w:w="263"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17.8</w:t>
            </w:r>
          </w:p>
        </w:tc>
        <w:tc>
          <w:tcPr>
            <w:tcW w:w="218" w:type="pct"/>
            <w:tcBorders>
              <w:top w:val="nil"/>
              <w:left w:val="single" w:sz="4" w:space="0" w:color="000000"/>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0%</w:t>
            </w:r>
          </w:p>
        </w:tc>
        <w:tc>
          <w:tcPr>
            <w:tcW w:w="284"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51%</w:t>
            </w:r>
          </w:p>
        </w:tc>
        <w:tc>
          <w:tcPr>
            <w:tcW w:w="278"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7%</w:t>
            </w:r>
          </w:p>
        </w:tc>
        <w:tc>
          <w:tcPr>
            <w:tcW w:w="311"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41%</w:t>
            </w:r>
          </w:p>
        </w:tc>
        <w:tc>
          <w:tcPr>
            <w:tcW w:w="411" w:type="pct"/>
            <w:tcBorders>
              <w:top w:val="nil"/>
              <w:left w:val="single" w:sz="4" w:space="0" w:color="auto"/>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5.06</w:t>
            </w:r>
          </w:p>
        </w:tc>
      </w:tr>
      <w:tr w:rsidR="00714123" w:rsidRPr="00660308" w:rsidTr="00714123">
        <w:trPr>
          <w:trHeight w:val="336"/>
        </w:trPr>
        <w:tc>
          <w:tcPr>
            <w:tcW w:w="300"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Yes</w:t>
            </w:r>
          </w:p>
        </w:tc>
        <w:tc>
          <w:tcPr>
            <w:tcW w:w="291"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9</w:t>
            </w:r>
          </w:p>
        </w:tc>
        <w:tc>
          <w:tcPr>
            <w:tcW w:w="280" w:type="pct"/>
            <w:tcBorders>
              <w:top w:val="nil"/>
              <w:left w:val="nil"/>
              <w:bottom w:val="nil"/>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P06A</w:t>
            </w:r>
          </w:p>
        </w:tc>
        <w:tc>
          <w:tcPr>
            <w:tcW w:w="1301" w:type="pct"/>
            <w:tcBorders>
              <w:top w:val="nil"/>
              <w:left w:val="nil"/>
              <w:bottom w:val="nil"/>
              <w:right w:val="nil"/>
            </w:tcBorders>
            <w:shd w:val="clear" w:color="auto" w:fill="auto"/>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Neonate, AdmWt &gt;2499 g W Significant OR Procedure W Multi Major Problems</w:t>
            </w:r>
          </w:p>
        </w:tc>
        <w:tc>
          <w:tcPr>
            <w:tcW w:w="358" w:type="pct"/>
            <w:tcBorders>
              <w:top w:val="nil"/>
              <w:left w:val="nil"/>
              <w:bottom w:val="nil"/>
              <w:right w:val="nil"/>
            </w:tcBorders>
            <w:shd w:val="clear" w:color="000000" w:fill="F4CACA"/>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4.62</w:t>
            </w:r>
          </w:p>
        </w:tc>
        <w:tc>
          <w:tcPr>
            <w:tcW w:w="380"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17</w:t>
            </w:r>
          </w:p>
        </w:tc>
        <w:tc>
          <w:tcPr>
            <w:tcW w:w="325"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10.59</w:t>
            </w:r>
          </w:p>
        </w:tc>
        <w:tc>
          <w:tcPr>
            <w:tcW w:w="263"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18.9</w:t>
            </w:r>
          </w:p>
        </w:tc>
        <w:tc>
          <w:tcPr>
            <w:tcW w:w="218" w:type="pct"/>
            <w:tcBorders>
              <w:top w:val="nil"/>
              <w:left w:val="single" w:sz="4" w:space="0" w:color="000000"/>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5%</w:t>
            </w:r>
          </w:p>
        </w:tc>
        <w:tc>
          <w:tcPr>
            <w:tcW w:w="284"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44%</w:t>
            </w:r>
          </w:p>
        </w:tc>
        <w:tc>
          <w:tcPr>
            <w:tcW w:w="278"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w:t>
            </w:r>
          </w:p>
        </w:tc>
        <w:tc>
          <w:tcPr>
            <w:tcW w:w="311"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50%</w:t>
            </w:r>
          </w:p>
        </w:tc>
        <w:tc>
          <w:tcPr>
            <w:tcW w:w="411" w:type="pct"/>
            <w:tcBorders>
              <w:top w:val="nil"/>
              <w:left w:val="single" w:sz="4" w:space="0" w:color="auto"/>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18.81</w:t>
            </w:r>
          </w:p>
        </w:tc>
      </w:tr>
      <w:tr w:rsidR="00714123" w:rsidRPr="00660308" w:rsidTr="00714123">
        <w:trPr>
          <w:trHeight w:val="168"/>
        </w:trPr>
        <w:tc>
          <w:tcPr>
            <w:tcW w:w="300"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Yes</w:t>
            </w:r>
          </w:p>
        </w:tc>
        <w:tc>
          <w:tcPr>
            <w:tcW w:w="291"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10</w:t>
            </w:r>
          </w:p>
        </w:tc>
        <w:tc>
          <w:tcPr>
            <w:tcW w:w="280" w:type="pct"/>
            <w:tcBorders>
              <w:top w:val="nil"/>
              <w:left w:val="nil"/>
              <w:bottom w:val="nil"/>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F40A</w:t>
            </w:r>
          </w:p>
        </w:tc>
        <w:tc>
          <w:tcPr>
            <w:tcW w:w="1301" w:type="pct"/>
            <w:tcBorders>
              <w:top w:val="nil"/>
              <w:left w:val="nil"/>
              <w:bottom w:val="nil"/>
              <w:right w:val="nil"/>
            </w:tcBorders>
            <w:shd w:val="clear" w:color="auto" w:fill="auto"/>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Circulatory System Diagnosis W Ventilator Support W Catastrophic CC</w:t>
            </w:r>
          </w:p>
        </w:tc>
        <w:tc>
          <w:tcPr>
            <w:tcW w:w="358" w:type="pct"/>
            <w:tcBorders>
              <w:top w:val="nil"/>
              <w:left w:val="nil"/>
              <w:bottom w:val="nil"/>
              <w:right w:val="nil"/>
            </w:tcBorders>
            <w:shd w:val="clear" w:color="000000" w:fill="F4CACA"/>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4.53</w:t>
            </w:r>
          </w:p>
        </w:tc>
        <w:tc>
          <w:tcPr>
            <w:tcW w:w="380"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31</w:t>
            </w:r>
          </w:p>
        </w:tc>
        <w:tc>
          <w:tcPr>
            <w:tcW w:w="325"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9.47</w:t>
            </w:r>
          </w:p>
        </w:tc>
        <w:tc>
          <w:tcPr>
            <w:tcW w:w="263"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18.7</w:t>
            </w:r>
          </w:p>
        </w:tc>
        <w:tc>
          <w:tcPr>
            <w:tcW w:w="218" w:type="pct"/>
            <w:tcBorders>
              <w:top w:val="nil"/>
              <w:left w:val="single" w:sz="4" w:space="0" w:color="000000"/>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4%</w:t>
            </w:r>
          </w:p>
        </w:tc>
        <w:tc>
          <w:tcPr>
            <w:tcW w:w="284"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48%</w:t>
            </w:r>
          </w:p>
        </w:tc>
        <w:tc>
          <w:tcPr>
            <w:tcW w:w="278"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w:t>
            </w:r>
          </w:p>
        </w:tc>
        <w:tc>
          <w:tcPr>
            <w:tcW w:w="311"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44%</w:t>
            </w:r>
          </w:p>
        </w:tc>
        <w:tc>
          <w:tcPr>
            <w:tcW w:w="411" w:type="pct"/>
            <w:tcBorders>
              <w:top w:val="nil"/>
              <w:left w:val="single" w:sz="4" w:space="0" w:color="auto"/>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4.36</w:t>
            </w:r>
          </w:p>
        </w:tc>
      </w:tr>
      <w:tr w:rsidR="00714123" w:rsidRPr="00660308" w:rsidTr="00714123">
        <w:trPr>
          <w:trHeight w:val="336"/>
        </w:trPr>
        <w:tc>
          <w:tcPr>
            <w:tcW w:w="300"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No</w:t>
            </w:r>
          </w:p>
        </w:tc>
        <w:tc>
          <w:tcPr>
            <w:tcW w:w="291"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11</w:t>
            </w:r>
          </w:p>
        </w:tc>
        <w:tc>
          <w:tcPr>
            <w:tcW w:w="280" w:type="pct"/>
            <w:tcBorders>
              <w:top w:val="nil"/>
              <w:left w:val="nil"/>
              <w:bottom w:val="nil"/>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F05A</w:t>
            </w:r>
          </w:p>
        </w:tc>
        <w:tc>
          <w:tcPr>
            <w:tcW w:w="1301" w:type="pct"/>
            <w:tcBorders>
              <w:top w:val="nil"/>
              <w:left w:val="nil"/>
              <w:bottom w:val="nil"/>
              <w:right w:val="nil"/>
            </w:tcBorders>
            <w:shd w:val="clear" w:color="auto" w:fill="auto"/>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Coronary Bypass W Invasive Cardiac Investigation W Reoperation or W Cat CC</w:t>
            </w:r>
          </w:p>
        </w:tc>
        <w:tc>
          <w:tcPr>
            <w:tcW w:w="358" w:type="pct"/>
            <w:tcBorders>
              <w:top w:val="nil"/>
              <w:left w:val="nil"/>
              <w:bottom w:val="nil"/>
              <w:right w:val="nil"/>
            </w:tcBorders>
            <w:shd w:val="clear" w:color="000000" w:fill="F4CACA"/>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4.31</w:t>
            </w:r>
          </w:p>
        </w:tc>
        <w:tc>
          <w:tcPr>
            <w:tcW w:w="380"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696</w:t>
            </w:r>
          </w:p>
        </w:tc>
        <w:tc>
          <w:tcPr>
            <w:tcW w:w="325"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12.80</w:t>
            </w:r>
          </w:p>
        </w:tc>
        <w:tc>
          <w:tcPr>
            <w:tcW w:w="263"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16.0</w:t>
            </w:r>
          </w:p>
        </w:tc>
        <w:tc>
          <w:tcPr>
            <w:tcW w:w="218" w:type="pct"/>
            <w:tcBorders>
              <w:top w:val="nil"/>
              <w:left w:val="single" w:sz="4" w:space="0" w:color="000000"/>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17%</w:t>
            </w:r>
          </w:p>
        </w:tc>
        <w:tc>
          <w:tcPr>
            <w:tcW w:w="284"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34%</w:t>
            </w:r>
          </w:p>
        </w:tc>
        <w:tc>
          <w:tcPr>
            <w:tcW w:w="278"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14%</w:t>
            </w:r>
          </w:p>
        </w:tc>
        <w:tc>
          <w:tcPr>
            <w:tcW w:w="311"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36%</w:t>
            </w:r>
          </w:p>
        </w:tc>
        <w:tc>
          <w:tcPr>
            <w:tcW w:w="411" w:type="pct"/>
            <w:tcBorders>
              <w:top w:val="nil"/>
              <w:left w:val="single" w:sz="4" w:space="0" w:color="auto"/>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2.83</w:t>
            </w:r>
          </w:p>
        </w:tc>
      </w:tr>
      <w:tr w:rsidR="00714123" w:rsidRPr="00660308" w:rsidTr="00714123">
        <w:trPr>
          <w:trHeight w:val="168"/>
        </w:trPr>
        <w:tc>
          <w:tcPr>
            <w:tcW w:w="300"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Yes</w:t>
            </w:r>
          </w:p>
        </w:tc>
        <w:tc>
          <w:tcPr>
            <w:tcW w:w="291"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12</w:t>
            </w:r>
          </w:p>
        </w:tc>
        <w:tc>
          <w:tcPr>
            <w:tcW w:w="280" w:type="pct"/>
            <w:tcBorders>
              <w:top w:val="nil"/>
              <w:left w:val="nil"/>
              <w:bottom w:val="nil"/>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T40Z</w:t>
            </w:r>
          </w:p>
        </w:tc>
        <w:tc>
          <w:tcPr>
            <w:tcW w:w="1301" w:type="pct"/>
            <w:tcBorders>
              <w:top w:val="nil"/>
              <w:left w:val="nil"/>
              <w:bottom w:val="nil"/>
              <w:right w:val="nil"/>
            </w:tcBorders>
            <w:shd w:val="clear" w:color="auto" w:fill="auto"/>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Infectious and Parasitic Diseases W Ventilator Support</w:t>
            </w:r>
          </w:p>
        </w:tc>
        <w:tc>
          <w:tcPr>
            <w:tcW w:w="358" w:type="pct"/>
            <w:tcBorders>
              <w:top w:val="nil"/>
              <w:left w:val="nil"/>
              <w:bottom w:val="nil"/>
              <w:right w:val="nil"/>
            </w:tcBorders>
            <w:shd w:val="clear" w:color="000000" w:fill="F4CACA"/>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4.00</w:t>
            </w:r>
          </w:p>
        </w:tc>
        <w:tc>
          <w:tcPr>
            <w:tcW w:w="380"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22</w:t>
            </w:r>
          </w:p>
        </w:tc>
        <w:tc>
          <w:tcPr>
            <w:tcW w:w="325"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9.73</w:t>
            </w:r>
          </w:p>
        </w:tc>
        <w:tc>
          <w:tcPr>
            <w:tcW w:w="263"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18.7</w:t>
            </w:r>
          </w:p>
        </w:tc>
        <w:tc>
          <w:tcPr>
            <w:tcW w:w="218" w:type="pct"/>
            <w:tcBorders>
              <w:top w:val="nil"/>
              <w:left w:val="single" w:sz="4" w:space="0" w:color="000000"/>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w:t>
            </w:r>
          </w:p>
        </w:tc>
        <w:tc>
          <w:tcPr>
            <w:tcW w:w="284"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41%</w:t>
            </w:r>
          </w:p>
        </w:tc>
        <w:tc>
          <w:tcPr>
            <w:tcW w:w="278"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5%</w:t>
            </w:r>
          </w:p>
        </w:tc>
        <w:tc>
          <w:tcPr>
            <w:tcW w:w="311"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53%</w:t>
            </w:r>
          </w:p>
        </w:tc>
        <w:tc>
          <w:tcPr>
            <w:tcW w:w="411" w:type="pct"/>
            <w:tcBorders>
              <w:top w:val="nil"/>
              <w:left w:val="single" w:sz="4" w:space="0" w:color="auto"/>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3.26</w:t>
            </w:r>
          </w:p>
        </w:tc>
      </w:tr>
      <w:tr w:rsidR="00714123" w:rsidRPr="00660308" w:rsidTr="00714123">
        <w:trPr>
          <w:trHeight w:val="336"/>
        </w:trPr>
        <w:tc>
          <w:tcPr>
            <w:tcW w:w="300"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No</w:t>
            </w:r>
          </w:p>
        </w:tc>
        <w:tc>
          <w:tcPr>
            <w:tcW w:w="291"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13</w:t>
            </w:r>
          </w:p>
        </w:tc>
        <w:tc>
          <w:tcPr>
            <w:tcW w:w="280" w:type="pct"/>
            <w:tcBorders>
              <w:top w:val="nil"/>
              <w:left w:val="nil"/>
              <w:bottom w:val="nil"/>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F03A</w:t>
            </w:r>
          </w:p>
        </w:tc>
        <w:tc>
          <w:tcPr>
            <w:tcW w:w="1301" w:type="pct"/>
            <w:tcBorders>
              <w:top w:val="nil"/>
              <w:left w:val="nil"/>
              <w:bottom w:val="nil"/>
              <w:right w:val="nil"/>
            </w:tcBorders>
            <w:shd w:val="clear" w:color="auto" w:fill="auto"/>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Cardiac Valve Proc W CPB Pump W Invasive Cardiac Investigation W Cat CC</w:t>
            </w:r>
          </w:p>
        </w:tc>
        <w:tc>
          <w:tcPr>
            <w:tcW w:w="358" w:type="pct"/>
            <w:tcBorders>
              <w:top w:val="nil"/>
              <w:left w:val="nil"/>
              <w:bottom w:val="nil"/>
              <w:right w:val="nil"/>
            </w:tcBorders>
            <w:shd w:val="clear" w:color="000000" w:fill="F4CACA"/>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3.90</w:t>
            </w:r>
          </w:p>
        </w:tc>
        <w:tc>
          <w:tcPr>
            <w:tcW w:w="380"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400</w:t>
            </w:r>
          </w:p>
        </w:tc>
        <w:tc>
          <w:tcPr>
            <w:tcW w:w="325"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16.11</w:t>
            </w:r>
          </w:p>
        </w:tc>
        <w:tc>
          <w:tcPr>
            <w:tcW w:w="263"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19.0</w:t>
            </w:r>
          </w:p>
        </w:tc>
        <w:tc>
          <w:tcPr>
            <w:tcW w:w="218" w:type="pct"/>
            <w:tcBorders>
              <w:top w:val="nil"/>
              <w:left w:val="single" w:sz="4" w:space="0" w:color="000000"/>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15%</w:t>
            </w:r>
          </w:p>
        </w:tc>
        <w:tc>
          <w:tcPr>
            <w:tcW w:w="284"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24%</w:t>
            </w:r>
          </w:p>
        </w:tc>
        <w:tc>
          <w:tcPr>
            <w:tcW w:w="278"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26%</w:t>
            </w:r>
          </w:p>
        </w:tc>
        <w:tc>
          <w:tcPr>
            <w:tcW w:w="311"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35%</w:t>
            </w:r>
          </w:p>
        </w:tc>
        <w:tc>
          <w:tcPr>
            <w:tcW w:w="411" w:type="pct"/>
            <w:tcBorders>
              <w:top w:val="nil"/>
              <w:left w:val="single" w:sz="4" w:space="0" w:color="auto"/>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2.79</w:t>
            </w:r>
          </w:p>
        </w:tc>
      </w:tr>
      <w:tr w:rsidR="00714123" w:rsidRPr="00660308" w:rsidTr="00714123">
        <w:trPr>
          <w:trHeight w:val="336"/>
        </w:trPr>
        <w:tc>
          <w:tcPr>
            <w:tcW w:w="300"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No</w:t>
            </w:r>
          </w:p>
        </w:tc>
        <w:tc>
          <w:tcPr>
            <w:tcW w:w="291"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14</w:t>
            </w:r>
          </w:p>
        </w:tc>
        <w:tc>
          <w:tcPr>
            <w:tcW w:w="280" w:type="pct"/>
            <w:tcBorders>
              <w:top w:val="nil"/>
              <w:left w:val="nil"/>
              <w:bottom w:val="nil"/>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E40B</w:t>
            </w:r>
          </w:p>
        </w:tc>
        <w:tc>
          <w:tcPr>
            <w:tcW w:w="1301" w:type="pct"/>
            <w:tcBorders>
              <w:top w:val="nil"/>
              <w:left w:val="nil"/>
              <w:bottom w:val="nil"/>
              <w:right w:val="nil"/>
            </w:tcBorders>
            <w:shd w:val="clear" w:color="auto" w:fill="auto"/>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Respiratory System Diagnosis W Ventilator Support W/O Catastrophic CC</w:t>
            </w:r>
          </w:p>
        </w:tc>
        <w:tc>
          <w:tcPr>
            <w:tcW w:w="358" w:type="pct"/>
            <w:tcBorders>
              <w:top w:val="nil"/>
              <w:left w:val="nil"/>
              <w:bottom w:val="nil"/>
              <w:right w:val="nil"/>
            </w:tcBorders>
            <w:shd w:val="clear" w:color="000000" w:fill="F4CACA"/>
            <w:noWrap/>
            <w:hideMark/>
          </w:tcPr>
          <w:p w:rsidR="00714123" w:rsidRPr="00660308" w:rsidRDefault="00DD1929" w:rsidP="00714123">
            <w:pPr>
              <w:jc w:val="right"/>
              <w:rPr>
                <w:snapToGrid/>
                <w:color w:val="000000"/>
                <w:sz w:val="16"/>
                <w:szCs w:val="16"/>
                <w:lang w:eastAsia="en-AU"/>
              </w:rPr>
            </w:pPr>
            <w:r w:rsidRPr="00660308">
              <w:rPr>
                <w:noProof/>
                <w:snapToGrid/>
                <w:sz w:val="16"/>
                <w:szCs w:val="16"/>
                <w:lang w:eastAsia="en-AU"/>
              </w:rPr>
              <mc:AlternateContent>
                <mc:Choice Requires="wps">
                  <w:drawing>
                    <wp:anchor distT="0" distB="0" distL="114300" distR="114300" simplePos="0" relativeHeight="251704320" behindDoc="0" locked="0" layoutInCell="1" allowOverlap="1" wp14:anchorId="13DDE459" wp14:editId="428DE7C6">
                      <wp:simplePos x="0" y="0"/>
                      <wp:positionH relativeFrom="column">
                        <wp:posOffset>172085</wp:posOffset>
                      </wp:positionH>
                      <wp:positionV relativeFrom="paragraph">
                        <wp:posOffset>187325</wp:posOffset>
                      </wp:positionV>
                      <wp:extent cx="484505" cy="228600"/>
                      <wp:effectExtent l="0" t="0" r="10795" b="19050"/>
                      <wp:wrapNone/>
                      <wp:docPr id="65" name="Oval 65"/>
                      <wp:cNvGraphicFramePr/>
                      <a:graphic xmlns:a="http://schemas.openxmlformats.org/drawingml/2006/main">
                        <a:graphicData uri="http://schemas.microsoft.com/office/word/2010/wordprocessingShape">
                          <wps:wsp>
                            <wps:cNvSpPr/>
                            <wps:spPr bwMode="ltGray">
                              <a:xfrm>
                                <a:off x="0" y="0"/>
                                <a:ext cx="484505" cy="22860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5" o:spid="_x0000_s1026" style="position:absolute;margin-left:13.55pt;margin-top:14.75pt;width:38.1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" filled="f" strokecolor="#511010 [1604]" strokeweight="1pt"/>
                  </w:pict>
                </mc:Fallback>
              </mc:AlternateContent>
            </w:r>
            <w:r w:rsidR="00714123" w:rsidRPr="00660308">
              <w:rPr>
                <w:snapToGrid/>
                <w:color w:val="000000"/>
                <w:sz w:val="16"/>
                <w:szCs w:val="16"/>
                <w:lang w:eastAsia="en-AU"/>
              </w:rPr>
              <w:t>3.46</w:t>
            </w:r>
          </w:p>
        </w:tc>
        <w:tc>
          <w:tcPr>
            <w:tcW w:w="380"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13</w:t>
            </w:r>
          </w:p>
        </w:tc>
        <w:tc>
          <w:tcPr>
            <w:tcW w:w="325"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5.87</w:t>
            </w:r>
          </w:p>
        </w:tc>
        <w:tc>
          <w:tcPr>
            <w:tcW w:w="263"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8.4</w:t>
            </w:r>
          </w:p>
        </w:tc>
        <w:tc>
          <w:tcPr>
            <w:tcW w:w="218" w:type="pct"/>
            <w:tcBorders>
              <w:top w:val="nil"/>
              <w:left w:val="single" w:sz="4" w:space="0" w:color="000000"/>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0%</w:t>
            </w:r>
          </w:p>
        </w:tc>
        <w:tc>
          <w:tcPr>
            <w:tcW w:w="284"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59%</w:t>
            </w:r>
          </w:p>
        </w:tc>
        <w:tc>
          <w:tcPr>
            <w:tcW w:w="278"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w:t>
            </w:r>
          </w:p>
        </w:tc>
        <w:tc>
          <w:tcPr>
            <w:tcW w:w="311"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37%</w:t>
            </w:r>
          </w:p>
        </w:tc>
        <w:tc>
          <w:tcPr>
            <w:tcW w:w="411" w:type="pct"/>
            <w:tcBorders>
              <w:top w:val="nil"/>
              <w:left w:val="single" w:sz="4" w:space="0" w:color="auto"/>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2.74</w:t>
            </w:r>
          </w:p>
        </w:tc>
      </w:tr>
      <w:tr w:rsidR="00714123" w:rsidRPr="00660308" w:rsidTr="00714123">
        <w:trPr>
          <w:trHeight w:val="168"/>
        </w:trPr>
        <w:tc>
          <w:tcPr>
            <w:tcW w:w="300"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No</w:t>
            </w:r>
          </w:p>
        </w:tc>
        <w:tc>
          <w:tcPr>
            <w:tcW w:w="291"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15</w:t>
            </w:r>
          </w:p>
        </w:tc>
        <w:tc>
          <w:tcPr>
            <w:tcW w:w="280" w:type="pct"/>
            <w:tcBorders>
              <w:top w:val="nil"/>
              <w:left w:val="nil"/>
              <w:bottom w:val="nil"/>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B60A</w:t>
            </w:r>
          </w:p>
        </w:tc>
        <w:tc>
          <w:tcPr>
            <w:tcW w:w="1301" w:type="pct"/>
            <w:tcBorders>
              <w:top w:val="nil"/>
              <w:left w:val="nil"/>
              <w:bottom w:val="nil"/>
              <w:right w:val="nil"/>
            </w:tcBorders>
            <w:shd w:val="clear" w:color="auto" w:fill="auto"/>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Acute Paraplegia/Quadriplegia W or W/O OR Procs W Cat CC</w:t>
            </w:r>
          </w:p>
        </w:tc>
        <w:tc>
          <w:tcPr>
            <w:tcW w:w="358" w:type="pct"/>
            <w:tcBorders>
              <w:top w:val="nil"/>
              <w:left w:val="nil"/>
              <w:bottom w:val="nil"/>
              <w:right w:val="nil"/>
            </w:tcBorders>
            <w:shd w:val="clear" w:color="000000" w:fill="F4CACA"/>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3.38</w:t>
            </w:r>
          </w:p>
        </w:tc>
        <w:tc>
          <w:tcPr>
            <w:tcW w:w="380"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15</w:t>
            </w:r>
          </w:p>
        </w:tc>
        <w:tc>
          <w:tcPr>
            <w:tcW w:w="325"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16.61</w:t>
            </w:r>
          </w:p>
        </w:tc>
        <w:tc>
          <w:tcPr>
            <w:tcW w:w="263"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25.2</w:t>
            </w:r>
          </w:p>
        </w:tc>
        <w:tc>
          <w:tcPr>
            <w:tcW w:w="218" w:type="pct"/>
            <w:tcBorders>
              <w:top w:val="nil"/>
              <w:left w:val="single" w:sz="4" w:space="0" w:color="000000"/>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11%</w:t>
            </w:r>
          </w:p>
        </w:tc>
        <w:tc>
          <w:tcPr>
            <w:tcW w:w="284"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20%</w:t>
            </w:r>
          </w:p>
        </w:tc>
        <w:tc>
          <w:tcPr>
            <w:tcW w:w="278"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20%</w:t>
            </w:r>
          </w:p>
        </w:tc>
        <w:tc>
          <w:tcPr>
            <w:tcW w:w="311"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49%</w:t>
            </w:r>
          </w:p>
        </w:tc>
        <w:tc>
          <w:tcPr>
            <w:tcW w:w="411" w:type="pct"/>
            <w:tcBorders>
              <w:top w:val="nil"/>
              <w:left w:val="single" w:sz="4" w:space="0" w:color="auto"/>
              <w:bottom w:val="nil"/>
              <w:right w:val="nil"/>
            </w:tcBorders>
            <w:shd w:val="clear" w:color="auto" w:fill="auto"/>
            <w:noWrap/>
            <w:hideMark/>
          </w:tcPr>
          <w:p w:rsidR="00714123" w:rsidRPr="00660308" w:rsidRDefault="007C2B28" w:rsidP="00714123">
            <w:pPr>
              <w:jc w:val="right"/>
              <w:rPr>
                <w:snapToGrid/>
                <w:color w:val="000000"/>
                <w:sz w:val="16"/>
                <w:szCs w:val="16"/>
                <w:lang w:eastAsia="en-AU"/>
              </w:rPr>
            </w:pPr>
            <w:r w:rsidRPr="00660308">
              <w:rPr>
                <w:noProof/>
                <w:snapToGrid/>
                <w:sz w:val="16"/>
                <w:szCs w:val="16"/>
                <w:lang w:eastAsia="en-AU"/>
              </w:rPr>
              <mc:AlternateContent>
                <mc:Choice Requires="wps">
                  <w:drawing>
                    <wp:anchor distT="0" distB="0" distL="114300" distR="114300" simplePos="0" relativeHeight="251706368" behindDoc="0" locked="0" layoutInCell="1" allowOverlap="1" wp14:anchorId="59016EAB" wp14:editId="26FF8ADC">
                      <wp:simplePos x="0" y="0"/>
                      <wp:positionH relativeFrom="column">
                        <wp:posOffset>284138</wp:posOffset>
                      </wp:positionH>
                      <wp:positionV relativeFrom="paragraph">
                        <wp:posOffset>-44255</wp:posOffset>
                      </wp:positionV>
                      <wp:extent cx="533746" cy="228600"/>
                      <wp:effectExtent l="0" t="0" r="19050" b="19050"/>
                      <wp:wrapNone/>
                      <wp:docPr id="66" name="Oval 66"/>
                      <wp:cNvGraphicFramePr/>
                      <a:graphic xmlns:a="http://schemas.openxmlformats.org/drawingml/2006/main">
                        <a:graphicData uri="http://schemas.microsoft.com/office/word/2010/wordprocessingShape">
                          <wps:wsp>
                            <wps:cNvSpPr/>
                            <wps:spPr bwMode="ltGray">
                              <a:xfrm>
                                <a:off x="0" y="0"/>
                                <a:ext cx="533746" cy="22860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6" o:spid="_x0000_s1026" style="position:absolute;margin-left:22.35pt;margin-top:-3.5pt;width:42.05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" filled="f" strokecolor="#511010 [1604]" strokeweight="1pt"/>
                  </w:pict>
                </mc:Fallback>
              </mc:AlternateContent>
            </w:r>
            <w:r w:rsidR="00714123" w:rsidRPr="00660308">
              <w:rPr>
                <w:snapToGrid/>
                <w:color w:val="000000"/>
                <w:sz w:val="16"/>
                <w:szCs w:val="16"/>
                <w:lang w:eastAsia="en-AU"/>
              </w:rPr>
              <w:t>0.46</w:t>
            </w:r>
          </w:p>
        </w:tc>
      </w:tr>
      <w:tr w:rsidR="00714123" w:rsidRPr="00660308" w:rsidTr="00714123">
        <w:trPr>
          <w:trHeight w:val="336"/>
        </w:trPr>
        <w:tc>
          <w:tcPr>
            <w:tcW w:w="300"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Yes</w:t>
            </w:r>
          </w:p>
        </w:tc>
        <w:tc>
          <w:tcPr>
            <w:tcW w:w="291"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16</w:t>
            </w:r>
          </w:p>
        </w:tc>
        <w:tc>
          <w:tcPr>
            <w:tcW w:w="280" w:type="pct"/>
            <w:tcBorders>
              <w:top w:val="nil"/>
              <w:left w:val="nil"/>
              <w:bottom w:val="nil"/>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F07A</w:t>
            </w:r>
          </w:p>
        </w:tc>
        <w:tc>
          <w:tcPr>
            <w:tcW w:w="1301" w:type="pct"/>
            <w:tcBorders>
              <w:top w:val="nil"/>
              <w:left w:val="nil"/>
              <w:bottom w:val="nil"/>
              <w:right w:val="nil"/>
            </w:tcBorders>
            <w:shd w:val="clear" w:color="auto" w:fill="auto"/>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Other Cardiothoracic/Vascular Procedures W CPB Pump W Catastrophic CC</w:t>
            </w:r>
          </w:p>
        </w:tc>
        <w:tc>
          <w:tcPr>
            <w:tcW w:w="358" w:type="pct"/>
            <w:tcBorders>
              <w:top w:val="nil"/>
              <w:left w:val="nil"/>
              <w:bottom w:val="nil"/>
              <w:right w:val="nil"/>
            </w:tcBorders>
            <w:shd w:val="clear" w:color="000000" w:fill="F4CACA"/>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3.23</w:t>
            </w:r>
          </w:p>
        </w:tc>
        <w:tc>
          <w:tcPr>
            <w:tcW w:w="380"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235</w:t>
            </w:r>
          </w:p>
        </w:tc>
        <w:tc>
          <w:tcPr>
            <w:tcW w:w="325"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10.88</w:t>
            </w:r>
          </w:p>
        </w:tc>
        <w:tc>
          <w:tcPr>
            <w:tcW w:w="263"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12.0</w:t>
            </w:r>
          </w:p>
        </w:tc>
        <w:tc>
          <w:tcPr>
            <w:tcW w:w="218" w:type="pct"/>
            <w:tcBorders>
              <w:top w:val="nil"/>
              <w:left w:val="single" w:sz="4" w:space="0" w:color="000000"/>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19%</w:t>
            </w:r>
          </w:p>
        </w:tc>
        <w:tc>
          <w:tcPr>
            <w:tcW w:w="284"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30%</w:t>
            </w:r>
          </w:p>
        </w:tc>
        <w:tc>
          <w:tcPr>
            <w:tcW w:w="278"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16%</w:t>
            </w:r>
          </w:p>
        </w:tc>
        <w:tc>
          <w:tcPr>
            <w:tcW w:w="311"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35%</w:t>
            </w:r>
          </w:p>
        </w:tc>
        <w:tc>
          <w:tcPr>
            <w:tcW w:w="411" w:type="pct"/>
            <w:tcBorders>
              <w:top w:val="nil"/>
              <w:left w:val="single" w:sz="4" w:space="0" w:color="auto"/>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4.14</w:t>
            </w:r>
          </w:p>
        </w:tc>
      </w:tr>
      <w:tr w:rsidR="00714123" w:rsidRPr="00660308" w:rsidTr="00714123">
        <w:trPr>
          <w:trHeight w:val="336"/>
        </w:trPr>
        <w:tc>
          <w:tcPr>
            <w:tcW w:w="300"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No</w:t>
            </w:r>
          </w:p>
        </w:tc>
        <w:tc>
          <w:tcPr>
            <w:tcW w:w="291"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17</w:t>
            </w:r>
          </w:p>
        </w:tc>
        <w:tc>
          <w:tcPr>
            <w:tcW w:w="280" w:type="pct"/>
            <w:tcBorders>
              <w:top w:val="nil"/>
              <w:left w:val="nil"/>
              <w:bottom w:val="nil"/>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F04A</w:t>
            </w:r>
          </w:p>
        </w:tc>
        <w:tc>
          <w:tcPr>
            <w:tcW w:w="1301" w:type="pct"/>
            <w:tcBorders>
              <w:top w:val="nil"/>
              <w:left w:val="nil"/>
              <w:bottom w:val="nil"/>
              <w:right w:val="nil"/>
            </w:tcBorders>
            <w:shd w:val="clear" w:color="auto" w:fill="auto"/>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Cardiac Valve Proc W CPB Pump W/O Invasive Cardiac Inves W Cat CC</w:t>
            </w:r>
          </w:p>
        </w:tc>
        <w:tc>
          <w:tcPr>
            <w:tcW w:w="358" w:type="pct"/>
            <w:tcBorders>
              <w:top w:val="nil"/>
              <w:left w:val="nil"/>
              <w:bottom w:val="nil"/>
              <w:right w:val="nil"/>
            </w:tcBorders>
            <w:shd w:val="clear" w:color="000000" w:fill="F4CACA"/>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3.20</w:t>
            </w:r>
          </w:p>
        </w:tc>
        <w:tc>
          <w:tcPr>
            <w:tcW w:w="380"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2,014</w:t>
            </w:r>
          </w:p>
        </w:tc>
        <w:tc>
          <w:tcPr>
            <w:tcW w:w="325"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12.86</w:t>
            </w:r>
          </w:p>
        </w:tc>
        <w:tc>
          <w:tcPr>
            <w:tcW w:w="263"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13.4</w:t>
            </w:r>
          </w:p>
        </w:tc>
        <w:tc>
          <w:tcPr>
            <w:tcW w:w="218" w:type="pct"/>
            <w:tcBorders>
              <w:top w:val="nil"/>
              <w:left w:val="single" w:sz="4" w:space="0" w:color="000000"/>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15%</w:t>
            </w:r>
          </w:p>
        </w:tc>
        <w:tc>
          <w:tcPr>
            <w:tcW w:w="284"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25%</w:t>
            </w:r>
          </w:p>
        </w:tc>
        <w:tc>
          <w:tcPr>
            <w:tcW w:w="278"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27%</w:t>
            </w:r>
          </w:p>
        </w:tc>
        <w:tc>
          <w:tcPr>
            <w:tcW w:w="311"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33%</w:t>
            </w:r>
          </w:p>
        </w:tc>
        <w:tc>
          <w:tcPr>
            <w:tcW w:w="411" w:type="pct"/>
            <w:tcBorders>
              <w:top w:val="nil"/>
              <w:left w:val="single" w:sz="4" w:space="0" w:color="auto"/>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2.49</w:t>
            </w:r>
          </w:p>
        </w:tc>
      </w:tr>
      <w:tr w:rsidR="00714123" w:rsidRPr="00660308" w:rsidTr="00714123">
        <w:trPr>
          <w:trHeight w:val="168"/>
        </w:trPr>
        <w:tc>
          <w:tcPr>
            <w:tcW w:w="300"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Yes</w:t>
            </w:r>
          </w:p>
        </w:tc>
        <w:tc>
          <w:tcPr>
            <w:tcW w:w="291"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18</w:t>
            </w:r>
          </w:p>
        </w:tc>
        <w:tc>
          <w:tcPr>
            <w:tcW w:w="280" w:type="pct"/>
            <w:tcBorders>
              <w:top w:val="nil"/>
              <w:left w:val="nil"/>
              <w:bottom w:val="nil"/>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F43Z</w:t>
            </w:r>
          </w:p>
        </w:tc>
        <w:tc>
          <w:tcPr>
            <w:tcW w:w="1301" w:type="pct"/>
            <w:tcBorders>
              <w:top w:val="nil"/>
              <w:left w:val="nil"/>
              <w:bottom w:val="nil"/>
              <w:right w:val="nil"/>
            </w:tcBorders>
            <w:shd w:val="clear" w:color="auto" w:fill="auto"/>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Circulatory System Diagnosis W Non-Invasive Ventilation</w:t>
            </w:r>
          </w:p>
        </w:tc>
        <w:tc>
          <w:tcPr>
            <w:tcW w:w="358" w:type="pct"/>
            <w:tcBorders>
              <w:top w:val="nil"/>
              <w:left w:val="nil"/>
              <w:bottom w:val="nil"/>
              <w:right w:val="nil"/>
            </w:tcBorders>
            <w:shd w:val="clear" w:color="000000" w:fill="F4CACA"/>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3.11</w:t>
            </w:r>
          </w:p>
        </w:tc>
        <w:tc>
          <w:tcPr>
            <w:tcW w:w="380"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114</w:t>
            </w:r>
          </w:p>
        </w:tc>
        <w:tc>
          <w:tcPr>
            <w:tcW w:w="325"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6.22</w:t>
            </w:r>
          </w:p>
        </w:tc>
        <w:tc>
          <w:tcPr>
            <w:tcW w:w="263"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15.2</w:t>
            </w:r>
          </w:p>
        </w:tc>
        <w:tc>
          <w:tcPr>
            <w:tcW w:w="218" w:type="pct"/>
            <w:tcBorders>
              <w:top w:val="nil"/>
              <w:left w:val="single" w:sz="4" w:space="0" w:color="000000"/>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w:t>
            </w:r>
          </w:p>
        </w:tc>
        <w:tc>
          <w:tcPr>
            <w:tcW w:w="284"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50%</w:t>
            </w:r>
          </w:p>
        </w:tc>
        <w:tc>
          <w:tcPr>
            <w:tcW w:w="278"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w:t>
            </w:r>
          </w:p>
        </w:tc>
        <w:tc>
          <w:tcPr>
            <w:tcW w:w="311"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48%</w:t>
            </w:r>
          </w:p>
        </w:tc>
        <w:tc>
          <w:tcPr>
            <w:tcW w:w="411" w:type="pct"/>
            <w:tcBorders>
              <w:top w:val="nil"/>
              <w:left w:val="single" w:sz="4" w:space="0" w:color="auto"/>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4.18</w:t>
            </w:r>
          </w:p>
        </w:tc>
      </w:tr>
      <w:tr w:rsidR="00714123" w:rsidRPr="00660308" w:rsidTr="00714123">
        <w:trPr>
          <w:trHeight w:val="336"/>
        </w:trPr>
        <w:tc>
          <w:tcPr>
            <w:tcW w:w="300"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No</w:t>
            </w:r>
          </w:p>
        </w:tc>
        <w:tc>
          <w:tcPr>
            <w:tcW w:w="291"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19</w:t>
            </w:r>
          </w:p>
        </w:tc>
        <w:tc>
          <w:tcPr>
            <w:tcW w:w="280" w:type="pct"/>
            <w:tcBorders>
              <w:top w:val="nil"/>
              <w:left w:val="nil"/>
              <w:bottom w:val="nil"/>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F05B</w:t>
            </w:r>
          </w:p>
        </w:tc>
        <w:tc>
          <w:tcPr>
            <w:tcW w:w="1301" w:type="pct"/>
            <w:tcBorders>
              <w:top w:val="nil"/>
              <w:left w:val="nil"/>
              <w:bottom w:val="nil"/>
              <w:right w:val="nil"/>
            </w:tcBorders>
            <w:shd w:val="clear" w:color="auto" w:fill="auto"/>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Coronary Bypass W Invasive Cardiac Investigation W/O Reoperation W/O Cat CC</w:t>
            </w:r>
          </w:p>
        </w:tc>
        <w:tc>
          <w:tcPr>
            <w:tcW w:w="358" w:type="pct"/>
            <w:tcBorders>
              <w:top w:val="nil"/>
              <w:left w:val="nil"/>
              <w:bottom w:val="nil"/>
              <w:right w:val="nil"/>
            </w:tcBorders>
            <w:shd w:val="clear" w:color="000000" w:fill="F4CACA"/>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2.87</w:t>
            </w:r>
          </w:p>
        </w:tc>
        <w:tc>
          <w:tcPr>
            <w:tcW w:w="380"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476</w:t>
            </w:r>
          </w:p>
        </w:tc>
        <w:tc>
          <w:tcPr>
            <w:tcW w:w="325"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9.29</w:t>
            </w:r>
          </w:p>
        </w:tc>
        <w:tc>
          <w:tcPr>
            <w:tcW w:w="263"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11.8</w:t>
            </w:r>
          </w:p>
        </w:tc>
        <w:tc>
          <w:tcPr>
            <w:tcW w:w="218" w:type="pct"/>
            <w:tcBorders>
              <w:top w:val="nil"/>
              <w:left w:val="single" w:sz="4" w:space="0" w:color="000000"/>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20%</w:t>
            </w:r>
          </w:p>
        </w:tc>
        <w:tc>
          <w:tcPr>
            <w:tcW w:w="284"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31%</w:t>
            </w:r>
          </w:p>
        </w:tc>
        <w:tc>
          <w:tcPr>
            <w:tcW w:w="278"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12%</w:t>
            </w:r>
          </w:p>
        </w:tc>
        <w:tc>
          <w:tcPr>
            <w:tcW w:w="311"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37%</w:t>
            </w:r>
          </w:p>
        </w:tc>
        <w:tc>
          <w:tcPr>
            <w:tcW w:w="411" w:type="pct"/>
            <w:tcBorders>
              <w:top w:val="nil"/>
              <w:left w:val="single" w:sz="4" w:space="0" w:color="auto"/>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1.70</w:t>
            </w:r>
          </w:p>
        </w:tc>
      </w:tr>
      <w:tr w:rsidR="00714123" w:rsidRPr="00660308" w:rsidTr="00714123">
        <w:trPr>
          <w:trHeight w:val="336"/>
        </w:trPr>
        <w:tc>
          <w:tcPr>
            <w:tcW w:w="300"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No</w:t>
            </w:r>
          </w:p>
        </w:tc>
        <w:tc>
          <w:tcPr>
            <w:tcW w:w="291"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20</w:t>
            </w:r>
          </w:p>
        </w:tc>
        <w:tc>
          <w:tcPr>
            <w:tcW w:w="280" w:type="pct"/>
            <w:tcBorders>
              <w:top w:val="nil"/>
              <w:left w:val="nil"/>
              <w:bottom w:val="nil"/>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F06A</w:t>
            </w:r>
          </w:p>
        </w:tc>
        <w:tc>
          <w:tcPr>
            <w:tcW w:w="1301" w:type="pct"/>
            <w:tcBorders>
              <w:top w:val="nil"/>
              <w:left w:val="nil"/>
              <w:bottom w:val="nil"/>
              <w:right w:val="nil"/>
            </w:tcBorders>
            <w:shd w:val="clear" w:color="auto" w:fill="auto"/>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Coronary Bypass W/O Invasive Cardiac Inves W Reoperation or W Cat or Sev CC</w:t>
            </w:r>
          </w:p>
        </w:tc>
        <w:tc>
          <w:tcPr>
            <w:tcW w:w="358" w:type="pct"/>
            <w:tcBorders>
              <w:top w:val="nil"/>
              <w:left w:val="nil"/>
              <w:bottom w:val="nil"/>
              <w:right w:val="nil"/>
            </w:tcBorders>
            <w:shd w:val="clear" w:color="000000" w:fill="F4CACA"/>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2.83</w:t>
            </w:r>
          </w:p>
        </w:tc>
        <w:tc>
          <w:tcPr>
            <w:tcW w:w="380"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2,178</w:t>
            </w:r>
          </w:p>
        </w:tc>
        <w:tc>
          <w:tcPr>
            <w:tcW w:w="325"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8.69</w:t>
            </w:r>
          </w:p>
        </w:tc>
        <w:tc>
          <w:tcPr>
            <w:tcW w:w="263"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10.9</w:t>
            </w:r>
          </w:p>
        </w:tc>
        <w:tc>
          <w:tcPr>
            <w:tcW w:w="218" w:type="pct"/>
            <w:tcBorders>
              <w:top w:val="nil"/>
              <w:left w:val="single" w:sz="4" w:space="0" w:color="000000"/>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19%</w:t>
            </w:r>
          </w:p>
        </w:tc>
        <w:tc>
          <w:tcPr>
            <w:tcW w:w="284"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33%</w:t>
            </w:r>
          </w:p>
        </w:tc>
        <w:tc>
          <w:tcPr>
            <w:tcW w:w="278"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14%</w:t>
            </w:r>
          </w:p>
        </w:tc>
        <w:tc>
          <w:tcPr>
            <w:tcW w:w="311"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34%</w:t>
            </w:r>
          </w:p>
        </w:tc>
        <w:tc>
          <w:tcPr>
            <w:tcW w:w="411" w:type="pct"/>
            <w:tcBorders>
              <w:top w:val="nil"/>
              <w:left w:val="single" w:sz="4" w:space="0" w:color="auto"/>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2.03</w:t>
            </w:r>
          </w:p>
        </w:tc>
      </w:tr>
      <w:tr w:rsidR="00714123" w:rsidRPr="00660308" w:rsidTr="00714123">
        <w:trPr>
          <w:trHeight w:val="168"/>
        </w:trPr>
        <w:tc>
          <w:tcPr>
            <w:tcW w:w="300" w:type="pct"/>
            <w:tcBorders>
              <w:top w:val="single" w:sz="4" w:space="0" w:color="auto"/>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11</w:t>
            </w:r>
          </w:p>
        </w:tc>
        <w:tc>
          <w:tcPr>
            <w:tcW w:w="291" w:type="pct"/>
            <w:tcBorders>
              <w:top w:val="single" w:sz="4" w:space="0" w:color="000000"/>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 </w:t>
            </w:r>
          </w:p>
        </w:tc>
        <w:tc>
          <w:tcPr>
            <w:tcW w:w="1581" w:type="pct"/>
            <w:gridSpan w:val="2"/>
            <w:tcBorders>
              <w:top w:val="single" w:sz="4" w:space="0" w:color="000000"/>
              <w:left w:val="nil"/>
              <w:bottom w:val="nil"/>
              <w:right w:val="nil"/>
            </w:tcBorders>
            <w:shd w:val="clear" w:color="auto" w:fill="auto"/>
            <w:noWrap/>
            <w:hideMark/>
          </w:tcPr>
          <w:p w:rsidR="00714123" w:rsidRPr="00660308" w:rsidRDefault="00714123" w:rsidP="00714123">
            <w:pPr>
              <w:rPr>
                <w:b/>
                <w:bCs/>
                <w:snapToGrid/>
                <w:color w:val="000000"/>
                <w:sz w:val="16"/>
                <w:szCs w:val="16"/>
                <w:lang w:eastAsia="en-AU"/>
              </w:rPr>
            </w:pPr>
            <w:r w:rsidRPr="00660308">
              <w:rPr>
                <w:b/>
                <w:bCs/>
                <w:snapToGrid/>
                <w:color w:val="000000"/>
                <w:sz w:val="16"/>
                <w:szCs w:val="16"/>
                <w:lang w:eastAsia="en-AU"/>
              </w:rPr>
              <w:t>Sub-total, top 20 highest critical care cost-weight DRGs</w:t>
            </w:r>
          </w:p>
        </w:tc>
        <w:tc>
          <w:tcPr>
            <w:tcW w:w="358" w:type="pct"/>
            <w:tcBorders>
              <w:top w:val="single" w:sz="4" w:space="0" w:color="000000"/>
              <w:left w:val="nil"/>
              <w:bottom w:val="nil"/>
              <w:right w:val="nil"/>
            </w:tcBorders>
            <w:shd w:val="clear" w:color="000000" w:fill="F4CACA"/>
            <w:noWrap/>
            <w:hideMark/>
          </w:tcPr>
          <w:p w:rsidR="00714123" w:rsidRPr="00660308" w:rsidRDefault="00714123" w:rsidP="00714123">
            <w:pPr>
              <w:jc w:val="right"/>
              <w:rPr>
                <w:b/>
                <w:bCs/>
                <w:snapToGrid/>
                <w:color w:val="000000"/>
                <w:sz w:val="16"/>
                <w:szCs w:val="16"/>
                <w:lang w:eastAsia="en-AU"/>
              </w:rPr>
            </w:pPr>
            <w:r w:rsidRPr="00660308">
              <w:rPr>
                <w:b/>
                <w:bCs/>
                <w:snapToGrid/>
                <w:color w:val="000000"/>
                <w:sz w:val="16"/>
                <w:szCs w:val="16"/>
                <w:lang w:eastAsia="en-AU"/>
              </w:rPr>
              <w:t>4.53</w:t>
            </w:r>
          </w:p>
        </w:tc>
        <w:tc>
          <w:tcPr>
            <w:tcW w:w="380" w:type="pct"/>
            <w:tcBorders>
              <w:top w:val="single" w:sz="4" w:space="0" w:color="000000"/>
              <w:left w:val="nil"/>
              <w:bottom w:val="nil"/>
              <w:right w:val="nil"/>
            </w:tcBorders>
            <w:shd w:val="clear" w:color="auto" w:fill="auto"/>
            <w:noWrap/>
            <w:hideMark/>
          </w:tcPr>
          <w:p w:rsidR="00714123" w:rsidRPr="00660308" w:rsidRDefault="00714123" w:rsidP="00714123">
            <w:pPr>
              <w:jc w:val="right"/>
              <w:rPr>
                <w:b/>
                <w:bCs/>
                <w:snapToGrid/>
                <w:color w:val="000000"/>
                <w:sz w:val="16"/>
                <w:szCs w:val="16"/>
                <w:lang w:eastAsia="en-AU"/>
              </w:rPr>
            </w:pPr>
            <w:r w:rsidRPr="00660308">
              <w:rPr>
                <w:b/>
                <w:bCs/>
                <w:snapToGrid/>
                <w:color w:val="000000"/>
                <w:sz w:val="16"/>
                <w:szCs w:val="16"/>
                <w:lang w:eastAsia="en-AU"/>
              </w:rPr>
              <w:t>7,378</w:t>
            </w:r>
          </w:p>
        </w:tc>
        <w:tc>
          <w:tcPr>
            <w:tcW w:w="325" w:type="pct"/>
            <w:tcBorders>
              <w:top w:val="single" w:sz="4" w:space="0" w:color="000000"/>
              <w:left w:val="nil"/>
              <w:bottom w:val="nil"/>
              <w:right w:val="nil"/>
            </w:tcBorders>
            <w:shd w:val="clear" w:color="auto" w:fill="auto"/>
            <w:noWrap/>
            <w:hideMark/>
          </w:tcPr>
          <w:p w:rsidR="00714123" w:rsidRPr="00660308" w:rsidRDefault="00714123" w:rsidP="00714123">
            <w:pPr>
              <w:jc w:val="right"/>
              <w:rPr>
                <w:b/>
                <w:bCs/>
                <w:snapToGrid/>
                <w:color w:val="000000"/>
                <w:sz w:val="16"/>
                <w:szCs w:val="16"/>
                <w:lang w:eastAsia="en-AU"/>
              </w:rPr>
            </w:pPr>
            <w:r w:rsidRPr="00660308">
              <w:rPr>
                <w:b/>
                <w:bCs/>
                <w:snapToGrid/>
                <w:color w:val="000000"/>
                <w:sz w:val="16"/>
                <w:szCs w:val="16"/>
                <w:lang w:eastAsia="en-AU"/>
              </w:rPr>
              <w:t>13.33</w:t>
            </w:r>
          </w:p>
        </w:tc>
        <w:tc>
          <w:tcPr>
            <w:tcW w:w="263" w:type="pct"/>
            <w:tcBorders>
              <w:top w:val="single" w:sz="4" w:space="0" w:color="auto"/>
              <w:left w:val="nil"/>
              <w:bottom w:val="nil"/>
              <w:right w:val="nil"/>
            </w:tcBorders>
            <w:shd w:val="clear" w:color="auto" w:fill="auto"/>
            <w:noWrap/>
            <w:hideMark/>
          </w:tcPr>
          <w:p w:rsidR="00714123" w:rsidRPr="00660308" w:rsidRDefault="00714123" w:rsidP="00714123">
            <w:pPr>
              <w:jc w:val="right"/>
              <w:rPr>
                <w:b/>
                <w:bCs/>
                <w:snapToGrid/>
                <w:color w:val="000000"/>
                <w:sz w:val="16"/>
                <w:szCs w:val="16"/>
                <w:lang w:eastAsia="en-AU"/>
              </w:rPr>
            </w:pPr>
            <w:r w:rsidRPr="00660308">
              <w:rPr>
                <w:b/>
                <w:bCs/>
                <w:snapToGrid/>
                <w:color w:val="000000"/>
                <w:sz w:val="16"/>
                <w:szCs w:val="16"/>
                <w:lang w:eastAsia="en-AU"/>
              </w:rPr>
              <w:t>16.1</w:t>
            </w:r>
          </w:p>
        </w:tc>
        <w:tc>
          <w:tcPr>
            <w:tcW w:w="218" w:type="pct"/>
            <w:tcBorders>
              <w:top w:val="single" w:sz="4" w:space="0" w:color="auto"/>
              <w:left w:val="single" w:sz="4" w:space="0" w:color="000000"/>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13%</w:t>
            </w:r>
          </w:p>
        </w:tc>
        <w:tc>
          <w:tcPr>
            <w:tcW w:w="284" w:type="pct"/>
            <w:tcBorders>
              <w:top w:val="single" w:sz="4" w:space="0" w:color="auto"/>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34%</w:t>
            </w:r>
          </w:p>
        </w:tc>
        <w:tc>
          <w:tcPr>
            <w:tcW w:w="278" w:type="pct"/>
            <w:tcBorders>
              <w:top w:val="single" w:sz="4" w:space="0" w:color="auto"/>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18%</w:t>
            </w:r>
          </w:p>
        </w:tc>
        <w:tc>
          <w:tcPr>
            <w:tcW w:w="311" w:type="pct"/>
            <w:tcBorders>
              <w:top w:val="single" w:sz="4" w:space="0" w:color="auto"/>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35%</w:t>
            </w:r>
          </w:p>
        </w:tc>
        <w:tc>
          <w:tcPr>
            <w:tcW w:w="411" w:type="pct"/>
            <w:tcBorders>
              <w:top w:val="single" w:sz="4" w:space="0" w:color="auto"/>
              <w:left w:val="single" w:sz="4" w:space="0" w:color="auto"/>
              <w:bottom w:val="nil"/>
              <w:right w:val="nil"/>
            </w:tcBorders>
            <w:shd w:val="clear" w:color="auto" w:fill="auto"/>
            <w:noWrap/>
            <w:hideMark/>
          </w:tcPr>
          <w:p w:rsidR="00714123" w:rsidRPr="00660308" w:rsidRDefault="00714123" w:rsidP="00714123">
            <w:pPr>
              <w:rPr>
                <w:b/>
                <w:bCs/>
                <w:snapToGrid/>
                <w:color w:val="000000"/>
                <w:sz w:val="16"/>
                <w:szCs w:val="16"/>
                <w:lang w:eastAsia="en-AU"/>
              </w:rPr>
            </w:pPr>
            <w:r w:rsidRPr="00660308">
              <w:rPr>
                <w:b/>
                <w:bCs/>
                <w:snapToGrid/>
                <w:color w:val="000000"/>
                <w:sz w:val="16"/>
                <w:szCs w:val="16"/>
                <w:lang w:eastAsia="en-AU"/>
              </w:rPr>
              <w:t> </w:t>
            </w:r>
          </w:p>
        </w:tc>
      </w:tr>
      <w:tr w:rsidR="00714123" w:rsidRPr="00660308" w:rsidTr="00714123">
        <w:trPr>
          <w:trHeight w:val="168"/>
        </w:trPr>
        <w:tc>
          <w:tcPr>
            <w:tcW w:w="300"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 xml:space="preserve">in </w:t>
            </w:r>
          </w:p>
        </w:tc>
        <w:tc>
          <w:tcPr>
            <w:tcW w:w="291" w:type="pct"/>
            <w:tcBorders>
              <w:top w:val="nil"/>
              <w:left w:val="nil"/>
              <w:bottom w:val="nil"/>
              <w:right w:val="nil"/>
            </w:tcBorders>
            <w:shd w:val="clear" w:color="auto" w:fill="auto"/>
            <w:noWrap/>
            <w:hideMark/>
          </w:tcPr>
          <w:p w:rsidR="00714123" w:rsidRPr="00660308" w:rsidRDefault="00714123" w:rsidP="00714123">
            <w:pPr>
              <w:jc w:val="center"/>
              <w:rPr>
                <w:snapToGrid/>
                <w:color w:val="000000"/>
                <w:sz w:val="16"/>
                <w:szCs w:val="16"/>
                <w:lang w:eastAsia="en-AU"/>
              </w:rPr>
            </w:pPr>
          </w:p>
        </w:tc>
        <w:tc>
          <w:tcPr>
            <w:tcW w:w="1581" w:type="pct"/>
            <w:gridSpan w:val="2"/>
            <w:tcBorders>
              <w:top w:val="nil"/>
              <w:left w:val="nil"/>
              <w:bottom w:val="nil"/>
              <w:right w:val="nil"/>
            </w:tcBorders>
            <w:shd w:val="clear" w:color="auto" w:fill="auto"/>
            <w:noWrap/>
            <w:hideMark/>
          </w:tcPr>
          <w:p w:rsidR="00714123" w:rsidRPr="00660308" w:rsidRDefault="00714123" w:rsidP="00714123">
            <w:pPr>
              <w:rPr>
                <w:b/>
                <w:bCs/>
                <w:snapToGrid/>
                <w:color w:val="000000"/>
                <w:sz w:val="16"/>
                <w:szCs w:val="16"/>
                <w:lang w:eastAsia="en-AU"/>
              </w:rPr>
            </w:pPr>
            <w:r w:rsidRPr="00660308">
              <w:rPr>
                <w:b/>
                <w:bCs/>
                <w:snapToGrid/>
                <w:color w:val="000000"/>
                <w:sz w:val="16"/>
                <w:szCs w:val="16"/>
                <w:lang w:eastAsia="en-AU"/>
              </w:rPr>
              <w:t>All DRGs</w:t>
            </w:r>
          </w:p>
        </w:tc>
        <w:tc>
          <w:tcPr>
            <w:tcW w:w="358" w:type="pct"/>
            <w:tcBorders>
              <w:top w:val="nil"/>
              <w:left w:val="nil"/>
              <w:bottom w:val="nil"/>
              <w:right w:val="nil"/>
            </w:tcBorders>
            <w:shd w:val="clear" w:color="000000" w:fill="F4CACA"/>
            <w:noWrap/>
            <w:hideMark/>
          </w:tcPr>
          <w:p w:rsidR="00714123" w:rsidRPr="00660308" w:rsidRDefault="00714123" w:rsidP="00714123">
            <w:pPr>
              <w:jc w:val="right"/>
              <w:rPr>
                <w:b/>
                <w:bCs/>
                <w:snapToGrid/>
                <w:color w:val="000000"/>
                <w:sz w:val="16"/>
                <w:szCs w:val="16"/>
                <w:lang w:eastAsia="en-AU"/>
              </w:rPr>
            </w:pPr>
            <w:r w:rsidRPr="00660308">
              <w:rPr>
                <w:b/>
                <w:bCs/>
                <w:snapToGrid/>
                <w:color w:val="000000"/>
                <w:sz w:val="16"/>
                <w:szCs w:val="16"/>
                <w:lang w:eastAsia="en-AU"/>
              </w:rPr>
              <w:t>0.06</w:t>
            </w:r>
          </w:p>
        </w:tc>
        <w:tc>
          <w:tcPr>
            <w:tcW w:w="380" w:type="pct"/>
            <w:tcBorders>
              <w:top w:val="nil"/>
              <w:left w:val="nil"/>
              <w:bottom w:val="nil"/>
              <w:right w:val="nil"/>
            </w:tcBorders>
            <w:shd w:val="clear" w:color="auto" w:fill="auto"/>
            <w:noWrap/>
            <w:hideMark/>
          </w:tcPr>
          <w:p w:rsidR="00714123" w:rsidRPr="00660308" w:rsidRDefault="00714123" w:rsidP="00714123">
            <w:pPr>
              <w:jc w:val="right"/>
              <w:rPr>
                <w:b/>
                <w:bCs/>
                <w:snapToGrid/>
                <w:color w:val="000000"/>
                <w:sz w:val="16"/>
                <w:szCs w:val="16"/>
                <w:lang w:eastAsia="en-AU"/>
              </w:rPr>
            </w:pPr>
            <w:r w:rsidRPr="00660308">
              <w:rPr>
                <w:b/>
                <w:bCs/>
                <w:snapToGrid/>
                <w:color w:val="000000"/>
                <w:sz w:val="16"/>
                <w:szCs w:val="16"/>
                <w:lang w:eastAsia="en-AU"/>
              </w:rPr>
              <w:t>2,827,996</w:t>
            </w:r>
          </w:p>
        </w:tc>
        <w:tc>
          <w:tcPr>
            <w:tcW w:w="325" w:type="pct"/>
            <w:tcBorders>
              <w:top w:val="nil"/>
              <w:left w:val="nil"/>
              <w:bottom w:val="nil"/>
              <w:right w:val="nil"/>
            </w:tcBorders>
            <w:shd w:val="clear" w:color="auto" w:fill="auto"/>
            <w:noWrap/>
            <w:hideMark/>
          </w:tcPr>
          <w:p w:rsidR="00714123" w:rsidRPr="00660308" w:rsidRDefault="00714123" w:rsidP="00714123">
            <w:pPr>
              <w:jc w:val="right"/>
              <w:rPr>
                <w:b/>
                <w:bCs/>
                <w:snapToGrid/>
                <w:color w:val="000000"/>
                <w:sz w:val="16"/>
                <w:szCs w:val="16"/>
                <w:lang w:eastAsia="en-AU"/>
              </w:rPr>
            </w:pPr>
            <w:r w:rsidRPr="00660308">
              <w:rPr>
                <w:b/>
                <w:bCs/>
                <w:snapToGrid/>
                <w:color w:val="000000"/>
                <w:sz w:val="16"/>
                <w:szCs w:val="16"/>
                <w:lang w:eastAsia="en-AU"/>
              </w:rPr>
              <w:t>1.00</w:t>
            </w:r>
          </w:p>
        </w:tc>
        <w:tc>
          <w:tcPr>
            <w:tcW w:w="263" w:type="pct"/>
            <w:tcBorders>
              <w:top w:val="nil"/>
              <w:left w:val="nil"/>
              <w:bottom w:val="nil"/>
              <w:right w:val="nil"/>
            </w:tcBorders>
            <w:shd w:val="clear" w:color="auto" w:fill="auto"/>
            <w:noWrap/>
            <w:hideMark/>
          </w:tcPr>
          <w:p w:rsidR="00714123" w:rsidRPr="00660308" w:rsidRDefault="00714123" w:rsidP="00714123">
            <w:pPr>
              <w:jc w:val="right"/>
              <w:rPr>
                <w:b/>
                <w:bCs/>
                <w:snapToGrid/>
                <w:color w:val="000000"/>
                <w:sz w:val="16"/>
                <w:szCs w:val="16"/>
                <w:lang w:eastAsia="en-AU"/>
              </w:rPr>
            </w:pPr>
            <w:r w:rsidRPr="00660308">
              <w:rPr>
                <w:b/>
                <w:bCs/>
                <w:snapToGrid/>
                <w:color w:val="000000"/>
                <w:sz w:val="16"/>
                <w:szCs w:val="16"/>
                <w:lang w:eastAsia="en-AU"/>
              </w:rPr>
              <w:t>2.4</w:t>
            </w:r>
          </w:p>
        </w:tc>
        <w:tc>
          <w:tcPr>
            <w:tcW w:w="218" w:type="pct"/>
            <w:tcBorders>
              <w:top w:val="nil"/>
              <w:left w:val="single" w:sz="4" w:space="0" w:color="000000"/>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23%</w:t>
            </w:r>
          </w:p>
        </w:tc>
        <w:tc>
          <w:tcPr>
            <w:tcW w:w="284"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6%</w:t>
            </w:r>
          </w:p>
        </w:tc>
        <w:tc>
          <w:tcPr>
            <w:tcW w:w="278"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22%</w:t>
            </w:r>
          </w:p>
        </w:tc>
        <w:tc>
          <w:tcPr>
            <w:tcW w:w="311" w:type="pct"/>
            <w:tcBorders>
              <w:top w:val="nil"/>
              <w:left w:val="nil"/>
              <w:bottom w:val="nil"/>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49%</w:t>
            </w:r>
          </w:p>
        </w:tc>
        <w:tc>
          <w:tcPr>
            <w:tcW w:w="411" w:type="pct"/>
            <w:tcBorders>
              <w:top w:val="nil"/>
              <w:left w:val="single" w:sz="4" w:space="0" w:color="auto"/>
              <w:bottom w:val="nil"/>
              <w:right w:val="nil"/>
            </w:tcBorders>
            <w:shd w:val="clear" w:color="auto" w:fill="auto"/>
            <w:noWrap/>
            <w:hideMark/>
          </w:tcPr>
          <w:p w:rsidR="00714123" w:rsidRPr="00660308" w:rsidRDefault="00714123" w:rsidP="00714123">
            <w:pPr>
              <w:rPr>
                <w:b/>
                <w:bCs/>
                <w:snapToGrid/>
                <w:color w:val="000000"/>
                <w:sz w:val="16"/>
                <w:szCs w:val="16"/>
                <w:lang w:eastAsia="en-AU"/>
              </w:rPr>
            </w:pPr>
            <w:r w:rsidRPr="00660308">
              <w:rPr>
                <w:b/>
                <w:bCs/>
                <w:snapToGrid/>
                <w:color w:val="000000"/>
                <w:sz w:val="16"/>
                <w:szCs w:val="16"/>
                <w:lang w:eastAsia="en-AU"/>
              </w:rPr>
              <w:t> </w:t>
            </w:r>
          </w:p>
        </w:tc>
      </w:tr>
      <w:tr w:rsidR="00714123" w:rsidRPr="00660308" w:rsidTr="00714123">
        <w:trPr>
          <w:trHeight w:val="168"/>
        </w:trPr>
        <w:tc>
          <w:tcPr>
            <w:tcW w:w="300" w:type="pct"/>
            <w:tcBorders>
              <w:top w:val="nil"/>
              <w:left w:val="nil"/>
              <w:bottom w:val="single" w:sz="4" w:space="0" w:color="auto"/>
              <w:right w:val="nil"/>
            </w:tcBorders>
            <w:shd w:val="clear" w:color="auto" w:fill="auto"/>
            <w:noWrap/>
            <w:hideMark/>
          </w:tcPr>
          <w:p w:rsidR="00714123" w:rsidRPr="00660308" w:rsidRDefault="00714123" w:rsidP="00714123">
            <w:pPr>
              <w:jc w:val="center"/>
              <w:rPr>
                <w:snapToGrid/>
                <w:color w:val="000000"/>
                <w:sz w:val="16"/>
                <w:szCs w:val="16"/>
                <w:lang w:eastAsia="en-AU"/>
              </w:rPr>
            </w:pPr>
            <w:r w:rsidRPr="00660308">
              <w:rPr>
                <w:snapToGrid/>
                <w:color w:val="000000"/>
                <w:sz w:val="16"/>
                <w:szCs w:val="16"/>
                <w:lang w:eastAsia="en-AU"/>
              </w:rPr>
              <w:t>Top 20</w:t>
            </w:r>
          </w:p>
        </w:tc>
        <w:tc>
          <w:tcPr>
            <w:tcW w:w="291" w:type="pct"/>
            <w:tcBorders>
              <w:top w:val="nil"/>
              <w:left w:val="nil"/>
              <w:bottom w:val="single" w:sz="4" w:space="0" w:color="auto"/>
              <w:right w:val="nil"/>
            </w:tcBorders>
            <w:shd w:val="clear" w:color="auto" w:fill="auto"/>
            <w:noWrap/>
            <w:hideMark/>
          </w:tcPr>
          <w:p w:rsidR="00714123" w:rsidRPr="00660308" w:rsidRDefault="00714123" w:rsidP="00714123">
            <w:pPr>
              <w:jc w:val="right"/>
              <w:rPr>
                <w:snapToGrid/>
                <w:color w:val="000000"/>
                <w:sz w:val="16"/>
                <w:szCs w:val="16"/>
                <w:lang w:eastAsia="en-AU"/>
              </w:rPr>
            </w:pPr>
            <w:r w:rsidRPr="00660308">
              <w:rPr>
                <w:snapToGrid/>
                <w:color w:val="000000"/>
                <w:sz w:val="16"/>
                <w:szCs w:val="16"/>
                <w:lang w:eastAsia="en-AU"/>
              </w:rPr>
              <w:t> </w:t>
            </w:r>
          </w:p>
        </w:tc>
        <w:tc>
          <w:tcPr>
            <w:tcW w:w="1581" w:type="pct"/>
            <w:gridSpan w:val="2"/>
            <w:tcBorders>
              <w:top w:val="nil"/>
              <w:left w:val="nil"/>
              <w:bottom w:val="single" w:sz="4" w:space="0" w:color="auto"/>
              <w:right w:val="nil"/>
            </w:tcBorders>
            <w:shd w:val="clear" w:color="auto" w:fill="auto"/>
            <w:noWrap/>
            <w:hideMark/>
          </w:tcPr>
          <w:p w:rsidR="00714123" w:rsidRPr="00660308" w:rsidRDefault="00714123" w:rsidP="00714123">
            <w:pPr>
              <w:rPr>
                <w:b/>
                <w:bCs/>
                <w:snapToGrid/>
                <w:color w:val="000000"/>
                <w:sz w:val="16"/>
                <w:szCs w:val="16"/>
                <w:lang w:eastAsia="en-AU"/>
              </w:rPr>
            </w:pPr>
            <w:r w:rsidRPr="00660308">
              <w:rPr>
                <w:b/>
                <w:bCs/>
                <w:snapToGrid/>
                <w:color w:val="000000"/>
                <w:sz w:val="16"/>
                <w:szCs w:val="16"/>
                <w:lang w:eastAsia="en-AU"/>
              </w:rPr>
              <w:t>Top 20 Critical Care cost-weight DRGs, % of all DRGs</w:t>
            </w:r>
          </w:p>
        </w:tc>
        <w:tc>
          <w:tcPr>
            <w:tcW w:w="358" w:type="pct"/>
            <w:tcBorders>
              <w:top w:val="nil"/>
              <w:left w:val="nil"/>
              <w:bottom w:val="single" w:sz="4" w:space="0" w:color="auto"/>
              <w:right w:val="nil"/>
            </w:tcBorders>
            <w:shd w:val="clear" w:color="000000" w:fill="F4CACA"/>
            <w:noWrap/>
            <w:hideMark/>
          </w:tcPr>
          <w:p w:rsidR="00714123" w:rsidRPr="00660308" w:rsidRDefault="00714123" w:rsidP="00714123">
            <w:pPr>
              <w:rPr>
                <w:b/>
                <w:bCs/>
                <w:snapToGrid/>
                <w:color w:val="000000"/>
                <w:sz w:val="16"/>
                <w:szCs w:val="16"/>
                <w:lang w:eastAsia="en-AU"/>
              </w:rPr>
            </w:pPr>
            <w:r w:rsidRPr="00660308">
              <w:rPr>
                <w:b/>
                <w:bCs/>
                <w:snapToGrid/>
                <w:color w:val="000000"/>
                <w:sz w:val="16"/>
                <w:szCs w:val="16"/>
                <w:lang w:eastAsia="en-AU"/>
              </w:rPr>
              <w:t> </w:t>
            </w:r>
          </w:p>
        </w:tc>
        <w:tc>
          <w:tcPr>
            <w:tcW w:w="380" w:type="pct"/>
            <w:tcBorders>
              <w:top w:val="nil"/>
              <w:left w:val="nil"/>
              <w:bottom w:val="single" w:sz="4" w:space="0" w:color="auto"/>
              <w:right w:val="nil"/>
            </w:tcBorders>
            <w:shd w:val="clear" w:color="auto" w:fill="auto"/>
            <w:noWrap/>
            <w:hideMark/>
          </w:tcPr>
          <w:p w:rsidR="00714123" w:rsidRPr="00660308" w:rsidRDefault="00714123" w:rsidP="00714123">
            <w:pPr>
              <w:jc w:val="right"/>
              <w:rPr>
                <w:b/>
                <w:bCs/>
                <w:snapToGrid/>
                <w:color w:val="000000"/>
                <w:sz w:val="16"/>
                <w:szCs w:val="16"/>
                <w:lang w:eastAsia="en-AU"/>
              </w:rPr>
            </w:pPr>
            <w:r w:rsidRPr="00660308">
              <w:rPr>
                <w:b/>
                <w:bCs/>
                <w:snapToGrid/>
                <w:color w:val="000000"/>
                <w:sz w:val="16"/>
                <w:szCs w:val="16"/>
                <w:lang w:eastAsia="en-AU"/>
              </w:rPr>
              <w:t>0.3%</w:t>
            </w:r>
          </w:p>
        </w:tc>
        <w:tc>
          <w:tcPr>
            <w:tcW w:w="325" w:type="pct"/>
            <w:tcBorders>
              <w:top w:val="nil"/>
              <w:left w:val="nil"/>
              <w:bottom w:val="single" w:sz="4" w:space="0" w:color="auto"/>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 </w:t>
            </w:r>
          </w:p>
        </w:tc>
        <w:tc>
          <w:tcPr>
            <w:tcW w:w="263" w:type="pct"/>
            <w:tcBorders>
              <w:top w:val="nil"/>
              <w:left w:val="nil"/>
              <w:bottom w:val="single" w:sz="4" w:space="0" w:color="auto"/>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 </w:t>
            </w:r>
          </w:p>
        </w:tc>
        <w:tc>
          <w:tcPr>
            <w:tcW w:w="218" w:type="pct"/>
            <w:tcBorders>
              <w:top w:val="nil"/>
              <w:left w:val="single" w:sz="4" w:space="0" w:color="000000"/>
              <w:bottom w:val="single" w:sz="4" w:space="0" w:color="000000"/>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 </w:t>
            </w:r>
          </w:p>
        </w:tc>
        <w:tc>
          <w:tcPr>
            <w:tcW w:w="284" w:type="pct"/>
            <w:tcBorders>
              <w:top w:val="nil"/>
              <w:left w:val="nil"/>
              <w:bottom w:val="single" w:sz="4" w:space="0" w:color="000000"/>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 </w:t>
            </w:r>
          </w:p>
        </w:tc>
        <w:tc>
          <w:tcPr>
            <w:tcW w:w="278" w:type="pct"/>
            <w:tcBorders>
              <w:top w:val="nil"/>
              <w:left w:val="nil"/>
              <w:bottom w:val="single" w:sz="4" w:space="0" w:color="000000"/>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 </w:t>
            </w:r>
          </w:p>
        </w:tc>
        <w:tc>
          <w:tcPr>
            <w:tcW w:w="311" w:type="pct"/>
            <w:tcBorders>
              <w:top w:val="nil"/>
              <w:left w:val="nil"/>
              <w:bottom w:val="single" w:sz="4" w:space="0" w:color="000000"/>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 </w:t>
            </w:r>
          </w:p>
        </w:tc>
        <w:tc>
          <w:tcPr>
            <w:tcW w:w="411" w:type="pct"/>
            <w:tcBorders>
              <w:top w:val="nil"/>
              <w:left w:val="single" w:sz="4" w:space="0" w:color="auto"/>
              <w:bottom w:val="single" w:sz="4" w:space="0" w:color="auto"/>
              <w:right w:val="nil"/>
            </w:tcBorders>
            <w:shd w:val="clear" w:color="auto" w:fill="auto"/>
            <w:noWrap/>
            <w:hideMark/>
          </w:tcPr>
          <w:p w:rsidR="00714123" w:rsidRPr="00660308" w:rsidRDefault="00714123" w:rsidP="00714123">
            <w:pPr>
              <w:rPr>
                <w:snapToGrid/>
                <w:color w:val="000000"/>
                <w:sz w:val="16"/>
                <w:szCs w:val="16"/>
                <w:lang w:eastAsia="en-AU"/>
              </w:rPr>
            </w:pPr>
            <w:r w:rsidRPr="00660308">
              <w:rPr>
                <w:snapToGrid/>
                <w:color w:val="000000"/>
                <w:sz w:val="16"/>
                <w:szCs w:val="16"/>
                <w:lang w:eastAsia="en-AU"/>
              </w:rPr>
              <w:t> </w:t>
            </w:r>
          </w:p>
        </w:tc>
      </w:tr>
    </w:tbl>
    <w:p w:rsidR="001C0E93" w:rsidRPr="000051B6" w:rsidRDefault="001C0E93" w:rsidP="001C0E93">
      <w:pPr>
        <w:rPr>
          <w:sz w:val="16"/>
          <w:szCs w:val="16"/>
        </w:rPr>
      </w:pPr>
      <w:r w:rsidRPr="000051B6">
        <w:rPr>
          <w:sz w:val="16"/>
          <w:szCs w:val="16"/>
        </w:rPr>
        <w:t xml:space="preserve">(a) </w:t>
      </w:r>
      <w:r w:rsidRPr="000051B6">
        <w:rPr>
          <w:sz w:val="16"/>
          <w:szCs w:val="16"/>
        </w:rPr>
        <w:tab/>
        <w:t>For cost weight (cost bucket specific) calculat</w:t>
      </w:r>
      <w:r w:rsidR="0021712A">
        <w:rPr>
          <w:sz w:val="16"/>
          <w:szCs w:val="16"/>
        </w:rPr>
        <w:t>ions please refer to Appendix E</w:t>
      </w:r>
    </w:p>
    <w:p w:rsidR="00C5781B" w:rsidRDefault="001C0E93" w:rsidP="001C0E93">
      <w:pPr>
        <w:rPr>
          <w:sz w:val="16"/>
          <w:szCs w:val="16"/>
        </w:rPr>
      </w:pPr>
      <w:r w:rsidRPr="000051B6">
        <w:rPr>
          <w:sz w:val="16"/>
          <w:szCs w:val="16"/>
        </w:rPr>
        <w:t>(b)</w:t>
      </w:r>
      <w:r w:rsidRPr="000051B6">
        <w:rPr>
          <w:sz w:val="16"/>
          <w:szCs w:val="16"/>
        </w:rPr>
        <w:tab/>
      </w:r>
      <w:r w:rsidR="00C5781B" w:rsidRPr="000051B6">
        <w:rPr>
          <w:sz w:val="16"/>
          <w:szCs w:val="16"/>
        </w:rPr>
        <w:t>Separatio</w:t>
      </w:r>
      <w:r w:rsidR="00C5781B">
        <w:rPr>
          <w:sz w:val="16"/>
          <w:szCs w:val="16"/>
        </w:rPr>
        <w:t>ns shown are population-adjusted</w:t>
      </w:r>
      <w:r w:rsidR="00C5781B" w:rsidRPr="000051B6">
        <w:rPr>
          <w:sz w:val="16"/>
          <w:szCs w:val="16"/>
        </w:rPr>
        <w:t xml:space="preserve"> </w:t>
      </w:r>
    </w:p>
    <w:p w:rsidR="001C0E93" w:rsidRPr="000051B6" w:rsidRDefault="001C0E93" w:rsidP="001C0E93">
      <w:pPr>
        <w:rPr>
          <w:sz w:val="16"/>
          <w:szCs w:val="16"/>
        </w:rPr>
      </w:pPr>
      <w:r w:rsidRPr="000051B6">
        <w:rPr>
          <w:sz w:val="16"/>
          <w:szCs w:val="16"/>
        </w:rPr>
        <w:t xml:space="preserve">(c)  </w:t>
      </w:r>
      <w:r w:rsidRPr="000051B6">
        <w:rPr>
          <w:sz w:val="16"/>
          <w:szCs w:val="16"/>
        </w:rPr>
        <w:tab/>
        <w:t>DRG-rank for cost weight across all cost buckets. A rank of 1 means that the DR</w:t>
      </w:r>
      <w:r w:rsidR="0021712A">
        <w:rPr>
          <w:sz w:val="16"/>
          <w:szCs w:val="16"/>
        </w:rPr>
        <w:t>G has the highest cost weight.</w:t>
      </w:r>
    </w:p>
    <w:p w:rsidR="003F7DF9" w:rsidRPr="000051B6" w:rsidRDefault="001C0E93" w:rsidP="001C0E93">
      <w:pPr>
        <w:rPr>
          <w:highlight w:val="yellow"/>
        </w:rPr>
      </w:pPr>
      <w:r w:rsidRPr="000051B6">
        <w:rPr>
          <w:sz w:val="16"/>
          <w:szCs w:val="16"/>
        </w:rPr>
        <w:t>(d)</w:t>
      </w:r>
      <w:r w:rsidRPr="000051B6">
        <w:rPr>
          <w:sz w:val="16"/>
          <w:szCs w:val="16"/>
        </w:rPr>
        <w:tab/>
        <w:t>ALoS means average length of stay</w:t>
      </w:r>
      <w:r w:rsidR="003F7DF9" w:rsidRPr="000051B6">
        <w:rPr>
          <w:highlight w:val="yellow"/>
        </w:rPr>
        <w:br w:type="page"/>
      </w:r>
    </w:p>
    <w:bookmarkStart w:id="180" w:name="_Toc435610630"/>
    <w:p w:rsidR="003F7DF9" w:rsidRPr="000051B6" w:rsidRDefault="00057AAB" w:rsidP="0021712A">
      <w:pPr>
        <w:pStyle w:val="Figureheadings"/>
        <w:spacing w:after="240"/>
        <w:rPr>
          <w:lang w:val="en-AU"/>
        </w:rPr>
      </w:pPr>
      <w:r>
        <w:rPr>
          <w:noProof/>
          <w:snapToGrid/>
          <w:lang w:val="en-AU" w:eastAsia="en-AU"/>
        </w:rPr>
        <w:lastRenderedPageBreak/>
        <mc:AlternateContent>
          <mc:Choice Requires="wps">
            <w:drawing>
              <wp:anchor distT="0" distB="0" distL="114300" distR="114300" simplePos="0" relativeHeight="251700224" behindDoc="0" locked="0" layoutInCell="1" allowOverlap="1" wp14:anchorId="347EF39D" wp14:editId="055491C6">
                <wp:simplePos x="0" y="0"/>
                <wp:positionH relativeFrom="column">
                  <wp:posOffset>589916</wp:posOffset>
                </wp:positionH>
                <wp:positionV relativeFrom="paragraph">
                  <wp:posOffset>290195</wp:posOffset>
                </wp:positionV>
                <wp:extent cx="806450" cy="3555365"/>
                <wp:effectExtent l="19050" t="19050" r="12700" b="26035"/>
                <wp:wrapNone/>
                <wp:docPr id="63" name="Oval 63"/>
                <wp:cNvGraphicFramePr/>
                <a:graphic xmlns:a="http://schemas.openxmlformats.org/drawingml/2006/main">
                  <a:graphicData uri="http://schemas.microsoft.com/office/word/2010/wordprocessingShape">
                    <wps:wsp>
                      <wps:cNvSpPr/>
                      <wps:spPr bwMode="ltGray">
                        <a:xfrm>
                          <a:off x="0" y="0"/>
                          <a:ext cx="806450" cy="3555365"/>
                        </a:xfrm>
                        <a:prstGeom prst="ellipse">
                          <a:avLst/>
                        </a:prstGeom>
                        <a:noFill/>
                        <a:ln w="349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3" o:spid="_x0000_s1026" style="position:absolute;margin-left:46.45pt;margin-top:22.85pt;width:63.5pt;height:279.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" filled="f" strokecolor="#511010 [1604]" strokeweight="2.75pt"/>
            </w:pict>
          </mc:Fallback>
        </mc:AlternateContent>
      </w:r>
      <w:r w:rsidR="004E2707" w:rsidRPr="000051B6">
        <w:rPr>
          <w:lang w:val="en-AU"/>
        </w:rPr>
        <w:t xml:space="preserve">Figure </w:t>
      </w:r>
      <w:r w:rsidR="00E0217E" w:rsidRPr="000051B6">
        <w:rPr>
          <w:lang w:val="en-AU"/>
        </w:rPr>
        <w:t>7</w:t>
      </w:r>
      <w:r w:rsidR="004E2707" w:rsidRPr="000051B6">
        <w:rPr>
          <w:lang w:val="en-AU"/>
        </w:rPr>
        <w:tab/>
        <w:t>Top 20 AR-DRGs for critical care cost bucket</w:t>
      </w:r>
      <w:bookmarkEnd w:id="180"/>
    </w:p>
    <w:p w:rsidR="004C4F58" w:rsidRDefault="004C4F58" w:rsidP="00F91FB9">
      <w:pPr>
        <w:pStyle w:val="PwCNormal"/>
        <w:numPr>
          <w:ilvl w:val="0"/>
          <w:numId w:val="0"/>
        </w:numPr>
        <w:spacing w:after="0"/>
      </w:pPr>
    </w:p>
    <w:p w:rsidR="001E1E56" w:rsidRDefault="00057AAB" w:rsidP="00F91FB9">
      <w:pPr>
        <w:pStyle w:val="PwCNormal"/>
        <w:numPr>
          <w:ilvl w:val="0"/>
          <w:numId w:val="0"/>
        </w:numPr>
        <w:spacing w:after="0"/>
      </w:pPr>
      <w:r w:rsidRPr="00057AAB">
        <w:rPr>
          <w:noProof/>
          <w:lang w:eastAsia="en-AU"/>
        </w:rPr>
        <w:drawing>
          <wp:inline distT="0" distB="0" distL="0" distR="0" wp14:anchorId="18691433" wp14:editId="1238B602">
            <wp:extent cx="8001000" cy="3524250"/>
            <wp:effectExtent l="0" t="0" r="0" b="0"/>
            <wp:docPr id="132" name="Picture 132" descr="Figure 7 is a bar graph showing the Top 20 AR-DRGs ranked by the critical care cost bucket in Round 18 and their critical care cost bucket in Round 17. P62Z and A06A have been circled." title="Figure 7 Top 20 AR-DRGs for critical care cost 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01000" cy="3524250"/>
                    </a:xfrm>
                    <a:prstGeom prst="rect">
                      <a:avLst/>
                    </a:prstGeom>
                    <a:noFill/>
                    <a:ln>
                      <a:noFill/>
                    </a:ln>
                  </pic:spPr>
                </pic:pic>
              </a:graphicData>
            </a:graphic>
          </wp:inline>
        </w:drawing>
      </w:r>
    </w:p>
    <w:p w:rsidR="001E1E56" w:rsidRPr="000051B6" w:rsidRDefault="001E1E56" w:rsidP="00F91FB9">
      <w:pPr>
        <w:pStyle w:val="PwCNormal"/>
        <w:numPr>
          <w:ilvl w:val="0"/>
          <w:numId w:val="0"/>
        </w:numPr>
        <w:spacing w:after="0"/>
      </w:pPr>
    </w:p>
    <w:p w:rsidR="004C4F58" w:rsidRPr="000051B6" w:rsidRDefault="004C4F58" w:rsidP="00B50B0E">
      <w:pPr>
        <w:sectPr w:rsidR="004C4F58" w:rsidRPr="000051B6" w:rsidSect="009549BC">
          <w:pgSz w:w="16840" w:h="11907" w:orient="landscape" w:code="9"/>
          <w:pgMar w:top="1418" w:right="1021" w:bottom="1134" w:left="1021" w:header="567" w:footer="567" w:gutter="0"/>
          <w:cols w:space="227"/>
          <w:docGrid w:linePitch="360"/>
        </w:sectPr>
      </w:pPr>
      <w:r w:rsidRPr="000051B6">
        <w:rPr>
          <w:b/>
        </w:rPr>
        <w:t>Note:</w:t>
      </w:r>
      <w:r w:rsidRPr="000051B6">
        <w:t xml:space="preserve"> when a Round 17 bar is missing from the chart, this is because that AR-DRG was masked in Round 17 due to having less than 5 separations or having less than 3 hospitals with that AR-DRG.</w:t>
      </w:r>
      <w:r w:rsidR="00B50B0E" w:rsidRPr="000051B6">
        <w:t xml:space="preserve"> </w:t>
      </w:r>
    </w:p>
    <w:p w:rsidR="00AE2E92" w:rsidRPr="000051B6" w:rsidRDefault="00AE2E92" w:rsidP="0021712A">
      <w:pPr>
        <w:pStyle w:val="Heading3"/>
        <w:spacing w:after="240"/>
      </w:pPr>
      <w:r w:rsidRPr="000051B6">
        <w:lastRenderedPageBreak/>
        <w:t>Operating room/specialised procedure suite</w:t>
      </w:r>
      <w:r w:rsidR="00111F19" w:rsidRPr="000051B6">
        <w:t xml:space="preserve"> cost bucket</w:t>
      </w:r>
    </w:p>
    <w:p w:rsidR="00AE2E92" w:rsidRPr="000051B6" w:rsidRDefault="00AE2E92" w:rsidP="00AE2E92">
      <w:pPr>
        <w:pStyle w:val="PwCNormal"/>
        <w:numPr>
          <w:ilvl w:val="0"/>
          <w:numId w:val="0"/>
        </w:numPr>
        <w:spacing w:after="0"/>
        <w:rPr>
          <w:color w:val="A32020" w:themeColor="text2"/>
        </w:rPr>
      </w:pPr>
      <w:r w:rsidRPr="000051B6">
        <w:rPr>
          <w:color w:val="A32020" w:themeColor="text2"/>
        </w:rPr>
        <w:t>Key findings</w:t>
      </w:r>
    </w:p>
    <w:p w:rsidR="00AE2E92" w:rsidRPr="000051B6" w:rsidRDefault="0089577C" w:rsidP="0021712A">
      <w:pPr>
        <w:pStyle w:val="PwCNormal"/>
        <w:numPr>
          <w:ilvl w:val="0"/>
          <w:numId w:val="0"/>
        </w:numPr>
      </w:pPr>
      <w:r>
        <w:t>F</w:t>
      </w:r>
      <w:r w:rsidR="00E0217E" w:rsidRPr="000051B6">
        <w:t>igure 8</w:t>
      </w:r>
      <w:r w:rsidR="00AE2E92" w:rsidRPr="000051B6">
        <w:t xml:space="preserve"> show</w:t>
      </w:r>
      <w:r w:rsidR="00B44920" w:rsidRPr="000051B6">
        <w:t>s</w:t>
      </w:r>
      <w:r w:rsidR="00AE2E92" w:rsidRPr="000051B6">
        <w:t xml:space="preserve"> that the highest cost weigh AR-DRG is </w:t>
      </w:r>
      <w:r w:rsidR="00B44920" w:rsidRPr="000051B6">
        <w:t>J01A -Microvas Tiss</w:t>
      </w:r>
      <w:r w:rsidR="00B50B0E" w:rsidRPr="000051B6">
        <w:t>ue</w:t>
      </w:r>
      <w:r w:rsidR="00B44920" w:rsidRPr="000051B6">
        <w:t xml:space="preserve"> Transf</w:t>
      </w:r>
      <w:r w:rsidR="00B50B0E" w:rsidRPr="000051B6">
        <w:t>er</w:t>
      </w:r>
      <w:r w:rsidR="00B44920" w:rsidRPr="000051B6">
        <w:t xml:space="preserve"> for Skin, Subcutaneous Tiss</w:t>
      </w:r>
      <w:r w:rsidR="00B50B0E" w:rsidRPr="000051B6">
        <w:t>ue</w:t>
      </w:r>
      <w:r w:rsidR="00B44920" w:rsidRPr="000051B6">
        <w:t xml:space="preserve"> &amp; Breast Disd with Cat/Sev CC</w:t>
      </w:r>
      <w:r>
        <w:t xml:space="preserve"> (circled)</w:t>
      </w:r>
      <w:r w:rsidR="005600FF" w:rsidRPr="000051B6">
        <w:t>. T</w:t>
      </w:r>
      <w:r w:rsidR="00AE2E92" w:rsidRPr="000051B6">
        <w:t xml:space="preserve">his was ranked number </w:t>
      </w:r>
      <w:r w:rsidR="00B44920" w:rsidRPr="000051B6">
        <w:t>one</w:t>
      </w:r>
      <w:r w:rsidR="00AE2E92" w:rsidRPr="000051B6">
        <w:t xml:space="preserve"> last year and is </w:t>
      </w:r>
      <w:r w:rsidR="00EF041E">
        <w:t xml:space="preserve">accustomed </w:t>
      </w:r>
      <w:r w:rsidR="00AE2E92" w:rsidRPr="000051B6">
        <w:t xml:space="preserve">to be ranked number </w:t>
      </w:r>
      <w:r w:rsidR="005D1C0C">
        <w:t>one</w:t>
      </w:r>
      <w:r w:rsidR="00AE2E92" w:rsidRPr="000051B6">
        <w:t xml:space="preserve"> or </w:t>
      </w:r>
      <w:r w:rsidR="005D1C0C">
        <w:t>two</w:t>
      </w:r>
      <w:r w:rsidR="00AE2E92" w:rsidRPr="000051B6">
        <w:t xml:space="preserve"> given the fact </w:t>
      </w:r>
      <w:r w:rsidR="00B44920" w:rsidRPr="000051B6">
        <w:t>this procedure utilises a large amount of theatre time</w:t>
      </w:r>
      <w:r w:rsidR="00AE2E92" w:rsidRPr="000051B6">
        <w:t>.</w:t>
      </w:r>
    </w:p>
    <w:p w:rsidR="00AE2E92" w:rsidRPr="000051B6" w:rsidRDefault="0089577C" w:rsidP="0021712A">
      <w:pPr>
        <w:pStyle w:val="PwCNormal"/>
        <w:numPr>
          <w:ilvl w:val="0"/>
          <w:numId w:val="0"/>
        </w:numPr>
      </w:pPr>
      <w:r>
        <w:t>As presented in table 12 t</w:t>
      </w:r>
      <w:r w:rsidR="00AE2E92" w:rsidRPr="000051B6">
        <w:t xml:space="preserve">he AR-DRGs listed in the top 20 are </w:t>
      </w:r>
      <w:r w:rsidR="00EF041E">
        <w:t>customary</w:t>
      </w:r>
      <w:r w:rsidR="00AE2E92" w:rsidRPr="000051B6">
        <w:t xml:space="preserve"> to be within this ranking given that </w:t>
      </w:r>
      <w:r w:rsidR="004C5AD1" w:rsidRPr="000051B6">
        <w:t>the majority are coded to AR-DRG</w:t>
      </w:r>
      <w:r w:rsidR="00D16BDB" w:rsidRPr="000051B6">
        <w:t xml:space="preserve">s ending in A or B </w:t>
      </w:r>
      <w:r w:rsidR="004C5AD1" w:rsidRPr="000051B6">
        <w:t>and are all known for consuming high levels of theatre time</w:t>
      </w:r>
      <w:r w:rsidR="00D16BDB" w:rsidRPr="000051B6">
        <w:t xml:space="preserve"> for example cardiac investigative procedures</w:t>
      </w:r>
      <w:r w:rsidR="004C5AD1" w:rsidRPr="000051B6">
        <w:t>.</w:t>
      </w:r>
    </w:p>
    <w:p w:rsidR="00AE2E92" w:rsidRPr="000051B6" w:rsidRDefault="00AE2E92" w:rsidP="00AE2E92">
      <w:pPr>
        <w:pStyle w:val="PwCNormal"/>
        <w:numPr>
          <w:ilvl w:val="0"/>
          <w:numId w:val="0"/>
        </w:numPr>
        <w:spacing w:after="0"/>
        <w:rPr>
          <w:color w:val="A32020" w:themeColor="text2"/>
        </w:rPr>
      </w:pPr>
      <w:r w:rsidRPr="000051B6">
        <w:rPr>
          <w:color w:val="A32020" w:themeColor="text2"/>
        </w:rPr>
        <w:t>Consistencies between Round 17 and Round 18</w:t>
      </w:r>
    </w:p>
    <w:p w:rsidR="00582EDE" w:rsidRPr="000051B6" w:rsidRDefault="004C5AD1" w:rsidP="0021712A">
      <w:pPr>
        <w:pStyle w:val="PwCNormal"/>
        <w:numPr>
          <w:ilvl w:val="0"/>
          <w:numId w:val="0"/>
        </w:numPr>
      </w:pPr>
      <w:r w:rsidRPr="000051B6">
        <w:t xml:space="preserve">AR-DRGs ranked one to </w:t>
      </w:r>
      <w:r w:rsidR="00582EDE" w:rsidRPr="000051B6">
        <w:t xml:space="preserve">six </w:t>
      </w:r>
      <w:r w:rsidR="0089577C">
        <w:t xml:space="preserve">(boxed in table 12) </w:t>
      </w:r>
      <w:r w:rsidR="00582EDE" w:rsidRPr="000051B6">
        <w:t>were</w:t>
      </w:r>
      <w:r w:rsidRPr="000051B6">
        <w:t xml:space="preserve"> included in Round 17</w:t>
      </w:r>
      <w:r w:rsidR="00582EDE" w:rsidRPr="000051B6">
        <w:t>’s</w:t>
      </w:r>
      <w:r w:rsidRPr="000051B6">
        <w:t xml:space="preserve"> top 20</w:t>
      </w:r>
      <w:r w:rsidR="00CC4AD0" w:rsidRPr="000051B6">
        <w:t xml:space="preserve"> which is expected given the nature of AR-DRGs in the top </w:t>
      </w:r>
      <w:r w:rsidR="00F702B3" w:rsidRPr="000051B6">
        <w:t>six</w:t>
      </w:r>
      <w:r w:rsidR="00CC4AD0" w:rsidRPr="000051B6">
        <w:t xml:space="preserve"> and improvements in participants using feeder data and the changes in service weights between Rounds</w:t>
      </w:r>
      <w:r w:rsidR="00582EDE" w:rsidRPr="000051B6">
        <w:t xml:space="preserve">.  </w:t>
      </w:r>
    </w:p>
    <w:p w:rsidR="000A2939" w:rsidRPr="000051B6" w:rsidRDefault="00582EDE" w:rsidP="0021712A">
      <w:pPr>
        <w:pStyle w:val="PwCNormal"/>
        <w:numPr>
          <w:ilvl w:val="0"/>
          <w:numId w:val="0"/>
        </w:numPr>
      </w:pPr>
      <w:r w:rsidRPr="000051B6">
        <w:t>T</w:t>
      </w:r>
      <w:r w:rsidR="004C5AD1" w:rsidRPr="000051B6">
        <w:t>he average cost weight mov</w:t>
      </w:r>
      <w:r w:rsidR="001B5BFA" w:rsidRPr="000051B6">
        <w:t>ed</w:t>
      </w:r>
      <w:r w:rsidR="004C5AD1" w:rsidRPr="000051B6">
        <w:t xml:space="preserve"> by</w:t>
      </w:r>
      <w:r w:rsidR="00CC4AD0" w:rsidRPr="000051B6">
        <w:t xml:space="preserve"> +0.47 </w:t>
      </w:r>
      <w:r w:rsidR="001B5BFA" w:rsidRPr="000051B6">
        <w:t>between years indicating that this is a relatively stable cost bucket.  The biggest</w:t>
      </w:r>
      <w:r w:rsidR="00DF56F9" w:rsidRPr="000051B6">
        <w:t xml:space="preserve"> increase </w:t>
      </w:r>
      <w:r w:rsidR="001B5BFA" w:rsidRPr="000051B6">
        <w:t xml:space="preserve">was </w:t>
      </w:r>
      <w:r w:rsidR="00CC4AD0" w:rsidRPr="000051B6">
        <w:t>B60A - Acute Paraplegia/Quadriplegia with or without</w:t>
      </w:r>
      <w:r w:rsidR="00D16BDB" w:rsidRPr="000051B6">
        <w:t xml:space="preserve"> OR Procs with</w:t>
      </w:r>
      <w:r w:rsidR="00CC4AD0" w:rsidRPr="000051B6">
        <w:t xml:space="preserve"> Cat CC</w:t>
      </w:r>
      <w:r w:rsidR="001B5BFA" w:rsidRPr="000051B6">
        <w:t xml:space="preserve"> increasing its cost weight by +1.45</w:t>
      </w:r>
      <w:r w:rsidR="00CC4AD0" w:rsidRPr="000051B6">
        <w:t>.</w:t>
      </w:r>
      <w:r w:rsidR="00DF56F9" w:rsidRPr="000051B6">
        <w:t xml:space="preserve">  </w:t>
      </w:r>
      <w:r w:rsidR="000A2939" w:rsidRPr="000051B6">
        <w:t>This relates to increased feeder data and allocation statistics being utilised and service weight changes between Rounds.</w:t>
      </w:r>
    </w:p>
    <w:p w:rsidR="008A658B" w:rsidRPr="000051B6" w:rsidRDefault="008A658B" w:rsidP="008A658B">
      <w:pPr>
        <w:pStyle w:val="PwCNormal"/>
        <w:numPr>
          <w:ilvl w:val="0"/>
          <w:numId w:val="0"/>
        </w:numPr>
        <w:spacing w:after="0"/>
        <w:rPr>
          <w:color w:val="A32020" w:themeColor="text2"/>
        </w:rPr>
      </w:pPr>
      <w:r w:rsidRPr="000051B6">
        <w:rPr>
          <w:color w:val="A32020" w:themeColor="text2"/>
        </w:rPr>
        <w:t xml:space="preserve">Key </w:t>
      </w:r>
      <w:r>
        <w:rPr>
          <w:color w:val="A32020" w:themeColor="text2"/>
        </w:rPr>
        <w:t xml:space="preserve">changes </w:t>
      </w:r>
      <w:r w:rsidRPr="000051B6">
        <w:rPr>
          <w:color w:val="A32020" w:themeColor="text2"/>
        </w:rPr>
        <w:t>in the top 20</w:t>
      </w:r>
    </w:p>
    <w:p w:rsidR="003F7DF9" w:rsidRPr="0021712A" w:rsidRDefault="0089577C" w:rsidP="0021712A">
      <w:pPr>
        <w:pStyle w:val="PwCNormal"/>
        <w:numPr>
          <w:ilvl w:val="0"/>
          <w:numId w:val="0"/>
        </w:numPr>
      </w:pPr>
      <w:r>
        <w:t xml:space="preserve">As demonstrated in table 12 (boxed) </w:t>
      </w:r>
      <w:r w:rsidR="004C5AD1" w:rsidRPr="000051B6">
        <w:t xml:space="preserve">B60A - Acute Paraplegia/Quadriplegia </w:t>
      </w:r>
      <w:r w:rsidR="003B0D08" w:rsidRPr="000051B6">
        <w:t>with</w:t>
      </w:r>
      <w:r w:rsidR="004C5AD1" w:rsidRPr="000051B6">
        <w:t xml:space="preserve"> or </w:t>
      </w:r>
      <w:r w:rsidR="003B0D08" w:rsidRPr="000051B6">
        <w:t>without</w:t>
      </w:r>
      <w:r w:rsidR="004C5AD1" w:rsidRPr="000051B6">
        <w:t xml:space="preserve"> OR Procs </w:t>
      </w:r>
      <w:r w:rsidR="003B0D08" w:rsidRPr="000051B6">
        <w:t>with</w:t>
      </w:r>
      <w:r w:rsidR="004C5AD1" w:rsidRPr="000051B6">
        <w:t xml:space="preserve"> Cat </w:t>
      </w:r>
      <w:r w:rsidR="00CC4AD0" w:rsidRPr="000051B6">
        <w:t>CC was</w:t>
      </w:r>
      <w:r w:rsidR="004C5AD1" w:rsidRPr="000051B6">
        <w:t xml:space="preserve"> ranked 241 for Round 17 however is ranked 14 for Round 18</w:t>
      </w:r>
      <w:r w:rsidR="003B0D08" w:rsidRPr="000051B6">
        <w:t>.  T</w:t>
      </w:r>
      <w:r w:rsidR="004C5AD1" w:rsidRPr="000051B6">
        <w:t>he reason for this is that the data quality has improved</w:t>
      </w:r>
      <w:r w:rsidR="003B0D08" w:rsidRPr="000051B6">
        <w:t xml:space="preserve"> by participants using feeder data for operating room/specialised procedure suite therefore this AR-DRG is now reflecting a more accurate cost of delivery.</w:t>
      </w:r>
      <w:r w:rsidR="003F7DF9" w:rsidRPr="000051B6">
        <w:rPr>
          <w:highlight w:val="yellow"/>
          <w:lang w:eastAsia="en-AU"/>
        </w:rPr>
        <w:br w:type="page"/>
      </w:r>
    </w:p>
    <w:p w:rsidR="003F7DF9" w:rsidRPr="000051B6" w:rsidRDefault="003F7DF9">
      <w:pPr>
        <w:rPr>
          <w:highlight w:val="yellow"/>
        </w:rPr>
        <w:sectPr w:rsidR="003F7DF9" w:rsidRPr="000051B6" w:rsidSect="009549BC">
          <w:pgSz w:w="11907" w:h="16840" w:code="9"/>
          <w:pgMar w:top="1588" w:right="1843" w:bottom="1418" w:left="1843" w:header="567" w:footer="567" w:gutter="0"/>
          <w:cols w:space="227"/>
          <w:docGrid w:linePitch="360"/>
        </w:sectPr>
      </w:pPr>
    </w:p>
    <w:p w:rsidR="003F7DF9" w:rsidRPr="000051B6" w:rsidRDefault="003F7DF9" w:rsidP="00F91FB9">
      <w:pPr>
        <w:pStyle w:val="Tablesheadings"/>
        <w:spacing w:after="240"/>
        <w:rPr>
          <w:lang w:val="en-AU"/>
        </w:rPr>
      </w:pPr>
      <w:bookmarkStart w:id="181" w:name="_Toc435610617"/>
      <w:r w:rsidRPr="000051B6">
        <w:rPr>
          <w:lang w:val="en-AU"/>
        </w:rPr>
        <w:lastRenderedPageBreak/>
        <w:t>Table 1</w:t>
      </w:r>
      <w:r w:rsidR="00855476" w:rsidRPr="000051B6">
        <w:rPr>
          <w:lang w:val="en-AU"/>
        </w:rPr>
        <w:t>2</w:t>
      </w:r>
      <w:r w:rsidRPr="000051B6">
        <w:rPr>
          <w:lang w:val="en-AU"/>
        </w:rPr>
        <w:tab/>
        <w:t xml:space="preserve">Top 20 AR-DRGs for </w:t>
      </w:r>
      <w:r w:rsidR="00111F19" w:rsidRPr="000051B6">
        <w:rPr>
          <w:lang w:val="en-AU"/>
        </w:rPr>
        <w:t>o</w:t>
      </w:r>
      <w:r w:rsidRPr="000051B6">
        <w:rPr>
          <w:lang w:val="en-AU"/>
        </w:rPr>
        <w:t>perating room/specialised procedure suite cost bucket</w:t>
      </w:r>
      <w:bookmarkEnd w:id="181"/>
    </w:p>
    <w:tbl>
      <w:tblPr>
        <w:tblW w:w="15138" w:type="dxa"/>
        <w:tblLook w:val="04A0" w:firstRow="1" w:lastRow="0" w:firstColumn="1" w:lastColumn="0" w:noHBand="0" w:noVBand="1"/>
        <w:tblCaption w:val="Table 12 Top 20 AR-DRGs for operating room/specialised procedure suite cost bucket"/>
        <w:tblDescription w:val="Table 12 shows the Top 20 AR-DRGs ranked by highest Operating Room and Special Procedure Suites cost bucket. There are separate columns for whether or not the AR-DRG was in the Top 20 in Round 17, its rank in Round 18, the AR-DRG, the AR-DRG’s description, the Operating Room and Special Procedure Suites cost weight, the number of weighted separations, overall cost weight, average length of stay, the percentage of AR-DRG total cost divided into Operating Room and Special Procedure Suites, Critical care, Prosthesis and Miscellaneous, and the Round 17 Operating Room and Special Procedure Suites cost weight. AR-DRGs P62Z and A06C have been circled as they are referred to in the preceding text. At the bottom of the table, for some of the columns are rows for the sub-totals for the top 20 and totals for all AR-DRGs as well as the percentage of the total made up by the top 20."/>
      </w:tblPr>
      <w:tblGrid>
        <w:gridCol w:w="956"/>
        <w:gridCol w:w="771"/>
        <w:gridCol w:w="657"/>
        <w:gridCol w:w="5078"/>
        <w:gridCol w:w="881"/>
        <w:gridCol w:w="1180"/>
        <w:gridCol w:w="939"/>
        <w:gridCol w:w="733"/>
        <w:gridCol w:w="562"/>
        <w:gridCol w:w="826"/>
        <w:gridCol w:w="1080"/>
        <w:gridCol w:w="862"/>
        <w:gridCol w:w="881"/>
      </w:tblGrid>
      <w:tr w:rsidR="00660308" w:rsidRPr="00660308" w:rsidTr="00563ABC">
        <w:trPr>
          <w:trHeight w:val="168"/>
        </w:trPr>
        <w:tc>
          <w:tcPr>
            <w:tcW w:w="956" w:type="dxa"/>
            <w:vMerge w:val="restart"/>
            <w:tcBorders>
              <w:top w:val="single" w:sz="4" w:space="0" w:color="auto"/>
              <w:left w:val="nil"/>
              <w:bottom w:val="single" w:sz="4" w:space="0" w:color="000000"/>
              <w:right w:val="nil"/>
            </w:tcBorders>
            <w:shd w:val="clear" w:color="auto" w:fill="auto"/>
            <w:hideMark/>
          </w:tcPr>
          <w:p w:rsidR="00660308" w:rsidRPr="00660308" w:rsidRDefault="00660308" w:rsidP="00660308">
            <w:pPr>
              <w:jc w:val="center"/>
              <w:rPr>
                <w:b/>
                <w:bCs/>
                <w:snapToGrid/>
                <w:color w:val="A32020"/>
                <w:sz w:val="16"/>
                <w:szCs w:val="16"/>
                <w:lang w:eastAsia="en-AU"/>
              </w:rPr>
            </w:pPr>
            <w:r>
              <w:rPr>
                <w:noProof/>
                <w:snapToGrid/>
                <w:lang w:eastAsia="en-AU"/>
              </w:rPr>
              <mc:AlternateContent>
                <mc:Choice Requires="wps">
                  <w:drawing>
                    <wp:anchor distT="0" distB="0" distL="114300" distR="114300" simplePos="0" relativeHeight="251710464" behindDoc="0" locked="0" layoutInCell="1" allowOverlap="1" wp14:anchorId="24AB1729" wp14:editId="52A44EB8">
                      <wp:simplePos x="0" y="0"/>
                      <wp:positionH relativeFrom="column">
                        <wp:posOffset>92710</wp:posOffset>
                      </wp:positionH>
                      <wp:positionV relativeFrom="paragraph">
                        <wp:posOffset>682625</wp:posOffset>
                      </wp:positionV>
                      <wp:extent cx="1352550" cy="1238250"/>
                      <wp:effectExtent l="0" t="0" r="19050" b="19050"/>
                      <wp:wrapNone/>
                      <wp:docPr id="69" name="Rectangle 69"/>
                      <wp:cNvGraphicFramePr/>
                      <a:graphic xmlns:a="http://schemas.openxmlformats.org/drawingml/2006/main">
                        <a:graphicData uri="http://schemas.microsoft.com/office/word/2010/wordprocessingShape">
                          <wps:wsp>
                            <wps:cNvSpPr/>
                            <wps:spPr bwMode="ltGray">
                              <a:xfrm>
                                <a:off x="0" y="0"/>
                                <a:ext cx="1352550" cy="1238250"/>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o:spid="_x0000_s1026" style="position:absolute;margin-left:7.3pt;margin-top:53.75pt;width:106.5pt;height: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" filled="f" strokecolor="#511010 [1604]" strokeweight="1.75pt"/>
                  </w:pict>
                </mc:Fallback>
              </mc:AlternateContent>
            </w:r>
            <w:r w:rsidRPr="00660308">
              <w:rPr>
                <w:b/>
                <w:bCs/>
                <w:snapToGrid/>
                <w:color w:val="A32020"/>
                <w:sz w:val="16"/>
                <w:szCs w:val="16"/>
                <w:lang w:eastAsia="en-AU"/>
              </w:rPr>
              <w:t>Top 20 Round 17</w:t>
            </w:r>
          </w:p>
        </w:tc>
        <w:tc>
          <w:tcPr>
            <w:tcW w:w="767" w:type="dxa"/>
            <w:vMerge w:val="restart"/>
            <w:tcBorders>
              <w:top w:val="single" w:sz="4" w:space="0" w:color="auto"/>
              <w:left w:val="nil"/>
              <w:bottom w:val="single" w:sz="4" w:space="0" w:color="000000"/>
              <w:right w:val="nil"/>
            </w:tcBorders>
            <w:shd w:val="clear" w:color="auto" w:fill="auto"/>
            <w:hideMark/>
          </w:tcPr>
          <w:p w:rsidR="00660308" w:rsidRPr="00660308" w:rsidRDefault="00660308" w:rsidP="00660308">
            <w:pPr>
              <w:jc w:val="center"/>
              <w:rPr>
                <w:b/>
                <w:bCs/>
                <w:snapToGrid/>
                <w:color w:val="A32020"/>
                <w:sz w:val="16"/>
                <w:szCs w:val="16"/>
                <w:lang w:eastAsia="en-AU"/>
              </w:rPr>
            </w:pPr>
            <w:r w:rsidRPr="00660308">
              <w:rPr>
                <w:b/>
                <w:bCs/>
                <w:snapToGrid/>
                <w:color w:val="A32020"/>
                <w:sz w:val="16"/>
                <w:szCs w:val="16"/>
                <w:lang w:eastAsia="en-AU"/>
              </w:rPr>
              <w:t>Rank Round 18</w:t>
            </w:r>
          </w:p>
        </w:tc>
        <w:tc>
          <w:tcPr>
            <w:tcW w:w="657" w:type="dxa"/>
            <w:vMerge w:val="restart"/>
            <w:tcBorders>
              <w:top w:val="single" w:sz="4" w:space="0" w:color="auto"/>
              <w:left w:val="nil"/>
              <w:bottom w:val="single" w:sz="4" w:space="0" w:color="000000"/>
              <w:right w:val="nil"/>
            </w:tcBorders>
            <w:shd w:val="clear" w:color="auto" w:fill="auto"/>
            <w:hideMark/>
          </w:tcPr>
          <w:p w:rsidR="00660308" w:rsidRPr="00660308" w:rsidRDefault="00660308" w:rsidP="00660308">
            <w:pPr>
              <w:jc w:val="center"/>
              <w:rPr>
                <w:b/>
                <w:bCs/>
                <w:snapToGrid/>
                <w:color w:val="A32020"/>
                <w:sz w:val="16"/>
                <w:szCs w:val="16"/>
                <w:lang w:eastAsia="en-AU"/>
              </w:rPr>
            </w:pPr>
            <w:r w:rsidRPr="00660308">
              <w:rPr>
                <w:b/>
                <w:bCs/>
                <w:snapToGrid/>
                <w:color w:val="A32020"/>
                <w:sz w:val="16"/>
                <w:szCs w:val="16"/>
                <w:lang w:eastAsia="en-AU"/>
              </w:rPr>
              <w:t>AR-DRG</w:t>
            </w:r>
          </w:p>
        </w:tc>
        <w:tc>
          <w:tcPr>
            <w:tcW w:w="5082" w:type="dxa"/>
            <w:vMerge w:val="restart"/>
            <w:tcBorders>
              <w:top w:val="single" w:sz="4" w:space="0" w:color="auto"/>
              <w:left w:val="nil"/>
              <w:bottom w:val="single" w:sz="4" w:space="0" w:color="000000"/>
              <w:right w:val="nil"/>
            </w:tcBorders>
            <w:shd w:val="clear" w:color="auto" w:fill="auto"/>
            <w:hideMark/>
          </w:tcPr>
          <w:p w:rsidR="00660308" w:rsidRPr="00660308" w:rsidRDefault="00660308" w:rsidP="00660308">
            <w:pPr>
              <w:jc w:val="center"/>
              <w:rPr>
                <w:b/>
                <w:bCs/>
                <w:snapToGrid/>
                <w:color w:val="A32020"/>
                <w:sz w:val="16"/>
                <w:szCs w:val="16"/>
                <w:lang w:eastAsia="en-AU"/>
              </w:rPr>
            </w:pPr>
            <w:r w:rsidRPr="00660308">
              <w:rPr>
                <w:b/>
                <w:bCs/>
                <w:snapToGrid/>
                <w:color w:val="A32020"/>
                <w:sz w:val="16"/>
                <w:szCs w:val="16"/>
                <w:lang w:eastAsia="en-AU"/>
              </w:rPr>
              <w:t>AR-DRG Description</w:t>
            </w:r>
          </w:p>
        </w:tc>
        <w:tc>
          <w:tcPr>
            <w:tcW w:w="881" w:type="dxa"/>
            <w:vMerge w:val="restart"/>
            <w:tcBorders>
              <w:top w:val="single" w:sz="4" w:space="0" w:color="auto"/>
              <w:left w:val="nil"/>
              <w:bottom w:val="single" w:sz="4" w:space="0" w:color="000000"/>
              <w:right w:val="nil"/>
            </w:tcBorders>
            <w:shd w:val="clear" w:color="000000" w:fill="F4CACA"/>
            <w:hideMark/>
          </w:tcPr>
          <w:p w:rsidR="00660308" w:rsidRPr="00660308" w:rsidRDefault="00660308" w:rsidP="00660308">
            <w:pPr>
              <w:jc w:val="center"/>
              <w:rPr>
                <w:b/>
                <w:bCs/>
                <w:snapToGrid/>
                <w:color w:val="A32020"/>
                <w:sz w:val="16"/>
                <w:szCs w:val="16"/>
                <w:lang w:eastAsia="en-AU"/>
              </w:rPr>
            </w:pPr>
            <w:r w:rsidRPr="00660308">
              <w:rPr>
                <w:b/>
                <w:bCs/>
                <w:snapToGrid/>
                <w:color w:val="A32020"/>
                <w:sz w:val="16"/>
                <w:szCs w:val="16"/>
                <w:lang w:eastAsia="en-AU"/>
              </w:rPr>
              <w:t>OR and SPS cost weight</w:t>
            </w:r>
            <w:r w:rsidRPr="00660308">
              <w:rPr>
                <w:b/>
                <w:bCs/>
                <w:snapToGrid/>
                <w:color w:val="A32020"/>
                <w:sz w:val="16"/>
                <w:szCs w:val="16"/>
                <w:lang w:eastAsia="en-AU"/>
              </w:rPr>
              <w:br/>
              <w:t>(a)</w:t>
            </w:r>
          </w:p>
        </w:tc>
        <w:tc>
          <w:tcPr>
            <w:tcW w:w="1174" w:type="dxa"/>
            <w:vMerge w:val="restart"/>
            <w:tcBorders>
              <w:top w:val="single" w:sz="4" w:space="0" w:color="auto"/>
              <w:left w:val="nil"/>
              <w:bottom w:val="single" w:sz="4" w:space="0" w:color="000000"/>
              <w:right w:val="nil"/>
            </w:tcBorders>
            <w:shd w:val="clear" w:color="auto" w:fill="auto"/>
            <w:hideMark/>
          </w:tcPr>
          <w:p w:rsidR="00DD1929" w:rsidRDefault="00DD1929" w:rsidP="00660308">
            <w:pPr>
              <w:jc w:val="center"/>
              <w:rPr>
                <w:b/>
                <w:bCs/>
                <w:snapToGrid/>
                <w:color w:val="A32020"/>
                <w:sz w:val="16"/>
                <w:szCs w:val="16"/>
                <w:lang w:eastAsia="en-AU"/>
              </w:rPr>
            </w:pPr>
            <w:r w:rsidRPr="00660308">
              <w:rPr>
                <w:b/>
                <w:bCs/>
                <w:snapToGrid/>
                <w:color w:val="A32020"/>
                <w:sz w:val="16"/>
                <w:szCs w:val="16"/>
                <w:lang w:eastAsia="en-AU"/>
              </w:rPr>
              <w:t xml:space="preserve">No. of </w:t>
            </w:r>
            <w:r>
              <w:rPr>
                <w:b/>
                <w:bCs/>
                <w:snapToGrid/>
                <w:color w:val="A32020"/>
                <w:sz w:val="16"/>
                <w:szCs w:val="16"/>
                <w:lang w:eastAsia="en-AU"/>
              </w:rPr>
              <w:t>population-adjusted</w:t>
            </w:r>
            <w:r w:rsidRPr="00660308">
              <w:rPr>
                <w:b/>
                <w:bCs/>
                <w:snapToGrid/>
                <w:color w:val="A32020"/>
                <w:sz w:val="16"/>
                <w:szCs w:val="16"/>
                <w:lang w:eastAsia="en-AU"/>
              </w:rPr>
              <w:t xml:space="preserve"> seps</w:t>
            </w:r>
          </w:p>
          <w:p w:rsidR="00660308" w:rsidRPr="00660308" w:rsidRDefault="00DD1929" w:rsidP="00660308">
            <w:pPr>
              <w:jc w:val="center"/>
              <w:rPr>
                <w:b/>
                <w:bCs/>
                <w:snapToGrid/>
                <w:color w:val="A32020"/>
                <w:sz w:val="16"/>
                <w:szCs w:val="16"/>
                <w:lang w:eastAsia="en-AU"/>
              </w:rPr>
            </w:pPr>
            <w:r>
              <w:rPr>
                <w:b/>
                <w:bCs/>
                <w:snapToGrid/>
                <w:color w:val="A32020"/>
                <w:sz w:val="16"/>
                <w:szCs w:val="16"/>
                <w:lang w:eastAsia="en-AU"/>
              </w:rPr>
              <w:t>(b)</w:t>
            </w:r>
            <w:r w:rsidRPr="00660308">
              <w:rPr>
                <w:b/>
                <w:bCs/>
                <w:snapToGrid/>
                <w:color w:val="A32020"/>
                <w:sz w:val="16"/>
                <w:szCs w:val="16"/>
                <w:lang w:eastAsia="en-AU"/>
              </w:rPr>
              <w:br/>
            </w:r>
          </w:p>
        </w:tc>
        <w:tc>
          <w:tcPr>
            <w:tcW w:w="939" w:type="dxa"/>
            <w:vMerge w:val="restart"/>
            <w:tcBorders>
              <w:top w:val="single" w:sz="4" w:space="0" w:color="auto"/>
              <w:left w:val="nil"/>
              <w:bottom w:val="single" w:sz="4" w:space="0" w:color="000000"/>
              <w:right w:val="nil"/>
            </w:tcBorders>
            <w:shd w:val="clear" w:color="auto" w:fill="auto"/>
            <w:hideMark/>
          </w:tcPr>
          <w:p w:rsidR="00660308" w:rsidRPr="00660308" w:rsidRDefault="00660308" w:rsidP="00660308">
            <w:pPr>
              <w:jc w:val="center"/>
              <w:rPr>
                <w:b/>
                <w:bCs/>
                <w:snapToGrid/>
                <w:color w:val="A32020"/>
                <w:sz w:val="16"/>
                <w:szCs w:val="16"/>
                <w:lang w:eastAsia="en-AU"/>
              </w:rPr>
            </w:pPr>
            <w:r w:rsidRPr="00660308">
              <w:rPr>
                <w:b/>
                <w:bCs/>
                <w:snapToGrid/>
                <w:color w:val="A32020"/>
                <w:sz w:val="16"/>
                <w:szCs w:val="16"/>
                <w:lang w:eastAsia="en-AU"/>
              </w:rPr>
              <w:t>Overall cost weight</w:t>
            </w:r>
            <w:r w:rsidRPr="00660308">
              <w:rPr>
                <w:b/>
                <w:bCs/>
                <w:snapToGrid/>
                <w:color w:val="A32020"/>
                <w:sz w:val="16"/>
                <w:szCs w:val="16"/>
                <w:lang w:eastAsia="en-AU"/>
              </w:rPr>
              <w:br/>
              <w:t>(c)</w:t>
            </w:r>
          </w:p>
        </w:tc>
        <w:tc>
          <w:tcPr>
            <w:tcW w:w="730" w:type="dxa"/>
            <w:vMerge w:val="restart"/>
            <w:tcBorders>
              <w:top w:val="single" w:sz="4" w:space="0" w:color="auto"/>
              <w:left w:val="nil"/>
              <w:bottom w:val="single" w:sz="4" w:space="0" w:color="000000"/>
              <w:right w:val="single" w:sz="4" w:space="0" w:color="000000"/>
            </w:tcBorders>
            <w:shd w:val="clear" w:color="auto" w:fill="auto"/>
            <w:hideMark/>
          </w:tcPr>
          <w:p w:rsidR="00660308" w:rsidRPr="00660308" w:rsidRDefault="00660308" w:rsidP="00660308">
            <w:pPr>
              <w:jc w:val="center"/>
              <w:rPr>
                <w:b/>
                <w:bCs/>
                <w:snapToGrid/>
                <w:color w:val="A32020"/>
                <w:sz w:val="16"/>
                <w:szCs w:val="16"/>
                <w:lang w:eastAsia="en-AU"/>
              </w:rPr>
            </w:pPr>
            <w:r w:rsidRPr="00660308">
              <w:rPr>
                <w:b/>
                <w:bCs/>
                <w:snapToGrid/>
                <w:color w:val="A32020"/>
                <w:sz w:val="16"/>
                <w:szCs w:val="16"/>
                <w:lang w:eastAsia="en-AU"/>
              </w:rPr>
              <w:t>ALoS (days)</w:t>
            </w:r>
            <w:r w:rsidRPr="00660308">
              <w:rPr>
                <w:b/>
                <w:bCs/>
                <w:snapToGrid/>
                <w:color w:val="A32020"/>
                <w:sz w:val="16"/>
                <w:szCs w:val="16"/>
                <w:lang w:eastAsia="en-AU"/>
              </w:rPr>
              <w:br/>
              <w:t>(e)</w:t>
            </w:r>
          </w:p>
        </w:tc>
        <w:tc>
          <w:tcPr>
            <w:tcW w:w="3071" w:type="dxa"/>
            <w:gridSpan w:val="4"/>
            <w:tcBorders>
              <w:top w:val="single" w:sz="4" w:space="0" w:color="auto"/>
              <w:left w:val="single" w:sz="4" w:space="0" w:color="000000"/>
              <w:bottom w:val="single" w:sz="4" w:space="0" w:color="auto"/>
              <w:right w:val="nil"/>
            </w:tcBorders>
            <w:shd w:val="clear" w:color="auto" w:fill="auto"/>
            <w:noWrap/>
            <w:hideMark/>
          </w:tcPr>
          <w:p w:rsidR="00660308" w:rsidRPr="00660308" w:rsidRDefault="00660308" w:rsidP="00660308">
            <w:pPr>
              <w:jc w:val="center"/>
              <w:rPr>
                <w:b/>
                <w:bCs/>
                <w:snapToGrid/>
                <w:color w:val="A32020"/>
                <w:sz w:val="16"/>
                <w:szCs w:val="16"/>
                <w:lang w:eastAsia="en-AU"/>
              </w:rPr>
            </w:pPr>
            <w:r w:rsidRPr="00660308">
              <w:rPr>
                <w:b/>
                <w:bCs/>
                <w:snapToGrid/>
                <w:color w:val="A32020"/>
                <w:sz w:val="16"/>
                <w:szCs w:val="16"/>
                <w:lang w:eastAsia="en-AU"/>
              </w:rPr>
              <w:t>% of AR-DRG total cost</w:t>
            </w:r>
          </w:p>
        </w:tc>
        <w:tc>
          <w:tcPr>
            <w:tcW w:w="881" w:type="dxa"/>
            <w:vMerge w:val="restart"/>
            <w:tcBorders>
              <w:top w:val="single" w:sz="4" w:space="0" w:color="auto"/>
              <w:left w:val="single" w:sz="4" w:space="0" w:color="auto"/>
              <w:bottom w:val="single" w:sz="4" w:space="0" w:color="000000"/>
              <w:right w:val="nil"/>
            </w:tcBorders>
            <w:shd w:val="clear" w:color="auto" w:fill="auto"/>
            <w:hideMark/>
          </w:tcPr>
          <w:p w:rsidR="00660308" w:rsidRPr="00660308" w:rsidRDefault="00660308" w:rsidP="00660308">
            <w:pPr>
              <w:jc w:val="center"/>
              <w:rPr>
                <w:b/>
                <w:bCs/>
                <w:snapToGrid/>
                <w:color w:val="A32020"/>
                <w:sz w:val="16"/>
                <w:szCs w:val="16"/>
                <w:lang w:eastAsia="en-AU"/>
              </w:rPr>
            </w:pPr>
            <w:r w:rsidRPr="00660308">
              <w:rPr>
                <w:b/>
                <w:bCs/>
                <w:snapToGrid/>
                <w:color w:val="A32020"/>
                <w:sz w:val="16"/>
                <w:szCs w:val="16"/>
                <w:lang w:eastAsia="en-AU"/>
              </w:rPr>
              <w:t>Round 17 OR and SPS cost weight</w:t>
            </w:r>
          </w:p>
        </w:tc>
      </w:tr>
      <w:tr w:rsidR="00660308" w:rsidRPr="00660308" w:rsidTr="00563ABC">
        <w:trPr>
          <w:trHeight w:val="182"/>
        </w:trPr>
        <w:tc>
          <w:tcPr>
            <w:tcW w:w="956" w:type="dxa"/>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767" w:type="dxa"/>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657" w:type="dxa"/>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5082" w:type="dxa"/>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881" w:type="dxa"/>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1174" w:type="dxa"/>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939" w:type="dxa"/>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730" w:type="dxa"/>
            <w:vMerge/>
            <w:tcBorders>
              <w:top w:val="single" w:sz="4" w:space="0" w:color="auto"/>
              <w:left w:val="nil"/>
              <w:bottom w:val="single" w:sz="4" w:space="0" w:color="000000"/>
              <w:right w:val="single" w:sz="4" w:space="0" w:color="000000"/>
            </w:tcBorders>
            <w:vAlign w:val="center"/>
            <w:hideMark/>
          </w:tcPr>
          <w:p w:rsidR="00660308" w:rsidRPr="00660308" w:rsidRDefault="00660308" w:rsidP="00660308">
            <w:pPr>
              <w:rPr>
                <w:b/>
                <w:bCs/>
                <w:snapToGrid/>
                <w:color w:val="A32020"/>
                <w:sz w:val="16"/>
                <w:szCs w:val="16"/>
                <w:lang w:eastAsia="en-AU"/>
              </w:rPr>
            </w:pPr>
          </w:p>
        </w:tc>
        <w:tc>
          <w:tcPr>
            <w:tcW w:w="562" w:type="dxa"/>
            <w:vMerge w:val="restart"/>
            <w:tcBorders>
              <w:top w:val="nil"/>
              <w:left w:val="single" w:sz="4" w:space="0" w:color="000000"/>
              <w:bottom w:val="single" w:sz="4" w:space="0" w:color="000000"/>
              <w:right w:val="nil"/>
            </w:tcBorders>
            <w:shd w:val="clear" w:color="auto" w:fill="auto"/>
            <w:hideMark/>
          </w:tcPr>
          <w:p w:rsidR="00660308" w:rsidRPr="00660308" w:rsidRDefault="00660308" w:rsidP="00660308">
            <w:pPr>
              <w:jc w:val="center"/>
              <w:rPr>
                <w:b/>
                <w:bCs/>
                <w:snapToGrid/>
                <w:color w:val="A32020"/>
                <w:sz w:val="16"/>
                <w:szCs w:val="16"/>
                <w:lang w:eastAsia="en-AU"/>
              </w:rPr>
            </w:pPr>
            <w:r w:rsidRPr="00660308">
              <w:rPr>
                <w:b/>
                <w:bCs/>
                <w:snapToGrid/>
                <w:color w:val="A32020"/>
                <w:sz w:val="16"/>
                <w:szCs w:val="16"/>
                <w:lang w:eastAsia="en-AU"/>
              </w:rPr>
              <w:t>OR and SPS</w:t>
            </w:r>
          </w:p>
        </w:tc>
        <w:tc>
          <w:tcPr>
            <w:tcW w:w="822" w:type="dxa"/>
            <w:vMerge w:val="restart"/>
            <w:tcBorders>
              <w:top w:val="nil"/>
              <w:left w:val="nil"/>
              <w:bottom w:val="single" w:sz="4" w:space="0" w:color="000000"/>
              <w:right w:val="nil"/>
            </w:tcBorders>
            <w:shd w:val="clear" w:color="auto" w:fill="auto"/>
            <w:hideMark/>
          </w:tcPr>
          <w:p w:rsidR="00660308" w:rsidRPr="00660308" w:rsidRDefault="00660308" w:rsidP="00660308">
            <w:pPr>
              <w:jc w:val="center"/>
              <w:rPr>
                <w:b/>
                <w:bCs/>
                <w:snapToGrid/>
                <w:color w:val="A32020"/>
                <w:sz w:val="16"/>
                <w:szCs w:val="16"/>
                <w:lang w:eastAsia="en-AU"/>
              </w:rPr>
            </w:pPr>
            <w:r w:rsidRPr="00660308">
              <w:rPr>
                <w:b/>
                <w:bCs/>
                <w:snapToGrid/>
                <w:color w:val="A32020"/>
                <w:sz w:val="16"/>
                <w:szCs w:val="16"/>
                <w:lang w:eastAsia="en-AU"/>
              </w:rPr>
              <w:t>Critical care</w:t>
            </w:r>
          </w:p>
        </w:tc>
        <w:tc>
          <w:tcPr>
            <w:tcW w:w="825" w:type="dxa"/>
            <w:vMerge w:val="restart"/>
            <w:tcBorders>
              <w:top w:val="nil"/>
              <w:left w:val="nil"/>
              <w:bottom w:val="single" w:sz="4" w:space="0" w:color="000000"/>
              <w:right w:val="nil"/>
            </w:tcBorders>
            <w:shd w:val="clear" w:color="auto" w:fill="auto"/>
            <w:hideMark/>
          </w:tcPr>
          <w:p w:rsidR="00660308" w:rsidRPr="00660308" w:rsidRDefault="00660308" w:rsidP="00805489">
            <w:pPr>
              <w:jc w:val="center"/>
              <w:rPr>
                <w:b/>
                <w:bCs/>
                <w:snapToGrid/>
                <w:color w:val="A32020"/>
                <w:sz w:val="16"/>
                <w:szCs w:val="16"/>
                <w:lang w:eastAsia="en-AU"/>
              </w:rPr>
            </w:pPr>
            <w:r w:rsidRPr="00660308">
              <w:rPr>
                <w:b/>
                <w:bCs/>
                <w:snapToGrid/>
                <w:color w:val="A32020"/>
                <w:sz w:val="16"/>
                <w:szCs w:val="16"/>
                <w:lang w:eastAsia="en-AU"/>
              </w:rPr>
              <w:t>Prosthesis</w:t>
            </w:r>
          </w:p>
        </w:tc>
        <w:tc>
          <w:tcPr>
            <w:tcW w:w="862" w:type="dxa"/>
            <w:vMerge w:val="restart"/>
            <w:tcBorders>
              <w:top w:val="nil"/>
              <w:left w:val="nil"/>
              <w:bottom w:val="single" w:sz="4" w:space="0" w:color="000000"/>
              <w:right w:val="nil"/>
            </w:tcBorders>
            <w:shd w:val="clear" w:color="auto" w:fill="auto"/>
            <w:hideMark/>
          </w:tcPr>
          <w:p w:rsidR="00660308" w:rsidRPr="00660308" w:rsidRDefault="00805489" w:rsidP="00805489">
            <w:pPr>
              <w:jc w:val="center"/>
              <w:rPr>
                <w:b/>
                <w:bCs/>
                <w:snapToGrid/>
                <w:color w:val="A32020"/>
                <w:sz w:val="16"/>
                <w:szCs w:val="16"/>
                <w:lang w:eastAsia="en-AU"/>
              </w:rPr>
            </w:pPr>
            <w:r>
              <w:rPr>
                <w:b/>
                <w:bCs/>
                <w:snapToGrid/>
                <w:color w:val="A32020"/>
                <w:sz w:val="16"/>
                <w:szCs w:val="16"/>
                <w:lang w:eastAsia="en-AU"/>
              </w:rPr>
              <w:t>Misc.</w:t>
            </w:r>
            <w:r w:rsidR="00660308" w:rsidRPr="00660308">
              <w:rPr>
                <w:b/>
                <w:bCs/>
                <w:snapToGrid/>
                <w:color w:val="A32020"/>
                <w:sz w:val="16"/>
                <w:szCs w:val="16"/>
                <w:lang w:eastAsia="en-AU"/>
              </w:rPr>
              <w:t xml:space="preserve"> </w:t>
            </w:r>
          </w:p>
        </w:tc>
        <w:tc>
          <w:tcPr>
            <w:tcW w:w="881" w:type="dxa"/>
            <w:vMerge/>
            <w:tcBorders>
              <w:top w:val="single" w:sz="4" w:space="0" w:color="auto"/>
              <w:left w:val="single" w:sz="4" w:space="0" w:color="auto"/>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r>
      <w:tr w:rsidR="00660308" w:rsidRPr="00660308" w:rsidTr="00563ABC">
        <w:trPr>
          <w:trHeight w:val="182"/>
        </w:trPr>
        <w:tc>
          <w:tcPr>
            <w:tcW w:w="956" w:type="dxa"/>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767" w:type="dxa"/>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657" w:type="dxa"/>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5082" w:type="dxa"/>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881" w:type="dxa"/>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1174" w:type="dxa"/>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939" w:type="dxa"/>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730" w:type="dxa"/>
            <w:vMerge/>
            <w:tcBorders>
              <w:top w:val="single" w:sz="4" w:space="0" w:color="auto"/>
              <w:left w:val="nil"/>
              <w:bottom w:val="single" w:sz="4" w:space="0" w:color="000000"/>
              <w:right w:val="single" w:sz="4" w:space="0" w:color="000000"/>
            </w:tcBorders>
            <w:vAlign w:val="center"/>
            <w:hideMark/>
          </w:tcPr>
          <w:p w:rsidR="00660308" w:rsidRPr="00660308" w:rsidRDefault="00660308" w:rsidP="00660308">
            <w:pPr>
              <w:rPr>
                <w:b/>
                <w:bCs/>
                <w:snapToGrid/>
                <w:color w:val="A32020"/>
                <w:sz w:val="16"/>
                <w:szCs w:val="16"/>
                <w:lang w:eastAsia="en-AU"/>
              </w:rPr>
            </w:pPr>
          </w:p>
        </w:tc>
        <w:tc>
          <w:tcPr>
            <w:tcW w:w="562" w:type="dxa"/>
            <w:vMerge/>
            <w:tcBorders>
              <w:top w:val="nil"/>
              <w:left w:val="single" w:sz="4" w:space="0" w:color="000000"/>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822" w:type="dxa"/>
            <w:vMerge/>
            <w:tcBorders>
              <w:top w:val="nil"/>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825" w:type="dxa"/>
            <w:vMerge/>
            <w:tcBorders>
              <w:top w:val="nil"/>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862" w:type="dxa"/>
            <w:vMerge/>
            <w:tcBorders>
              <w:top w:val="nil"/>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881" w:type="dxa"/>
            <w:vMerge/>
            <w:tcBorders>
              <w:top w:val="single" w:sz="4" w:space="0" w:color="auto"/>
              <w:left w:val="single" w:sz="4" w:space="0" w:color="auto"/>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r>
      <w:tr w:rsidR="00660308" w:rsidRPr="00660308" w:rsidTr="00563ABC">
        <w:trPr>
          <w:trHeight w:val="182"/>
        </w:trPr>
        <w:tc>
          <w:tcPr>
            <w:tcW w:w="956" w:type="dxa"/>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767" w:type="dxa"/>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657" w:type="dxa"/>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5082" w:type="dxa"/>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881" w:type="dxa"/>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1174" w:type="dxa"/>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939" w:type="dxa"/>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730" w:type="dxa"/>
            <w:vMerge/>
            <w:tcBorders>
              <w:top w:val="single" w:sz="4" w:space="0" w:color="auto"/>
              <w:left w:val="nil"/>
              <w:bottom w:val="single" w:sz="4" w:space="0" w:color="000000"/>
              <w:right w:val="single" w:sz="4" w:space="0" w:color="000000"/>
            </w:tcBorders>
            <w:vAlign w:val="center"/>
            <w:hideMark/>
          </w:tcPr>
          <w:p w:rsidR="00660308" w:rsidRPr="00660308" w:rsidRDefault="00660308" w:rsidP="00660308">
            <w:pPr>
              <w:rPr>
                <w:b/>
                <w:bCs/>
                <w:snapToGrid/>
                <w:color w:val="A32020"/>
                <w:sz w:val="16"/>
                <w:szCs w:val="16"/>
                <w:lang w:eastAsia="en-AU"/>
              </w:rPr>
            </w:pPr>
          </w:p>
        </w:tc>
        <w:tc>
          <w:tcPr>
            <w:tcW w:w="562" w:type="dxa"/>
            <w:vMerge/>
            <w:tcBorders>
              <w:top w:val="nil"/>
              <w:left w:val="single" w:sz="4" w:space="0" w:color="000000"/>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822" w:type="dxa"/>
            <w:vMerge/>
            <w:tcBorders>
              <w:top w:val="nil"/>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825" w:type="dxa"/>
            <w:vMerge/>
            <w:tcBorders>
              <w:top w:val="nil"/>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862" w:type="dxa"/>
            <w:vMerge/>
            <w:tcBorders>
              <w:top w:val="nil"/>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881" w:type="dxa"/>
            <w:vMerge/>
            <w:tcBorders>
              <w:top w:val="single" w:sz="4" w:space="0" w:color="auto"/>
              <w:left w:val="single" w:sz="4" w:space="0" w:color="auto"/>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r>
      <w:tr w:rsidR="00660308" w:rsidRPr="00660308" w:rsidTr="00563ABC">
        <w:trPr>
          <w:trHeight w:val="168"/>
        </w:trPr>
        <w:tc>
          <w:tcPr>
            <w:tcW w:w="956"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767"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1</w:t>
            </w:r>
          </w:p>
        </w:tc>
        <w:tc>
          <w:tcPr>
            <w:tcW w:w="657" w:type="dxa"/>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J01A</w:t>
            </w:r>
          </w:p>
        </w:tc>
        <w:tc>
          <w:tcPr>
            <w:tcW w:w="5082" w:type="dxa"/>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Microvas Tiss Transf for Skin, Subcutaneous Tiss &amp; Breast Disd W Cat/Sev CC</w:t>
            </w:r>
          </w:p>
        </w:tc>
        <w:tc>
          <w:tcPr>
            <w:tcW w:w="881" w:type="dxa"/>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3.48</w:t>
            </w:r>
          </w:p>
        </w:tc>
        <w:tc>
          <w:tcPr>
            <w:tcW w:w="1174"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104</w:t>
            </w:r>
          </w:p>
        </w:tc>
        <w:tc>
          <w:tcPr>
            <w:tcW w:w="939"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8.75</w:t>
            </w:r>
          </w:p>
        </w:tc>
        <w:tc>
          <w:tcPr>
            <w:tcW w:w="730"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12.8</w:t>
            </w:r>
          </w:p>
        </w:tc>
        <w:tc>
          <w:tcPr>
            <w:tcW w:w="562" w:type="dxa"/>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40%</w:t>
            </w:r>
          </w:p>
        </w:tc>
        <w:tc>
          <w:tcPr>
            <w:tcW w:w="82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12%</w:t>
            </w:r>
          </w:p>
        </w:tc>
        <w:tc>
          <w:tcPr>
            <w:tcW w:w="825"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8%</w:t>
            </w:r>
          </w:p>
        </w:tc>
        <w:tc>
          <w:tcPr>
            <w:tcW w:w="86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41%</w:t>
            </w:r>
          </w:p>
        </w:tc>
        <w:tc>
          <w:tcPr>
            <w:tcW w:w="881" w:type="dxa"/>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2.52</w:t>
            </w:r>
          </w:p>
        </w:tc>
      </w:tr>
      <w:tr w:rsidR="00660308" w:rsidRPr="00660308" w:rsidTr="00563ABC">
        <w:trPr>
          <w:trHeight w:val="168"/>
        </w:trPr>
        <w:tc>
          <w:tcPr>
            <w:tcW w:w="956"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767"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2</w:t>
            </w:r>
          </w:p>
        </w:tc>
        <w:tc>
          <w:tcPr>
            <w:tcW w:w="657" w:type="dxa"/>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J01B</w:t>
            </w:r>
          </w:p>
        </w:tc>
        <w:tc>
          <w:tcPr>
            <w:tcW w:w="5082" w:type="dxa"/>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Microvas Tiss Transf for Skin, Subcutaneous Tiss &amp; Breast Disd W/O Cat/Sev CC</w:t>
            </w:r>
          </w:p>
        </w:tc>
        <w:tc>
          <w:tcPr>
            <w:tcW w:w="881" w:type="dxa"/>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2.46</w:t>
            </w:r>
          </w:p>
        </w:tc>
        <w:tc>
          <w:tcPr>
            <w:tcW w:w="1174"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235</w:t>
            </w:r>
          </w:p>
        </w:tc>
        <w:tc>
          <w:tcPr>
            <w:tcW w:w="939"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5.86</w:t>
            </w:r>
          </w:p>
        </w:tc>
        <w:tc>
          <w:tcPr>
            <w:tcW w:w="730"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8.2</w:t>
            </w:r>
          </w:p>
        </w:tc>
        <w:tc>
          <w:tcPr>
            <w:tcW w:w="562" w:type="dxa"/>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42%</w:t>
            </w:r>
          </w:p>
        </w:tc>
        <w:tc>
          <w:tcPr>
            <w:tcW w:w="82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7%</w:t>
            </w:r>
          </w:p>
        </w:tc>
        <w:tc>
          <w:tcPr>
            <w:tcW w:w="825"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8%</w:t>
            </w:r>
          </w:p>
        </w:tc>
        <w:tc>
          <w:tcPr>
            <w:tcW w:w="86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42%</w:t>
            </w:r>
          </w:p>
        </w:tc>
        <w:tc>
          <w:tcPr>
            <w:tcW w:w="881" w:type="dxa"/>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2.18</w:t>
            </w:r>
          </w:p>
        </w:tc>
      </w:tr>
      <w:tr w:rsidR="00660308" w:rsidRPr="00660308" w:rsidTr="00563ABC">
        <w:trPr>
          <w:trHeight w:val="168"/>
        </w:trPr>
        <w:tc>
          <w:tcPr>
            <w:tcW w:w="956"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767"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3</w:t>
            </w:r>
          </w:p>
        </w:tc>
        <w:tc>
          <w:tcPr>
            <w:tcW w:w="657" w:type="dxa"/>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F03A</w:t>
            </w:r>
          </w:p>
        </w:tc>
        <w:tc>
          <w:tcPr>
            <w:tcW w:w="5082" w:type="dxa"/>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Cardiac Valve Proc W CPB Pump W Invasive Cardiac Investigation W Cat CC</w:t>
            </w:r>
          </w:p>
        </w:tc>
        <w:tc>
          <w:tcPr>
            <w:tcW w:w="881" w:type="dxa"/>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2.37</w:t>
            </w:r>
          </w:p>
        </w:tc>
        <w:tc>
          <w:tcPr>
            <w:tcW w:w="1174"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400</w:t>
            </w:r>
          </w:p>
        </w:tc>
        <w:tc>
          <w:tcPr>
            <w:tcW w:w="939"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16.11</w:t>
            </w:r>
          </w:p>
        </w:tc>
        <w:tc>
          <w:tcPr>
            <w:tcW w:w="730"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19.0</w:t>
            </w:r>
          </w:p>
        </w:tc>
        <w:tc>
          <w:tcPr>
            <w:tcW w:w="562" w:type="dxa"/>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15%</w:t>
            </w:r>
          </w:p>
        </w:tc>
        <w:tc>
          <w:tcPr>
            <w:tcW w:w="82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24%</w:t>
            </w:r>
          </w:p>
        </w:tc>
        <w:tc>
          <w:tcPr>
            <w:tcW w:w="825"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26%</w:t>
            </w:r>
          </w:p>
        </w:tc>
        <w:tc>
          <w:tcPr>
            <w:tcW w:w="86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35%</w:t>
            </w:r>
          </w:p>
        </w:tc>
        <w:tc>
          <w:tcPr>
            <w:tcW w:w="881" w:type="dxa"/>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1.58</w:t>
            </w:r>
          </w:p>
        </w:tc>
      </w:tr>
      <w:tr w:rsidR="00660308" w:rsidRPr="00660308" w:rsidTr="00563ABC">
        <w:trPr>
          <w:trHeight w:val="168"/>
        </w:trPr>
        <w:tc>
          <w:tcPr>
            <w:tcW w:w="956"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767"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4</w:t>
            </w:r>
          </w:p>
        </w:tc>
        <w:tc>
          <w:tcPr>
            <w:tcW w:w="657" w:type="dxa"/>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F05A</w:t>
            </w:r>
          </w:p>
        </w:tc>
        <w:tc>
          <w:tcPr>
            <w:tcW w:w="5082" w:type="dxa"/>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Coronary Bypass W Invasive Cardiac Investigation W Reoperation or W Cat CC</w:t>
            </w:r>
          </w:p>
        </w:tc>
        <w:tc>
          <w:tcPr>
            <w:tcW w:w="881" w:type="dxa"/>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2.12</w:t>
            </w:r>
          </w:p>
        </w:tc>
        <w:tc>
          <w:tcPr>
            <w:tcW w:w="1174"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696</w:t>
            </w:r>
          </w:p>
        </w:tc>
        <w:tc>
          <w:tcPr>
            <w:tcW w:w="939"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12.80</w:t>
            </w:r>
          </w:p>
        </w:tc>
        <w:tc>
          <w:tcPr>
            <w:tcW w:w="730"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16.0</w:t>
            </w:r>
          </w:p>
        </w:tc>
        <w:tc>
          <w:tcPr>
            <w:tcW w:w="562" w:type="dxa"/>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17%</w:t>
            </w:r>
          </w:p>
        </w:tc>
        <w:tc>
          <w:tcPr>
            <w:tcW w:w="82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34%</w:t>
            </w:r>
          </w:p>
        </w:tc>
        <w:tc>
          <w:tcPr>
            <w:tcW w:w="825"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14%</w:t>
            </w:r>
          </w:p>
        </w:tc>
        <w:tc>
          <w:tcPr>
            <w:tcW w:w="86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36%</w:t>
            </w:r>
          </w:p>
        </w:tc>
        <w:tc>
          <w:tcPr>
            <w:tcW w:w="881" w:type="dxa"/>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1.43</w:t>
            </w:r>
          </w:p>
        </w:tc>
      </w:tr>
      <w:tr w:rsidR="00660308" w:rsidRPr="00660308" w:rsidTr="00563ABC">
        <w:trPr>
          <w:trHeight w:val="168"/>
        </w:trPr>
        <w:tc>
          <w:tcPr>
            <w:tcW w:w="956"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767"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5</w:t>
            </w:r>
          </w:p>
        </w:tc>
        <w:tc>
          <w:tcPr>
            <w:tcW w:w="657" w:type="dxa"/>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A06A</w:t>
            </w:r>
          </w:p>
        </w:tc>
        <w:tc>
          <w:tcPr>
            <w:tcW w:w="5082" w:type="dxa"/>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Tracheostomy W Ventilation &gt;95 hours W Catastrophic CC</w:t>
            </w:r>
          </w:p>
        </w:tc>
        <w:tc>
          <w:tcPr>
            <w:tcW w:w="881" w:type="dxa"/>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2.12</w:t>
            </w:r>
          </w:p>
        </w:tc>
        <w:tc>
          <w:tcPr>
            <w:tcW w:w="1174"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206</w:t>
            </w:r>
          </w:p>
        </w:tc>
        <w:tc>
          <w:tcPr>
            <w:tcW w:w="939"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45.16</w:t>
            </w:r>
          </w:p>
        </w:tc>
        <w:tc>
          <w:tcPr>
            <w:tcW w:w="730"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52.3</w:t>
            </w:r>
          </w:p>
        </w:tc>
        <w:tc>
          <w:tcPr>
            <w:tcW w:w="562" w:type="dxa"/>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w:t>
            </w:r>
          </w:p>
        </w:tc>
        <w:tc>
          <w:tcPr>
            <w:tcW w:w="82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47%</w:t>
            </w:r>
          </w:p>
        </w:tc>
        <w:tc>
          <w:tcPr>
            <w:tcW w:w="825"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16%</w:t>
            </w:r>
          </w:p>
        </w:tc>
        <w:tc>
          <w:tcPr>
            <w:tcW w:w="86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33%</w:t>
            </w:r>
          </w:p>
        </w:tc>
        <w:tc>
          <w:tcPr>
            <w:tcW w:w="881" w:type="dxa"/>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1.81</w:t>
            </w:r>
          </w:p>
        </w:tc>
      </w:tr>
      <w:tr w:rsidR="00660308" w:rsidRPr="00660308" w:rsidTr="00563ABC">
        <w:trPr>
          <w:trHeight w:val="168"/>
        </w:trPr>
        <w:tc>
          <w:tcPr>
            <w:tcW w:w="956"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767"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6</w:t>
            </w:r>
          </w:p>
        </w:tc>
        <w:tc>
          <w:tcPr>
            <w:tcW w:w="657" w:type="dxa"/>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F07A</w:t>
            </w:r>
          </w:p>
        </w:tc>
        <w:tc>
          <w:tcPr>
            <w:tcW w:w="5082" w:type="dxa"/>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Other Cardiothoracic/Vascular Procedures W CPB Pump W Catastrophic CC</w:t>
            </w:r>
          </w:p>
        </w:tc>
        <w:tc>
          <w:tcPr>
            <w:tcW w:w="881" w:type="dxa"/>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2.12</w:t>
            </w:r>
          </w:p>
        </w:tc>
        <w:tc>
          <w:tcPr>
            <w:tcW w:w="1174"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235</w:t>
            </w:r>
          </w:p>
        </w:tc>
        <w:tc>
          <w:tcPr>
            <w:tcW w:w="939"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10.88</w:t>
            </w:r>
          </w:p>
        </w:tc>
        <w:tc>
          <w:tcPr>
            <w:tcW w:w="730"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12.0</w:t>
            </w:r>
          </w:p>
        </w:tc>
        <w:tc>
          <w:tcPr>
            <w:tcW w:w="562" w:type="dxa"/>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19%</w:t>
            </w:r>
          </w:p>
        </w:tc>
        <w:tc>
          <w:tcPr>
            <w:tcW w:w="82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30%</w:t>
            </w:r>
          </w:p>
        </w:tc>
        <w:tc>
          <w:tcPr>
            <w:tcW w:w="825"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16%</w:t>
            </w:r>
          </w:p>
        </w:tc>
        <w:tc>
          <w:tcPr>
            <w:tcW w:w="86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35%</w:t>
            </w:r>
          </w:p>
        </w:tc>
        <w:tc>
          <w:tcPr>
            <w:tcW w:w="881" w:type="dxa"/>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1.94</w:t>
            </w:r>
          </w:p>
        </w:tc>
      </w:tr>
      <w:tr w:rsidR="00660308" w:rsidRPr="00660308" w:rsidTr="00563ABC">
        <w:trPr>
          <w:trHeight w:val="168"/>
        </w:trPr>
        <w:tc>
          <w:tcPr>
            <w:tcW w:w="956"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767"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7</w:t>
            </w:r>
          </w:p>
        </w:tc>
        <w:tc>
          <w:tcPr>
            <w:tcW w:w="657" w:type="dxa"/>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F03B</w:t>
            </w:r>
          </w:p>
        </w:tc>
        <w:tc>
          <w:tcPr>
            <w:tcW w:w="5082" w:type="dxa"/>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Cardiac Valve Proc W CPB Pump W Invasive Cardiac Investigation W/O Cat CC</w:t>
            </w:r>
          </w:p>
        </w:tc>
        <w:tc>
          <w:tcPr>
            <w:tcW w:w="881" w:type="dxa"/>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2.02</w:t>
            </w:r>
          </w:p>
        </w:tc>
        <w:tc>
          <w:tcPr>
            <w:tcW w:w="1174"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217</w:t>
            </w:r>
          </w:p>
        </w:tc>
        <w:tc>
          <w:tcPr>
            <w:tcW w:w="939"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11.42</w:t>
            </w:r>
          </w:p>
        </w:tc>
        <w:tc>
          <w:tcPr>
            <w:tcW w:w="730"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10.8</w:t>
            </w:r>
          </w:p>
        </w:tc>
        <w:tc>
          <w:tcPr>
            <w:tcW w:w="562" w:type="dxa"/>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18%</w:t>
            </w:r>
          </w:p>
        </w:tc>
        <w:tc>
          <w:tcPr>
            <w:tcW w:w="82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21%</w:t>
            </w:r>
          </w:p>
        </w:tc>
        <w:tc>
          <w:tcPr>
            <w:tcW w:w="825"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31%</w:t>
            </w:r>
          </w:p>
        </w:tc>
        <w:tc>
          <w:tcPr>
            <w:tcW w:w="86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30%</w:t>
            </w:r>
          </w:p>
        </w:tc>
        <w:tc>
          <w:tcPr>
            <w:tcW w:w="881" w:type="dxa"/>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1.39</w:t>
            </w:r>
          </w:p>
        </w:tc>
      </w:tr>
      <w:tr w:rsidR="00660308" w:rsidRPr="00660308" w:rsidTr="00563ABC">
        <w:trPr>
          <w:trHeight w:val="168"/>
        </w:trPr>
        <w:tc>
          <w:tcPr>
            <w:tcW w:w="956"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767"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8</w:t>
            </w:r>
          </w:p>
        </w:tc>
        <w:tc>
          <w:tcPr>
            <w:tcW w:w="657" w:type="dxa"/>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F04A</w:t>
            </w:r>
          </w:p>
        </w:tc>
        <w:tc>
          <w:tcPr>
            <w:tcW w:w="5082" w:type="dxa"/>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Cardiac Valve Proc W CPB Pump W/O Invasive Cardiac Inves W Cat CC</w:t>
            </w:r>
          </w:p>
        </w:tc>
        <w:tc>
          <w:tcPr>
            <w:tcW w:w="881" w:type="dxa"/>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1.95</w:t>
            </w:r>
          </w:p>
        </w:tc>
        <w:tc>
          <w:tcPr>
            <w:tcW w:w="1174"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2,014</w:t>
            </w:r>
          </w:p>
        </w:tc>
        <w:tc>
          <w:tcPr>
            <w:tcW w:w="939"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12.86</w:t>
            </w:r>
          </w:p>
        </w:tc>
        <w:tc>
          <w:tcPr>
            <w:tcW w:w="730"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13.4</w:t>
            </w:r>
          </w:p>
        </w:tc>
        <w:tc>
          <w:tcPr>
            <w:tcW w:w="562" w:type="dxa"/>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15%</w:t>
            </w:r>
          </w:p>
        </w:tc>
        <w:tc>
          <w:tcPr>
            <w:tcW w:w="82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25%</w:t>
            </w:r>
          </w:p>
        </w:tc>
        <w:tc>
          <w:tcPr>
            <w:tcW w:w="825"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27%</w:t>
            </w:r>
          </w:p>
        </w:tc>
        <w:tc>
          <w:tcPr>
            <w:tcW w:w="86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33%</w:t>
            </w:r>
          </w:p>
        </w:tc>
        <w:tc>
          <w:tcPr>
            <w:tcW w:w="881" w:type="dxa"/>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1.56</w:t>
            </w:r>
          </w:p>
        </w:tc>
      </w:tr>
      <w:tr w:rsidR="00660308" w:rsidRPr="00660308" w:rsidTr="00563ABC">
        <w:trPr>
          <w:trHeight w:val="168"/>
        </w:trPr>
        <w:tc>
          <w:tcPr>
            <w:tcW w:w="956"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767"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9</w:t>
            </w:r>
          </w:p>
        </w:tc>
        <w:tc>
          <w:tcPr>
            <w:tcW w:w="657" w:type="dxa"/>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I06Z</w:t>
            </w:r>
          </w:p>
        </w:tc>
        <w:tc>
          <w:tcPr>
            <w:tcW w:w="5082" w:type="dxa"/>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Spinal Fusion W Deformity</w:t>
            </w:r>
          </w:p>
        </w:tc>
        <w:tc>
          <w:tcPr>
            <w:tcW w:w="881" w:type="dxa"/>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1.91</w:t>
            </w:r>
          </w:p>
        </w:tc>
        <w:tc>
          <w:tcPr>
            <w:tcW w:w="1174"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822</w:t>
            </w:r>
          </w:p>
        </w:tc>
        <w:tc>
          <w:tcPr>
            <w:tcW w:w="939"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14.72</w:t>
            </w:r>
          </w:p>
        </w:tc>
        <w:tc>
          <w:tcPr>
            <w:tcW w:w="730"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9.7</w:t>
            </w:r>
          </w:p>
        </w:tc>
        <w:tc>
          <w:tcPr>
            <w:tcW w:w="562" w:type="dxa"/>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13%</w:t>
            </w:r>
          </w:p>
        </w:tc>
        <w:tc>
          <w:tcPr>
            <w:tcW w:w="82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6%</w:t>
            </w:r>
          </w:p>
        </w:tc>
        <w:tc>
          <w:tcPr>
            <w:tcW w:w="825"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57%</w:t>
            </w:r>
          </w:p>
        </w:tc>
        <w:tc>
          <w:tcPr>
            <w:tcW w:w="86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23%</w:t>
            </w:r>
          </w:p>
        </w:tc>
        <w:tc>
          <w:tcPr>
            <w:tcW w:w="881" w:type="dxa"/>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1.97</w:t>
            </w:r>
          </w:p>
        </w:tc>
      </w:tr>
      <w:tr w:rsidR="00660308" w:rsidRPr="00660308" w:rsidTr="00563ABC">
        <w:trPr>
          <w:trHeight w:val="168"/>
        </w:trPr>
        <w:tc>
          <w:tcPr>
            <w:tcW w:w="956"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No</w:t>
            </w:r>
          </w:p>
        </w:tc>
        <w:tc>
          <w:tcPr>
            <w:tcW w:w="767"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10</w:t>
            </w:r>
          </w:p>
        </w:tc>
        <w:tc>
          <w:tcPr>
            <w:tcW w:w="657" w:type="dxa"/>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F05B</w:t>
            </w:r>
          </w:p>
        </w:tc>
        <w:tc>
          <w:tcPr>
            <w:tcW w:w="5082" w:type="dxa"/>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Coronary Bypass W Invasive Cardiac Investigation W/O Reoperation W/O Cat CC</w:t>
            </w:r>
          </w:p>
        </w:tc>
        <w:tc>
          <w:tcPr>
            <w:tcW w:w="881" w:type="dxa"/>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1.84</w:t>
            </w:r>
          </w:p>
        </w:tc>
        <w:tc>
          <w:tcPr>
            <w:tcW w:w="1174"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476</w:t>
            </w:r>
          </w:p>
        </w:tc>
        <w:tc>
          <w:tcPr>
            <w:tcW w:w="939"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9.29</w:t>
            </w:r>
          </w:p>
        </w:tc>
        <w:tc>
          <w:tcPr>
            <w:tcW w:w="730"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11.8</w:t>
            </w:r>
          </w:p>
        </w:tc>
        <w:tc>
          <w:tcPr>
            <w:tcW w:w="562" w:type="dxa"/>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20%</w:t>
            </w:r>
          </w:p>
        </w:tc>
        <w:tc>
          <w:tcPr>
            <w:tcW w:w="82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31%</w:t>
            </w:r>
          </w:p>
        </w:tc>
        <w:tc>
          <w:tcPr>
            <w:tcW w:w="825"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12%</w:t>
            </w:r>
          </w:p>
        </w:tc>
        <w:tc>
          <w:tcPr>
            <w:tcW w:w="86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37%</w:t>
            </w:r>
          </w:p>
        </w:tc>
        <w:tc>
          <w:tcPr>
            <w:tcW w:w="881" w:type="dxa"/>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1.33</w:t>
            </w:r>
          </w:p>
        </w:tc>
      </w:tr>
      <w:tr w:rsidR="00660308" w:rsidRPr="00660308" w:rsidTr="00563ABC">
        <w:trPr>
          <w:trHeight w:val="168"/>
        </w:trPr>
        <w:tc>
          <w:tcPr>
            <w:tcW w:w="956"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767"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11</w:t>
            </w:r>
          </w:p>
        </w:tc>
        <w:tc>
          <w:tcPr>
            <w:tcW w:w="657" w:type="dxa"/>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F07B</w:t>
            </w:r>
          </w:p>
        </w:tc>
        <w:tc>
          <w:tcPr>
            <w:tcW w:w="5082" w:type="dxa"/>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Other Cardiothoracic/Vascular Procedures W CPB Pump W Severe or Moderate CC</w:t>
            </w:r>
          </w:p>
        </w:tc>
        <w:tc>
          <w:tcPr>
            <w:tcW w:w="881" w:type="dxa"/>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1.83</w:t>
            </w:r>
          </w:p>
        </w:tc>
        <w:tc>
          <w:tcPr>
            <w:tcW w:w="1174"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120</w:t>
            </w:r>
          </w:p>
        </w:tc>
        <w:tc>
          <w:tcPr>
            <w:tcW w:w="939"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9.75</w:t>
            </w:r>
          </w:p>
        </w:tc>
        <w:tc>
          <w:tcPr>
            <w:tcW w:w="730"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9.6</w:t>
            </w:r>
          </w:p>
        </w:tc>
        <w:tc>
          <w:tcPr>
            <w:tcW w:w="562" w:type="dxa"/>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19%</w:t>
            </w:r>
          </w:p>
        </w:tc>
        <w:tc>
          <w:tcPr>
            <w:tcW w:w="82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28%</w:t>
            </w:r>
          </w:p>
        </w:tc>
        <w:tc>
          <w:tcPr>
            <w:tcW w:w="825"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20%</w:t>
            </w:r>
          </w:p>
        </w:tc>
        <w:tc>
          <w:tcPr>
            <w:tcW w:w="86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34%</w:t>
            </w:r>
          </w:p>
        </w:tc>
        <w:tc>
          <w:tcPr>
            <w:tcW w:w="881" w:type="dxa"/>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1.77</w:t>
            </w:r>
          </w:p>
        </w:tc>
      </w:tr>
      <w:tr w:rsidR="00660308" w:rsidRPr="00660308" w:rsidTr="00563ABC">
        <w:trPr>
          <w:trHeight w:val="168"/>
        </w:trPr>
        <w:tc>
          <w:tcPr>
            <w:tcW w:w="956"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767"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12</w:t>
            </w:r>
          </w:p>
        </w:tc>
        <w:tc>
          <w:tcPr>
            <w:tcW w:w="657" w:type="dxa"/>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I02A</w:t>
            </w:r>
          </w:p>
        </w:tc>
        <w:tc>
          <w:tcPr>
            <w:tcW w:w="5082" w:type="dxa"/>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Microvascular Tissue Transfer or (Skin Graft W Cat or Sev CC), Excluding Hand</w:t>
            </w:r>
          </w:p>
        </w:tc>
        <w:tc>
          <w:tcPr>
            <w:tcW w:w="881" w:type="dxa"/>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1.81</w:t>
            </w:r>
          </w:p>
        </w:tc>
        <w:tc>
          <w:tcPr>
            <w:tcW w:w="1174"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298</w:t>
            </w:r>
          </w:p>
        </w:tc>
        <w:tc>
          <w:tcPr>
            <w:tcW w:w="939"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9.10</w:t>
            </w:r>
          </w:p>
        </w:tc>
        <w:tc>
          <w:tcPr>
            <w:tcW w:w="730"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23.2</w:t>
            </w:r>
          </w:p>
        </w:tc>
        <w:tc>
          <w:tcPr>
            <w:tcW w:w="562" w:type="dxa"/>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20%</w:t>
            </w:r>
          </w:p>
        </w:tc>
        <w:tc>
          <w:tcPr>
            <w:tcW w:w="82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7%</w:t>
            </w:r>
          </w:p>
        </w:tc>
        <w:tc>
          <w:tcPr>
            <w:tcW w:w="825"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15%</w:t>
            </w:r>
          </w:p>
        </w:tc>
        <w:tc>
          <w:tcPr>
            <w:tcW w:w="86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58%</w:t>
            </w:r>
          </w:p>
        </w:tc>
        <w:tc>
          <w:tcPr>
            <w:tcW w:w="881" w:type="dxa"/>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1.40</w:t>
            </w:r>
          </w:p>
        </w:tc>
      </w:tr>
      <w:tr w:rsidR="00660308" w:rsidRPr="00660308" w:rsidTr="00563ABC">
        <w:trPr>
          <w:trHeight w:val="168"/>
        </w:trPr>
        <w:tc>
          <w:tcPr>
            <w:tcW w:w="956"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Pr>
                <w:noProof/>
                <w:snapToGrid/>
                <w:lang w:eastAsia="en-AU"/>
              </w:rPr>
              <mc:AlternateContent>
                <mc:Choice Requires="wps">
                  <w:drawing>
                    <wp:anchor distT="0" distB="0" distL="114300" distR="114300" simplePos="0" relativeHeight="251712512" behindDoc="0" locked="0" layoutInCell="1" allowOverlap="1" wp14:anchorId="046CC5FC" wp14:editId="5BF3FF8E">
                      <wp:simplePos x="0" y="0"/>
                      <wp:positionH relativeFrom="column">
                        <wp:posOffset>45720</wp:posOffset>
                      </wp:positionH>
                      <wp:positionV relativeFrom="paragraph">
                        <wp:posOffset>235585</wp:posOffset>
                      </wp:positionV>
                      <wp:extent cx="9355455" cy="118110"/>
                      <wp:effectExtent l="0" t="0" r="17145" b="15240"/>
                      <wp:wrapNone/>
                      <wp:docPr id="71" name="Rectangle 71"/>
                      <wp:cNvGraphicFramePr/>
                      <a:graphic xmlns:a="http://schemas.openxmlformats.org/drawingml/2006/main">
                        <a:graphicData uri="http://schemas.microsoft.com/office/word/2010/wordprocessingShape">
                          <wps:wsp>
                            <wps:cNvSpPr/>
                            <wps:spPr bwMode="ltGray">
                              <a:xfrm>
                                <a:off x="0" y="0"/>
                                <a:ext cx="9355455" cy="118110"/>
                              </a:xfrm>
                              <a:prstGeom prst="rect">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26" style="position:absolute;margin-left:3.6pt;margin-top:18.55pt;width:736.65pt;height:9.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" filled="f" strokecolor="#511010 [1604]" strokeweight="1.25pt"/>
                  </w:pict>
                </mc:Fallback>
              </mc:AlternateContent>
            </w:r>
            <w:r w:rsidRPr="00660308">
              <w:rPr>
                <w:snapToGrid/>
                <w:color w:val="000000"/>
                <w:sz w:val="16"/>
                <w:szCs w:val="16"/>
                <w:lang w:eastAsia="en-AU"/>
              </w:rPr>
              <w:t>No</w:t>
            </w:r>
          </w:p>
        </w:tc>
        <w:tc>
          <w:tcPr>
            <w:tcW w:w="767"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13</w:t>
            </w:r>
          </w:p>
        </w:tc>
        <w:tc>
          <w:tcPr>
            <w:tcW w:w="657" w:type="dxa"/>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L03A</w:t>
            </w:r>
          </w:p>
        </w:tc>
        <w:tc>
          <w:tcPr>
            <w:tcW w:w="5082" w:type="dxa"/>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Kidney, Ureter and Major Bladder Procedures for Neoplasm W Catastrophic CC</w:t>
            </w:r>
          </w:p>
        </w:tc>
        <w:tc>
          <w:tcPr>
            <w:tcW w:w="881" w:type="dxa"/>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1.79</w:t>
            </w:r>
          </w:p>
        </w:tc>
        <w:tc>
          <w:tcPr>
            <w:tcW w:w="1174"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548</w:t>
            </w:r>
          </w:p>
        </w:tc>
        <w:tc>
          <w:tcPr>
            <w:tcW w:w="939"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7.64</w:t>
            </w:r>
          </w:p>
        </w:tc>
        <w:tc>
          <w:tcPr>
            <w:tcW w:w="730"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13.7</w:t>
            </w:r>
          </w:p>
        </w:tc>
        <w:tc>
          <w:tcPr>
            <w:tcW w:w="562" w:type="dxa"/>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23%</w:t>
            </w:r>
          </w:p>
        </w:tc>
        <w:tc>
          <w:tcPr>
            <w:tcW w:w="82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23%</w:t>
            </w:r>
          </w:p>
        </w:tc>
        <w:tc>
          <w:tcPr>
            <w:tcW w:w="825"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10%</w:t>
            </w:r>
          </w:p>
        </w:tc>
        <w:tc>
          <w:tcPr>
            <w:tcW w:w="86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44%</w:t>
            </w:r>
          </w:p>
        </w:tc>
        <w:tc>
          <w:tcPr>
            <w:tcW w:w="881" w:type="dxa"/>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1.31</w:t>
            </w:r>
          </w:p>
        </w:tc>
      </w:tr>
      <w:tr w:rsidR="00660308" w:rsidRPr="00660308" w:rsidTr="00563ABC">
        <w:trPr>
          <w:trHeight w:val="168"/>
        </w:trPr>
        <w:tc>
          <w:tcPr>
            <w:tcW w:w="956"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No</w:t>
            </w:r>
          </w:p>
        </w:tc>
        <w:tc>
          <w:tcPr>
            <w:tcW w:w="767"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14</w:t>
            </w:r>
          </w:p>
        </w:tc>
        <w:tc>
          <w:tcPr>
            <w:tcW w:w="657" w:type="dxa"/>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B60A</w:t>
            </w:r>
          </w:p>
        </w:tc>
        <w:tc>
          <w:tcPr>
            <w:tcW w:w="5082" w:type="dxa"/>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Acute Paraplegia/Quadriplegia W or W/O OR Procs W Cat CC</w:t>
            </w:r>
          </w:p>
        </w:tc>
        <w:tc>
          <w:tcPr>
            <w:tcW w:w="881" w:type="dxa"/>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1.79</w:t>
            </w:r>
          </w:p>
        </w:tc>
        <w:tc>
          <w:tcPr>
            <w:tcW w:w="1174"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15</w:t>
            </w:r>
          </w:p>
        </w:tc>
        <w:tc>
          <w:tcPr>
            <w:tcW w:w="939"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16.61</w:t>
            </w:r>
          </w:p>
        </w:tc>
        <w:tc>
          <w:tcPr>
            <w:tcW w:w="730"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25.2</w:t>
            </w:r>
          </w:p>
        </w:tc>
        <w:tc>
          <w:tcPr>
            <w:tcW w:w="562" w:type="dxa"/>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11%</w:t>
            </w:r>
          </w:p>
        </w:tc>
        <w:tc>
          <w:tcPr>
            <w:tcW w:w="82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20%</w:t>
            </w:r>
          </w:p>
        </w:tc>
        <w:tc>
          <w:tcPr>
            <w:tcW w:w="825"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20%</w:t>
            </w:r>
          </w:p>
        </w:tc>
        <w:tc>
          <w:tcPr>
            <w:tcW w:w="86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49%</w:t>
            </w:r>
          </w:p>
        </w:tc>
        <w:tc>
          <w:tcPr>
            <w:tcW w:w="881" w:type="dxa"/>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0.33</w:t>
            </w:r>
          </w:p>
        </w:tc>
      </w:tr>
      <w:tr w:rsidR="00660308" w:rsidRPr="00660308" w:rsidTr="00563ABC">
        <w:trPr>
          <w:trHeight w:val="168"/>
        </w:trPr>
        <w:tc>
          <w:tcPr>
            <w:tcW w:w="956"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767"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15</w:t>
            </w:r>
          </w:p>
        </w:tc>
        <w:tc>
          <w:tcPr>
            <w:tcW w:w="657" w:type="dxa"/>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F07C</w:t>
            </w:r>
          </w:p>
        </w:tc>
        <w:tc>
          <w:tcPr>
            <w:tcW w:w="5082" w:type="dxa"/>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Other Cardiothoracic/Vascular Procedures W CPB Pump W/O CC</w:t>
            </w:r>
          </w:p>
        </w:tc>
        <w:tc>
          <w:tcPr>
            <w:tcW w:w="881" w:type="dxa"/>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1.76</w:t>
            </w:r>
          </w:p>
        </w:tc>
        <w:tc>
          <w:tcPr>
            <w:tcW w:w="1174"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90</w:t>
            </w:r>
          </w:p>
        </w:tc>
        <w:tc>
          <w:tcPr>
            <w:tcW w:w="939"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7.29</w:t>
            </w:r>
          </w:p>
        </w:tc>
        <w:tc>
          <w:tcPr>
            <w:tcW w:w="730"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7.6</w:t>
            </w:r>
          </w:p>
        </w:tc>
        <w:tc>
          <w:tcPr>
            <w:tcW w:w="562" w:type="dxa"/>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24%</w:t>
            </w:r>
          </w:p>
        </w:tc>
        <w:tc>
          <w:tcPr>
            <w:tcW w:w="82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26%</w:t>
            </w:r>
          </w:p>
        </w:tc>
        <w:tc>
          <w:tcPr>
            <w:tcW w:w="825"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14%</w:t>
            </w:r>
          </w:p>
        </w:tc>
        <w:tc>
          <w:tcPr>
            <w:tcW w:w="86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36%</w:t>
            </w:r>
          </w:p>
        </w:tc>
        <w:tc>
          <w:tcPr>
            <w:tcW w:w="881" w:type="dxa"/>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1.43</w:t>
            </w:r>
          </w:p>
        </w:tc>
      </w:tr>
      <w:tr w:rsidR="00660308" w:rsidRPr="00660308" w:rsidTr="00563ABC">
        <w:trPr>
          <w:trHeight w:val="168"/>
        </w:trPr>
        <w:tc>
          <w:tcPr>
            <w:tcW w:w="956"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No</w:t>
            </w:r>
          </w:p>
        </w:tc>
        <w:tc>
          <w:tcPr>
            <w:tcW w:w="767"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16</w:t>
            </w:r>
          </w:p>
        </w:tc>
        <w:tc>
          <w:tcPr>
            <w:tcW w:w="657" w:type="dxa"/>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M01A</w:t>
            </w:r>
          </w:p>
        </w:tc>
        <w:tc>
          <w:tcPr>
            <w:tcW w:w="5082" w:type="dxa"/>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Major Male Pelvic Procedures W Catastrophic or Severe CC</w:t>
            </w:r>
          </w:p>
        </w:tc>
        <w:tc>
          <w:tcPr>
            <w:tcW w:w="881" w:type="dxa"/>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1.72</w:t>
            </w:r>
          </w:p>
        </w:tc>
        <w:tc>
          <w:tcPr>
            <w:tcW w:w="1174"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775</w:t>
            </w:r>
          </w:p>
        </w:tc>
        <w:tc>
          <w:tcPr>
            <w:tcW w:w="939"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3.96</w:t>
            </w:r>
          </w:p>
        </w:tc>
        <w:tc>
          <w:tcPr>
            <w:tcW w:w="730"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5.0</w:t>
            </w:r>
          </w:p>
        </w:tc>
        <w:tc>
          <w:tcPr>
            <w:tcW w:w="562" w:type="dxa"/>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43%</w:t>
            </w:r>
          </w:p>
        </w:tc>
        <w:tc>
          <w:tcPr>
            <w:tcW w:w="82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11%</w:t>
            </w:r>
          </w:p>
        </w:tc>
        <w:tc>
          <w:tcPr>
            <w:tcW w:w="825"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7%</w:t>
            </w:r>
          </w:p>
        </w:tc>
        <w:tc>
          <w:tcPr>
            <w:tcW w:w="86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38%</w:t>
            </w:r>
          </w:p>
        </w:tc>
        <w:tc>
          <w:tcPr>
            <w:tcW w:w="881" w:type="dxa"/>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1.24</w:t>
            </w:r>
          </w:p>
        </w:tc>
      </w:tr>
      <w:tr w:rsidR="00660308" w:rsidRPr="00660308" w:rsidTr="00563ABC">
        <w:trPr>
          <w:trHeight w:val="168"/>
        </w:trPr>
        <w:tc>
          <w:tcPr>
            <w:tcW w:w="956"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No</w:t>
            </w:r>
          </w:p>
        </w:tc>
        <w:tc>
          <w:tcPr>
            <w:tcW w:w="767"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17</w:t>
            </w:r>
          </w:p>
        </w:tc>
        <w:tc>
          <w:tcPr>
            <w:tcW w:w="657" w:type="dxa"/>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F08A</w:t>
            </w:r>
          </w:p>
        </w:tc>
        <w:tc>
          <w:tcPr>
            <w:tcW w:w="5082" w:type="dxa"/>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Major Reconstruct Vascular Procedures W/O CPB Pump W Catastrophic CC</w:t>
            </w:r>
          </w:p>
        </w:tc>
        <w:tc>
          <w:tcPr>
            <w:tcW w:w="881" w:type="dxa"/>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1.70</w:t>
            </w:r>
          </w:p>
        </w:tc>
        <w:tc>
          <w:tcPr>
            <w:tcW w:w="1174"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805</w:t>
            </w:r>
          </w:p>
        </w:tc>
        <w:tc>
          <w:tcPr>
            <w:tcW w:w="939"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8.79</w:t>
            </w:r>
          </w:p>
        </w:tc>
        <w:tc>
          <w:tcPr>
            <w:tcW w:w="730"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14.0</w:t>
            </w:r>
          </w:p>
        </w:tc>
        <w:tc>
          <w:tcPr>
            <w:tcW w:w="562" w:type="dxa"/>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19%</w:t>
            </w:r>
          </w:p>
        </w:tc>
        <w:tc>
          <w:tcPr>
            <w:tcW w:w="82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14%</w:t>
            </w:r>
          </w:p>
        </w:tc>
        <w:tc>
          <w:tcPr>
            <w:tcW w:w="825"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27%</w:t>
            </w:r>
          </w:p>
        </w:tc>
        <w:tc>
          <w:tcPr>
            <w:tcW w:w="86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39%</w:t>
            </w:r>
          </w:p>
        </w:tc>
        <w:tc>
          <w:tcPr>
            <w:tcW w:w="881" w:type="dxa"/>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1.19</w:t>
            </w:r>
          </w:p>
        </w:tc>
      </w:tr>
      <w:tr w:rsidR="00660308" w:rsidRPr="00660308" w:rsidTr="00563ABC">
        <w:trPr>
          <w:trHeight w:val="168"/>
        </w:trPr>
        <w:tc>
          <w:tcPr>
            <w:tcW w:w="956"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No</w:t>
            </w:r>
          </w:p>
        </w:tc>
        <w:tc>
          <w:tcPr>
            <w:tcW w:w="767"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18</w:t>
            </w:r>
          </w:p>
        </w:tc>
        <w:tc>
          <w:tcPr>
            <w:tcW w:w="657" w:type="dxa"/>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F06A</w:t>
            </w:r>
          </w:p>
        </w:tc>
        <w:tc>
          <w:tcPr>
            <w:tcW w:w="5082" w:type="dxa"/>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Coronary Bypass W/O Invasive Cardiac Inves W Reoperation or W Cat or Sev CC</w:t>
            </w:r>
          </w:p>
        </w:tc>
        <w:tc>
          <w:tcPr>
            <w:tcW w:w="881" w:type="dxa"/>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1.68</w:t>
            </w:r>
          </w:p>
        </w:tc>
        <w:tc>
          <w:tcPr>
            <w:tcW w:w="1174"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2,178</w:t>
            </w:r>
          </w:p>
        </w:tc>
        <w:tc>
          <w:tcPr>
            <w:tcW w:w="939"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8.69</w:t>
            </w:r>
          </w:p>
        </w:tc>
        <w:tc>
          <w:tcPr>
            <w:tcW w:w="730"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10.9</w:t>
            </w:r>
          </w:p>
        </w:tc>
        <w:tc>
          <w:tcPr>
            <w:tcW w:w="562" w:type="dxa"/>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19%</w:t>
            </w:r>
          </w:p>
        </w:tc>
        <w:tc>
          <w:tcPr>
            <w:tcW w:w="82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33%</w:t>
            </w:r>
          </w:p>
        </w:tc>
        <w:tc>
          <w:tcPr>
            <w:tcW w:w="825"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14%</w:t>
            </w:r>
          </w:p>
        </w:tc>
        <w:tc>
          <w:tcPr>
            <w:tcW w:w="86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34%</w:t>
            </w:r>
          </w:p>
        </w:tc>
        <w:tc>
          <w:tcPr>
            <w:tcW w:w="881" w:type="dxa"/>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1.33</w:t>
            </w:r>
          </w:p>
        </w:tc>
      </w:tr>
      <w:tr w:rsidR="00660308" w:rsidRPr="00660308" w:rsidTr="00563ABC">
        <w:trPr>
          <w:trHeight w:val="168"/>
        </w:trPr>
        <w:tc>
          <w:tcPr>
            <w:tcW w:w="956"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No</w:t>
            </w:r>
          </w:p>
        </w:tc>
        <w:tc>
          <w:tcPr>
            <w:tcW w:w="767"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19</w:t>
            </w:r>
          </w:p>
        </w:tc>
        <w:tc>
          <w:tcPr>
            <w:tcW w:w="657" w:type="dxa"/>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G01A</w:t>
            </w:r>
          </w:p>
        </w:tc>
        <w:tc>
          <w:tcPr>
            <w:tcW w:w="5082" w:type="dxa"/>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Rectal Resection W Catastrophic CC</w:t>
            </w:r>
          </w:p>
        </w:tc>
        <w:tc>
          <w:tcPr>
            <w:tcW w:w="881" w:type="dxa"/>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1.65</w:t>
            </w:r>
          </w:p>
        </w:tc>
        <w:tc>
          <w:tcPr>
            <w:tcW w:w="1174"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1,538</w:t>
            </w:r>
          </w:p>
        </w:tc>
        <w:tc>
          <w:tcPr>
            <w:tcW w:w="939"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7.74</w:t>
            </w:r>
          </w:p>
        </w:tc>
        <w:tc>
          <w:tcPr>
            <w:tcW w:w="730"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15.3</w:t>
            </w:r>
          </w:p>
        </w:tc>
        <w:tc>
          <w:tcPr>
            <w:tcW w:w="562" w:type="dxa"/>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21%</w:t>
            </w:r>
          </w:p>
        </w:tc>
        <w:tc>
          <w:tcPr>
            <w:tcW w:w="82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17%</w:t>
            </w:r>
          </w:p>
        </w:tc>
        <w:tc>
          <w:tcPr>
            <w:tcW w:w="825"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13%</w:t>
            </w:r>
          </w:p>
        </w:tc>
        <w:tc>
          <w:tcPr>
            <w:tcW w:w="86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49%</w:t>
            </w:r>
          </w:p>
        </w:tc>
        <w:tc>
          <w:tcPr>
            <w:tcW w:w="881" w:type="dxa"/>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1.21</w:t>
            </w:r>
          </w:p>
        </w:tc>
      </w:tr>
      <w:tr w:rsidR="00660308" w:rsidRPr="00660308" w:rsidTr="00563ABC">
        <w:trPr>
          <w:trHeight w:val="168"/>
        </w:trPr>
        <w:tc>
          <w:tcPr>
            <w:tcW w:w="956" w:type="dxa"/>
            <w:tcBorders>
              <w:top w:val="nil"/>
              <w:left w:val="nil"/>
              <w:bottom w:val="single" w:sz="4" w:space="0" w:color="auto"/>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767" w:type="dxa"/>
            <w:tcBorders>
              <w:top w:val="nil"/>
              <w:left w:val="nil"/>
              <w:bottom w:val="single" w:sz="4" w:space="0" w:color="auto"/>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20</w:t>
            </w:r>
          </w:p>
        </w:tc>
        <w:tc>
          <w:tcPr>
            <w:tcW w:w="657" w:type="dxa"/>
            <w:tcBorders>
              <w:top w:val="nil"/>
              <w:left w:val="nil"/>
              <w:bottom w:val="single" w:sz="4" w:space="0" w:color="auto"/>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H01A</w:t>
            </w:r>
          </w:p>
        </w:tc>
        <w:tc>
          <w:tcPr>
            <w:tcW w:w="5082" w:type="dxa"/>
            <w:tcBorders>
              <w:top w:val="nil"/>
              <w:left w:val="nil"/>
              <w:bottom w:val="single" w:sz="4" w:space="0" w:color="auto"/>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Pancreas, Liver and Shunt Procedures W Catastrophic CC</w:t>
            </w:r>
          </w:p>
        </w:tc>
        <w:tc>
          <w:tcPr>
            <w:tcW w:w="881" w:type="dxa"/>
            <w:tcBorders>
              <w:top w:val="nil"/>
              <w:left w:val="nil"/>
              <w:bottom w:val="single" w:sz="4" w:space="0" w:color="auto"/>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1.64</w:t>
            </w:r>
          </w:p>
        </w:tc>
        <w:tc>
          <w:tcPr>
            <w:tcW w:w="1174" w:type="dxa"/>
            <w:tcBorders>
              <w:top w:val="nil"/>
              <w:left w:val="nil"/>
              <w:bottom w:val="single" w:sz="4" w:space="0" w:color="auto"/>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553</w:t>
            </w:r>
          </w:p>
        </w:tc>
        <w:tc>
          <w:tcPr>
            <w:tcW w:w="939" w:type="dxa"/>
            <w:tcBorders>
              <w:top w:val="nil"/>
              <w:left w:val="nil"/>
              <w:bottom w:val="single" w:sz="4" w:space="0" w:color="auto"/>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8.41</w:t>
            </w:r>
          </w:p>
        </w:tc>
        <w:tc>
          <w:tcPr>
            <w:tcW w:w="730" w:type="dxa"/>
            <w:tcBorders>
              <w:top w:val="nil"/>
              <w:left w:val="nil"/>
              <w:bottom w:val="single" w:sz="4" w:space="0" w:color="auto"/>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14.6</w:t>
            </w:r>
          </w:p>
        </w:tc>
        <w:tc>
          <w:tcPr>
            <w:tcW w:w="562" w:type="dxa"/>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19%</w:t>
            </w:r>
          </w:p>
        </w:tc>
        <w:tc>
          <w:tcPr>
            <w:tcW w:w="82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20%</w:t>
            </w:r>
          </w:p>
        </w:tc>
        <w:tc>
          <w:tcPr>
            <w:tcW w:w="825"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15%</w:t>
            </w:r>
          </w:p>
        </w:tc>
        <w:tc>
          <w:tcPr>
            <w:tcW w:w="86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46%</w:t>
            </w:r>
          </w:p>
        </w:tc>
        <w:tc>
          <w:tcPr>
            <w:tcW w:w="881" w:type="dxa"/>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1.48</w:t>
            </w:r>
          </w:p>
        </w:tc>
      </w:tr>
      <w:tr w:rsidR="00660308" w:rsidRPr="00660308" w:rsidTr="00563ABC">
        <w:trPr>
          <w:trHeight w:val="168"/>
        </w:trPr>
        <w:tc>
          <w:tcPr>
            <w:tcW w:w="956"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13</w:t>
            </w:r>
          </w:p>
        </w:tc>
        <w:tc>
          <w:tcPr>
            <w:tcW w:w="6506" w:type="dxa"/>
            <w:gridSpan w:val="3"/>
            <w:tcBorders>
              <w:top w:val="single" w:sz="4" w:space="0" w:color="auto"/>
              <w:left w:val="nil"/>
              <w:bottom w:val="nil"/>
              <w:right w:val="nil"/>
            </w:tcBorders>
            <w:shd w:val="clear" w:color="auto" w:fill="auto"/>
            <w:noWrap/>
            <w:hideMark/>
          </w:tcPr>
          <w:p w:rsidR="00660308" w:rsidRPr="00660308" w:rsidRDefault="00660308" w:rsidP="00660308">
            <w:pPr>
              <w:rPr>
                <w:b/>
                <w:bCs/>
                <w:snapToGrid/>
                <w:color w:val="000000"/>
                <w:sz w:val="16"/>
                <w:szCs w:val="16"/>
                <w:lang w:eastAsia="en-AU"/>
              </w:rPr>
            </w:pPr>
            <w:r w:rsidRPr="00660308">
              <w:rPr>
                <w:b/>
                <w:bCs/>
                <w:snapToGrid/>
                <w:color w:val="000000"/>
                <w:sz w:val="16"/>
                <w:szCs w:val="16"/>
                <w:lang w:eastAsia="en-AU"/>
              </w:rPr>
              <w:t>Sub-total, top 20 highest ORSPS cost-weight DRGs</w:t>
            </w:r>
          </w:p>
        </w:tc>
        <w:tc>
          <w:tcPr>
            <w:tcW w:w="881" w:type="dxa"/>
            <w:tcBorders>
              <w:top w:val="nil"/>
              <w:left w:val="nil"/>
              <w:bottom w:val="nil"/>
              <w:right w:val="nil"/>
            </w:tcBorders>
            <w:shd w:val="clear" w:color="000000" w:fill="F4CACA"/>
            <w:noWrap/>
            <w:hideMark/>
          </w:tcPr>
          <w:p w:rsidR="00660308" w:rsidRPr="00660308" w:rsidRDefault="00660308" w:rsidP="00660308">
            <w:pPr>
              <w:jc w:val="right"/>
              <w:rPr>
                <w:b/>
                <w:bCs/>
                <w:snapToGrid/>
                <w:color w:val="000000"/>
                <w:sz w:val="16"/>
                <w:szCs w:val="16"/>
                <w:lang w:eastAsia="en-AU"/>
              </w:rPr>
            </w:pPr>
            <w:r w:rsidRPr="00660308">
              <w:rPr>
                <w:b/>
                <w:bCs/>
                <w:snapToGrid/>
                <w:color w:val="000000"/>
                <w:sz w:val="16"/>
                <w:szCs w:val="16"/>
                <w:lang w:eastAsia="en-AU"/>
              </w:rPr>
              <w:t>1.85</w:t>
            </w:r>
          </w:p>
        </w:tc>
        <w:tc>
          <w:tcPr>
            <w:tcW w:w="1174" w:type="dxa"/>
            <w:tcBorders>
              <w:top w:val="nil"/>
              <w:left w:val="nil"/>
              <w:bottom w:val="nil"/>
              <w:right w:val="nil"/>
            </w:tcBorders>
            <w:shd w:val="clear" w:color="auto" w:fill="auto"/>
            <w:noWrap/>
            <w:hideMark/>
          </w:tcPr>
          <w:p w:rsidR="00660308" w:rsidRPr="00660308" w:rsidRDefault="00660308" w:rsidP="00660308">
            <w:pPr>
              <w:jc w:val="right"/>
              <w:rPr>
                <w:b/>
                <w:bCs/>
                <w:snapToGrid/>
                <w:color w:val="000000"/>
                <w:sz w:val="16"/>
                <w:szCs w:val="16"/>
                <w:lang w:eastAsia="en-AU"/>
              </w:rPr>
            </w:pPr>
            <w:r w:rsidRPr="00660308">
              <w:rPr>
                <w:b/>
                <w:bCs/>
                <w:snapToGrid/>
                <w:color w:val="000000"/>
                <w:sz w:val="16"/>
                <w:szCs w:val="16"/>
                <w:lang w:eastAsia="en-AU"/>
              </w:rPr>
              <w:t>12,327</w:t>
            </w:r>
          </w:p>
        </w:tc>
        <w:tc>
          <w:tcPr>
            <w:tcW w:w="939" w:type="dxa"/>
            <w:tcBorders>
              <w:top w:val="nil"/>
              <w:left w:val="nil"/>
              <w:bottom w:val="nil"/>
              <w:right w:val="nil"/>
            </w:tcBorders>
            <w:shd w:val="clear" w:color="auto" w:fill="auto"/>
            <w:noWrap/>
            <w:hideMark/>
          </w:tcPr>
          <w:p w:rsidR="00660308" w:rsidRPr="00660308" w:rsidRDefault="00660308" w:rsidP="00660308">
            <w:pPr>
              <w:jc w:val="right"/>
              <w:rPr>
                <w:b/>
                <w:bCs/>
                <w:snapToGrid/>
                <w:color w:val="000000"/>
                <w:sz w:val="16"/>
                <w:szCs w:val="16"/>
                <w:lang w:eastAsia="en-AU"/>
              </w:rPr>
            </w:pPr>
            <w:r w:rsidRPr="00660308">
              <w:rPr>
                <w:b/>
                <w:bCs/>
                <w:snapToGrid/>
                <w:color w:val="000000"/>
                <w:sz w:val="16"/>
                <w:szCs w:val="16"/>
                <w:lang w:eastAsia="en-AU"/>
              </w:rPr>
              <w:t>10.47</w:t>
            </w:r>
          </w:p>
        </w:tc>
        <w:tc>
          <w:tcPr>
            <w:tcW w:w="730" w:type="dxa"/>
            <w:tcBorders>
              <w:top w:val="nil"/>
              <w:left w:val="nil"/>
              <w:bottom w:val="nil"/>
              <w:right w:val="nil"/>
            </w:tcBorders>
            <w:shd w:val="clear" w:color="auto" w:fill="auto"/>
            <w:noWrap/>
            <w:hideMark/>
          </w:tcPr>
          <w:p w:rsidR="00660308" w:rsidRPr="00660308" w:rsidRDefault="00660308" w:rsidP="00660308">
            <w:pPr>
              <w:jc w:val="right"/>
              <w:rPr>
                <w:b/>
                <w:bCs/>
                <w:snapToGrid/>
                <w:color w:val="000000"/>
                <w:sz w:val="16"/>
                <w:szCs w:val="16"/>
                <w:lang w:eastAsia="en-AU"/>
              </w:rPr>
            </w:pPr>
            <w:r w:rsidRPr="00660308">
              <w:rPr>
                <w:b/>
                <w:bCs/>
                <w:snapToGrid/>
                <w:color w:val="000000"/>
                <w:sz w:val="16"/>
                <w:szCs w:val="16"/>
                <w:lang w:eastAsia="en-AU"/>
              </w:rPr>
              <w:t>13.4</w:t>
            </w:r>
          </w:p>
        </w:tc>
        <w:tc>
          <w:tcPr>
            <w:tcW w:w="562" w:type="dxa"/>
            <w:tcBorders>
              <w:top w:val="single" w:sz="4" w:space="0" w:color="auto"/>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18%</w:t>
            </w:r>
          </w:p>
        </w:tc>
        <w:tc>
          <w:tcPr>
            <w:tcW w:w="822" w:type="dxa"/>
            <w:tcBorders>
              <w:top w:val="single" w:sz="4" w:space="0" w:color="auto"/>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24%</w:t>
            </w:r>
          </w:p>
        </w:tc>
        <w:tc>
          <w:tcPr>
            <w:tcW w:w="825" w:type="dxa"/>
            <w:tcBorders>
              <w:top w:val="single" w:sz="4" w:space="0" w:color="auto"/>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22%</w:t>
            </w:r>
          </w:p>
        </w:tc>
        <w:tc>
          <w:tcPr>
            <w:tcW w:w="862" w:type="dxa"/>
            <w:tcBorders>
              <w:top w:val="single" w:sz="4" w:space="0" w:color="auto"/>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36%</w:t>
            </w:r>
          </w:p>
        </w:tc>
        <w:tc>
          <w:tcPr>
            <w:tcW w:w="881" w:type="dxa"/>
            <w:tcBorders>
              <w:top w:val="single" w:sz="4" w:space="0" w:color="auto"/>
              <w:left w:val="single" w:sz="4" w:space="0" w:color="auto"/>
              <w:bottom w:val="nil"/>
              <w:right w:val="nil"/>
            </w:tcBorders>
            <w:shd w:val="clear" w:color="auto" w:fill="auto"/>
            <w:noWrap/>
            <w:hideMark/>
          </w:tcPr>
          <w:p w:rsidR="00660308" w:rsidRPr="00660308" w:rsidRDefault="00660308" w:rsidP="00660308">
            <w:pPr>
              <w:rPr>
                <w:b/>
                <w:bCs/>
                <w:snapToGrid/>
                <w:color w:val="000000"/>
                <w:sz w:val="16"/>
                <w:szCs w:val="16"/>
                <w:lang w:eastAsia="en-AU"/>
              </w:rPr>
            </w:pPr>
            <w:r w:rsidRPr="00660308">
              <w:rPr>
                <w:b/>
                <w:bCs/>
                <w:snapToGrid/>
                <w:color w:val="000000"/>
                <w:sz w:val="16"/>
                <w:szCs w:val="16"/>
                <w:lang w:eastAsia="en-AU"/>
              </w:rPr>
              <w:t> </w:t>
            </w:r>
          </w:p>
        </w:tc>
      </w:tr>
      <w:tr w:rsidR="00660308" w:rsidRPr="00660308" w:rsidTr="00563ABC">
        <w:trPr>
          <w:trHeight w:val="168"/>
        </w:trPr>
        <w:tc>
          <w:tcPr>
            <w:tcW w:w="956" w:type="dxa"/>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 xml:space="preserve">in </w:t>
            </w:r>
          </w:p>
        </w:tc>
        <w:tc>
          <w:tcPr>
            <w:tcW w:w="767" w:type="dxa"/>
            <w:tcBorders>
              <w:top w:val="nil"/>
              <w:left w:val="nil"/>
              <w:bottom w:val="nil"/>
              <w:right w:val="nil"/>
            </w:tcBorders>
            <w:shd w:val="clear" w:color="auto" w:fill="auto"/>
            <w:noWrap/>
            <w:hideMark/>
          </w:tcPr>
          <w:p w:rsidR="00660308" w:rsidRPr="00660308" w:rsidRDefault="00660308" w:rsidP="00660308">
            <w:pPr>
              <w:rPr>
                <w:b/>
                <w:bCs/>
                <w:snapToGrid/>
                <w:color w:val="000000"/>
                <w:sz w:val="16"/>
                <w:szCs w:val="16"/>
                <w:lang w:eastAsia="en-AU"/>
              </w:rPr>
            </w:pPr>
            <w:r w:rsidRPr="00660308">
              <w:rPr>
                <w:b/>
                <w:bCs/>
                <w:snapToGrid/>
                <w:color w:val="000000"/>
                <w:sz w:val="16"/>
                <w:szCs w:val="16"/>
                <w:lang w:eastAsia="en-AU"/>
              </w:rPr>
              <w:t>All DRGs</w:t>
            </w:r>
          </w:p>
        </w:tc>
        <w:tc>
          <w:tcPr>
            <w:tcW w:w="657" w:type="dxa"/>
            <w:tcBorders>
              <w:top w:val="nil"/>
              <w:left w:val="nil"/>
              <w:bottom w:val="nil"/>
              <w:right w:val="nil"/>
            </w:tcBorders>
            <w:shd w:val="clear" w:color="auto" w:fill="auto"/>
            <w:noWrap/>
            <w:hideMark/>
          </w:tcPr>
          <w:p w:rsidR="00660308" w:rsidRPr="00660308" w:rsidRDefault="00660308" w:rsidP="00660308">
            <w:pPr>
              <w:rPr>
                <w:b/>
                <w:bCs/>
                <w:snapToGrid/>
                <w:color w:val="000000"/>
                <w:sz w:val="16"/>
                <w:szCs w:val="16"/>
                <w:lang w:eastAsia="en-AU"/>
              </w:rPr>
            </w:pPr>
          </w:p>
        </w:tc>
        <w:tc>
          <w:tcPr>
            <w:tcW w:w="5082" w:type="dxa"/>
            <w:tcBorders>
              <w:top w:val="nil"/>
              <w:left w:val="nil"/>
              <w:bottom w:val="nil"/>
              <w:right w:val="nil"/>
            </w:tcBorders>
            <w:shd w:val="clear" w:color="auto" w:fill="auto"/>
            <w:hideMark/>
          </w:tcPr>
          <w:p w:rsidR="00660308" w:rsidRPr="00660308" w:rsidRDefault="00660308" w:rsidP="00660308">
            <w:pPr>
              <w:rPr>
                <w:rFonts w:ascii="Times New Roman" w:hAnsi="Times New Roman" w:cs="Times New Roman"/>
                <w:snapToGrid/>
                <w:sz w:val="16"/>
                <w:szCs w:val="16"/>
                <w:lang w:eastAsia="en-AU"/>
              </w:rPr>
            </w:pPr>
          </w:p>
        </w:tc>
        <w:tc>
          <w:tcPr>
            <w:tcW w:w="881" w:type="dxa"/>
            <w:tcBorders>
              <w:top w:val="nil"/>
              <w:left w:val="nil"/>
              <w:bottom w:val="nil"/>
              <w:right w:val="nil"/>
            </w:tcBorders>
            <w:shd w:val="clear" w:color="000000" w:fill="F4CACA"/>
            <w:noWrap/>
            <w:hideMark/>
          </w:tcPr>
          <w:p w:rsidR="00660308" w:rsidRPr="00660308" w:rsidRDefault="00660308" w:rsidP="00660308">
            <w:pPr>
              <w:jc w:val="right"/>
              <w:rPr>
                <w:b/>
                <w:bCs/>
                <w:snapToGrid/>
                <w:color w:val="000000"/>
                <w:sz w:val="16"/>
                <w:szCs w:val="16"/>
                <w:lang w:eastAsia="en-AU"/>
              </w:rPr>
            </w:pPr>
            <w:r w:rsidRPr="00660308">
              <w:rPr>
                <w:b/>
                <w:bCs/>
                <w:snapToGrid/>
                <w:color w:val="000000"/>
                <w:sz w:val="16"/>
                <w:szCs w:val="16"/>
                <w:lang w:eastAsia="en-AU"/>
              </w:rPr>
              <w:t>0.23</w:t>
            </w:r>
          </w:p>
        </w:tc>
        <w:tc>
          <w:tcPr>
            <w:tcW w:w="1174" w:type="dxa"/>
            <w:tcBorders>
              <w:top w:val="nil"/>
              <w:left w:val="nil"/>
              <w:bottom w:val="nil"/>
              <w:right w:val="nil"/>
            </w:tcBorders>
            <w:shd w:val="clear" w:color="auto" w:fill="auto"/>
            <w:noWrap/>
            <w:hideMark/>
          </w:tcPr>
          <w:p w:rsidR="00660308" w:rsidRPr="00660308" w:rsidRDefault="00660308" w:rsidP="00660308">
            <w:pPr>
              <w:jc w:val="right"/>
              <w:rPr>
                <w:b/>
                <w:bCs/>
                <w:snapToGrid/>
                <w:color w:val="000000"/>
                <w:sz w:val="16"/>
                <w:szCs w:val="16"/>
                <w:lang w:eastAsia="en-AU"/>
              </w:rPr>
            </w:pPr>
            <w:r w:rsidRPr="00660308">
              <w:rPr>
                <w:b/>
                <w:bCs/>
                <w:snapToGrid/>
                <w:color w:val="000000"/>
                <w:sz w:val="16"/>
                <w:szCs w:val="16"/>
                <w:lang w:eastAsia="en-AU"/>
              </w:rPr>
              <w:t>2,827,996</w:t>
            </w:r>
          </w:p>
        </w:tc>
        <w:tc>
          <w:tcPr>
            <w:tcW w:w="939" w:type="dxa"/>
            <w:tcBorders>
              <w:top w:val="nil"/>
              <w:left w:val="nil"/>
              <w:bottom w:val="nil"/>
              <w:right w:val="nil"/>
            </w:tcBorders>
            <w:shd w:val="clear" w:color="auto" w:fill="auto"/>
            <w:noWrap/>
            <w:hideMark/>
          </w:tcPr>
          <w:p w:rsidR="00660308" w:rsidRPr="00660308" w:rsidRDefault="00660308" w:rsidP="00660308">
            <w:pPr>
              <w:jc w:val="right"/>
              <w:rPr>
                <w:b/>
                <w:bCs/>
                <w:snapToGrid/>
                <w:color w:val="000000"/>
                <w:sz w:val="16"/>
                <w:szCs w:val="16"/>
                <w:lang w:eastAsia="en-AU"/>
              </w:rPr>
            </w:pPr>
            <w:r w:rsidRPr="00660308">
              <w:rPr>
                <w:b/>
                <w:bCs/>
                <w:snapToGrid/>
                <w:color w:val="000000"/>
                <w:sz w:val="16"/>
                <w:szCs w:val="16"/>
                <w:lang w:eastAsia="en-AU"/>
              </w:rPr>
              <w:t>1.00</w:t>
            </w:r>
          </w:p>
        </w:tc>
        <w:tc>
          <w:tcPr>
            <w:tcW w:w="730" w:type="dxa"/>
            <w:tcBorders>
              <w:top w:val="nil"/>
              <w:left w:val="nil"/>
              <w:bottom w:val="nil"/>
              <w:right w:val="nil"/>
            </w:tcBorders>
            <w:shd w:val="clear" w:color="auto" w:fill="auto"/>
            <w:noWrap/>
            <w:hideMark/>
          </w:tcPr>
          <w:p w:rsidR="00660308" w:rsidRPr="00660308" w:rsidRDefault="00660308" w:rsidP="00660308">
            <w:pPr>
              <w:jc w:val="right"/>
              <w:rPr>
                <w:b/>
                <w:bCs/>
                <w:snapToGrid/>
                <w:color w:val="000000"/>
                <w:sz w:val="16"/>
                <w:szCs w:val="16"/>
                <w:lang w:eastAsia="en-AU"/>
              </w:rPr>
            </w:pPr>
            <w:r w:rsidRPr="00660308">
              <w:rPr>
                <w:b/>
                <w:bCs/>
                <w:snapToGrid/>
                <w:color w:val="000000"/>
                <w:sz w:val="16"/>
                <w:szCs w:val="16"/>
                <w:lang w:eastAsia="en-AU"/>
              </w:rPr>
              <w:t>2.4</w:t>
            </w:r>
          </w:p>
        </w:tc>
        <w:tc>
          <w:tcPr>
            <w:tcW w:w="562" w:type="dxa"/>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23%</w:t>
            </w:r>
          </w:p>
        </w:tc>
        <w:tc>
          <w:tcPr>
            <w:tcW w:w="82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6%</w:t>
            </w:r>
          </w:p>
        </w:tc>
        <w:tc>
          <w:tcPr>
            <w:tcW w:w="825"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22%</w:t>
            </w:r>
          </w:p>
        </w:tc>
        <w:tc>
          <w:tcPr>
            <w:tcW w:w="862" w:type="dxa"/>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49%</w:t>
            </w:r>
          </w:p>
        </w:tc>
        <w:tc>
          <w:tcPr>
            <w:tcW w:w="881" w:type="dxa"/>
            <w:tcBorders>
              <w:top w:val="nil"/>
              <w:left w:val="single" w:sz="4" w:space="0" w:color="auto"/>
              <w:bottom w:val="nil"/>
              <w:right w:val="nil"/>
            </w:tcBorders>
            <w:shd w:val="clear" w:color="auto" w:fill="auto"/>
            <w:noWrap/>
            <w:hideMark/>
          </w:tcPr>
          <w:p w:rsidR="00660308" w:rsidRPr="00660308" w:rsidRDefault="00660308" w:rsidP="00660308">
            <w:pPr>
              <w:rPr>
                <w:b/>
                <w:bCs/>
                <w:snapToGrid/>
                <w:color w:val="000000"/>
                <w:sz w:val="16"/>
                <w:szCs w:val="16"/>
                <w:lang w:eastAsia="en-AU"/>
              </w:rPr>
            </w:pPr>
            <w:r w:rsidRPr="00660308">
              <w:rPr>
                <w:b/>
                <w:bCs/>
                <w:snapToGrid/>
                <w:color w:val="000000"/>
                <w:sz w:val="16"/>
                <w:szCs w:val="16"/>
                <w:lang w:eastAsia="en-AU"/>
              </w:rPr>
              <w:t> </w:t>
            </w:r>
          </w:p>
        </w:tc>
      </w:tr>
      <w:tr w:rsidR="00660308" w:rsidRPr="00660308" w:rsidTr="00563ABC">
        <w:trPr>
          <w:trHeight w:val="168"/>
        </w:trPr>
        <w:tc>
          <w:tcPr>
            <w:tcW w:w="956" w:type="dxa"/>
            <w:tcBorders>
              <w:top w:val="nil"/>
              <w:left w:val="nil"/>
              <w:bottom w:val="single" w:sz="4" w:space="0" w:color="auto"/>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Top 20</w:t>
            </w:r>
          </w:p>
        </w:tc>
        <w:tc>
          <w:tcPr>
            <w:tcW w:w="6506" w:type="dxa"/>
            <w:gridSpan w:val="3"/>
            <w:tcBorders>
              <w:top w:val="nil"/>
              <w:left w:val="nil"/>
              <w:bottom w:val="single" w:sz="4" w:space="0" w:color="auto"/>
              <w:right w:val="nil"/>
            </w:tcBorders>
            <w:shd w:val="clear" w:color="auto" w:fill="auto"/>
            <w:noWrap/>
            <w:hideMark/>
          </w:tcPr>
          <w:p w:rsidR="00660308" w:rsidRPr="00660308" w:rsidRDefault="00660308" w:rsidP="00660308">
            <w:pPr>
              <w:rPr>
                <w:b/>
                <w:bCs/>
                <w:snapToGrid/>
                <w:color w:val="000000"/>
                <w:sz w:val="16"/>
                <w:szCs w:val="16"/>
                <w:lang w:eastAsia="en-AU"/>
              </w:rPr>
            </w:pPr>
            <w:r w:rsidRPr="00660308">
              <w:rPr>
                <w:b/>
                <w:bCs/>
                <w:snapToGrid/>
                <w:color w:val="000000"/>
                <w:sz w:val="16"/>
                <w:szCs w:val="16"/>
                <w:lang w:eastAsia="en-AU"/>
              </w:rPr>
              <w:t>Top 20 OR and SPS cost-weight DRGs, % of all DRGs</w:t>
            </w:r>
          </w:p>
        </w:tc>
        <w:tc>
          <w:tcPr>
            <w:tcW w:w="881" w:type="dxa"/>
            <w:tcBorders>
              <w:top w:val="nil"/>
              <w:left w:val="nil"/>
              <w:bottom w:val="single" w:sz="4" w:space="0" w:color="auto"/>
              <w:right w:val="nil"/>
            </w:tcBorders>
            <w:shd w:val="clear" w:color="000000" w:fill="F4CACA"/>
            <w:noWrap/>
            <w:hideMark/>
          </w:tcPr>
          <w:p w:rsidR="00660308" w:rsidRPr="00660308" w:rsidRDefault="00660308" w:rsidP="00660308">
            <w:pPr>
              <w:rPr>
                <w:b/>
                <w:bCs/>
                <w:snapToGrid/>
                <w:color w:val="000000"/>
                <w:sz w:val="16"/>
                <w:szCs w:val="16"/>
                <w:lang w:eastAsia="en-AU"/>
              </w:rPr>
            </w:pPr>
            <w:r w:rsidRPr="00660308">
              <w:rPr>
                <w:b/>
                <w:bCs/>
                <w:snapToGrid/>
                <w:color w:val="000000"/>
                <w:sz w:val="16"/>
                <w:szCs w:val="16"/>
                <w:lang w:eastAsia="en-AU"/>
              </w:rPr>
              <w:t> </w:t>
            </w:r>
          </w:p>
        </w:tc>
        <w:tc>
          <w:tcPr>
            <w:tcW w:w="1174" w:type="dxa"/>
            <w:tcBorders>
              <w:top w:val="nil"/>
              <w:left w:val="nil"/>
              <w:bottom w:val="single" w:sz="4" w:space="0" w:color="auto"/>
              <w:right w:val="nil"/>
            </w:tcBorders>
            <w:shd w:val="clear" w:color="auto" w:fill="auto"/>
            <w:noWrap/>
            <w:hideMark/>
          </w:tcPr>
          <w:p w:rsidR="00660308" w:rsidRPr="00660308" w:rsidRDefault="00660308" w:rsidP="00660308">
            <w:pPr>
              <w:jc w:val="right"/>
              <w:rPr>
                <w:b/>
                <w:bCs/>
                <w:snapToGrid/>
                <w:color w:val="000000"/>
                <w:sz w:val="16"/>
                <w:szCs w:val="16"/>
                <w:lang w:eastAsia="en-AU"/>
              </w:rPr>
            </w:pPr>
            <w:r w:rsidRPr="00660308">
              <w:rPr>
                <w:b/>
                <w:bCs/>
                <w:snapToGrid/>
                <w:color w:val="000000"/>
                <w:sz w:val="16"/>
                <w:szCs w:val="16"/>
                <w:lang w:eastAsia="en-AU"/>
              </w:rPr>
              <w:t>0.4%</w:t>
            </w:r>
          </w:p>
        </w:tc>
        <w:tc>
          <w:tcPr>
            <w:tcW w:w="939" w:type="dxa"/>
            <w:tcBorders>
              <w:top w:val="nil"/>
              <w:left w:val="nil"/>
              <w:bottom w:val="single" w:sz="4" w:space="0" w:color="auto"/>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 </w:t>
            </w:r>
          </w:p>
        </w:tc>
        <w:tc>
          <w:tcPr>
            <w:tcW w:w="730" w:type="dxa"/>
            <w:tcBorders>
              <w:top w:val="nil"/>
              <w:left w:val="nil"/>
              <w:bottom w:val="single" w:sz="4" w:space="0" w:color="auto"/>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 </w:t>
            </w:r>
          </w:p>
        </w:tc>
        <w:tc>
          <w:tcPr>
            <w:tcW w:w="562" w:type="dxa"/>
            <w:tcBorders>
              <w:top w:val="nil"/>
              <w:left w:val="single" w:sz="4" w:space="0" w:color="000000"/>
              <w:bottom w:val="single" w:sz="4" w:space="0" w:color="000000"/>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 </w:t>
            </w:r>
          </w:p>
        </w:tc>
        <w:tc>
          <w:tcPr>
            <w:tcW w:w="822" w:type="dxa"/>
            <w:tcBorders>
              <w:top w:val="nil"/>
              <w:left w:val="nil"/>
              <w:bottom w:val="single" w:sz="4" w:space="0" w:color="000000"/>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 </w:t>
            </w:r>
          </w:p>
        </w:tc>
        <w:tc>
          <w:tcPr>
            <w:tcW w:w="825" w:type="dxa"/>
            <w:tcBorders>
              <w:top w:val="nil"/>
              <w:left w:val="nil"/>
              <w:bottom w:val="single" w:sz="4" w:space="0" w:color="000000"/>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 </w:t>
            </w:r>
          </w:p>
        </w:tc>
        <w:tc>
          <w:tcPr>
            <w:tcW w:w="862" w:type="dxa"/>
            <w:tcBorders>
              <w:top w:val="nil"/>
              <w:left w:val="nil"/>
              <w:bottom w:val="single" w:sz="4" w:space="0" w:color="000000"/>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 </w:t>
            </w:r>
          </w:p>
        </w:tc>
        <w:tc>
          <w:tcPr>
            <w:tcW w:w="881" w:type="dxa"/>
            <w:tcBorders>
              <w:top w:val="nil"/>
              <w:left w:val="single" w:sz="4" w:space="0" w:color="auto"/>
              <w:bottom w:val="single" w:sz="4" w:space="0" w:color="auto"/>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 </w:t>
            </w:r>
          </w:p>
        </w:tc>
      </w:tr>
    </w:tbl>
    <w:p w:rsidR="006D797F" w:rsidRDefault="006D797F" w:rsidP="00B50B0E">
      <w:pPr>
        <w:pStyle w:val="PwCNormal"/>
        <w:numPr>
          <w:ilvl w:val="0"/>
          <w:numId w:val="0"/>
        </w:numPr>
        <w:spacing w:after="0"/>
        <w:rPr>
          <w:sz w:val="16"/>
          <w:szCs w:val="16"/>
        </w:rPr>
      </w:pPr>
    </w:p>
    <w:p w:rsidR="00B50B0E" w:rsidRPr="000051B6" w:rsidRDefault="00B50B0E" w:rsidP="00B50B0E">
      <w:pPr>
        <w:pStyle w:val="PwCNormal"/>
        <w:numPr>
          <w:ilvl w:val="0"/>
          <w:numId w:val="0"/>
        </w:numPr>
        <w:spacing w:after="0"/>
        <w:rPr>
          <w:sz w:val="16"/>
          <w:szCs w:val="16"/>
        </w:rPr>
      </w:pPr>
      <w:r w:rsidRPr="000051B6">
        <w:rPr>
          <w:sz w:val="16"/>
          <w:szCs w:val="16"/>
        </w:rPr>
        <w:t>(a)</w:t>
      </w:r>
      <w:r w:rsidRPr="000051B6">
        <w:rPr>
          <w:sz w:val="16"/>
          <w:szCs w:val="16"/>
        </w:rPr>
        <w:tab/>
      </w:r>
      <w:r w:rsidR="000A2939" w:rsidRPr="000051B6">
        <w:rPr>
          <w:sz w:val="16"/>
          <w:szCs w:val="16"/>
        </w:rPr>
        <w:t>For cost weight (cost bucket specific) calcula</w:t>
      </w:r>
      <w:r w:rsidR="00F91FB9">
        <w:rPr>
          <w:sz w:val="16"/>
          <w:szCs w:val="16"/>
        </w:rPr>
        <w:t>tions please refer to Appendix E</w:t>
      </w:r>
    </w:p>
    <w:p w:rsidR="00B50B0E" w:rsidRPr="000051B6" w:rsidRDefault="00B50B0E" w:rsidP="00B50B0E">
      <w:pPr>
        <w:pStyle w:val="PwCNormal"/>
        <w:numPr>
          <w:ilvl w:val="0"/>
          <w:numId w:val="0"/>
        </w:numPr>
        <w:spacing w:after="0"/>
        <w:rPr>
          <w:sz w:val="16"/>
          <w:szCs w:val="16"/>
        </w:rPr>
      </w:pPr>
      <w:r w:rsidRPr="000051B6">
        <w:rPr>
          <w:sz w:val="16"/>
          <w:szCs w:val="16"/>
        </w:rPr>
        <w:t>(b)</w:t>
      </w:r>
      <w:r w:rsidRPr="000051B6">
        <w:rPr>
          <w:sz w:val="16"/>
          <w:szCs w:val="16"/>
        </w:rPr>
        <w:tab/>
      </w:r>
      <w:r w:rsidR="00C5781B" w:rsidRPr="000051B6">
        <w:rPr>
          <w:sz w:val="16"/>
          <w:szCs w:val="16"/>
        </w:rPr>
        <w:t>Separatio</w:t>
      </w:r>
      <w:r w:rsidR="00C5781B">
        <w:rPr>
          <w:sz w:val="16"/>
          <w:szCs w:val="16"/>
        </w:rPr>
        <w:t>ns shown are population-adjusted</w:t>
      </w:r>
    </w:p>
    <w:p w:rsidR="00B50B0E" w:rsidRPr="000051B6" w:rsidRDefault="00B50B0E" w:rsidP="00B50B0E">
      <w:pPr>
        <w:pStyle w:val="PwCNormal"/>
        <w:numPr>
          <w:ilvl w:val="0"/>
          <w:numId w:val="0"/>
        </w:numPr>
        <w:spacing w:after="0"/>
        <w:rPr>
          <w:sz w:val="16"/>
          <w:szCs w:val="16"/>
        </w:rPr>
      </w:pPr>
      <w:r w:rsidRPr="000051B6">
        <w:rPr>
          <w:sz w:val="16"/>
          <w:szCs w:val="16"/>
        </w:rPr>
        <w:t xml:space="preserve">(c)  </w:t>
      </w:r>
      <w:r w:rsidRPr="000051B6">
        <w:rPr>
          <w:sz w:val="16"/>
          <w:szCs w:val="16"/>
        </w:rPr>
        <w:tab/>
        <w:t>DRG-rank for cost weight across all cost buckets. A rank of 1 means that the DRG has the highest</w:t>
      </w:r>
      <w:r w:rsidR="00F91FB9">
        <w:rPr>
          <w:sz w:val="16"/>
          <w:szCs w:val="16"/>
        </w:rPr>
        <w:t xml:space="preserve"> cost weight. </w:t>
      </w:r>
    </w:p>
    <w:p w:rsidR="00781408" w:rsidRPr="000051B6" w:rsidRDefault="00B50B0E" w:rsidP="00B50B0E">
      <w:pPr>
        <w:pStyle w:val="PwCNormal"/>
        <w:numPr>
          <w:ilvl w:val="0"/>
          <w:numId w:val="0"/>
        </w:numPr>
        <w:spacing w:after="0"/>
        <w:rPr>
          <w:sz w:val="16"/>
          <w:szCs w:val="16"/>
        </w:rPr>
      </w:pPr>
      <w:r w:rsidRPr="000051B6">
        <w:rPr>
          <w:sz w:val="16"/>
          <w:szCs w:val="16"/>
        </w:rPr>
        <w:t>(d)</w:t>
      </w:r>
      <w:r w:rsidRPr="000051B6">
        <w:rPr>
          <w:sz w:val="16"/>
          <w:szCs w:val="16"/>
        </w:rPr>
        <w:tab/>
        <w:t>AL</w:t>
      </w:r>
      <w:r w:rsidR="00F91FB9">
        <w:rPr>
          <w:sz w:val="16"/>
          <w:szCs w:val="16"/>
        </w:rPr>
        <w:t>oS means average length of stay</w:t>
      </w:r>
    </w:p>
    <w:p w:rsidR="00B44920" w:rsidRPr="000051B6" w:rsidRDefault="00B44920" w:rsidP="00F91FB9">
      <w:pPr>
        <w:pStyle w:val="Figureheadings"/>
        <w:spacing w:after="240"/>
        <w:rPr>
          <w:lang w:val="en-AU"/>
        </w:rPr>
      </w:pPr>
      <w:bookmarkStart w:id="182" w:name="_Toc435610631"/>
      <w:r w:rsidRPr="000051B6">
        <w:rPr>
          <w:lang w:val="en-AU"/>
        </w:rPr>
        <w:lastRenderedPageBreak/>
        <w:t xml:space="preserve">Figure </w:t>
      </w:r>
      <w:r w:rsidR="00E0217E" w:rsidRPr="000051B6">
        <w:rPr>
          <w:lang w:val="en-AU"/>
        </w:rPr>
        <w:t>8</w:t>
      </w:r>
      <w:r w:rsidRPr="000051B6">
        <w:rPr>
          <w:lang w:val="en-AU"/>
        </w:rPr>
        <w:tab/>
        <w:t xml:space="preserve">Top 20 AR-DRGs for </w:t>
      </w:r>
      <w:r w:rsidR="00111F19" w:rsidRPr="000051B6">
        <w:rPr>
          <w:lang w:val="en-AU"/>
        </w:rPr>
        <w:t>o</w:t>
      </w:r>
      <w:r w:rsidRPr="000051B6">
        <w:rPr>
          <w:lang w:val="en-AU"/>
        </w:rPr>
        <w:t>perating room/specialised procedure suite cost bucket</w:t>
      </w:r>
      <w:bookmarkEnd w:id="182"/>
    </w:p>
    <w:p w:rsidR="00B44920" w:rsidRPr="000051B6" w:rsidRDefault="0089577C">
      <w:pPr>
        <w:rPr>
          <w:highlight w:val="yellow"/>
        </w:rPr>
      </w:pPr>
      <w:r>
        <w:rPr>
          <w:noProof/>
          <w:snapToGrid/>
          <w:lang w:eastAsia="en-AU"/>
        </w:rPr>
        <mc:AlternateContent>
          <mc:Choice Requires="wps">
            <w:drawing>
              <wp:anchor distT="0" distB="0" distL="114300" distR="114300" simplePos="0" relativeHeight="251708416" behindDoc="0" locked="0" layoutInCell="1" allowOverlap="1" wp14:anchorId="3A9FCE77" wp14:editId="1FC089F1">
                <wp:simplePos x="0" y="0"/>
                <wp:positionH relativeFrom="column">
                  <wp:posOffset>680932</wp:posOffset>
                </wp:positionH>
                <wp:positionV relativeFrom="paragraph">
                  <wp:posOffset>166158</wp:posOffset>
                </wp:positionV>
                <wp:extent cx="465666" cy="3175000"/>
                <wp:effectExtent l="19050" t="19050" r="10795" b="25400"/>
                <wp:wrapNone/>
                <wp:docPr id="67" name="Oval 67"/>
                <wp:cNvGraphicFramePr/>
                <a:graphic xmlns:a="http://schemas.openxmlformats.org/drawingml/2006/main">
                  <a:graphicData uri="http://schemas.microsoft.com/office/word/2010/wordprocessingShape">
                    <wps:wsp>
                      <wps:cNvSpPr/>
                      <wps:spPr bwMode="ltGray">
                        <a:xfrm>
                          <a:off x="0" y="0"/>
                          <a:ext cx="465666" cy="3175000"/>
                        </a:xfrm>
                        <a:prstGeom prst="ellipse">
                          <a:avLst/>
                        </a:prstGeom>
                        <a:noFill/>
                        <a:ln w="349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 o:spid="_x0000_s1026" style="position:absolute;margin-left:53.6pt;margin-top:13.1pt;width:36.65pt;height:25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" filled="f" strokecolor="#511010 [1604]" strokeweight="2.75pt"/>
            </w:pict>
          </mc:Fallback>
        </mc:AlternateContent>
      </w:r>
      <w:r w:rsidR="00B44920" w:rsidRPr="000051B6">
        <w:rPr>
          <w:noProof/>
          <w:lang w:eastAsia="en-AU"/>
        </w:rPr>
        <w:drawing>
          <wp:inline distT="0" distB="0" distL="0" distR="0" wp14:anchorId="3878ACCE" wp14:editId="088A34E7">
            <wp:extent cx="8229600" cy="3708400"/>
            <wp:effectExtent l="0" t="0" r="0" b="6350"/>
            <wp:docPr id="46" name="Picture 46" descr="Figure 8 is a bar graph showing the Top 20 AR-DRGs ranked by the Operating Room and Special Procedure Suites cost bucket in Round 18 and their Operating Room and Special Procedure Suites cost bucket in Round 17. J01A has been circled." title="Figure 8 Top 20 AR-DRGs for operating room/specialised procedure suite cost 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237220" cy="3711834"/>
                    </a:xfrm>
                    <a:prstGeom prst="rect">
                      <a:avLst/>
                    </a:prstGeom>
                    <a:noFill/>
                    <a:ln>
                      <a:noFill/>
                    </a:ln>
                  </pic:spPr>
                </pic:pic>
              </a:graphicData>
            </a:graphic>
          </wp:inline>
        </w:drawing>
      </w:r>
      <w:r w:rsidR="00B44920" w:rsidRPr="000051B6">
        <w:rPr>
          <w:highlight w:val="yellow"/>
        </w:rPr>
        <w:t xml:space="preserve"> </w:t>
      </w:r>
    </w:p>
    <w:p w:rsidR="00AE2E92" w:rsidRPr="000051B6" w:rsidRDefault="00B44920">
      <w:pPr>
        <w:rPr>
          <w:highlight w:val="yellow"/>
        </w:rPr>
      </w:pPr>
      <w:r w:rsidRPr="000051B6">
        <w:rPr>
          <w:b/>
        </w:rPr>
        <w:t>Note:</w:t>
      </w:r>
      <w:r w:rsidRPr="000051B6">
        <w:t xml:space="preserve"> when a Round 17 bar is missing from the chart, this is because that AR-DRG was masked in Round 17 due to having less than 5 separations or having less than 3 hospitals with that AR-DRG.</w:t>
      </w:r>
      <w:r w:rsidR="00AE2E92" w:rsidRPr="000051B6">
        <w:rPr>
          <w:highlight w:val="yellow"/>
        </w:rPr>
        <w:br w:type="page"/>
      </w:r>
    </w:p>
    <w:p w:rsidR="003F7DF9" w:rsidRPr="000051B6" w:rsidRDefault="003F7DF9" w:rsidP="00AE2E92">
      <w:pPr>
        <w:pStyle w:val="Heading3"/>
        <w:sectPr w:rsidR="003F7DF9" w:rsidRPr="000051B6" w:rsidSect="009549BC">
          <w:pgSz w:w="16840" w:h="11907" w:orient="landscape" w:code="9"/>
          <w:pgMar w:top="1418" w:right="1021" w:bottom="1134" w:left="1021" w:header="567" w:footer="567" w:gutter="0"/>
          <w:cols w:space="227"/>
          <w:docGrid w:linePitch="360"/>
        </w:sectPr>
      </w:pPr>
    </w:p>
    <w:p w:rsidR="00AE2E92" w:rsidRPr="000051B6" w:rsidRDefault="00AE2E92" w:rsidP="00F91FB9">
      <w:pPr>
        <w:pStyle w:val="Heading3"/>
        <w:spacing w:after="240"/>
      </w:pPr>
      <w:r w:rsidRPr="000051B6">
        <w:lastRenderedPageBreak/>
        <w:t xml:space="preserve">Prostheses </w:t>
      </w:r>
      <w:r w:rsidR="00111F19" w:rsidRPr="000051B6">
        <w:t>cost bucket</w:t>
      </w:r>
    </w:p>
    <w:p w:rsidR="00AE2E92" w:rsidRPr="000051B6" w:rsidRDefault="00AE2E92" w:rsidP="00AE2E92">
      <w:pPr>
        <w:pStyle w:val="PwCNormal"/>
        <w:numPr>
          <w:ilvl w:val="0"/>
          <w:numId w:val="0"/>
        </w:numPr>
        <w:spacing w:after="0"/>
        <w:rPr>
          <w:color w:val="A32020" w:themeColor="text2"/>
        </w:rPr>
      </w:pPr>
      <w:r w:rsidRPr="000051B6">
        <w:rPr>
          <w:color w:val="A32020" w:themeColor="text2"/>
        </w:rPr>
        <w:t>Key findings</w:t>
      </w:r>
    </w:p>
    <w:p w:rsidR="00AE2E92" w:rsidRPr="000051B6" w:rsidRDefault="002F389C" w:rsidP="00F91FB9">
      <w:pPr>
        <w:pStyle w:val="PwCNormal"/>
        <w:numPr>
          <w:ilvl w:val="0"/>
          <w:numId w:val="0"/>
        </w:numPr>
      </w:pPr>
      <w:r>
        <w:t>T</w:t>
      </w:r>
      <w:r w:rsidR="00AE2E92" w:rsidRPr="000051B6">
        <w:t>he highest cost weigh</w:t>
      </w:r>
      <w:r w:rsidR="00563ABC">
        <w:t>t</w:t>
      </w:r>
      <w:r w:rsidR="00AE2E92" w:rsidRPr="000051B6">
        <w:t xml:space="preserve"> AR-DRG is </w:t>
      </w:r>
      <w:r w:rsidR="00404569" w:rsidRPr="000051B6">
        <w:t>F01A -Implantation or Rep</w:t>
      </w:r>
      <w:r w:rsidR="007F7944" w:rsidRPr="000051B6">
        <w:t>lacement of AICD, Total System with</w:t>
      </w:r>
      <w:r w:rsidR="00404569" w:rsidRPr="000051B6">
        <w:t xml:space="preserve"> Catastrophic CC</w:t>
      </w:r>
      <w:r>
        <w:t xml:space="preserve"> as displayed in table 13 and figure 9 (boxed)</w:t>
      </w:r>
      <w:r w:rsidR="00D264E9" w:rsidRPr="000051B6">
        <w:t>. T</w:t>
      </w:r>
      <w:r w:rsidR="00AE2E92" w:rsidRPr="000051B6">
        <w:t xml:space="preserve">his was ranked number </w:t>
      </w:r>
      <w:r w:rsidR="00EF041E">
        <w:t>one</w:t>
      </w:r>
      <w:r w:rsidR="00D05281" w:rsidRPr="000051B6">
        <w:t xml:space="preserve"> </w:t>
      </w:r>
      <w:r w:rsidR="00AE2E92" w:rsidRPr="000051B6">
        <w:t xml:space="preserve">last year </w:t>
      </w:r>
      <w:r w:rsidR="009435F9" w:rsidRPr="000051B6">
        <w:t>due to the high cost of the defibrillator prosthesis</w:t>
      </w:r>
      <w:r w:rsidR="00111F19" w:rsidRPr="000051B6">
        <w:t xml:space="preserve"> and increased activity.</w:t>
      </w:r>
    </w:p>
    <w:p w:rsidR="009435F9" w:rsidRPr="000051B6" w:rsidRDefault="002F389C" w:rsidP="00F91FB9">
      <w:pPr>
        <w:pStyle w:val="PwCNormal"/>
        <w:numPr>
          <w:ilvl w:val="0"/>
          <w:numId w:val="0"/>
        </w:numPr>
      </w:pPr>
      <w:r>
        <w:t>As demonstrated in table 13 t</w:t>
      </w:r>
      <w:r w:rsidR="00AE2E92" w:rsidRPr="000051B6">
        <w:t xml:space="preserve">he AR-DRGs listed in the top 20 are expected to be within this ranking given that </w:t>
      </w:r>
      <w:r w:rsidR="009435F9" w:rsidRPr="000051B6">
        <w:t>9</w:t>
      </w:r>
      <w:r w:rsidR="00AE2E92" w:rsidRPr="000051B6">
        <w:t>0% (1</w:t>
      </w:r>
      <w:r w:rsidR="009435F9" w:rsidRPr="000051B6">
        <w:t>8</w:t>
      </w:r>
      <w:r w:rsidR="00AE2E92" w:rsidRPr="000051B6">
        <w:t xml:space="preserve"> out of 20) are </w:t>
      </w:r>
      <w:r w:rsidR="009435F9" w:rsidRPr="000051B6">
        <w:t>known procedures to include an expensive prosthesis</w:t>
      </w:r>
      <w:r w:rsidR="00AE2E92" w:rsidRPr="000051B6">
        <w:t xml:space="preserve">. </w:t>
      </w:r>
    </w:p>
    <w:p w:rsidR="00AE2E92" w:rsidRPr="000051B6" w:rsidRDefault="002F389C" w:rsidP="00F91FB9">
      <w:pPr>
        <w:pStyle w:val="PwCNormal"/>
        <w:numPr>
          <w:ilvl w:val="0"/>
          <w:numId w:val="0"/>
        </w:numPr>
      </w:pPr>
      <w:r>
        <w:t>A</w:t>
      </w:r>
      <w:r w:rsidR="00AE2E92" w:rsidRPr="000051B6">
        <w:t xml:space="preserve">dditionally as </w:t>
      </w:r>
      <w:r w:rsidR="00EF041E">
        <w:t>anticipated</w:t>
      </w:r>
      <w:r w:rsidR="00AE2E92" w:rsidRPr="000051B6">
        <w:t xml:space="preserve"> these highly </w:t>
      </w:r>
      <w:r w:rsidR="009435F9" w:rsidRPr="000051B6">
        <w:t xml:space="preserve">expensive prosthesis procedures </w:t>
      </w:r>
      <w:r w:rsidR="00AE2E92" w:rsidRPr="000051B6">
        <w:t xml:space="preserve">only represent </w:t>
      </w:r>
      <w:r w:rsidR="009435F9" w:rsidRPr="000051B6">
        <w:t>1.1</w:t>
      </w:r>
      <w:r w:rsidR="00AE2E92" w:rsidRPr="000051B6">
        <w:t>% (</w:t>
      </w:r>
      <w:r w:rsidR="009435F9" w:rsidRPr="000051B6">
        <w:t>31,</w:t>
      </w:r>
      <w:r w:rsidR="00C5781B">
        <w:t>590</w:t>
      </w:r>
      <w:r w:rsidR="009435F9" w:rsidRPr="000051B6">
        <w:t xml:space="preserve"> </w:t>
      </w:r>
      <w:r w:rsidR="00C5781B">
        <w:t>population-adjusted</w:t>
      </w:r>
      <w:r w:rsidR="00AE2E92" w:rsidRPr="000051B6">
        <w:t xml:space="preserve"> separ</w:t>
      </w:r>
      <w:r w:rsidR="00116E8C">
        <w:t xml:space="preserve">ations) of the total population-adjusted </w:t>
      </w:r>
      <w:r w:rsidR="00AE2E92" w:rsidRPr="000051B6">
        <w:t xml:space="preserve">separations (2.83m </w:t>
      </w:r>
      <w:r w:rsidR="00C5781B">
        <w:t>population-adjusted separations</w:t>
      </w:r>
      <w:r w:rsidR="00AE2E92" w:rsidRPr="000051B6">
        <w:t>)</w:t>
      </w:r>
      <w:r w:rsidRPr="002F389C">
        <w:t xml:space="preserve"> </w:t>
      </w:r>
      <w:r>
        <w:t>circled in table 13</w:t>
      </w:r>
      <w:r w:rsidR="00AE2E92" w:rsidRPr="000051B6">
        <w:t>.</w:t>
      </w:r>
    </w:p>
    <w:p w:rsidR="00AE2E92" w:rsidRPr="000051B6" w:rsidRDefault="00AE2E92" w:rsidP="00AE2E92">
      <w:pPr>
        <w:pStyle w:val="PwCNormal"/>
        <w:numPr>
          <w:ilvl w:val="0"/>
          <w:numId w:val="0"/>
        </w:numPr>
        <w:spacing w:after="0"/>
        <w:rPr>
          <w:color w:val="A32020" w:themeColor="text2"/>
        </w:rPr>
      </w:pPr>
      <w:r w:rsidRPr="000051B6">
        <w:rPr>
          <w:color w:val="A32020" w:themeColor="text2"/>
        </w:rPr>
        <w:t>Consistencies between Round 17 and Round 18</w:t>
      </w:r>
    </w:p>
    <w:p w:rsidR="00AE2E92" w:rsidRPr="000051B6" w:rsidRDefault="009435F9" w:rsidP="00F91FB9">
      <w:pPr>
        <w:pStyle w:val="PwCNormal"/>
        <w:numPr>
          <w:ilvl w:val="0"/>
          <w:numId w:val="0"/>
        </w:numPr>
      </w:pPr>
      <w:r w:rsidRPr="000051B6">
        <w:t>90</w:t>
      </w:r>
      <w:r w:rsidR="00AE2E92" w:rsidRPr="000051B6">
        <w:t>% (1</w:t>
      </w:r>
      <w:r w:rsidRPr="000051B6">
        <w:t>8</w:t>
      </w:r>
      <w:r w:rsidR="00AE2E92" w:rsidRPr="000051B6">
        <w:t xml:space="preserve"> out of 20) of the top 20 AR-DRGs were included in R</w:t>
      </w:r>
      <w:r w:rsidRPr="000051B6">
        <w:t xml:space="preserve">ound 17’s results with the top 5 being ranked in the top </w:t>
      </w:r>
      <w:r w:rsidR="00F702B3" w:rsidRPr="000051B6">
        <w:t>five</w:t>
      </w:r>
      <w:r w:rsidR="00AE2E92" w:rsidRPr="000051B6">
        <w:t xml:space="preserve"> last year which indicates that these AR-DRGs are consuming similar amounts of </w:t>
      </w:r>
      <w:r w:rsidRPr="000051B6">
        <w:t xml:space="preserve">prosthetic </w:t>
      </w:r>
      <w:r w:rsidR="00AE2E92" w:rsidRPr="000051B6">
        <w:t>resources</w:t>
      </w:r>
      <w:r w:rsidR="00D264E9" w:rsidRPr="000051B6">
        <w:t xml:space="preserve">. </w:t>
      </w:r>
      <w:r w:rsidR="00AE2E92" w:rsidRPr="000051B6">
        <w:t xml:space="preserve"> </w:t>
      </w:r>
    </w:p>
    <w:p w:rsidR="000A2939" w:rsidRPr="000051B6" w:rsidRDefault="00D05281" w:rsidP="00F91FB9">
      <w:pPr>
        <w:pStyle w:val="PwCNormal"/>
        <w:numPr>
          <w:ilvl w:val="0"/>
          <w:numId w:val="0"/>
        </w:numPr>
      </w:pPr>
      <w:r w:rsidRPr="000051B6">
        <w:t>The average cost weight mov</w:t>
      </w:r>
      <w:r w:rsidR="00D264E9" w:rsidRPr="000051B6">
        <w:t>ed</w:t>
      </w:r>
      <w:r w:rsidRPr="000051B6">
        <w:t xml:space="preserve"> by -0.22</w:t>
      </w:r>
      <w:r w:rsidR="00DF56F9" w:rsidRPr="000051B6">
        <w:t xml:space="preserve"> between years indicating that this is a relatively stable cost bucket.</w:t>
      </w:r>
      <w:r w:rsidRPr="000051B6">
        <w:t xml:space="preserve"> </w:t>
      </w:r>
      <w:r w:rsidR="00DF56F9" w:rsidRPr="000051B6">
        <w:t xml:space="preserve"> The biggest </w:t>
      </w:r>
      <w:r w:rsidR="005F4A4F" w:rsidRPr="000051B6">
        <w:t>reduction</w:t>
      </w:r>
      <w:r w:rsidR="00DF56F9" w:rsidRPr="000051B6">
        <w:t xml:space="preserve"> was </w:t>
      </w:r>
      <w:r w:rsidRPr="000051B6">
        <w:t xml:space="preserve">F01A - Implantation or Replacement of AICD, Total System W Catastrophic CC </w:t>
      </w:r>
      <w:r w:rsidR="00DF56F9" w:rsidRPr="000051B6">
        <w:t xml:space="preserve">reducing its cost weight by -1.89.   </w:t>
      </w:r>
      <w:r w:rsidR="005F4A4F" w:rsidRPr="000051B6">
        <w:t xml:space="preserve">The biggest increase was </w:t>
      </w:r>
      <w:r w:rsidRPr="000051B6">
        <w:t>to A06A - Tracheostomy W Ventilation &gt;95 hours W Catastrophic CC</w:t>
      </w:r>
      <w:r w:rsidR="005F4A4F" w:rsidRPr="000051B6">
        <w:t xml:space="preserve"> increasing its cost weight by +5.44</w:t>
      </w:r>
      <w:r w:rsidRPr="000051B6">
        <w:t>.</w:t>
      </w:r>
      <w:r w:rsidR="000A2939" w:rsidRPr="000051B6">
        <w:t xml:space="preserve">  This relates to increased feeder data and allocation statistics being utilised and service weight changes between Rounds.</w:t>
      </w:r>
    </w:p>
    <w:p w:rsidR="008A658B" w:rsidRPr="000051B6" w:rsidRDefault="008A658B" w:rsidP="008A658B">
      <w:pPr>
        <w:pStyle w:val="PwCNormal"/>
        <w:numPr>
          <w:ilvl w:val="0"/>
          <w:numId w:val="0"/>
        </w:numPr>
        <w:spacing w:after="0"/>
        <w:rPr>
          <w:color w:val="A32020" w:themeColor="text2"/>
        </w:rPr>
      </w:pPr>
      <w:r w:rsidRPr="000051B6">
        <w:rPr>
          <w:color w:val="A32020" w:themeColor="text2"/>
        </w:rPr>
        <w:t xml:space="preserve">Key </w:t>
      </w:r>
      <w:r>
        <w:rPr>
          <w:color w:val="A32020" w:themeColor="text2"/>
        </w:rPr>
        <w:t xml:space="preserve">changes </w:t>
      </w:r>
      <w:r w:rsidRPr="000051B6">
        <w:rPr>
          <w:color w:val="A32020" w:themeColor="text2"/>
        </w:rPr>
        <w:t>in the top 20</w:t>
      </w:r>
    </w:p>
    <w:p w:rsidR="003F7DF9" w:rsidRPr="000051B6" w:rsidRDefault="009435F9" w:rsidP="00F91FB9">
      <w:pPr>
        <w:spacing w:after="240"/>
      </w:pPr>
      <w:r w:rsidRPr="000051B6">
        <w:t xml:space="preserve">F03A - Cardiac Valve Proc W CPB Pump with Invasive Cardiac Investigation with Cat CC </w:t>
      </w:r>
      <w:r w:rsidR="00C5781B">
        <w:t xml:space="preserve">(table 13 – circled) </w:t>
      </w:r>
      <w:r w:rsidRPr="000051B6">
        <w:t>was ranked 26 for Round 17 compared to this year ranked at 18.  The reason for this is that the data quality has improved by participants using feeder data for prostheses therefore this AR-DRG is now reflecting a more accurate cost of delivery.</w:t>
      </w:r>
      <w:r w:rsidR="003F7DF9" w:rsidRPr="000051B6">
        <w:br w:type="page"/>
      </w:r>
    </w:p>
    <w:p w:rsidR="003F7DF9" w:rsidRPr="000051B6" w:rsidRDefault="003F7DF9">
      <w:pPr>
        <w:rPr>
          <w:highlight w:val="yellow"/>
        </w:rPr>
        <w:sectPr w:rsidR="003F7DF9" w:rsidRPr="000051B6" w:rsidSect="009549BC">
          <w:pgSz w:w="11907" w:h="16840" w:code="9"/>
          <w:pgMar w:top="1588" w:right="1843" w:bottom="1418" w:left="1843" w:header="567" w:footer="567" w:gutter="0"/>
          <w:cols w:space="227"/>
          <w:docGrid w:linePitch="360"/>
        </w:sectPr>
      </w:pPr>
    </w:p>
    <w:p w:rsidR="00404569" w:rsidRPr="000051B6" w:rsidRDefault="00665BE8" w:rsidP="00C4130F">
      <w:pPr>
        <w:pStyle w:val="Tablesheadings"/>
        <w:spacing w:after="240"/>
        <w:rPr>
          <w:highlight w:val="yellow"/>
          <w:lang w:val="en-AU"/>
        </w:rPr>
      </w:pPr>
      <w:bookmarkStart w:id="183" w:name="_Toc435610618"/>
      <w:r>
        <w:rPr>
          <w:lang w:val="en-AU"/>
        </w:rPr>
        <w:lastRenderedPageBreak/>
        <w:t>Table 13</w:t>
      </w:r>
      <w:r w:rsidR="003F7DF9" w:rsidRPr="000051B6">
        <w:rPr>
          <w:lang w:val="en-AU"/>
        </w:rPr>
        <w:tab/>
        <w:t xml:space="preserve">Top 20 AR-DRGs for </w:t>
      </w:r>
      <w:r w:rsidR="00111F19" w:rsidRPr="000051B6">
        <w:rPr>
          <w:lang w:val="en-AU"/>
        </w:rPr>
        <w:t>p</w:t>
      </w:r>
      <w:r w:rsidR="003F7DF9" w:rsidRPr="000051B6">
        <w:rPr>
          <w:lang w:val="en-AU"/>
        </w:rPr>
        <w:t>rostheses cost bucket</w:t>
      </w:r>
      <w:bookmarkEnd w:id="183"/>
    </w:p>
    <w:tbl>
      <w:tblPr>
        <w:tblW w:w="5000" w:type="pct"/>
        <w:tblLook w:val="04A0" w:firstRow="1" w:lastRow="0" w:firstColumn="1" w:lastColumn="0" w:noHBand="0" w:noVBand="1"/>
        <w:tblCaption w:val="Table 13 Top 20 AR-DRGs for prostheses cost bucket"/>
        <w:tblDescription w:val="Table 13 shows the Top 20 AR-DRGs ranked by highest Prosthesis cost bucket. There are separate columns for whether or not the AR-DRG was in the Top 20 in Round 17, its rank in Round 18, the AR-DRG, the AR-DRG’s description, the Prosthesis cost weight, the number of weighted separations, overall cost weight, average length of stay, the percentage of AR-DRG total cost divided into Operating Room and Special Procedure Suites, Critical care, Prosthesis and Miscellaneous, and the Round 17 Prosthesis cost weight. AR-DRG F01A has been circled as it was referred to in the preceding text. At the bottom of the table, for some of the columns are rows for the sub-totals for the top 20 and totals for all AR-DRGs as well as the percentage of the total made up by the top 20."/>
      </w:tblPr>
      <w:tblGrid>
        <w:gridCol w:w="846"/>
        <w:gridCol w:w="771"/>
        <w:gridCol w:w="621"/>
        <w:gridCol w:w="4974"/>
        <w:gridCol w:w="829"/>
        <w:gridCol w:w="1180"/>
        <w:gridCol w:w="819"/>
        <w:gridCol w:w="733"/>
        <w:gridCol w:w="536"/>
        <w:gridCol w:w="826"/>
        <w:gridCol w:w="1080"/>
        <w:gridCol w:w="726"/>
        <w:gridCol w:w="1073"/>
      </w:tblGrid>
      <w:tr w:rsidR="00660308" w:rsidRPr="00660308" w:rsidTr="00660308">
        <w:trPr>
          <w:trHeight w:val="168"/>
        </w:trPr>
        <w:tc>
          <w:tcPr>
            <w:tcW w:w="296" w:type="pct"/>
            <w:vMerge w:val="restart"/>
            <w:tcBorders>
              <w:top w:val="single" w:sz="4" w:space="0" w:color="auto"/>
              <w:left w:val="nil"/>
              <w:bottom w:val="single" w:sz="4" w:space="0" w:color="000000"/>
              <w:right w:val="nil"/>
            </w:tcBorders>
            <w:shd w:val="clear" w:color="auto" w:fill="auto"/>
            <w:hideMark/>
          </w:tcPr>
          <w:p w:rsidR="00660308" w:rsidRPr="00660308" w:rsidRDefault="00660308" w:rsidP="00660308">
            <w:pPr>
              <w:jc w:val="center"/>
              <w:rPr>
                <w:b/>
                <w:bCs/>
                <w:snapToGrid/>
                <w:color w:val="A32020"/>
                <w:sz w:val="16"/>
                <w:szCs w:val="16"/>
                <w:lang w:eastAsia="en-AU"/>
              </w:rPr>
            </w:pPr>
            <w:r>
              <w:rPr>
                <w:noProof/>
                <w:snapToGrid/>
                <w:lang w:eastAsia="en-AU"/>
              </w:rPr>
              <mc:AlternateContent>
                <mc:Choice Requires="wps">
                  <w:drawing>
                    <wp:anchor distT="0" distB="0" distL="114300" distR="114300" simplePos="0" relativeHeight="251714560" behindDoc="0" locked="0" layoutInCell="1" allowOverlap="1" wp14:anchorId="391C4222" wp14:editId="0C21DF62">
                      <wp:simplePos x="0" y="0"/>
                      <wp:positionH relativeFrom="column">
                        <wp:posOffset>-15875</wp:posOffset>
                      </wp:positionH>
                      <wp:positionV relativeFrom="paragraph">
                        <wp:posOffset>686435</wp:posOffset>
                      </wp:positionV>
                      <wp:extent cx="9486900" cy="228600"/>
                      <wp:effectExtent l="0" t="0" r="19050" b="19050"/>
                      <wp:wrapNone/>
                      <wp:docPr id="72" name="Rectangle 72"/>
                      <wp:cNvGraphicFramePr/>
                      <a:graphic xmlns:a="http://schemas.openxmlformats.org/drawingml/2006/main">
                        <a:graphicData uri="http://schemas.microsoft.com/office/word/2010/wordprocessingShape">
                          <wps:wsp>
                            <wps:cNvSpPr/>
                            <wps:spPr bwMode="ltGray">
                              <a:xfrm>
                                <a:off x="0" y="0"/>
                                <a:ext cx="9486900" cy="228600"/>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 o:spid="_x0000_s1026" style="position:absolute;margin-left:-1.25pt;margin-top:54.05pt;width:747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" filled="f" strokecolor="#511010 [1604]" strokeweight="1.75pt"/>
                  </w:pict>
                </mc:Fallback>
              </mc:AlternateContent>
            </w:r>
            <w:r w:rsidRPr="00660308">
              <w:rPr>
                <w:b/>
                <w:bCs/>
                <w:snapToGrid/>
                <w:color w:val="A32020"/>
                <w:sz w:val="16"/>
                <w:szCs w:val="16"/>
                <w:lang w:eastAsia="en-AU"/>
              </w:rPr>
              <w:t>Top 20 Round 17</w:t>
            </w:r>
          </w:p>
        </w:tc>
        <w:tc>
          <w:tcPr>
            <w:tcW w:w="261" w:type="pct"/>
            <w:vMerge w:val="restart"/>
            <w:tcBorders>
              <w:top w:val="single" w:sz="4" w:space="0" w:color="auto"/>
              <w:left w:val="nil"/>
              <w:bottom w:val="single" w:sz="4" w:space="0" w:color="000000"/>
              <w:right w:val="nil"/>
            </w:tcBorders>
            <w:shd w:val="clear" w:color="auto" w:fill="auto"/>
            <w:hideMark/>
          </w:tcPr>
          <w:p w:rsidR="00660308" w:rsidRPr="00660308" w:rsidRDefault="00660308" w:rsidP="00660308">
            <w:pPr>
              <w:jc w:val="center"/>
              <w:rPr>
                <w:b/>
                <w:bCs/>
                <w:snapToGrid/>
                <w:color w:val="A32020"/>
                <w:sz w:val="16"/>
                <w:szCs w:val="16"/>
                <w:lang w:eastAsia="en-AU"/>
              </w:rPr>
            </w:pPr>
            <w:r w:rsidRPr="00660308">
              <w:rPr>
                <w:b/>
                <w:bCs/>
                <w:snapToGrid/>
                <w:color w:val="A32020"/>
                <w:sz w:val="16"/>
                <w:szCs w:val="16"/>
                <w:lang w:eastAsia="en-AU"/>
              </w:rPr>
              <w:t>Rank Round 18</w:t>
            </w:r>
          </w:p>
        </w:tc>
        <w:tc>
          <w:tcPr>
            <w:tcW w:w="210" w:type="pct"/>
            <w:vMerge w:val="restart"/>
            <w:tcBorders>
              <w:top w:val="single" w:sz="4" w:space="0" w:color="auto"/>
              <w:left w:val="nil"/>
              <w:bottom w:val="single" w:sz="4" w:space="0" w:color="000000"/>
              <w:right w:val="nil"/>
            </w:tcBorders>
            <w:shd w:val="clear" w:color="auto" w:fill="auto"/>
            <w:hideMark/>
          </w:tcPr>
          <w:p w:rsidR="00660308" w:rsidRPr="00660308" w:rsidRDefault="00660308" w:rsidP="00660308">
            <w:pPr>
              <w:jc w:val="center"/>
              <w:rPr>
                <w:b/>
                <w:bCs/>
                <w:snapToGrid/>
                <w:color w:val="A32020"/>
                <w:sz w:val="16"/>
                <w:szCs w:val="16"/>
                <w:lang w:eastAsia="en-AU"/>
              </w:rPr>
            </w:pPr>
            <w:r w:rsidRPr="00660308">
              <w:rPr>
                <w:b/>
                <w:bCs/>
                <w:snapToGrid/>
                <w:color w:val="A32020"/>
                <w:sz w:val="16"/>
                <w:szCs w:val="16"/>
                <w:lang w:eastAsia="en-AU"/>
              </w:rPr>
              <w:t>AR-DRG</w:t>
            </w:r>
          </w:p>
        </w:tc>
        <w:tc>
          <w:tcPr>
            <w:tcW w:w="1686" w:type="pct"/>
            <w:vMerge w:val="restart"/>
            <w:tcBorders>
              <w:top w:val="single" w:sz="4" w:space="0" w:color="auto"/>
              <w:left w:val="nil"/>
              <w:bottom w:val="single" w:sz="4" w:space="0" w:color="000000"/>
              <w:right w:val="nil"/>
            </w:tcBorders>
            <w:shd w:val="clear" w:color="auto" w:fill="auto"/>
            <w:hideMark/>
          </w:tcPr>
          <w:p w:rsidR="00660308" w:rsidRPr="00660308" w:rsidRDefault="00660308" w:rsidP="00660308">
            <w:pPr>
              <w:jc w:val="center"/>
              <w:rPr>
                <w:b/>
                <w:bCs/>
                <w:snapToGrid/>
                <w:color w:val="A32020"/>
                <w:sz w:val="16"/>
                <w:szCs w:val="16"/>
                <w:lang w:eastAsia="en-AU"/>
              </w:rPr>
            </w:pPr>
            <w:r w:rsidRPr="00660308">
              <w:rPr>
                <w:b/>
                <w:bCs/>
                <w:snapToGrid/>
                <w:color w:val="A32020"/>
                <w:sz w:val="16"/>
                <w:szCs w:val="16"/>
                <w:lang w:eastAsia="en-AU"/>
              </w:rPr>
              <w:t>AR-DRG Description</w:t>
            </w:r>
          </w:p>
        </w:tc>
        <w:tc>
          <w:tcPr>
            <w:tcW w:w="280" w:type="pct"/>
            <w:vMerge w:val="restart"/>
            <w:tcBorders>
              <w:top w:val="single" w:sz="4" w:space="0" w:color="auto"/>
              <w:left w:val="nil"/>
              <w:bottom w:val="single" w:sz="4" w:space="0" w:color="000000"/>
              <w:right w:val="nil"/>
            </w:tcBorders>
            <w:shd w:val="clear" w:color="000000" w:fill="F4CACA"/>
            <w:hideMark/>
          </w:tcPr>
          <w:p w:rsidR="00660308" w:rsidRPr="00660308" w:rsidRDefault="00660308" w:rsidP="00660308">
            <w:pPr>
              <w:jc w:val="center"/>
              <w:rPr>
                <w:b/>
                <w:bCs/>
                <w:snapToGrid/>
                <w:color w:val="A32020"/>
                <w:sz w:val="16"/>
                <w:szCs w:val="16"/>
                <w:lang w:eastAsia="en-AU"/>
              </w:rPr>
            </w:pPr>
            <w:r w:rsidRPr="00660308">
              <w:rPr>
                <w:b/>
                <w:bCs/>
                <w:snapToGrid/>
                <w:color w:val="A32020"/>
                <w:sz w:val="16"/>
                <w:szCs w:val="16"/>
                <w:lang w:eastAsia="en-AU"/>
              </w:rPr>
              <w:t>Prosth-esis cost weight</w:t>
            </w:r>
            <w:r w:rsidRPr="00660308">
              <w:rPr>
                <w:b/>
                <w:bCs/>
                <w:snapToGrid/>
                <w:color w:val="A32020"/>
                <w:sz w:val="16"/>
                <w:szCs w:val="16"/>
                <w:lang w:eastAsia="en-AU"/>
              </w:rPr>
              <w:br/>
              <w:t>(a)</w:t>
            </w:r>
          </w:p>
        </w:tc>
        <w:tc>
          <w:tcPr>
            <w:tcW w:w="348" w:type="pct"/>
            <w:vMerge w:val="restart"/>
            <w:tcBorders>
              <w:top w:val="single" w:sz="4" w:space="0" w:color="auto"/>
              <w:left w:val="nil"/>
              <w:bottom w:val="single" w:sz="4" w:space="0" w:color="000000"/>
              <w:right w:val="nil"/>
            </w:tcBorders>
            <w:shd w:val="clear" w:color="auto" w:fill="auto"/>
            <w:hideMark/>
          </w:tcPr>
          <w:p w:rsidR="00DD1929" w:rsidRDefault="00DD1929" w:rsidP="00DD1929">
            <w:pPr>
              <w:jc w:val="center"/>
              <w:rPr>
                <w:b/>
                <w:bCs/>
                <w:snapToGrid/>
                <w:color w:val="A32020"/>
                <w:sz w:val="16"/>
                <w:szCs w:val="16"/>
                <w:lang w:eastAsia="en-AU"/>
              </w:rPr>
            </w:pPr>
            <w:r w:rsidRPr="00660308">
              <w:rPr>
                <w:b/>
                <w:bCs/>
                <w:snapToGrid/>
                <w:color w:val="A32020"/>
                <w:sz w:val="16"/>
                <w:szCs w:val="16"/>
                <w:lang w:eastAsia="en-AU"/>
              </w:rPr>
              <w:t xml:space="preserve">No. of </w:t>
            </w:r>
            <w:r>
              <w:rPr>
                <w:b/>
                <w:bCs/>
                <w:snapToGrid/>
                <w:color w:val="A32020"/>
                <w:sz w:val="16"/>
                <w:szCs w:val="16"/>
                <w:lang w:eastAsia="en-AU"/>
              </w:rPr>
              <w:t>population-adjusted</w:t>
            </w:r>
            <w:r w:rsidRPr="00660308">
              <w:rPr>
                <w:b/>
                <w:bCs/>
                <w:snapToGrid/>
                <w:color w:val="A32020"/>
                <w:sz w:val="16"/>
                <w:szCs w:val="16"/>
                <w:lang w:eastAsia="en-AU"/>
              </w:rPr>
              <w:t xml:space="preserve"> seps</w:t>
            </w:r>
          </w:p>
          <w:p w:rsidR="00660308" w:rsidRPr="00660308" w:rsidRDefault="00DD1929" w:rsidP="00DD1929">
            <w:pPr>
              <w:jc w:val="center"/>
              <w:rPr>
                <w:b/>
                <w:bCs/>
                <w:snapToGrid/>
                <w:color w:val="A32020"/>
                <w:sz w:val="16"/>
                <w:szCs w:val="16"/>
                <w:lang w:eastAsia="en-AU"/>
              </w:rPr>
            </w:pPr>
            <w:r>
              <w:rPr>
                <w:b/>
                <w:bCs/>
                <w:snapToGrid/>
                <w:color w:val="A32020"/>
                <w:sz w:val="16"/>
                <w:szCs w:val="16"/>
                <w:lang w:eastAsia="en-AU"/>
              </w:rPr>
              <w:t>(b)</w:t>
            </w:r>
            <w:r w:rsidRPr="00660308">
              <w:rPr>
                <w:b/>
                <w:bCs/>
                <w:snapToGrid/>
                <w:color w:val="A32020"/>
                <w:sz w:val="16"/>
                <w:szCs w:val="16"/>
                <w:lang w:eastAsia="en-AU"/>
              </w:rPr>
              <w:br/>
            </w:r>
          </w:p>
        </w:tc>
        <w:tc>
          <w:tcPr>
            <w:tcW w:w="277" w:type="pct"/>
            <w:vMerge w:val="restart"/>
            <w:tcBorders>
              <w:top w:val="single" w:sz="4" w:space="0" w:color="auto"/>
              <w:left w:val="nil"/>
              <w:bottom w:val="single" w:sz="4" w:space="0" w:color="000000"/>
              <w:right w:val="nil"/>
            </w:tcBorders>
            <w:shd w:val="clear" w:color="auto" w:fill="auto"/>
            <w:hideMark/>
          </w:tcPr>
          <w:p w:rsidR="00660308" w:rsidRPr="00660308" w:rsidRDefault="00660308" w:rsidP="00660308">
            <w:pPr>
              <w:jc w:val="center"/>
              <w:rPr>
                <w:b/>
                <w:bCs/>
                <w:snapToGrid/>
                <w:color w:val="A32020"/>
                <w:sz w:val="16"/>
                <w:szCs w:val="16"/>
                <w:lang w:eastAsia="en-AU"/>
              </w:rPr>
            </w:pPr>
            <w:r w:rsidRPr="00660308">
              <w:rPr>
                <w:b/>
                <w:bCs/>
                <w:snapToGrid/>
                <w:color w:val="A32020"/>
                <w:sz w:val="16"/>
                <w:szCs w:val="16"/>
                <w:lang w:eastAsia="en-AU"/>
              </w:rPr>
              <w:t>Overall cost weight</w:t>
            </w:r>
            <w:r w:rsidRPr="00660308">
              <w:rPr>
                <w:b/>
                <w:bCs/>
                <w:snapToGrid/>
                <w:color w:val="A32020"/>
                <w:sz w:val="16"/>
                <w:szCs w:val="16"/>
                <w:lang w:eastAsia="en-AU"/>
              </w:rPr>
              <w:br/>
              <w:t>(c)</w:t>
            </w:r>
          </w:p>
        </w:tc>
        <w:tc>
          <w:tcPr>
            <w:tcW w:w="248" w:type="pct"/>
            <w:vMerge w:val="restart"/>
            <w:tcBorders>
              <w:top w:val="single" w:sz="4" w:space="0" w:color="auto"/>
              <w:left w:val="nil"/>
              <w:bottom w:val="single" w:sz="4" w:space="0" w:color="000000"/>
              <w:right w:val="single" w:sz="4" w:space="0" w:color="000000"/>
            </w:tcBorders>
            <w:shd w:val="clear" w:color="auto" w:fill="auto"/>
            <w:hideMark/>
          </w:tcPr>
          <w:p w:rsidR="00660308" w:rsidRPr="00660308" w:rsidRDefault="00660308" w:rsidP="00660308">
            <w:pPr>
              <w:jc w:val="center"/>
              <w:rPr>
                <w:b/>
                <w:bCs/>
                <w:snapToGrid/>
                <w:color w:val="A32020"/>
                <w:sz w:val="16"/>
                <w:szCs w:val="16"/>
                <w:lang w:eastAsia="en-AU"/>
              </w:rPr>
            </w:pPr>
            <w:r w:rsidRPr="00660308">
              <w:rPr>
                <w:b/>
                <w:bCs/>
                <w:snapToGrid/>
                <w:color w:val="A32020"/>
                <w:sz w:val="16"/>
                <w:szCs w:val="16"/>
                <w:lang w:eastAsia="en-AU"/>
              </w:rPr>
              <w:t>ALoS (days)</w:t>
            </w:r>
            <w:r w:rsidRPr="00660308">
              <w:rPr>
                <w:b/>
                <w:bCs/>
                <w:snapToGrid/>
                <w:color w:val="A32020"/>
                <w:sz w:val="16"/>
                <w:szCs w:val="16"/>
                <w:lang w:eastAsia="en-AU"/>
              </w:rPr>
              <w:br/>
              <w:t>(e)</w:t>
            </w:r>
          </w:p>
        </w:tc>
        <w:tc>
          <w:tcPr>
            <w:tcW w:w="1033" w:type="pct"/>
            <w:gridSpan w:val="4"/>
            <w:tcBorders>
              <w:top w:val="single" w:sz="4" w:space="0" w:color="auto"/>
              <w:left w:val="single" w:sz="4" w:space="0" w:color="000000"/>
              <w:bottom w:val="single" w:sz="4" w:space="0" w:color="auto"/>
              <w:right w:val="nil"/>
            </w:tcBorders>
            <w:shd w:val="clear" w:color="auto" w:fill="auto"/>
            <w:noWrap/>
            <w:hideMark/>
          </w:tcPr>
          <w:p w:rsidR="00660308" w:rsidRPr="00660308" w:rsidRDefault="00660308" w:rsidP="00660308">
            <w:pPr>
              <w:jc w:val="center"/>
              <w:rPr>
                <w:b/>
                <w:bCs/>
                <w:snapToGrid/>
                <w:color w:val="A32020"/>
                <w:sz w:val="16"/>
                <w:szCs w:val="16"/>
                <w:lang w:eastAsia="en-AU"/>
              </w:rPr>
            </w:pPr>
            <w:r w:rsidRPr="00660308">
              <w:rPr>
                <w:b/>
                <w:bCs/>
                <w:snapToGrid/>
                <w:color w:val="A32020"/>
                <w:sz w:val="16"/>
                <w:szCs w:val="16"/>
                <w:lang w:eastAsia="en-AU"/>
              </w:rPr>
              <w:t>% of AR-DRG total cost</w:t>
            </w:r>
          </w:p>
        </w:tc>
        <w:tc>
          <w:tcPr>
            <w:tcW w:w="363" w:type="pct"/>
            <w:vMerge w:val="restart"/>
            <w:tcBorders>
              <w:top w:val="single" w:sz="4" w:space="0" w:color="auto"/>
              <w:left w:val="single" w:sz="4" w:space="0" w:color="auto"/>
              <w:bottom w:val="single" w:sz="4" w:space="0" w:color="000000"/>
              <w:right w:val="nil"/>
            </w:tcBorders>
            <w:shd w:val="clear" w:color="auto" w:fill="auto"/>
            <w:hideMark/>
          </w:tcPr>
          <w:p w:rsidR="00660308" w:rsidRPr="00660308" w:rsidRDefault="00660308" w:rsidP="00660308">
            <w:pPr>
              <w:jc w:val="center"/>
              <w:rPr>
                <w:b/>
                <w:bCs/>
                <w:snapToGrid/>
                <w:color w:val="A32020"/>
                <w:sz w:val="16"/>
                <w:szCs w:val="16"/>
                <w:lang w:eastAsia="en-AU"/>
              </w:rPr>
            </w:pPr>
            <w:r w:rsidRPr="00660308">
              <w:rPr>
                <w:b/>
                <w:bCs/>
                <w:snapToGrid/>
                <w:color w:val="A32020"/>
                <w:sz w:val="16"/>
                <w:szCs w:val="16"/>
                <w:lang w:eastAsia="en-AU"/>
              </w:rPr>
              <w:t>Round 17 prosthesis cost weight</w:t>
            </w:r>
          </w:p>
        </w:tc>
      </w:tr>
      <w:tr w:rsidR="00660308" w:rsidRPr="00660308" w:rsidTr="00660308">
        <w:trPr>
          <w:trHeight w:val="182"/>
        </w:trPr>
        <w:tc>
          <w:tcPr>
            <w:tcW w:w="296" w:type="pct"/>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261" w:type="pct"/>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210" w:type="pct"/>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1686" w:type="pct"/>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280" w:type="pct"/>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348" w:type="pct"/>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277" w:type="pct"/>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248" w:type="pct"/>
            <w:vMerge/>
            <w:tcBorders>
              <w:top w:val="single" w:sz="4" w:space="0" w:color="auto"/>
              <w:left w:val="nil"/>
              <w:bottom w:val="single" w:sz="4" w:space="0" w:color="000000"/>
              <w:right w:val="single" w:sz="4" w:space="0" w:color="000000"/>
            </w:tcBorders>
            <w:vAlign w:val="center"/>
            <w:hideMark/>
          </w:tcPr>
          <w:p w:rsidR="00660308" w:rsidRPr="00660308" w:rsidRDefault="00660308" w:rsidP="00660308">
            <w:pPr>
              <w:rPr>
                <w:b/>
                <w:bCs/>
                <w:snapToGrid/>
                <w:color w:val="A32020"/>
                <w:sz w:val="16"/>
                <w:szCs w:val="16"/>
                <w:lang w:eastAsia="en-AU"/>
              </w:rPr>
            </w:pPr>
          </w:p>
        </w:tc>
        <w:tc>
          <w:tcPr>
            <w:tcW w:w="181" w:type="pct"/>
            <w:vMerge w:val="restart"/>
            <w:tcBorders>
              <w:top w:val="nil"/>
              <w:left w:val="single" w:sz="4" w:space="0" w:color="000000"/>
              <w:bottom w:val="single" w:sz="4" w:space="0" w:color="000000"/>
              <w:right w:val="nil"/>
            </w:tcBorders>
            <w:shd w:val="clear" w:color="auto" w:fill="auto"/>
            <w:hideMark/>
          </w:tcPr>
          <w:p w:rsidR="00660308" w:rsidRPr="00660308" w:rsidRDefault="00660308" w:rsidP="00660308">
            <w:pPr>
              <w:jc w:val="center"/>
              <w:rPr>
                <w:b/>
                <w:bCs/>
                <w:snapToGrid/>
                <w:color w:val="A32020"/>
                <w:sz w:val="16"/>
                <w:szCs w:val="16"/>
                <w:lang w:eastAsia="en-AU"/>
              </w:rPr>
            </w:pPr>
            <w:r w:rsidRPr="00660308">
              <w:rPr>
                <w:b/>
                <w:bCs/>
                <w:snapToGrid/>
                <w:color w:val="A32020"/>
                <w:sz w:val="16"/>
                <w:szCs w:val="16"/>
                <w:lang w:eastAsia="en-AU"/>
              </w:rPr>
              <w:t>OR and SPS</w:t>
            </w:r>
          </w:p>
        </w:tc>
        <w:tc>
          <w:tcPr>
            <w:tcW w:w="279" w:type="pct"/>
            <w:vMerge w:val="restart"/>
            <w:tcBorders>
              <w:top w:val="nil"/>
              <w:left w:val="nil"/>
              <w:bottom w:val="single" w:sz="4" w:space="0" w:color="000000"/>
              <w:right w:val="nil"/>
            </w:tcBorders>
            <w:shd w:val="clear" w:color="auto" w:fill="auto"/>
            <w:hideMark/>
          </w:tcPr>
          <w:p w:rsidR="00660308" w:rsidRPr="00660308" w:rsidRDefault="00660308" w:rsidP="00660308">
            <w:pPr>
              <w:jc w:val="center"/>
              <w:rPr>
                <w:b/>
                <w:bCs/>
                <w:snapToGrid/>
                <w:color w:val="A32020"/>
                <w:sz w:val="16"/>
                <w:szCs w:val="16"/>
                <w:lang w:eastAsia="en-AU"/>
              </w:rPr>
            </w:pPr>
            <w:r w:rsidRPr="00660308">
              <w:rPr>
                <w:b/>
                <w:bCs/>
                <w:snapToGrid/>
                <w:color w:val="A32020"/>
                <w:sz w:val="16"/>
                <w:szCs w:val="16"/>
                <w:lang w:eastAsia="en-AU"/>
              </w:rPr>
              <w:t>Critical care</w:t>
            </w:r>
          </w:p>
        </w:tc>
        <w:tc>
          <w:tcPr>
            <w:tcW w:w="280" w:type="pct"/>
            <w:vMerge w:val="restart"/>
            <w:tcBorders>
              <w:top w:val="nil"/>
              <w:left w:val="nil"/>
              <w:bottom w:val="single" w:sz="4" w:space="0" w:color="000000"/>
              <w:right w:val="nil"/>
            </w:tcBorders>
            <w:shd w:val="clear" w:color="auto" w:fill="auto"/>
            <w:hideMark/>
          </w:tcPr>
          <w:p w:rsidR="00660308" w:rsidRPr="00660308" w:rsidRDefault="00660308" w:rsidP="00805489">
            <w:pPr>
              <w:jc w:val="center"/>
              <w:rPr>
                <w:b/>
                <w:bCs/>
                <w:snapToGrid/>
                <w:color w:val="A32020"/>
                <w:sz w:val="16"/>
                <w:szCs w:val="16"/>
                <w:lang w:eastAsia="en-AU"/>
              </w:rPr>
            </w:pPr>
            <w:r w:rsidRPr="00660308">
              <w:rPr>
                <w:b/>
                <w:bCs/>
                <w:snapToGrid/>
                <w:color w:val="A32020"/>
                <w:sz w:val="16"/>
                <w:szCs w:val="16"/>
                <w:lang w:eastAsia="en-AU"/>
              </w:rPr>
              <w:t>Prosthesis</w:t>
            </w:r>
          </w:p>
        </w:tc>
        <w:tc>
          <w:tcPr>
            <w:tcW w:w="293" w:type="pct"/>
            <w:vMerge w:val="restart"/>
            <w:tcBorders>
              <w:top w:val="nil"/>
              <w:left w:val="nil"/>
              <w:bottom w:val="single" w:sz="4" w:space="0" w:color="000000"/>
              <w:right w:val="nil"/>
            </w:tcBorders>
            <w:shd w:val="clear" w:color="auto" w:fill="auto"/>
            <w:hideMark/>
          </w:tcPr>
          <w:p w:rsidR="00660308" w:rsidRPr="00660308" w:rsidRDefault="00805489" w:rsidP="00805489">
            <w:pPr>
              <w:jc w:val="center"/>
              <w:rPr>
                <w:b/>
                <w:bCs/>
                <w:snapToGrid/>
                <w:color w:val="A32020"/>
                <w:sz w:val="16"/>
                <w:szCs w:val="16"/>
                <w:lang w:eastAsia="en-AU"/>
              </w:rPr>
            </w:pPr>
            <w:r>
              <w:rPr>
                <w:b/>
                <w:bCs/>
                <w:snapToGrid/>
                <w:color w:val="A32020"/>
                <w:sz w:val="16"/>
                <w:szCs w:val="16"/>
                <w:lang w:eastAsia="en-AU"/>
              </w:rPr>
              <w:t>Misc.</w:t>
            </w:r>
            <w:r w:rsidR="00660308" w:rsidRPr="00660308">
              <w:rPr>
                <w:b/>
                <w:bCs/>
                <w:snapToGrid/>
                <w:color w:val="A32020"/>
                <w:sz w:val="16"/>
                <w:szCs w:val="16"/>
                <w:lang w:eastAsia="en-AU"/>
              </w:rPr>
              <w:t xml:space="preserve"> </w:t>
            </w:r>
          </w:p>
        </w:tc>
        <w:tc>
          <w:tcPr>
            <w:tcW w:w="363" w:type="pct"/>
            <w:vMerge/>
            <w:tcBorders>
              <w:top w:val="single" w:sz="4" w:space="0" w:color="auto"/>
              <w:left w:val="single" w:sz="4" w:space="0" w:color="auto"/>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r>
      <w:tr w:rsidR="00660308" w:rsidRPr="00660308" w:rsidTr="00660308">
        <w:trPr>
          <w:trHeight w:val="182"/>
        </w:trPr>
        <w:tc>
          <w:tcPr>
            <w:tcW w:w="296" w:type="pct"/>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261" w:type="pct"/>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210" w:type="pct"/>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1686" w:type="pct"/>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280" w:type="pct"/>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348" w:type="pct"/>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277" w:type="pct"/>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248" w:type="pct"/>
            <w:vMerge/>
            <w:tcBorders>
              <w:top w:val="single" w:sz="4" w:space="0" w:color="auto"/>
              <w:left w:val="nil"/>
              <w:bottom w:val="single" w:sz="4" w:space="0" w:color="000000"/>
              <w:right w:val="single" w:sz="4" w:space="0" w:color="000000"/>
            </w:tcBorders>
            <w:vAlign w:val="center"/>
            <w:hideMark/>
          </w:tcPr>
          <w:p w:rsidR="00660308" w:rsidRPr="00660308" w:rsidRDefault="00660308" w:rsidP="00660308">
            <w:pPr>
              <w:rPr>
                <w:b/>
                <w:bCs/>
                <w:snapToGrid/>
                <w:color w:val="A32020"/>
                <w:sz w:val="16"/>
                <w:szCs w:val="16"/>
                <w:lang w:eastAsia="en-AU"/>
              </w:rPr>
            </w:pPr>
          </w:p>
        </w:tc>
        <w:tc>
          <w:tcPr>
            <w:tcW w:w="181" w:type="pct"/>
            <w:vMerge/>
            <w:tcBorders>
              <w:top w:val="nil"/>
              <w:left w:val="single" w:sz="4" w:space="0" w:color="000000"/>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279" w:type="pct"/>
            <w:vMerge/>
            <w:tcBorders>
              <w:top w:val="nil"/>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280" w:type="pct"/>
            <w:vMerge/>
            <w:tcBorders>
              <w:top w:val="nil"/>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293" w:type="pct"/>
            <w:vMerge/>
            <w:tcBorders>
              <w:top w:val="nil"/>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363" w:type="pct"/>
            <w:vMerge/>
            <w:tcBorders>
              <w:top w:val="single" w:sz="4" w:space="0" w:color="auto"/>
              <w:left w:val="single" w:sz="4" w:space="0" w:color="auto"/>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r>
      <w:tr w:rsidR="00660308" w:rsidRPr="00660308" w:rsidTr="00660308">
        <w:trPr>
          <w:trHeight w:val="182"/>
        </w:trPr>
        <w:tc>
          <w:tcPr>
            <w:tcW w:w="296" w:type="pct"/>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261" w:type="pct"/>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210" w:type="pct"/>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1686" w:type="pct"/>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280" w:type="pct"/>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348" w:type="pct"/>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277" w:type="pct"/>
            <w:vMerge/>
            <w:tcBorders>
              <w:top w:val="single" w:sz="4" w:space="0" w:color="auto"/>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248" w:type="pct"/>
            <w:vMerge/>
            <w:tcBorders>
              <w:top w:val="single" w:sz="4" w:space="0" w:color="auto"/>
              <w:left w:val="nil"/>
              <w:bottom w:val="single" w:sz="4" w:space="0" w:color="000000"/>
              <w:right w:val="single" w:sz="4" w:space="0" w:color="000000"/>
            </w:tcBorders>
            <w:vAlign w:val="center"/>
            <w:hideMark/>
          </w:tcPr>
          <w:p w:rsidR="00660308" w:rsidRPr="00660308" w:rsidRDefault="00660308" w:rsidP="00660308">
            <w:pPr>
              <w:rPr>
                <w:b/>
                <w:bCs/>
                <w:snapToGrid/>
                <w:color w:val="A32020"/>
                <w:sz w:val="16"/>
                <w:szCs w:val="16"/>
                <w:lang w:eastAsia="en-AU"/>
              </w:rPr>
            </w:pPr>
          </w:p>
        </w:tc>
        <w:tc>
          <w:tcPr>
            <w:tcW w:w="181" w:type="pct"/>
            <w:vMerge/>
            <w:tcBorders>
              <w:top w:val="nil"/>
              <w:left w:val="single" w:sz="4" w:space="0" w:color="000000"/>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279" w:type="pct"/>
            <w:vMerge/>
            <w:tcBorders>
              <w:top w:val="nil"/>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280" w:type="pct"/>
            <w:vMerge/>
            <w:tcBorders>
              <w:top w:val="nil"/>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293" w:type="pct"/>
            <w:vMerge/>
            <w:tcBorders>
              <w:top w:val="nil"/>
              <w:left w:val="nil"/>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c>
          <w:tcPr>
            <w:tcW w:w="363" w:type="pct"/>
            <w:vMerge/>
            <w:tcBorders>
              <w:top w:val="single" w:sz="4" w:space="0" w:color="auto"/>
              <w:left w:val="single" w:sz="4" w:space="0" w:color="auto"/>
              <w:bottom w:val="single" w:sz="4" w:space="0" w:color="000000"/>
              <w:right w:val="nil"/>
            </w:tcBorders>
            <w:vAlign w:val="center"/>
            <w:hideMark/>
          </w:tcPr>
          <w:p w:rsidR="00660308" w:rsidRPr="00660308" w:rsidRDefault="00660308" w:rsidP="00660308">
            <w:pPr>
              <w:rPr>
                <w:b/>
                <w:bCs/>
                <w:snapToGrid/>
                <w:color w:val="A32020"/>
                <w:sz w:val="16"/>
                <w:szCs w:val="16"/>
                <w:lang w:eastAsia="en-AU"/>
              </w:rPr>
            </w:pPr>
          </w:p>
        </w:tc>
      </w:tr>
      <w:tr w:rsidR="00660308" w:rsidRPr="00660308" w:rsidTr="00660308">
        <w:trPr>
          <w:trHeight w:val="168"/>
        </w:trPr>
        <w:tc>
          <w:tcPr>
            <w:tcW w:w="296"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261"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1</w:t>
            </w:r>
          </w:p>
        </w:tc>
        <w:tc>
          <w:tcPr>
            <w:tcW w:w="210" w:type="pct"/>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F01A</w:t>
            </w:r>
          </w:p>
        </w:tc>
        <w:tc>
          <w:tcPr>
            <w:tcW w:w="1686" w:type="pct"/>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Implantation or Replacement of AICD, Total System W Catastrophic CC</w:t>
            </w:r>
          </w:p>
        </w:tc>
        <w:tc>
          <w:tcPr>
            <w:tcW w:w="280" w:type="pct"/>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19.80</w:t>
            </w:r>
          </w:p>
        </w:tc>
        <w:tc>
          <w:tcPr>
            <w:tcW w:w="3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339</w:t>
            </w:r>
          </w:p>
        </w:tc>
        <w:tc>
          <w:tcPr>
            <w:tcW w:w="277"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28.41</w:t>
            </w:r>
          </w:p>
        </w:tc>
        <w:tc>
          <w:tcPr>
            <w:tcW w:w="2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8.7</w:t>
            </w:r>
          </w:p>
        </w:tc>
        <w:tc>
          <w:tcPr>
            <w:tcW w:w="181" w:type="pct"/>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w:t>
            </w:r>
          </w:p>
        </w:tc>
        <w:tc>
          <w:tcPr>
            <w:tcW w:w="279"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6%</w:t>
            </w:r>
          </w:p>
        </w:tc>
        <w:tc>
          <w:tcPr>
            <w:tcW w:w="280"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70%</w:t>
            </w:r>
          </w:p>
        </w:tc>
        <w:tc>
          <w:tcPr>
            <w:tcW w:w="293"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21%</w:t>
            </w:r>
          </w:p>
        </w:tc>
        <w:tc>
          <w:tcPr>
            <w:tcW w:w="363" w:type="pct"/>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21.69</w:t>
            </w:r>
          </w:p>
        </w:tc>
      </w:tr>
      <w:tr w:rsidR="00660308" w:rsidRPr="00660308" w:rsidTr="00660308">
        <w:trPr>
          <w:trHeight w:val="168"/>
        </w:trPr>
        <w:tc>
          <w:tcPr>
            <w:tcW w:w="296"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261"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2</w:t>
            </w:r>
          </w:p>
        </w:tc>
        <w:tc>
          <w:tcPr>
            <w:tcW w:w="210" w:type="pct"/>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F01B</w:t>
            </w:r>
          </w:p>
        </w:tc>
        <w:tc>
          <w:tcPr>
            <w:tcW w:w="1686" w:type="pct"/>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Implantation or Replacement of AICD, Total System W/O Catastrophic CC</w:t>
            </w:r>
          </w:p>
        </w:tc>
        <w:tc>
          <w:tcPr>
            <w:tcW w:w="280" w:type="pct"/>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17.90</w:t>
            </w:r>
          </w:p>
        </w:tc>
        <w:tc>
          <w:tcPr>
            <w:tcW w:w="3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2,302</w:t>
            </w:r>
          </w:p>
        </w:tc>
        <w:tc>
          <w:tcPr>
            <w:tcW w:w="277"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22.45</w:t>
            </w:r>
          </w:p>
        </w:tc>
        <w:tc>
          <w:tcPr>
            <w:tcW w:w="2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2.3</w:t>
            </w:r>
          </w:p>
        </w:tc>
        <w:tc>
          <w:tcPr>
            <w:tcW w:w="181" w:type="pct"/>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w:t>
            </w:r>
          </w:p>
        </w:tc>
        <w:tc>
          <w:tcPr>
            <w:tcW w:w="279"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w:t>
            </w:r>
          </w:p>
        </w:tc>
        <w:tc>
          <w:tcPr>
            <w:tcW w:w="280"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80%</w:t>
            </w:r>
          </w:p>
        </w:tc>
        <w:tc>
          <w:tcPr>
            <w:tcW w:w="293"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16%</w:t>
            </w:r>
          </w:p>
        </w:tc>
        <w:tc>
          <w:tcPr>
            <w:tcW w:w="363" w:type="pct"/>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19.61</w:t>
            </w:r>
          </w:p>
        </w:tc>
      </w:tr>
      <w:tr w:rsidR="00660308" w:rsidRPr="00660308" w:rsidTr="00660308">
        <w:trPr>
          <w:trHeight w:val="168"/>
        </w:trPr>
        <w:tc>
          <w:tcPr>
            <w:tcW w:w="296"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261"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3</w:t>
            </w:r>
          </w:p>
        </w:tc>
        <w:tc>
          <w:tcPr>
            <w:tcW w:w="210" w:type="pct"/>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D01Z</w:t>
            </w:r>
          </w:p>
        </w:tc>
        <w:tc>
          <w:tcPr>
            <w:tcW w:w="1686" w:type="pct"/>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Cochlear Implant</w:t>
            </w:r>
          </w:p>
        </w:tc>
        <w:tc>
          <w:tcPr>
            <w:tcW w:w="280" w:type="pct"/>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8.73</w:t>
            </w:r>
          </w:p>
        </w:tc>
        <w:tc>
          <w:tcPr>
            <w:tcW w:w="3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560</w:t>
            </w:r>
          </w:p>
        </w:tc>
        <w:tc>
          <w:tcPr>
            <w:tcW w:w="277"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11.43</w:t>
            </w:r>
          </w:p>
        </w:tc>
        <w:tc>
          <w:tcPr>
            <w:tcW w:w="2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1.5</w:t>
            </w:r>
          </w:p>
        </w:tc>
        <w:tc>
          <w:tcPr>
            <w:tcW w:w="181" w:type="pct"/>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6%</w:t>
            </w:r>
          </w:p>
        </w:tc>
        <w:tc>
          <w:tcPr>
            <w:tcW w:w="279"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0%</w:t>
            </w:r>
          </w:p>
        </w:tc>
        <w:tc>
          <w:tcPr>
            <w:tcW w:w="280"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76%</w:t>
            </w:r>
          </w:p>
        </w:tc>
        <w:tc>
          <w:tcPr>
            <w:tcW w:w="293"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17%</w:t>
            </w:r>
          </w:p>
        </w:tc>
        <w:tc>
          <w:tcPr>
            <w:tcW w:w="363" w:type="pct"/>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8.90</w:t>
            </w:r>
          </w:p>
        </w:tc>
      </w:tr>
      <w:tr w:rsidR="00660308" w:rsidRPr="00660308" w:rsidTr="00660308">
        <w:trPr>
          <w:trHeight w:val="168"/>
        </w:trPr>
        <w:tc>
          <w:tcPr>
            <w:tcW w:w="296"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261"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4</w:t>
            </w:r>
          </w:p>
        </w:tc>
        <w:tc>
          <w:tcPr>
            <w:tcW w:w="210" w:type="pct"/>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I06Z</w:t>
            </w:r>
          </w:p>
        </w:tc>
        <w:tc>
          <w:tcPr>
            <w:tcW w:w="1686" w:type="pct"/>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Spinal Fusion W Deformity</w:t>
            </w:r>
          </w:p>
        </w:tc>
        <w:tc>
          <w:tcPr>
            <w:tcW w:w="280" w:type="pct"/>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8.41</w:t>
            </w:r>
          </w:p>
        </w:tc>
        <w:tc>
          <w:tcPr>
            <w:tcW w:w="3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822</w:t>
            </w:r>
          </w:p>
        </w:tc>
        <w:tc>
          <w:tcPr>
            <w:tcW w:w="277"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14.72</w:t>
            </w:r>
          </w:p>
        </w:tc>
        <w:tc>
          <w:tcPr>
            <w:tcW w:w="2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9.7</w:t>
            </w:r>
          </w:p>
        </w:tc>
        <w:tc>
          <w:tcPr>
            <w:tcW w:w="181" w:type="pct"/>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13%</w:t>
            </w:r>
          </w:p>
        </w:tc>
        <w:tc>
          <w:tcPr>
            <w:tcW w:w="279"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6%</w:t>
            </w:r>
          </w:p>
        </w:tc>
        <w:tc>
          <w:tcPr>
            <w:tcW w:w="280"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57%</w:t>
            </w:r>
          </w:p>
        </w:tc>
        <w:tc>
          <w:tcPr>
            <w:tcW w:w="293"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23%</w:t>
            </w:r>
          </w:p>
        </w:tc>
        <w:tc>
          <w:tcPr>
            <w:tcW w:w="363" w:type="pct"/>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9.57</w:t>
            </w:r>
          </w:p>
        </w:tc>
      </w:tr>
      <w:tr w:rsidR="00660308" w:rsidRPr="00660308" w:rsidTr="00660308">
        <w:trPr>
          <w:trHeight w:val="168"/>
        </w:trPr>
        <w:tc>
          <w:tcPr>
            <w:tcW w:w="296"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261"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5</w:t>
            </w:r>
          </w:p>
        </w:tc>
        <w:tc>
          <w:tcPr>
            <w:tcW w:w="210" w:type="pct"/>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A12Z</w:t>
            </w:r>
          </w:p>
        </w:tc>
        <w:tc>
          <w:tcPr>
            <w:tcW w:w="1686" w:type="pct"/>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Insertion of Neurostimulator Device</w:t>
            </w:r>
          </w:p>
        </w:tc>
        <w:tc>
          <w:tcPr>
            <w:tcW w:w="280" w:type="pct"/>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8.15</w:t>
            </w:r>
          </w:p>
        </w:tc>
        <w:tc>
          <w:tcPr>
            <w:tcW w:w="3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2,665</w:t>
            </w:r>
          </w:p>
        </w:tc>
        <w:tc>
          <w:tcPr>
            <w:tcW w:w="277"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10.76</w:t>
            </w:r>
          </w:p>
        </w:tc>
        <w:tc>
          <w:tcPr>
            <w:tcW w:w="2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2.9</w:t>
            </w:r>
          </w:p>
        </w:tc>
        <w:tc>
          <w:tcPr>
            <w:tcW w:w="181" w:type="pct"/>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w:t>
            </w:r>
          </w:p>
        </w:tc>
        <w:tc>
          <w:tcPr>
            <w:tcW w:w="279"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w:t>
            </w:r>
          </w:p>
        </w:tc>
        <w:tc>
          <w:tcPr>
            <w:tcW w:w="280"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76%</w:t>
            </w:r>
          </w:p>
        </w:tc>
        <w:tc>
          <w:tcPr>
            <w:tcW w:w="293"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18%</w:t>
            </w:r>
          </w:p>
        </w:tc>
        <w:tc>
          <w:tcPr>
            <w:tcW w:w="363" w:type="pct"/>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8.49</w:t>
            </w:r>
          </w:p>
        </w:tc>
      </w:tr>
      <w:tr w:rsidR="00660308" w:rsidRPr="00660308" w:rsidTr="00660308">
        <w:trPr>
          <w:trHeight w:val="168"/>
        </w:trPr>
        <w:tc>
          <w:tcPr>
            <w:tcW w:w="296"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No</w:t>
            </w:r>
          </w:p>
        </w:tc>
        <w:tc>
          <w:tcPr>
            <w:tcW w:w="261"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6</w:t>
            </w:r>
          </w:p>
        </w:tc>
        <w:tc>
          <w:tcPr>
            <w:tcW w:w="210" w:type="pct"/>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A06A</w:t>
            </w:r>
          </w:p>
        </w:tc>
        <w:tc>
          <w:tcPr>
            <w:tcW w:w="1686" w:type="pct"/>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Tracheostomy W Ventilation &gt;95 hours W Catastrophic CC</w:t>
            </w:r>
          </w:p>
        </w:tc>
        <w:tc>
          <w:tcPr>
            <w:tcW w:w="280" w:type="pct"/>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7.10</w:t>
            </w:r>
          </w:p>
        </w:tc>
        <w:tc>
          <w:tcPr>
            <w:tcW w:w="3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206</w:t>
            </w:r>
          </w:p>
        </w:tc>
        <w:tc>
          <w:tcPr>
            <w:tcW w:w="277"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45.16</w:t>
            </w:r>
          </w:p>
        </w:tc>
        <w:tc>
          <w:tcPr>
            <w:tcW w:w="2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52.3</w:t>
            </w:r>
          </w:p>
        </w:tc>
        <w:tc>
          <w:tcPr>
            <w:tcW w:w="181" w:type="pct"/>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w:t>
            </w:r>
          </w:p>
        </w:tc>
        <w:tc>
          <w:tcPr>
            <w:tcW w:w="279"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47%</w:t>
            </w:r>
          </w:p>
        </w:tc>
        <w:tc>
          <w:tcPr>
            <w:tcW w:w="280"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16%</w:t>
            </w:r>
          </w:p>
        </w:tc>
        <w:tc>
          <w:tcPr>
            <w:tcW w:w="293"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33%</w:t>
            </w:r>
          </w:p>
        </w:tc>
        <w:tc>
          <w:tcPr>
            <w:tcW w:w="363" w:type="pct"/>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1.66</w:t>
            </w:r>
          </w:p>
        </w:tc>
      </w:tr>
      <w:tr w:rsidR="00660308" w:rsidRPr="00660308" w:rsidTr="00660308">
        <w:trPr>
          <w:trHeight w:val="168"/>
        </w:trPr>
        <w:tc>
          <w:tcPr>
            <w:tcW w:w="296"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261"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7</w:t>
            </w:r>
          </w:p>
        </w:tc>
        <w:tc>
          <w:tcPr>
            <w:tcW w:w="210" w:type="pct"/>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I09A</w:t>
            </w:r>
          </w:p>
        </w:tc>
        <w:tc>
          <w:tcPr>
            <w:tcW w:w="1686" w:type="pct"/>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Spinal Fusion W Catastrophic CC</w:t>
            </w:r>
          </w:p>
        </w:tc>
        <w:tc>
          <w:tcPr>
            <w:tcW w:w="280" w:type="pct"/>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6.27</w:t>
            </w:r>
          </w:p>
        </w:tc>
        <w:tc>
          <w:tcPr>
            <w:tcW w:w="3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1,226</w:t>
            </w:r>
          </w:p>
        </w:tc>
        <w:tc>
          <w:tcPr>
            <w:tcW w:w="277"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13.24</w:t>
            </w:r>
          </w:p>
        </w:tc>
        <w:tc>
          <w:tcPr>
            <w:tcW w:w="2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12.9</w:t>
            </w:r>
          </w:p>
        </w:tc>
        <w:tc>
          <w:tcPr>
            <w:tcW w:w="181" w:type="pct"/>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12%</w:t>
            </w:r>
          </w:p>
        </w:tc>
        <w:tc>
          <w:tcPr>
            <w:tcW w:w="279"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9%</w:t>
            </w:r>
          </w:p>
        </w:tc>
        <w:tc>
          <w:tcPr>
            <w:tcW w:w="280"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47%</w:t>
            </w:r>
          </w:p>
        </w:tc>
        <w:tc>
          <w:tcPr>
            <w:tcW w:w="293"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31%</w:t>
            </w:r>
          </w:p>
        </w:tc>
        <w:tc>
          <w:tcPr>
            <w:tcW w:w="363" w:type="pct"/>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6.79</w:t>
            </w:r>
          </w:p>
        </w:tc>
      </w:tr>
      <w:tr w:rsidR="00660308" w:rsidRPr="00660308" w:rsidTr="00660308">
        <w:trPr>
          <w:trHeight w:val="168"/>
        </w:trPr>
        <w:tc>
          <w:tcPr>
            <w:tcW w:w="296"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261"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8</w:t>
            </w:r>
          </w:p>
        </w:tc>
        <w:tc>
          <w:tcPr>
            <w:tcW w:w="210" w:type="pct"/>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A11B</w:t>
            </w:r>
          </w:p>
        </w:tc>
        <w:tc>
          <w:tcPr>
            <w:tcW w:w="1686" w:type="pct"/>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Insertion of Implantable Spinal Infusion Device W/O Catastrophic CC</w:t>
            </w:r>
          </w:p>
        </w:tc>
        <w:tc>
          <w:tcPr>
            <w:tcW w:w="280" w:type="pct"/>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6.15</w:t>
            </w:r>
          </w:p>
        </w:tc>
        <w:tc>
          <w:tcPr>
            <w:tcW w:w="3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48</w:t>
            </w:r>
          </w:p>
        </w:tc>
        <w:tc>
          <w:tcPr>
            <w:tcW w:w="277"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8.93</w:t>
            </w:r>
          </w:p>
        </w:tc>
        <w:tc>
          <w:tcPr>
            <w:tcW w:w="2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4.8</w:t>
            </w:r>
          </w:p>
        </w:tc>
        <w:tc>
          <w:tcPr>
            <w:tcW w:w="181" w:type="pct"/>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6%</w:t>
            </w:r>
          </w:p>
        </w:tc>
        <w:tc>
          <w:tcPr>
            <w:tcW w:w="279"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0%</w:t>
            </w:r>
          </w:p>
        </w:tc>
        <w:tc>
          <w:tcPr>
            <w:tcW w:w="280"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69%</w:t>
            </w:r>
          </w:p>
        </w:tc>
        <w:tc>
          <w:tcPr>
            <w:tcW w:w="293"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25%</w:t>
            </w:r>
          </w:p>
        </w:tc>
        <w:tc>
          <w:tcPr>
            <w:tcW w:w="363" w:type="pct"/>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7.06</w:t>
            </w:r>
          </w:p>
        </w:tc>
      </w:tr>
      <w:tr w:rsidR="00660308" w:rsidRPr="00660308" w:rsidTr="00660308">
        <w:trPr>
          <w:trHeight w:val="168"/>
        </w:trPr>
        <w:tc>
          <w:tcPr>
            <w:tcW w:w="296"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261"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9</w:t>
            </w:r>
          </w:p>
        </w:tc>
        <w:tc>
          <w:tcPr>
            <w:tcW w:w="210" w:type="pct"/>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I01A</w:t>
            </w:r>
          </w:p>
        </w:tc>
        <w:tc>
          <w:tcPr>
            <w:tcW w:w="1686" w:type="pct"/>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Bilateral/Multiple Major Joint Proc of Lower Extremity W Revision or W Cat CC</w:t>
            </w:r>
          </w:p>
        </w:tc>
        <w:tc>
          <w:tcPr>
            <w:tcW w:w="280" w:type="pct"/>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5.54</w:t>
            </w:r>
          </w:p>
        </w:tc>
        <w:tc>
          <w:tcPr>
            <w:tcW w:w="3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365</w:t>
            </w:r>
          </w:p>
        </w:tc>
        <w:tc>
          <w:tcPr>
            <w:tcW w:w="277"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13.11</w:t>
            </w:r>
          </w:p>
        </w:tc>
        <w:tc>
          <w:tcPr>
            <w:tcW w:w="2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18.8</w:t>
            </w:r>
          </w:p>
        </w:tc>
        <w:tc>
          <w:tcPr>
            <w:tcW w:w="181" w:type="pct"/>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11%</w:t>
            </w:r>
          </w:p>
        </w:tc>
        <w:tc>
          <w:tcPr>
            <w:tcW w:w="279"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6%</w:t>
            </w:r>
          </w:p>
        </w:tc>
        <w:tc>
          <w:tcPr>
            <w:tcW w:w="280"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42%</w:t>
            </w:r>
          </w:p>
        </w:tc>
        <w:tc>
          <w:tcPr>
            <w:tcW w:w="293"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40%</w:t>
            </w:r>
          </w:p>
        </w:tc>
        <w:tc>
          <w:tcPr>
            <w:tcW w:w="363" w:type="pct"/>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5.32</w:t>
            </w:r>
          </w:p>
        </w:tc>
      </w:tr>
      <w:tr w:rsidR="00660308" w:rsidRPr="00660308" w:rsidTr="00660308">
        <w:trPr>
          <w:trHeight w:val="168"/>
        </w:trPr>
        <w:tc>
          <w:tcPr>
            <w:tcW w:w="296"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261"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10</w:t>
            </w:r>
          </w:p>
        </w:tc>
        <w:tc>
          <w:tcPr>
            <w:tcW w:w="210" w:type="pct"/>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I32A</w:t>
            </w:r>
          </w:p>
        </w:tc>
        <w:tc>
          <w:tcPr>
            <w:tcW w:w="1686" w:type="pct"/>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Knee Revision W Catastrophic CC</w:t>
            </w:r>
          </w:p>
        </w:tc>
        <w:tc>
          <w:tcPr>
            <w:tcW w:w="280" w:type="pct"/>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4.84</w:t>
            </w:r>
          </w:p>
        </w:tc>
        <w:tc>
          <w:tcPr>
            <w:tcW w:w="3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228</w:t>
            </w:r>
          </w:p>
        </w:tc>
        <w:tc>
          <w:tcPr>
            <w:tcW w:w="277"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11.05</w:t>
            </w:r>
          </w:p>
        </w:tc>
        <w:tc>
          <w:tcPr>
            <w:tcW w:w="2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19.6</w:t>
            </w:r>
          </w:p>
        </w:tc>
        <w:tc>
          <w:tcPr>
            <w:tcW w:w="181" w:type="pct"/>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10%</w:t>
            </w:r>
          </w:p>
        </w:tc>
        <w:tc>
          <w:tcPr>
            <w:tcW w:w="279"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w:t>
            </w:r>
          </w:p>
        </w:tc>
        <w:tc>
          <w:tcPr>
            <w:tcW w:w="280"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44%</w:t>
            </w:r>
          </w:p>
        </w:tc>
        <w:tc>
          <w:tcPr>
            <w:tcW w:w="293"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42%</w:t>
            </w:r>
          </w:p>
        </w:tc>
        <w:tc>
          <w:tcPr>
            <w:tcW w:w="363" w:type="pct"/>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5.61</w:t>
            </w:r>
          </w:p>
        </w:tc>
      </w:tr>
      <w:tr w:rsidR="00660308" w:rsidRPr="00660308" w:rsidTr="00660308">
        <w:trPr>
          <w:trHeight w:val="168"/>
        </w:trPr>
        <w:tc>
          <w:tcPr>
            <w:tcW w:w="296"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261"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11</w:t>
            </w:r>
          </w:p>
        </w:tc>
        <w:tc>
          <w:tcPr>
            <w:tcW w:w="210" w:type="pct"/>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F12A</w:t>
            </w:r>
          </w:p>
        </w:tc>
        <w:tc>
          <w:tcPr>
            <w:tcW w:w="1686" w:type="pct"/>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Implantation or Replacement of Pacemaker, Total System W Catastrophic CC</w:t>
            </w:r>
          </w:p>
        </w:tc>
        <w:tc>
          <w:tcPr>
            <w:tcW w:w="280" w:type="pct"/>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4.75</w:t>
            </w:r>
          </w:p>
        </w:tc>
        <w:tc>
          <w:tcPr>
            <w:tcW w:w="3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653</w:t>
            </w:r>
          </w:p>
        </w:tc>
        <w:tc>
          <w:tcPr>
            <w:tcW w:w="277"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10.65</w:t>
            </w:r>
          </w:p>
        </w:tc>
        <w:tc>
          <w:tcPr>
            <w:tcW w:w="2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13.0</w:t>
            </w:r>
          </w:p>
        </w:tc>
        <w:tc>
          <w:tcPr>
            <w:tcW w:w="181" w:type="pct"/>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6%</w:t>
            </w:r>
          </w:p>
        </w:tc>
        <w:tc>
          <w:tcPr>
            <w:tcW w:w="279"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17%</w:t>
            </w:r>
          </w:p>
        </w:tc>
        <w:tc>
          <w:tcPr>
            <w:tcW w:w="280"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45%</w:t>
            </w:r>
          </w:p>
        </w:tc>
        <w:tc>
          <w:tcPr>
            <w:tcW w:w="293"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32%</w:t>
            </w:r>
          </w:p>
        </w:tc>
        <w:tc>
          <w:tcPr>
            <w:tcW w:w="363" w:type="pct"/>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5.02</w:t>
            </w:r>
          </w:p>
        </w:tc>
      </w:tr>
      <w:tr w:rsidR="00660308" w:rsidRPr="00660308" w:rsidTr="00660308">
        <w:trPr>
          <w:trHeight w:val="168"/>
        </w:trPr>
        <w:tc>
          <w:tcPr>
            <w:tcW w:w="296"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261"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12</w:t>
            </w:r>
          </w:p>
        </w:tc>
        <w:tc>
          <w:tcPr>
            <w:tcW w:w="210" w:type="pct"/>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F12B</w:t>
            </w:r>
          </w:p>
        </w:tc>
        <w:tc>
          <w:tcPr>
            <w:tcW w:w="1686" w:type="pct"/>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Implantation or Replacement of Pacemaker, Total System W/O Catastrophic CC</w:t>
            </w:r>
          </w:p>
        </w:tc>
        <w:tc>
          <w:tcPr>
            <w:tcW w:w="280" w:type="pct"/>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4.67</w:t>
            </w:r>
          </w:p>
        </w:tc>
        <w:tc>
          <w:tcPr>
            <w:tcW w:w="3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6,844</w:t>
            </w:r>
          </w:p>
        </w:tc>
        <w:tc>
          <w:tcPr>
            <w:tcW w:w="277"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7.08</w:t>
            </w:r>
          </w:p>
        </w:tc>
        <w:tc>
          <w:tcPr>
            <w:tcW w:w="2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2.9</w:t>
            </w:r>
          </w:p>
        </w:tc>
        <w:tc>
          <w:tcPr>
            <w:tcW w:w="181" w:type="pct"/>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7%</w:t>
            </w:r>
          </w:p>
        </w:tc>
        <w:tc>
          <w:tcPr>
            <w:tcW w:w="279"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7%</w:t>
            </w:r>
          </w:p>
        </w:tc>
        <w:tc>
          <w:tcPr>
            <w:tcW w:w="280"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66%</w:t>
            </w:r>
          </w:p>
        </w:tc>
        <w:tc>
          <w:tcPr>
            <w:tcW w:w="293"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21%</w:t>
            </w:r>
          </w:p>
        </w:tc>
        <w:tc>
          <w:tcPr>
            <w:tcW w:w="363" w:type="pct"/>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4.90</w:t>
            </w:r>
          </w:p>
        </w:tc>
      </w:tr>
      <w:tr w:rsidR="00660308" w:rsidRPr="00660308" w:rsidTr="00660308">
        <w:trPr>
          <w:trHeight w:val="168"/>
        </w:trPr>
        <w:tc>
          <w:tcPr>
            <w:tcW w:w="296"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261"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13</w:t>
            </w:r>
          </w:p>
        </w:tc>
        <w:tc>
          <w:tcPr>
            <w:tcW w:w="210" w:type="pct"/>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I31A</w:t>
            </w:r>
          </w:p>
        </w:tc>
        <w:tc>
          <w:tcPr>
            <w:tcW w:w="1686" w:type="pct"/>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Hip Revision W Catastrophic CC</w:t>
            </w:r>
          </w:p>
        </w:tc>
        <w:tc>
          <w:tcPr>
            <w:tcW w:w="280" w:type="pct"/>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4.50</w:t>
            </w:r>
          </w:p>
        </w:tc>
        <w:tc>
          <w:tcPr>
            <w:tcW w:w="3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325</w:t>
            </w:r>
          </w:p>
        </w:tc>
        <w:tc>
          <w:tcPr>
            <w:tcW w:w="277"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12.59</w:t>
            </w:r>
          </w:p>
        </w:tc>
        <w:tc>
          <w:tcPr>
            <w:tcW w:w="2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21.5</w:t>
            </w:r>
          </w:p>
        </w:tc>
        <w:tc>
          <w:tcPr>
            <w:tcW w:w="181" w:type="pct"/>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12%</w:t>
            </w:r>
          </w:p>
        </w:tc>
        <w:tc>
          <w:tcPr>
            <w:tcW w:w="279"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11%</w:t>
            </w:r>
          </w:p>
        </w:tc>
        <w:tc>
          <w:tcPr>
            <w:tcW w:w="280"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36%</w:t>
            </w:r>
          </w:p>
        </w:tc>
        <w:tc>
          <w:tcPr>
            <w:tcW w:w="293"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42%</w:t>
            </w:r>
          </w:p>
        </w:tc>
        <w:tc>
          <w:tcPr>
            <w:tcW w:w="363" w:type="pct"/>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4.08</w:t>
            </w:r>
          </w:p>
        </w:tc>
      </w:tr>
      <w:tr w:rsidR="00660308" w:rsidRPr="00660308" w:rsidTr="00660308">
        <w:trPr>
          <w:trHeight w:val="168"/>
        </w:trPr>
        <w:tc>
          <w:tcPr>
            <w:tcW w:w="296"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261"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14</w:t>
            </w:r>
          </w:p>
        </w:tc>
        <w:tc>
          <w:tcPr>
            <w:tcW w:w="210" w:type="pct"/>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I09B</w:t>
            </w:r>
          </w:p>
        </w:tc>
        <w:tc>
          <w:tcPr>
            <w:tcW w:w="1686" w:type="pct"/>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Spinal Fusion W/O Catastrophic CC</w:t>
            </w:r>
          </w:p>
        </w:tc>
        <w:tc>
          <w:tcPr>
            <w:tcW w:w="280" w:type="pct"/>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4.35</w:t>
            </w:r>
          </w:p>
        </w:tc>
        <w:tc>
          <w:tcPr>
            <w:tcW w:w="3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9,554</w:t>
            </w:r>
          </w:p>
        </w:tc>
        <w:tc>
          <w:tcPr>
            <w:tcW w:w="277"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7.92</w:t>
            </w:r>
          </w:p>
        </w:tc>
        <w:tc>
          <w:tcPr>
            <w:tcW w:w="2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6.2</w:t>
            </w:r>
          </w:p>
        </w:tc>
        <w:tc>
          <w:tcPr>
            <w:tcW w:w="181" w:type="pct"/>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15%</w:t>
            </w:r>
          </w:p>
        </w:tc>
        <w:tc>
          <w:tcPr>
            <w:tcW w:w="279"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w:t>
            </w:r>
          </w:p>
        </w:tc>
        <w:tc>
          <w:tcPr>
            <w:tcW w:w="280"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55%</w:t>
            </w:r>
          </w:p>
        </w:tc>
        <w:tc>
          <w:tcPr>
            <w:tcW w:w="293"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27%</w:t>
            </w:r>
          </w:p>
        </w:tc>
        <w:tc>
          <w:tcPr>
            <w:tcW w:w="363" w:type="pct"/>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5.15</w:t>
            </w:r>
          </w:p>
        </w:tc>
      </w:tr>
      <w:tr w:rsidR="00660308" w:rsidRPr="00660308" w:rsidTr="00660308">
        <w:trPr>
          <w:trHeight w:val="168"/>
        </w:trPr>
        <w:tc>
          <w:tcPr>
            <w:tcW w:w="296"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261"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15</w:t>
            </w:r>
          </w:p>
        </w:tc>
        <w:tc>
          <w:tcPr>
            <w:tcW w:w="210" w:type="pct"/>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I05A</w:t>
            </w:r>
          </w:p>
        </w:tc>
        <w:tc>
          <w:tcPr>
            <w:tcW w:w="1686" w:type="pct"/>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Other Joint Replacement W Catastrophic or Severe CC</w:t>
            </w:r>
          </w:p>
        </w:tc>
        <w:tc>
          <w:tcPr>
            <w:tcW w:w="280" w:type="pct"/>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4.31</w:t>
            </w:r>
          </w:p>
        </w:tc>
        <w:tc>
          <w:tcPr>
            <w:tcW w:w="3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484</w:t>
            </w:r>
          </w:p>
        </w:tc>
        <w:tc>
          <w:tcPr>
            <w:tcW w:w="277"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8.36</w:t>
            </w:r>
          </w:p>
        </w:tc>
        <w:tc>
          <w:tcPr>
            <w:tcW w:w="2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9.3</w:t>
            </w:r>
          </w:p>
        </w:tc>
        <w:tc>
          <w:tcPr>
            <w:tcW w:w="181" w:type="pct"/>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13%</w:t>
            </w:r>
          </w:p>
        </w:tc>
        <w:tc>
          <w:tcPr>
            <w:tcW w:w="279"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w:t>
            </w:r>
          </w:p>
        </w:tc>
        <w:tc>
          <w:tcPr>
            <w:tcW w:w="280"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52%</w:t>
            </w:r>
          </w:p>
        </w:tc>
        <w:tc>
          <w:tcPr>
            <w:tcW w:w="293"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31%</w:t>
            </w:r>
          </w:p>
        </w:tc>
        <w:tc>
          <w:tcPr>
            <w:tcW w:w="363" w:type="pct"/>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4.23</w:t>
            </w:r>
          </w:p>
        </w:tc>
      </w:tr>
      <w:tr w:rsidR="00660308" w:rsidRPr="00660308" w:rsidTr="00660308">
        <w:trPr>
          <w:trHeight w:val="168"/>
        </w:trPr>
        <w:tc>
          <w:tcPr>
            <w:tcW w:w="296"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261"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16</w:t>
            </w:r>
          </w:p>
        </w:tc>
        <w:tc>
          <w:tcPr>
            <w:tcW w:w="210" w:type="pct"/>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I01B</w:t>
            </w:r>
          </w:p>
        </w:tc>
        <w:tc>
          <w:tcPr>
            <w:tcW w:w="1686" w:type="pct"/>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Bilateral/Multiple Major Joint Pr of Lower Extremity W/O Revision W/O Cat CC</w:t>
            </w:r>
          </w:p>
        </w:tc>
        <w:tc>
          <w:tcPr>
            <w:tcW w:w="280" w:type="pct"/>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4.29</w:t>
            </w:r>
          </w:p>
        </w:tc>
        <w:tc>
          <w:tcPr>
            <w:tcW w:w="3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1,986</w:t>
            </w:r>
          </w:p>
        </w:tc>
        <w:tc>
          <w:tcPr>
            <w:tcW w:w="277"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7.60</w:t>
            </w:r>
          </w:p>
        </w:tc>
        <w:tc>
          <w:tcPr>
            <w:tcW w:w="2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7.3</w:t>
            </w:r>
          </w:p>
        </w:tc>
        <w:tc>
          <w:tcPr>
            <w:tcW w:w="181" w:type="pct"/>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12%</w:t>
            </w:r>
          </w:p>
        </w:tc>
        <w:tc>
          <w:tcPr>
            <w:tcW w:w="279"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w:t>
            </w:r>
          </w:p>
        </w:tc>
        <w:tc>
          <w:tcPr>
            <w:tcW w:w="280"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56%</w:t>
            </w:r>
          </w:p>
        </w:tc>
        <w:tc>
          <w:tcPr>
            <w:tcW w:w="293"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29%</w:t>
            </w:r>
          </w:p>
        </w:tc>
        <w:tc>
          <w:tcPr>
            <w:tcW w:w="363" w:type="pct"/>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4.97</w:t>
            </w:r>
          </w:p>
        </w:tc>
      </w:tr>
      <w:tr w:rsidR="00660308" w:rsidRPr="00660308" w:rsidTr="00660308">
        <w:trPr>
          <w:trHeight w:val="168"/>
        </w:trPr>
        <w:tc>
          <w:tcPr>
            <w:tcW w:w="296"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261"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17</w:t>
            </w:r>
          </w:p>
        </w:tc>
        <w:tc>
          <w:tcPr>
            <w:tcW w:w="210" w:type="pct"/>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I32B</w:t>
            </w:r>
          </w:p>
        </w:tc>
        <w:tc>
          <w:tcPr>
            <w:tcW w:w="1686" w:type="pct"/>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Knee Revision W Severe CC</w:t>
            </w:r>
          </w:p>
        </w:tc>
        <w:tc>
          <w:tcPr>
            <w:tcW w:w="280" w:type="pct"/>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4.17</w:t>
            </w:r>
          </w:p>
        </w:tc>
        <w:tc>
          <w:tcPr>
            <w:tcW w:w="3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352</w:t>
            </w:r>
          </w:p>
        </w:tc>
        <w:tc>
          <w:tcPr>
            <w:tcW w:w="277"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8.32</w:t>
            </w:r>
          </w:p>
        </w:tc>
        <w:tc>
          <w:tcPr>
            <w:tcW w:w="2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10.6</w:t>
            </w:r>
          </w:p>
        </w:tc>
        <w:tc>
          <w:tcPr>
            <w:tcW w:w="181" w:type="pct"/>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12%</w:t>
            </w:r>
          </w:p>
        </w:tc>
        <w:tc>
          <w:tcPr>
            <w:tcW w:w="279"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w:t>
            </w:r>
          </w:p>
        </w:tc>
        <w:tc>
          <w:tcPr>
            <w:tcW w:w="280"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50%</w:t>
            </w:r>
          </w:p>
        </w:tc>
        <w:tc>
          <w:tcPr>
            <w:tcW w:w="293"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34%</w:t>
            </w:r>
          </w:p>
        </w:tc>
        <w:tc>
          <w:tcPr>
            <w:tcW w:w="363" w:type="pct"/>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4.59</w:t>
            </w:r>
          </w:p>
        </w:tc>
      </w:tr>
      <w:tr w:rsidR="00660308" w:rsidRPr="00660308" w:rsidTr="00660308">
        <w:trPr>
          <w:trHeight w:val="168"/>
        </w:trPr>
        <w:tc>
          <w:tcPr>
            <w:tcW w:w="296"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No</w:t>
            </w:r>
          </w:p>
        </w:tc>
        <w:tc>
          <w:tcPr>
            <w:tcW w:w="261" w:type="pct"/>
            <w:tcBorders>
              <w:top w:val="nil"/>
              <w:left w:val="nil"/>
              <w:bottom w:val="nil"/>
              <w:right w:val="nil"/>
            </w:tcBorders>
            <w:shd w:val="clear" w:color="auto" w:fill="auto"/>
            <w:noWrap/>
            <w:hideMark/>
          </w:tcPr>
          <w:p w:rsidR="00660308" w:rsidRPr="00660308" w:rsidRDefault="00C5781B" w:rsidP="00660308">
            <w:pPr>
              <w:jc w:val="center"/>
              <w:rPr>
                <w:snapToGrid/>
                <w:color w:val="000000"/>
                <w:sz w:val="16"/>
                <w:szCs w:val="16"/>
                <w:lang w:eastAsia="en-AU"/>
              </w:rPr>
            </w:pPr>
            <w:r>
              <w:rPr>
                <w:noProof/>
                <w:snapToGrid/>
                <w:lang w:eastAsia="en-AU"/>
              </w:rPr>
              <mc:AlternateContent>
                <mc:Choice Requires="wps">
                  <w:drawing>
                    <wp:anchor distT="0" distB="0" distL="114300" distR="114300" simplePos="0" relativeHeight="251747328" behindDoc="0" locked="0" layoutInCell="1" allowOverlap="1" wp14:anchorId="0A835B97" wp14:editId="6C5D710A">
                      <wp:simplePos x="0" y="0"/>
                      <wp:positionH relativeFrom="column">
                        <wp:posOffset>364490</wp:posOffset>
                      </wp:positionH>
                      <wp:positionV relativeFrom="paragraph">
                        <wp:posOffset>-1905</wp:posOffset>
                      </wp:positionV>
                      <wp:extent cx="457200" cy="198120"/>
                      <wp:effectExtent l="0" t="0" r="19050" b="11430"/>
                      <wp:wrapNone/>
                      <wp:docPr id="7" name="Oval 7"/>
                      <wp:cNvGraphicFramePr/>
                      <a:graphic xmlns:a="http://schemas.openxmlformats.org/drawingml/2006/main">
                        <a:graphicData uri="http://schemas.microsoft.com/office/word/2010/wordprocessingShape">
                          <wps:wsp>
                            <wps:cNvSpPr/>
                            <wps:spPr bwMode="ltGray">
                              <a:xfrm>
                                <a:off x="0" y="0"/>
                                <a:ext cx="457200" cy="19812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28.7pt;margin-top:-.15pt;width:36pt;height:15.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" filled="f" strokecolor="#511010 [1604]" strokeweight="1pt"/>
                  </w:pict>
                </mc:Fallback>
              </mc:AlternateContent>
            </w:r>
            <w:r w:rsidR="00660308" w:rsidRPr="00660308">
              <w:rPr>
                <w:snapToGrid/>
                <w:color w:val="000000"/>
                <w:sz w:val="16"/>
                <w:szCs w:val="16"/>
                <w:lang w:eastAsia="en-AU"/>
              </w:rPr>
              <w:t>18</w:t>
            </w:r>
          </w:p>
        </w:tc>
        <w:tc>
          <w:tcPr>
            <w:tcW w:w="210" w:type="pct"/>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F03A</w:t>
            </w:r>
          </w:p>
        </w:tc>
        <w:tc>
          <w:tcPr>
            <w:tcW w:w="1686" w:type="pct"/>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Cardiac Valve Proc W CPB Pump W Invasive Cardiac Investigation W Cat CC</w:t>
            </w:r>
          </w:p>
        </w:tc>
        <w:tc>
          <w:tcPr>
            <w:tcW w:w="280" w:type="pct"/>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4.15</w:t>
            </w:r>
          </w:p>
        </w:tc>
        <w:tc>
          <w:tcPr>
            <w:tcW w:w="3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400</w:t>
            </w:r>
          </w:p>
        </w:tc>
        <w:tc>
          <w:tcPr>
            <w:tcW w:w="277"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16.11</w:t>
            </w:r>
          </w:p>
        </w:tc>
        <w:tc>
          <w:tcPr>
            <w:tcW w:w="2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19.0</w:t>
            </w:r>
          </w:p>
        </w:tc>
        <w:tc>
          <w:tcPr>
            <w:tcW w:w="181" w:type="pct"/>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15%</w:t>
            </w:r>
          </w:p>
        </w:tc>
        <w:tc>
          <w:tcPr>
            <w:tcW w:w="279"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24%</w:t>
            </w:r>
          </w:p>
        </w:tc>
        <w:tc>
          <w:tcPr>
            <w:tcW w:w="280"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26%</w:t>
            </w:r>
          </w:p>
        </w:tc>
        <w:tc>
          <w:tcPr>
            <w:tcW w:w="293"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35%</w:t>
            </w:r>
          </w:p>
        </w:tc>
        <w:tc>
          <w:tcPr>
            <w:tcW w:w="363" w:type="pct"/>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3.30</w:t>
            </w:r>
          </w:p>
        </w:tc>
      </w:tr>
      <w:tr w:rsidR="00660308" w:rsidRPr="00660308" w:rsidTr="00660308">
        <w:trPr>
          <w:trHeight w:val="168"/>
        </w:trPr>
        <w:tc>
          <w:tcPr>
            <w:tcW w:w="296"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261"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19</w:t>
            </w:r>
          </w:p>
        </w:tc>
        <w:tc>
          <w:tcPr>
            <w:tcW w:w="210" w:type="pct"/>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F17B</w:t>
            </w:r>
          </w:p>
        </w:tc>
        <w:tc>
          <w:tcPr>
            <w:tcW w:w="1686" w:type="pct"/>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Insertion or Replacement of Pacemaker Generator W/O Catastrophic or Severe CC</w:t>
            </w:r>
          </w:p>
        </w:tc>
        <w:tc>
          <w:tcPr>
            <w:tcW w:w="280" w:type="pct"/>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4.08</w:t>
            </w:r>
          </w:p>
        </w:tc>
        <w:tc>
          <w:tcPr>
            <w:tcW w:w="3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2,103</w:t>
            </w:r>
          </w:p>
        </w:tc>
        <w:tc>
          <w:tcPr>
            <w:tcW w:w="277"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5.40</w:t>
            </w:r>
          </w:p>
        </w:tc>
        <w:tc>
          <w:tcPr>
            <w:tcW w:w="2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1.3</w:t>
            </w:r>
          </w:p>
        </w:tc>
        <w:tc>
          <w:tcPr>
            <w:tcW w:w="181" w:type="pct"/>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6%</w:t>
            </w:r>
          </w:p>
        </w:tc>
        <w:tc>
          <w:tcPr>
            <w:tcW w:w="279"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w:t>
            </w:r>
          </w:p>
        </w:tc>
        <w:tc>
          <w:tcPr>
            <w:tcW w:w="280"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76%</w:t>
            </w:r>
          </w:p>
        </w:tc>
        <w:tc>
          <w:tcPr>
            <w:tcW w:w="293"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17%</w:t>
            </w:r>
          </w:p>
        </w:tc>
        <w:tc>
          <w:tcPr>
            <w:tcW w:w="363" w:type="pct"/>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4.51</w:t>
            </w:r>
          </w:p>
        </w:tc>
      </w:tr>
      <w:tr w:rsidR="00660308" w:rsidRPr="00660308" w:rsidTr="00660308">
        <w:trPr>
          <w:trHeight w:val="168"/>
        </w:trPr>
        <w:tc>
          <w:tcPr>
            <w:tcW w:w="296"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Yes</w:t>
            </w:r>
          </w:p>
        </w:tc>
        <w:tc>
          <w:tcPr>
            <w:tcW w:w="261"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20</w:t>
            </w:r>
          </w:p>
        </w:tc>
        <w:tc>
          <w:tcPr>
            <w:tcW w:w="210" w:type="pct"/>
            <w:tcBorders>
              <w:top w:val="nil"/>
              <w:left w:val="nil"/>
              <w:bottom w:val="nil"/>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F17A</w:t>
            </w:r>
          </w:p>
        </w:tc>
        <w:tc>
          <w:tcPr>
            <w:tcW w:w="1686" w:type="pct"/>
            <w:tcBorders>
              <w:top w:val="nil"/>
              <w:left w:val="nil"/>
              <w:bottom w:val="nil"/>
              <w:right w:val="nil"/>
            </w:tcBorders>
            <w:shd w:val="clear" w:color="auto" w:fill="auto"/>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Insertion or Replacement of Pacemaker Generator W Catastrophic or Severe CC</w:t>
            </w:r>
          </w:p>
        </w:tc>
        <w:tc>
          <w:tcPr>
            <w:tcW w:w="280" w:type="pct"/>
            <w:tcBorders>
              <w:top w:val="nil"/>
              <w:left w:val="nil"/>
              <w:bottom w:val="nil"/>
              <w:right w:val="nil"/>
            </w:tcBorders>
            <w:shd w:val="clear" w:color="000000" w:fill="F4CACA"/>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4.05</w:t>
            </w:r>
          </w:p>
        </w:tc>
        <w:tc>
          <w:tcPr>
            <w:tcW w:w="3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Pr>
                <w:noProof/>
                <w:snapToGrid/>
                <w:lang w:eastAsia="en-AU"/>
              </w:rPr>
              <mc:AlternateContent>
                <mc:Choice Requires="wps">
                  <w:drawing>
                    <wp:anchor distT="0" distB="0" distL="114300" distR="114300" simplePos="0" relativeHeight="251716608" behindDoc="0" locked="0" layoutInCell="1" allowOverlap="1" wp14:anchorId="57C68DE2" wp14:editId="773DFDAD">
                      <wp:simplePos x="0" y="0"/>
                      <wp:positionH relativeFrom="column">
                        <wp:posOffset>-59690</wp:posOffset>
                      </wp:positionH>
                      <wp:positionV relativeFrom="paragraph">
                        <wp:posOffset>181610</wp:posOffset>
                      </wp:positionV>
                      <wp:extent cx="719455" cy="508000"/>
                      <wp:effectExtent l="0" t="0" r="23495" b="25400"/>
                      <wp:wrapNone/>
                      <wp:docPr id="73" name="Oval 73"/>
                      <wp:cNvGraphicFramePr/>
                      <a:graphic xmlns:a="http://schemas.openxmlformats.org/drawingml/2006/main">
                        <a:graphicData uri="http://schemas.microsoft.com/office/word/2010/wordprocessingShape">
                          <wps:wsp>
                            <wps:cNvSpPr/>
                            <wps:spPr bwMode="ltGray">
                              <a:xfrm>
                                <a:off x="0" y="0"/>
                                <a:ext cx="719455" cy="50800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 o:spid="_x0000_s1026" style="position:absolute;margin-left:-4.7pt;margin-top:14.3pt;width:56.65pt;height:4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" filled="f" strokecolor="#511010 [1604]" strokeweight="1pt"/>
                  </w:pict>
                </mc:Fallback>
              </mc:AlternateContent>
            </w:r>
            <w:r w:rsidRPr="00660308">
              <w:rPr>
                <w:snapToGrid/>
                <w:color w:val="000000"/>
                <w:sz w:val="16"/>
                <w:szCs w:val="16"/>
                <w:lang w:eastAsia="en-AU"/>
              </w:rPr>
              <w:t>128</w:t>
            </w:r>
          </w:p>
        </w:tc>
        <w:tc>
          <w:tcPr>
            <w:tcW w:w="277"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6.69</w:t>
            </w:r>
          </w:p>
        </w:tc>
        <w:tc>
          <w:tcPr>
            <w:tcW w:w="248"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6.4</w:t>
            </w:r>
          </w:p>
        </w:tc>
        <w:tc>
          <w:tcPr>
            <w:tcW w:w="181" w:type="pct"/>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w:t>
            </w:r>
          </w:p>
        </w:tc>
        <w:tc>
          <w:tcPr>
            <w:tcW w:w="279"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w:t>
            </w:r>
          </w:p>
        </w:tc>
        <w:tc>
          <w:tcPr>
            <w:tcW w:w="280"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61%</w:t>
            </w:r>
          </w:p>
        </w:tc>
        <w:tc>
          <w:tcPr>
            <w:tcW w:w="293"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30%</w:t>
            </w:r>
          </w:p>
        </w:tc>
        <w:tc>
          <w:tcPr>
            <w:tcW w:w="363" w:type="pct"/>
            <w:tcBorders>
              <w:top w:val="nil"/>
              <w:left w:val="single" w:sz="4" w:space="0" w:color="auto"/>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5.17</w:t>
            </w:r>
          </w:p>
        </w:tc>
      </w:tr>
      <w:tr w:rsidR="00660308" w:rsidRPr="00660308" w:rsidTr="00660308">
        <w:trPr>
          <w:trHeight w:val="168"/>
        </w:trPr>
        <w:tc>
          <w:tcPr>
            <w:tcW w:w="296" w:type="pct"/>
            <w:tcBorders>
              <w:top w:val="single" w:sz="4" w:space="0" w:color="auto"/>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18</w:t>
            </w:r>
          </w:p>
        </w:tc>
        <w:tc>
          <w:tcPr>
            <w:tcW w:w="261" w:type="pct"/>
            <w:tcBorders>
              <w:top w:val="single" w:sz="4" w:space="0" w:color="000000"/>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 </w:t>
            </w:r>
          </w:p>
        </w:tc>
        <w:tc>
          <w:tcPr>
            <w:tcW w:w="1896" w:type="pct"/>
            <w:gridSpan w:val="2"/>
            <w:tcBorders>
              <w:top w:val="single" w:sz="4" w:space="0" w:color="000000"/>
              <w:left w:val="nil"/>
              <w:bottom w:val="nil"/>
              <w:right w:val="nil"/>
            </w:tcBorders>
            <w:shd w:val="clear" w:color="auto" w:fill="auto"/>
            <w:noWrap/>
            <w:hideMark/>
          </w:tcPr>
          <w:p w:rsidR="00660308" w:rsidRPr="00660308" w:rsidRDefault="00660308" w:rsidP="00660308">
            <w:pPr>
              <w:rPr>
                <w:b/>
                <w:bCs/>
                <w:snapToGrid/>
                <w:color w:val="000000"/>
                <w:sz w:val="16"/>
                <w:szCs w:val="16"/>
                <w:lang w:eastAsia="en-AU"/>
              </w:rPr>
            </w:pPr>
            <w:r w:rsidRPr="00660308">
              <w:rPr>
                <w:b/>
                <w:bCs/>
                <w:snapToGrid/>
                <w:color w:val="000000"/>
                <w:sz w:val="16"/>
                <w:szCs w:val="16"/>
                <w:lang w:eastAsia="en-AU"/>
              </w:rPr>
              <w:t>Sub-total, top 20 highest prosthetic cost-weight DRGs</w:t>
            </w:r>
          </w:p>
        </w:tc>
        <w:tc>
          <w:tcPr>
            <w:tcW w:w="280" w:type="pct"/>
            <w:tcBorders>
              <w:top w:val="single" w:sz="4" w:space="0" w:color="000000"/>
              <w:left w:val="nil"/>
              <w:bottom w:val="nil"/>
              <w:right w:val="nil"/>
            </w:tcBorders>
            <w:shd w:val="clear" w:color="000000" w:fill="F4CACA"/>
            <w:noWrap/>
            <w:hideMark/>
          </w:tcPr>
          <w:p w:rsidR="00660308" w:rsidRPr="00660308" w:rsidRDefault="00660308" w:rsidP="00660308">
            <w:pPr>
              <w:jc w:val="right"/>
              <w:rPr>
                <w:b/>
                <w:bCs/>
                <w:snapToGrid/>
                <w:color w:val="000000"/>
                <w:sz w:val="16"/>
                <w:szCs w:val="16"/>
                <w:lang w:eastAsia="en-AU"/>
              </w:rPr>
            </w:pPr>
            <w:r w:rsidRPr="00660308">
              <w:rPr>
                <w:b/>
                <w:bCs/>
                <w:snapToGrid/>
                <w:color w:val="000000"/>
                <w:sz w:val="16"/>
                <w:szCs w:val="16"/>
                <w:lang w:eastAsia="en-AU"/>
              </w:rPr>
              <w:t>6.17</w:t>
            </w:r>
          </w:p>
        </w:tc>
        <w:tc>
          <w:tcPr>
            <w:tcW w:w="348" w:type="pct"/>
            <w:tcBorders>
              <w:top w:val="single" w:sz="4" w:space="0" w:color="000000"/>
              <w:left w:val="nil"/>
              <w:bottom w:val="nil"/>
              <w:right w:val="nil"/>
            </w:tcBorders>
            <w:shd w:val="clear" w:color="auto" w:fill="auto"/>
            <w:noWrap/>
            <w:hideMark/>
          </w:tcPr>
          <w:p w:rsidR="00660308" w:rsidRPr="00660308" w:rsidRDefault="00660308" w:rsidP="00660308">
            <w:pPr>
              <w:jc w:val="right"/>
              <w:rPr>
                <w:b/>
                <w:bCs/>
                <w:snapToGrid/>
                <w:color w:val="000000"/>
                <w:sz w:val="16"/>
                <w:szCs w:val="16"/>
                <w:lang w:eastAsia="en-AU"/>
              </w:rPr>
            </w:pPr>
            <w:r w:rsidRPr="00660308">
              <w:rPr>
                <w:b/>
                <w:bCs/>
                <w:snapToGrid/>
                <w:color w:val="000000"/>
                <w:sz w:val="16"/>
                <w:szCs w:val="16"/>
                <w:lang w:eastAsia="en-AU"/>
              </w:rPr>
              <w:t>31,590</w:t>
            </w:r>
          </w:p>
        </w:tc>
        <w:tc>
          <w:tcPr>
            <w:tcW w:w="277" w:type="pct"/>
            <w:tcBorders>
              <w:top w:val="single" w:sz="4" w:space="0" w:color="000000"/>
              <w:left w:val="nil"/>
              <w:bottom w:val="nil"/>
              <w:right w:val="nil"/>
            </w:tcBorders>
            <w:shd w:val="clear" w:color="auto" w:fill="auto"/>
            <w:noWrap/>
            <w:hideMark/>
          </w:tcPr>
          <w:p w:rsidR="00660308" w:rsidRPr="00660308" w:rsidRDefault="00660308" w:rsidP="00660308">
            <w:pPr>
              <w:jc w:val="right"/>
              <w:rPr>
                <w:b/>
                <w:bCs/>
                <w:snapToGrid/>
                <w:color w:val="000000"/>
                <w:sz w:val="16"/>
                <w:szCs w:val="16"/>
                <w:lang w:eastAsia="en-AU"/>
              </w:rPr>
            </w:pPr>
            <w:r w:rsidRPr="00660308">
              <w:rPr>
                <w:b/>
                <w:bCs/>
                <w:snapToGrid/>
                <w:color w:val="000000"/>
                <w:sz w:val="16"/>
                <w:szCs w:val="16"/>
                <w:lang w:eastAsia="en-AU"/>
              </w:rPr>
              <w:t>10.06</w:t>
            </w:r>
          </w:p>
        </w:tc>
        <w:tc>
          <w:tcPr>
            <w:tcW w:w="248" w:type="pct"/>
            <w:tcBorders>
              <w:top w:val="single" w:sz="4" w:space="0" w:color="000000"/>
              <w:left w:val="nil"/>
              <w:bottom w:val="nil"/>
              <w:right w:val="nil"/>
            </w:tcBorders>
            <w:shd w:val="clear" w:color="auto" w:fill="auto"/>
            <w:noWrap/>
            <w:hideMark/>
          </w:tcPr>
          <w:p w:rsidR="00660308" w:rsidRPr="00660308" w:rsidRDefault="00660308" w:rsidP="00660308">
            <w:pPr>
              <w:jc w:val="right"/>
              <w:rPr>
                <w:b/>
                <w:bCs/>
                <w:snapToGrid/>
                <w:color w:val="000000"/>
                <w:sz w:val="16"/>
                <w:szCs w:val="16"/>
                <w:lang w:eastAsia="en-AU"/>
              </w:rPr>
            </w:pPr>
            <w:r w:rsidRPr="00660308">
              <w:rPr>
                <w:b/>
                <w:bCs/>
                <w:snapToGrid/>
                <w:color w:val="000000"/>
                <w:sz w:val="16"/>
                <w:szCs w:val="16"/>
                <w:lang w:eastAsia="en-AU"/>
              </w:rPr>
              <w:t>5.9</w:t>
            </w:r>
          </w:p>
        </w:tc>
        <w:tc>
          <w:tcPr>
            <w:tcW w:w="181" w:type="pct"/>
            <w:tcBorders>
              <w:top w:val="single" w:sz="4" w:space="0" w:color="auto"/>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9%</w:t>
            </w:r>
          </w:p>
        </w:tc>
        <w:tc>
          <w:tcPr>
            <w:tcW w:w="279" w:type="pct"/>
            <w:tcBorders>
              <w:top w:val="single" w:sz="4" w:space="0" w:color="auto"/>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6%</w:t>
            </w:r>
          </w:p>
        </w:tc>
        <w:tc>
          <w:tcPr>
            <w:tcW w:w="280" w:type="pct"/>
            <w:tcBorders>
              <w:top w:val="single" w:sz="4" w:space="0" w:color="auto"/>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61%</w:t>
            </w:r>
          </w:p>
        </w:tc>
        <w:tc>
          <w:tcPr>
            <w:tcW w:w="293" w:type="pct"/>
            <w:tcBorders>
              <w:top w:val="single" w:sz="4" w:space="0" w:color="auto"/>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24%</w:t>
            </w:r>
          </w:p>
        </w:tc>
        <w:tc>
          <w:tcPr>
            <w:tcW w:w="363" w:type="pct"/>
            <w:tcBorders>
              <w:top w:val="single" w:sz="4" w:space="0" w:color="auto"/>
              <w:left w:val="single" w:sz="4" w:space="0" w:color="auto"/>
              <w:bottom w:val="nil"/>
              <w:right w:val="nil"/>
            </w:tcBorders>
            <w:shd w:val="clear" w:color="auto" w:fill="auto"/>
            <w:noWrap/>
            <w:hideMark/>
          </w:tcPr>
          <w:p w:rsidR="00660308" w:rsidRPr="00660308" w:rsidRDefault="00660308" w:rsidP="00660308">
            <w:pPr>
              <w:rPr>
                <w:b/>
                <w:bCs/>
                <w:snapToGrid/>
                <w:color w:val="000000"/>
                <w:sz w:val="16"/>
                <w:szCs w:val="16"/>
                <w:lang w:eastAsia="en-AU"/>
              </w:rPr>
            </w:pPr>
            <w:r w:rsidRPr="00660308">
              <w:rPr>
                <w:b/>
                <w:bCs/>
                <w:snapToGrid/>
                <w:color w:val="000000"/>
                <w:sz w:val="16"/>
                <w:szCs w:val="16"/>
                <w:lang w:eastAsia="en-AU"/>
              </w:rPr>
              <w:t> </w:t>
            </w:r>
          </w:p>
        </w:tc>
      </w:tr>
      <w:tr w:rsidR="00660308" w:rsidRPr="00660308" w:rsidTr="00660308">
        <w:trPr>
          <w:trHeight w:val="168"/>
        </w:trPr>
        <w:tc>
          <w:tcPr>
            <w:tcW w:w="296"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 xml:space="preserve">in </w:t>
            </w:r>
          </w:p>
        </w:tc>
        <w:tc>
          <w:tcPr>
            <w:tcW w:w="261" w:type="pct"/>
            <w:tcBorders>
              <w:top w:val="nil"/>
              <w:left w:val="nil"/>
              <w:bottom w:val="nil"/>
              <w:right w:val="nil"/>
            </w:tcBorders>
            <w:shd w:val="clear" w:color="auto" w:fill="auto"/>
            <w:noWrap/>
            <w:hideMark/>
          </w:tcPr>
          <w:p w:rsidR="00660308" w:rsidRPr="00660308" w:rsidRDefault="00660308" w:rsidP="00660308">
            <w:pPr>
              <w:jc w:val="center"/>
              <w:rPr>
                <w:snapToGrid/>
                <w:color w:val="000000"/>
                <w:sz w:val="16"/>
                <w:szCs w:val="16"/>
                <w:lang w:eastAsia="en-AU"/>
              </w:rPr>
            </w:pPr>
          </w:p>
        </w:tc>
        <w:tc>
          <w:tcPr>
            <w:tcW w:w="1896" w:type="pct"/>
            <w:gridSpan w:val="2"/>
            <w:tcBorders>
              <w:top w:val="nil"/>
              <w:left w:val="nil"/>
              <w:bottom w:val="nil"/>
              <w:right w:val="nil"/>
            </w:tcBorders>
            <w:shd w:val="clear" w:color="auto" w:fill="auto"/>
            <w:noWrap/>
            <w:hideMark/>
          </w:tcPr>
          <w:p w:rsidR="00660308" w:rsidRPr="00660308" w:rsidRDefault="00660308" w:rsidP="00660308">
            <w:pPr>
              <w:rPr>
                <w:b/>
                <w:bCs/>
                <w:snapToGrid/>
                <w:color w:val="000000"/>
                <w:sz w:val="16"/>
                <w:szCs w:val="16"/>
                <w:lang w:eastAsia="en-AU"/>
              </w:rPr>
            </w:pPr>
            <w:r w:rsidRPr="00660308">
              <w:rPr>
                <w:b/>
                <w:bCs/>
                <w:snapToGrid/>
                <w:color w:val="000000"/>
                <w:sz w:val="16"/>
                <w:szCs w:val="16"/>
                <w:lang w:eastAsia="en-AU"/>
              </w:rPr>
              <w:t>All DRGs</w:t>
            </w:r>
          </w:p>
        </w:tc>
        <w:tc>
          <w:tcPr>
            <w:tcW w:w="280" w:type="pct"/>
            <w:tcBorders>
              <w:top w:val="nil"/>
              <w:left w:val="nil"/>
              <w:bottom w:val="nil"/>
              <w:right w:val="nil"/>
            </w:tcBorders>
            <w:shd w:val="clear" w:color="000000" w:fill="F4CACA"/>
            <w:noWrap/>
            <w:hideMark/>
          </w:tcPr>
          <w:p w:rsidR="00660308" w:rsidRPr="00660308" w:rsidRDefault="00660308" w:rsidP="00660308">
            <w:pPr>
              <w:jc w:val="right"/>
              <w:rPr>
                <w:b/>
                <w:bCs/>
                <w:snapToGrid/>
                <w:color w:val="000000"/>
                <w:sz w:val="16"/>
                <w:szCs w:val="16"/>
                <w:lang w:eastAsia="en-AU"/>
              </w:rPr>
            </w:pPr>
            <w:r w:rsidRPr="00660308">
              <w:rPr>
                <w:b/>
                <w:bCs/>
                <w:snapToGrid/>
                <w:color w:val="000000"/>
                <w:sz w:val="16"/>
                <w:szCs w:val="16"/>
                <w:lang w:eastAsia="en-AU"/>
              </w:rPr>
              <w:t>0.22</w:t>
            </w:r>
          </w:p>
        </w:tc>
        <w:tc>
          <w:tcPr>
            <w:tcW w:w="348" w:type="pct"/>
            <w:tcBorders>
              <w:top w:val="nil"/>
              <w:left w:val="nil"/>
              <w:bottom w:val="nil"/>
              <w:right w:val="nil"/>
            </w:tcBorders>
            <w:shd w:val="clear" w:color="auto" w:fill="auto"/>
            <w:noWrap/>
            <w:hideMark/>
          </w:tcPr>
          <w:p w:rsidR="00660308" w:rsidRPr="00660308" w:rsidRDefault="00660308" w:rsidP="00660308">
            <w:pPr>
              <w:jc w:val="right"/>
              <w:rPr>
                <w:b/>
                <w:bCs/>
                <w:snapToGrid/>
                <w:color w:val="000000"/>
                <w:sz w:val="16"/>
                <w:szCs w:val="16"/>
                <w:lang w:eastAsia="en-AU"/>
              </w:rPr>
            </w:pPr>
            <w:r w:rsidRPr="00660308">
              <w:rPr>
                <w:b/>
                <w:bCs/>
                <w:snapToGrid/>
                <w:color w:val="000000"/>
                <w:sz w:val="16"/>
                <w:szCs w:val="16"/>
                <w:lang w:eastAsia="en-AU"/>
              </w:rPr>
              <w:t>2,827,996</w:t>
            </w:r>
          </w:p>
        </w:tc>
        <w:tc>
          <w:tcPr>
            <w:tcW w:w="277" w:type="pct"/>
            <w:tcBorders>
              <w:top w:val="nil"/>
              <w:left w:val="nil"/>
              <w:bottom w:val="nil"/>
              <w:right w:val="nil"/>
            </w:tcBorders>
            <w:shd w:val="clear" w:color="auto" w:fill="auto"/>
            <w:noWrap/>
            <w:hideMark/>
          </w:tcPr>
          <w:p w:rsidR="00660308" w:rsidRPr="00660308" w:rsidRDefault="00660308" w:rsidP="00660308">
            <w:pPr>
              <w:jc w:val="right"/>
              <w:rPr>
                <w:b/>
                <w:bCs/>
                <w:snapToGrid/>
                <w:color w:val="000000"/>
                <w:sz w:val="16"/>
                <w:szCs w:val="16"/>
                <w:lang w:eastAsia="en-AU"/>
              </w:rPr>
            </w:pPr>
            <w:r w:rsidRPr="00660308">
              <w:rPr>
                <w:b/>
                <w:bCs/>
                <w:snapToGrid/>
                <w:color w:val="000000"/>
                <w:sz w:val="16"/>
                <w:szCs w:val="16"/>
                <w:lang w:eastAsia="en-AU"/>
              </w:rPr>
              <w:t>1.00</w:t>
            </w:r>
          </w:p>
        </w:tc>
        <w:tc>
          <w:tcPr>
            <w:tcW w:w="248" w:type="pct"/>
            <w:tcBorders>
              <w:top w:val="nil"/>
              <w:left w:val="nil"/>
              <w:bottom w:val="nil"/>
              <w:right w:val="nil"/>
            </w:tcBorders>
            <w:shd w:val="clear" w:color="auto" w:fill="auto"/>
            <w:noWrap/>
            <w:hideMark/>
          </w:tcPr>
          <w:p w:rsidR="00660308" w:rsidRPr="00660308" w:rsidRDefault="00660308" w:rsidP="00660308">
            <w:pPr>
              <w:jc w:val="right"/>
              <w:rPr>
                <w:b/>
                <w:bCs/>
                <w:snapToGrid/>
                <w:color w:val="000000"/>
                <w:sz w:val="16"/>
                <w:szCs w:val="16"/>
                <w:lang w:eastAsia="en-AU"/>
              </w:rPr>
            </w:pPr>
            <w:r w:rsidRPr="00660308">
              <w:rPr>
                <w:b/>
                <w:bCs/>
                <w:snapToGrid/>
                <w:color w:val="000000"/>
                <w:sz w:val="16"/>
                <w:szCs w:val="16"/>
                <w:lang w:eastAsia="en-AU"/>
              </w:rPr>
              <w:t>2.4</w:t>
            </w:r>
          </w:p>
        </w:tc>
        <w:tc>
          <w:tcPr>
            <w:tcW w:w="181" w:type="pct"/>
            <w:tcBorders>
              <w:top w:val="nil"/>
              <w:left w:val="single" w:sz="4" w:space="0" w:color="000000"/>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23%</w:t>
            </w:r>
          </w:p>
        </w:tc>
        <w:tc>
          <w:tcPr>
            <w:tcW w:w="279"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6%</w:t>
            </w:r>
          </w:p>
        </w:tc>
        <w:tc>
          <w:tcPr>
            <w:tcW w:w="280"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22%</w:t>
            </w:r>
          </w:p>
        </w:tc>
        <w:tc>
          <w:tcPr>
            <w:tcW w:w="293" w:type="pct"/>
            <w:tcBorders>
              <w:top w:val="nil"/>
              <w:left w:val="nil"/>
              <w:bottom w:val="nil"/>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49%</w:t>
            </w:r>
          </w:p>
        </w:tc>
        <w:tc>
          <w:tcPr>
            <w:tcW w:w="363" w:type="pct"/>
            <w:tcBorders>
              <w:top w:val="nil"/>
              <w:left w:val="single" w:sz="4" w:space="0" w:color="auto"/>
              <w:bottom w:val="nil"/>
              <w:right w:val="nil"/>
            </w:tcBorders>
            <w:shd w:val="clear" w:color="auto" w:fill="auto"/>
            <w:noWrap/>
            <w:hideMark/>
          </w:tcPr>
          <w:p w:rsidR="00660308" w:rsidRPr="00660308" w:rsidRDefault="00660308" w:rsidP="00660308">
            <w:pPr>
              <w:rPr>
                <w:b/>
                <w:bCs/>
                <w:snapToGrid/>
                <w:color w:val="000000"/>
                <w:sz w:val="16"/>
                <w:szCs w:val="16"/>
                <w:lang w:eastAsia="en-AU"/>
              </w:rPr>
            </w:pPr>
            <w:r w:rsidRPr="00660308">
              <w:rPr>
                <w:b/>
                <w:bCs/>
                <w:snapToGrid/>
                <w:color w:val="000000"/>
                <w:sz w:val="16"/>
                <w:szCs w:val="16"/>
                <w:lang w:eastAsia="en-AU"/>
              </w:rPr>
              <w:t> </w:t>
            </w:r>
          </w:p>
        </w:tc>
      </w:tr>
      <w:tr w:rsidR="00660308" w:rsidRPr="00660308" w:rsidTr="00660308">
        <w:trPr>
          <w:trHeight w:val="168"/>
        </w:trPr>
        <w:tc>
          <w:tcPr>
            <w:tcW w:w="296" w:type="pct"/>
            <w:tcBorders>
              <w:top w:val="nil"/>
              <w:left w:val="nil"/>
              <w:bottom w:val="single" w:sz="4" w:space="0" w:color="auto"/>
              <w:right w:val="nil"/>
            </w:tcBorders>
            <w:shd w:val="clear" w:color="auto" w:fill="auto"/>
            <w:noWrap/>
            <w:hideMark/>
          </w:tcPr>
          <w:p w:rsidR="00660308" w:rsidRPr="00660308" w:rsidRDefault="00660308" w:rsidP="00660308">
            <w:pPr>
              <w:jc w:val="center"/>
              <w:rPr>
                <w:snapToGrid/>
                <w:color w:val="000000"/>
                <w:sz w:val="16"/>
                <w:szCs w:val="16"/>
                <w:lang w:eastAsia="en-AU"/>
              </w:rPr>
            </w:pPr>
            <w:r w:rsidRPr="00660308">
              <w:rPr>
                <w:snapToGrid/>
                <w:color w:val="000000"/>
                <w:sz w:val="16"/>
                <w:szCs w:val="16"/>
                <w:lang w:eastAsia="en-AU"/>
              </w:rPr>
              <w:t>Top 20</w:t>
            </w:r>
          </w:p>
        </w:tc>
        <w:tc>
          <w:tcPr>
            <w:tcW w:w="261" w:type="pct"/>
            <w:tcBorders>
              <w:top w:val="nil"/>
              <w:left w:val="nil"/>
              <w:bottom w:val="single" w:sz="4" w:space="0" w:color="auto"/>
              <w:right w:val="nil"/>
            </w:tcBorders>
            <w:shd w:val="clear" w:color="auto" w:fill="auto"/>
            <w:noWrap/>
            <w:hideMark/>
          </w:tcPr>
          <w:p w:rsidR="00660308" w:rsidRPr="00660308" w:rsidRDefault="00660308" w:rsidP="00660308">
            <w:pPr>
              <w:jc w:val="right"/>
              <w:rPr>
                <w:snapToGrid/>
                <w:color w:val="000000"/>
                <w:sz w:val="16"/>
                <w:szCs w:val="16"/>
                <w:lang w:eastAsia="en-AU"/>
              </w:rPr>
            </w:pPr>
            <w:r w:rsidRPr="00660308">
              <w:rPr>
                <w:snapToGrid/>
                <w:color w:val="000000"/>
                <w:sz w:val="16"/>
                <w:szCs w:val="16"/>
                <w:lang w:eastAsia="en-AU"/>
              </w:rPr>
              <w:t> </w:t>
            </w:r>
          </w:p>
        </w:tc>
        <w:tc>
          <w:tcPr>
            <w:tcW w:w="1896" w:type="pct"/>
            <w:gridSpan w:val="2"/>
            <w:tcBorders>
              <w:top w:val="nil"/>
              <w:left w:val="nil"/>
              <w:bottom w:val="single" w:sz="4" w:space="0" w:color="auto"/>
              <w:right w:val="nil"/>
            </w:tcBorders>
            <w:shd w:val="clear" w:color="auto" w:fill="auto"/>
            <w:noWrap/>
            <w:hideMark/>
          </w:tcPr>
          <w:p w:rsidR="00660308" w:rsidRPr="00660308" w:rsidRDefault="00660308" w:rsidP="00660308">
            <w:pPr>
              <w:rPr>
                <w:b/>
                <w:bCs/>
                <w:snapToGrid/>
                <w:color w:val="000000"/>
                <w:sz w:val="16"/>
                <w:szCs w:val="16"/>
                <w:lang w:eastAsia="en-AU"/>
              </w:rPr>
            </w:pPr>
            <w:r w:rsidRPr="00660308">
              <w:rPr>
                <w:b/>
                <w:bCs/>
                <w:snapToGrid/>
                <w:color w:val="000000"/>
                <w:sz w:val="16"/>
                <w:szCs w:val="16"/>
                <w:lang w:eastAsia="en-AU"/>
              </w:rPr>
              <w:t>Top 20 Prosthesis cost-weight DRGs, % of all DRGs</w:t>
            </w:r>
          </w:p>
        </w:tc>
        <w:tc>
          <w:tcPr>
            <w:tcW w:w="280" w:type="pct"/>
            <w:tcBorders>
              <w:top w:val="nil"/>
              <w:left w:val="nil"/>
              <w:bottom w:val="single" w:sz="4" w:space="0" w:color="auto"/>
              <w:right w:val="nil"/>
            </w:tcBorders>
            <w:shd w:val="clear" w:color="000000" w:fill="F4CACA"/>
            <w:noWrap/>
            <w:hideMark/>
          </w:tcPr>
          <w:p w:rsidR="00660308" w:rsidRPr="00660308" w:rsidRDefault="00660308" w:rsidP="00660308">
            <w:pPr>
              <w:rPr>
                <w:b/>
                <w:bCs/>
                <w:snapToGrid/>
                <w:color w:val="000000"/>
                <w:sz w:val="16"/>
                <w:szCs w:val="16"/>
                <w:lang w:eastAsia="en-AU"/>
              </w:rPr>
            </w:pPr>
            <w:r w:rsidRPr="00660308">
              <w:rPr>
                <w:b/>
                <w:bCs/>
                <w:snapToGrid/>
                <w:color w:val="000000"/>
                <w:sz w:val="16"/>
                <w:szCs w:val="16"/>
                <w:lang w:eastAsia="en-AU"/>
              </w:rPr>
              <w:t> </w:t>
            </w:r>
          </w:p>
        </w:tc>
        <w:tc>
          <w:tcPr>
            <w:tcW w:w="348" w:type="pct"/>
            <w:tcBorders>
              <w:top w:val="nil"/>
              <w:left w:val="nil"/>
              <w:bottom w:val="single" w:sz="4" w:space="0" w:color="auto"/>
              <w:right w:val="nil"/>
            </w:tcBorders>
            <w:shd w:val="clear" w:color="auto" w:fill="auto"/>
            <w:noWrap/>
            <w:hideMark/>
          </w:tcPr>
          <w:p w:rsidR="00660308" w:rsidRPr="00660308" w:rsidRDefault="00660308" w:rsidP="00660308">
            <w:pPr>
              <w:jc w:val="right"/>
              <w:rPr>
                <w:b/>
                <w:bCs/>
                <w:snapToGrid/>
                <w:color w:val="000000"/>
                <w:sz w:val="16"/>
                <w:szCs w:val="16"/>
                <w:lang w:eastAsia="en-AU"/>
              </w:rPr>
            </w:pPr>
            <w:r w:rsidRPr="00660308">
              <w:rPr>
                <w:b/>
                <w:bCs/>
                <w:snapToGrid/>
                <w:color w:val="000000"/>
                <w:sz w:val="16"/>
                <w:szCs w:val="16"/>
                <w:lang w:eastAsia="en-AU"/>
              </w:rPr>
              <w:t>1.1%</w:t>
            </w:r>
          </w:p>
        </w:tc>
        <w:tc>
          <w:tcPr>
            <w:tcW w:w="277" w:type="pct"/>
            <w:tcBorders>
              <w:top w:val="nil"/>
              <w:left w:val="nil"/>
              <w:bottom w:val="single" w:sz="4" w:space="0" w:color="auto"/>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 </w:t>
            </w:r>
          </w:p>
        </w:tc>
        <w:tc>
          <w:tcPr>
            <w:tcW w:w="248" w:type="pct"/>
            <w:tcBorders>
              <w:top w:val="nil"/>
              <w:left w:val="nil"/>
              <w:bottom w:val="single" w:sz="4" w:space="0" w:color="auto"/>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 </w:t>
            </w:r>
          </w:p>
        </w:tc>
        <w:tc>
          <w:tcPr>
            <w:tcW w:w="181" w:type="pct"/>
            <w:tcBorders>
              <w:top w:val="nil"/>
              <w:left w:val="single" w:sz="4" w:space="0" w:color="000000"/>
              <w:bottom w:val="single" w:sz="4" w:space="0" w:color="000000"/>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 </w:t>
            </w:r>
          </w:p>
        </w:tc>
        <w:tc>
          <w:tcPr>
            <w:tcW w:w="279" w:type="pct"/>
            <w:tcBorders>
              <w:top w:val="nil"/>
              <w:left w:val="nil"/>
              <w:bottom w:val="single" w:sz="4" w:space="0" w:color="000000"/>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 </w:t>
            </w:r>
          </w:p>
        </w:tc>
        <w:tc>
          <w:tcPr>
            <w:tcW w:w="280" w:type="pct"/>
            <w:tcBorders>
              <w:top w:val="nil"/>
              <w:left w:val="nil"/>
              <w:bottom w:val="single" w:sz="4" w:space="0" w:color="000000"/>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 </w:t>
            </w:r>
          </w:p>
        </w:tc>
        <w:tc>
          <w:tcPr>
            <w:tcW w:w="293" w:type="pct"/>
            <w:tcBorders>
              <w:top w:val="nil"/>
              <w:left w:val="nil"/>
              <w:bottom w:val="single" w:sz="4" w:space="0" w:color="000000"/>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 </w:t>
            </w:r>
          </w:p>
        </w:tc>
        <w:tc>
          <w:tcPr>
            <w:tcW w:w="363" w:type="pct"/>
            <w:tcBorders>
              <w:top w:val="nil"/>
              <w:left w:val="single" w:sz="4" w:space="0" w:color="auto"/>
              <w:bottom w:val="single" w:sz="4" w:space="0" w:color="auto"/>
              <w:right w:val="nil"/>
            </w:tcBorders>
            <w:shd w:val="clear" w:color="auto" w:fill="auto"/>
            <w:noWrap/>
            <w:hideMark/>
          </w:tcPr>
          <w:p w:rsidR="00660308" w:rsidRPr="00660308" w:rsidRDefault="00660308" w:rsidP="00660308">
            <w:pPr>
              <w:rPr>
                <w:snapToGrid/>
                <w:color w:val="000000"/>
                <w:sz w:val="16"/>
                <w:szCs w:val="16"/>
                <w:lang w:eastAsia="en-AU"/>
              </w:rPr>
            </w:pPr>
            <w:r w:rsidRPr="00660308">
              <w:rPr>
                <w:snapToGrid/>
                <w:color w:val="000000"/>
                <w:sz w:val="16"/>
                <w:szCs w:val="16"/>
                <w:lang w:eastAsia="en-AU"/>
              </w:rPr>
              <w:t> </w:t>
            </w:r>
          </w:p>
        </w:tc>
      </w:tr>
    </w:tbl>
    <w:p w:rsidR="00660308" w:rsidRDefault="00660308" w:rsidP="005F4A4F">
      <w:pPr>
        <w:rPr>
          <w:sz w:val="16"/>
          <w:szCs w:val="16"/>
        </w:rPr>
      </w:pPr>
    </w:p>
    <w:p w:rsidR="000A2939" w:rsidRPr="000051B6" w:rsidRDefault="000A2939" w:rsidP="005F4A4F">
      <w:pPr>
        <w:rPr>
          <w:sz w:val="16"/>
          <w:szCs w:val="16"/>
        </w:rPr>
      </w:pPr>
      <w:r w:rsidRPr="000051B6">
        <w:rPr>
          <w:sz w:val="16"/>
          <w:szCs w:val="16"/>
        </w:rPr>
        <w:t>Notes:</w:t>
      </w:r>
    </w:p>
    <w:p w:rsidR="005F4A4F" w:rsidRPr="000051B6" w:rsidRDefault="000A2939" w:rsidP="005F4A4F">
      <w:pPr>
        <w:rPr>
          <w:sz w:val="16"/>
          <w:szCs w:val="16"/>
        </w:rPr>
      </w:pPr>
      <w:r w:rsidRPr="000051B6">
        <w:rPr>
          <w:sz w:val="16"/>
          <w:szCs w:val="16"/>
        </w:rPr>
        <w:t>(a)</w:t>
      </w:r>
      <w:r w:rsidRPr="000051B6">
        <w:rPr>
          <w:sz w:val="16"/>
          <w:szCs w:val="16"/>
        </w:rPr>
        <w:tab/>
        <w:t>For cost weight (cost bucket specific) calculations please refer to Appendix E</w:t>
      </w:r>
    </w:p>
    <w:p w:rsidR="005F4A4F" w:rsidRPr="000051B6" w:rsidRDefault="005F4A4F" w:rsidP="005F4A4F">
      <w:pPr>
        <w:rPr>
          <w:sz w:val="16"/>
          <w:szCs w:val="16"/>
        </w:rPr>
      </w:pPr>
      <w:r w:rsidRPr="000051B6">
        <w:rPr>
          <w:sz w:val="16"/>
          <w:szCs w:val="16"/>
        </w:rPr>
        <w:t>(b)</w:t>
      </w:r>
      <w:r w:rsidRPr="000051B6">
        <w:rPr>
          <w:sz w:val="16"/>
          <w:szCs w:val="16"/>
        </w:rPr>
        <w:tab/>
        <w:t>Separatio</w:t>
      </w:r>
      <w:r w:rsidR="009E618B">
        <w:rPr>
          <w:sz w:val="16"/>
          <w:szCs w:val="16"/>
        </w:rPr>
        <w:t xml:space="preserve">ns shown are </w:t>
      </w:r>
      <w:r w:rsidR="00C5781B">
        <w:rPr>
          <w:sz w:val="16"/>
          <w:szCs w:val="16"/>
        </w:rPr>
        <w:t>population-adjusted</w:t>
      </w:r>
    </w:p>
    <w:p w:rsidR="005F4A4F" w:rsidRPr="000051B6" w:rsidRDefault="005F4A4F" w:rsidP="005F4A4F">
      <w:pPr>
        <w:rPr>
          <w:sz w:val="16"/>
          <w:szCs w:val="16"/>
        </w:rPr>
      </w:pPr>
      <w:r w:rsidRPr="000051B6">
        <w:rPr>
          <w:sz w:val="16"/>
          <w:szCs w:val="16"/>
        </w:rPr>
        <w:t xml:space="preserve">(c)  </w:t>
      </w:r>
      <w:r w:rsidRPr="000051B6">
        <w:rPr>
          <w:sz w:val="16"/>
          <w:szCs w:val="16"/>
        </w:rPr>
        <w:tab/>
        <w:t>DRG-rank for cost weight across all cost buckets. A rank of 1 means that the DRG has the highest cost</w:t>
      </w:r>
      <w:r w:rsidR="009E618B">
        <w:rPr>
          <w:sz w:val="16"/>
          <w:szCs w:val="16"/>
        </w:rPr>
        <w:t xml:space="preserve"> weight.</w:t>
      </w:r>
    </w:p>
    <w:p w:rsidR="00EC4240" w:rsidRPr="009E618B" w:rsidRDefault="005F4A4F" w:rsidP="009E618B">
      <w:pPr>
        <w:rPr>
          <w:sz w:val="16"/>
          <w:szCs w:val="16"/>
        </w:rPr>
        <w:sectPr w:rsidR="00EC4240" w:rsidRPr="009E618B" w:rsidSect="009549BC">
          <w:pgSz w:w="16840" w:h="11907" w:orient="landscape" w:code="9"/>
          <w:pgMar w:top="1418" w:right="1021" w:bottom="1134" w:left="1021" w:header="567" w:footer="567" w:gutter="0"/>
          <w:cols w:space="227"/>
          <w:docGrid w:linePitch="360"/>
        </w:sectPr>
      </w:pPr>
      <w:r w:rsidRPr="000051B6">
        <w:rPr>
          <w:sz w:val="16"/>
          <w:szCs w:val="16"/>
        </w:rPr>
        <w:t>(</w:t>
      </w:r>
      <w:r w:rsidR="002032F1" w:rsidRPr="000051B6">
        <w:rPr>
          <w:sz w:val="16"/>
          <w:szCs w:val="16"/>
        </w:rPr>
        <w:t>d</w:t>
      </w:r>
      <w:r w:rsidRPr="000051B6">
        <w:rPr>
          <w:sz w:val="16"/>
          <w:szCs w:val="16"/>
        </w:rPr>
        <w:t>)</w:t>
      </w:r>
      <w:r w:rsidRPr="000051B6">
        <w:rPr>
          <w:sz w:val="16"/>
          <w:szCs w:val="16"/>
        </w:rPr>
        <w:tab/>
        <w:t xml:space="preserve">ALoS </w:t>
      </w:r>
      <w:r w:rsidR="009E618B">
        <w:rPr>
          <w:sz w:val="16"/>
          <w:szCs w:val="16"/>
        </w:rPr>
        <w:t>means average length of stay</w:t>
      </w:r>
      <w:r w:rsidR="00781408" w:rsidRPr="000051B6">
        <w:br w:type="page"/>
      </w:r>
    </w:p>
    <w:p w:rsidR="00404569" w:rsidRPr="000051B6" w:rsidRDefault="00404569" w:rsidP="00C4130F">
      <w:pPr>
        <w:pStyle w:val="Figureheadings"/>
        <w:spacing w:after="240"/>
        <w:rPr>
          <w:lang w:val="en-AU"/>
        </w:rPr>
      </w:pPr>
      <w:bookmarkStart w:id="184" w:name="_Toc435610632"/>
      <w:r w:rsidRPr="000051B6">
        <w:rPr>
          <w:lang w:val="en-AU"/>
        </w:rPr>
        <w:lastRenderedPageBreak/>
        <w:t xml:space="preserve">Figure </w:t>
      </w:r>
      <w:r w:rsidR="00E0217E" w:rsidRPr="000051B6">
        <w:rPr>
          <w:lang w:val="en-AU"/>
        </w:rPr>
        <w:t>9</w:t>
      </w:r>
      <w:r w:rsidRPr="000051B6">
        <w:rPr>
          <w:lang w:val="en-AU"/>
        </w:rPr>
        <w:tab/>
        <w:t xml:space="preserve">Top 20 AR-DRGs for </w:t>
      </w:r>
      <w:r w:rsidR="00111F19" w:rsidRPr="000051B6">
        <w:rPr>
          <w:lang w:val="en-AU"/>
        </w:rPr>
        <w:t>p</w:t>
      </w:r>
      <w:r w:rsidRPr="000051B6">
        <w:rPr>
          <w:lang w:val="en-AU"/>
        </w:rPr>
        <w:t>rostheses cost bucket</w:t>
      </w:r>
      <w:bookmarkEnd w:id="184"/>
    </w:p>
    <w:p w:rsidR="00404569" w:rsidRPr="000051B6" w:rsidRDefault="002F389C" w:rsidP="009E618B">
      <w:pPr>
        <w:rPr>
          <w:highlight w:val="yellow"/>
        </w:rPr>
      </w:pPr>
      <w:r>
        <w:rPr>
          <w:noProof/>
          <w:snapToGrid/>
          <w:lang w:eastAsia="en-AU"/>
        </w:rPr>
        <mc:AlternateContent>
          <mc:Choice Requires="wps">
            <w:drawing>
              <wp:anchor distT="0" distB="0" distL="114300" distR="114300" simplePos="0" relativeHeight="251718656" behindDoc="0" locked="0" layoutInCell="1" allowOverlap="1" wp14:anchorId="2039C93D" wp14:editId="63E9F882">
                <wp:simplePos x="0" y="0"/>
                <wp:positionH relativeFrom="column">
                  <wp:posOffset>638598</wp:posOffset>
                </wp:positionH>
                <wp:positionV relativeFrom="paragraph">
                  <wp:posOffset>445346</wp:posOffset>
                </wp:positionV>
                <wp:extent cx="389044" cy="3471333"/>
                <wp:effectExtent l="19050" t="19050" r="11430" b="15240"/>
                <wp:wrapNone/>
                <wp:docPr id="74" name="Rectangle 74"/>
                <wp:cNvGraphicFramePr/>
                <a:graphic xmlns:a="http://schemas.openxmlformats.org/drawingml/2006/main">
                  <a:graphicData uri="http://schemas.microsoft.com/office/word/2010/wordprocessingShape">
                    <wps:wsp>
                      <wps:cNvSpPr/>
                      <wps:spPr bwMode="ltGray">
                        <a:xfrm>
                          <a:off x="0" y="0"/>
                          <a:ext cx="389044" cy="3471333"/>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o:spid="_x0000_s1026" style="position:absolute;margin-left:50.3pt;margin-top:35.05pt;width:30.65pt;height:273.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" filled="f" strokecolor="#511010 [1604]" strokeweight="3pt"/>
            </w:pict>
          </mc:Fallback>
        </mc:AlternateContent>
      </w:r>
      <w:r w:rsidR="00404569" w:rsidRPr="000051B6">
        <w:rPr>
          <w:noProof/>
          <w:lang w:eastAsia="en-AU"/>
        </w:rPr>
        <w:drawing>
          <wp:inline distT="0" distB="0" distL="0" distR="0" wp14:anchorId="21EF7AC8" wp14:editId="7B45FF2D">
            <wp:extent cx="8282940" cy="4552047"/>
            <wp:effectExtent l="0" t="0" r="3810" b="1270"/>
            <wp:docPr id="48" name="Picture 48" descr="Figure 9 is a bar graph showing the Top 20 AR-DRGs ranked by the Prosthesis cost bucket in Round 18 and their Prosthesis cost bucket in Round 17. F01A has been circled." title="Figure 9 Top 20 AR-DRGs for prostheses cost 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282940" cy="4552047"/>
                    </a:xfrm>
                    <a:prstGeom prst="rect">
                      <a:avLst/>
                    </a:prstGeom>
                    <a:noFill/>
                    <a:ln>
                      <a:noFill/>
                    </a:ln>
                  </pic:spPr>
                </pic:pic>
              </a:graphicData>
            </a:graphic>
          </wp:inline>
        </w:drawing>
      </w:r>
      <w:r w:rsidR="00404569" w:rsidRPr="000051B6">
        <w:rPr>
          <w:highlight w:val="yellow"/>
        </w:rPr>
        <w:t xml:space="preserve"> </w:t>
      </w:r>
    </w:p>
    <w:p w:rsidR="00AE2E92" w:rsidRPr="000051B6" w:rsidRDefault="00404569" w:rsidP="009E618B">
      <w:pPr>
        <w:rPr>
          <w:highlight w:val="yellow"/>
        </w:rPr>
      </w:pPr>
      <w:r w:rsidRPr="000051B6">
        <w:rPr>
          <w:b/>
        </w:rPr>
        <w:t>Note:</w:t>
      </w:r>
      <w:r w:rsidRPr="000051B6">
        <w:t xml:space="preserve"> when a Round 17 bar is missing from the chart, this is because that AR-DRG was masked in Round 17 due to having less than 5 separations or having less than 3 hospitals with that AR-DRG.</w:t>
      </w:r>
      <w:r w:rsidR="00AE2E92" w:rsidRPr="000051B6">
        <w:rPr>
          <w:highlight w:val="yellow"/>
        </w:rPr>
        <w:br w:type="page"/>
      </w:r>
    </w:p>
    <w:p w:rsidR="003F7DF9" w:rsidRPr="000051B6" w:rsidRDefault="003F7DF9" w:rsidP="00AE2E92">
      <w:pPr>
        <w:pStyle w:val="Heading3"/>
        <w:sectPr w:rsidR="003F7DF9" w:rsidRPr="000051B6" w:rsidSect="009549BC">
          <w:pgSz w:w="16840" w:h="11907" w:orient="landscape" w:code="9"/>
          <w:pgMar w:top="1418" w:right="1021" w:bottom="1134" w:left="1021" w:header="567" w:footer="567" w:gutter="0"/>
          <w:cols w:space="227"/>
          <w:docGrid w:linePitch="360"/>
        </w:sectPr>
      </w:pPr>
    </w:p>
    <w:p w:rsidR="00AE2E92" w:rsidRPr="000051B6" w:rsidRDefault="00AE2E92" w:rsidP="00C4130F">
      <w:pPr>
        <w:pStyle w:val="Heading3"/>
        <w:spacing w:after="240"/>
      </w:pPr>
      <w:r w:rsidRPr="000051B6">
        <w:lastRenderedPageBreak/>
        <w:t xml:space="preserve">Miscellaneous </w:t>
      </w:r>
      <w:r w:rsidR="00111F19" w:rsidRPr="000051B6">
        <w:t>cost bucket</w:t>
      </w:r>
    </w:p>
    <w:p w:rsidR="00AE2E92" w:rsidRPr="000051B6" w:rsidRDefault="00AE2E92" w:rsidP="00AE2E92">
      <w:pPr>
        <w:pStyle w:val="PwCNormal"/>
        <w:numPr>
          <w:ilvl w:val="0"/>
          <w:numId w:val="0"/>
        </w:numPr>
        <w:spacing w:after="0"/>
        <w:rPr>
          <w:color w:val="A32020" w:themeColor="text2"/>
        </w:rPr>
      </w:pPr>
      <w:r w:rsidRPr="000051B6">
        <w:rPr>
          <w:color w:val="A32020" w:themeColor="text2"/>
        </w:rPr>
        <w:t>Key findings</w:t>
      </w:r>
    </w:p>
    <w:p w:rsidR="00AE2E92" w:rsidRPr="000051B6" w:rsidRDefault="00AE2E92" w:rsidP="00C4130F">
      <w:pPr>
        <w:pStyle w:val="PwCNormal"/>
        <w:numPr>
          <w:ilvl w:val="0"/>
          <w:numId w:val="0"/>
        </w:numPr>
      </w:pPr>
      <w:r w:rsidRPr="000051B6">
        <w:t xml:space="preserve">Table </w:t>
      </w:r>
      <w:r w:rsidR="00111F19" w:rsidRPr="000051B6">
        <w:t xml:space="preserve">14 </w:t>
      </w:r>
      <w:r w:rsidR="003943DB">
        <w:t>illustrates</w:t>
      </w:r>
      <w:r w:rsidRPr="000051B6">
        <w:t xml:space="preserve"> the highest cost weigh</w:t>
      </w:r>
      <w:r w:rsidR="00563ABC">
        <w:t>t</w:t>
      </w:r>
      <w:r w:rsidRPr="000051B6">
        <w:t xml:space="preserve"> AR-DRG is A06A – Tracheostomy with ventilation &gt; 95 hours with catastrophic CC</w:t>
      </w:r>
      <w:r w:rsidR="003943DB">
        <w:t xml:space="preserve"> (boxed)</w:t>
      </w:r>
      <w:r w:rsidR="002C7DBE" w:rsidRPr="000051B6">
        <w:t>. T</w:t>
      </w:r>
      <w:r w:rsidR="001A481E" w:rsidRPr="000051B6">
        <w:t>h</w:t>
      </w:r>
      <w:r w:rsidRPr="000051B6">
        <w:t xml:space="preserve">is was ranked number </w:t>
      </w:r>
      <w:r w:rsidR="006E7168" w:rsidRPr="000051B6">
        <w:t>one</w:t>
      </w:r>
      <w:r w:rsidR="00EF041E">
        <w:t xml:space="preserve"> last year and is predicted</w:t>
      </w:r>
      <w:r w:rsidRPr="000051B6">
        <w:t xml:space="preserve"> to be ranked </w:t>
      </w:r>
      <w:r w:rsidR="00EF041E">
        <w:t>number one</w:t>
      </w:r>
      <w:r w:rsidRPr="000051B6">
        <w:t xml:space="preserve"> or </w:t>
      </w:r>
      <w:r w:rsidR="00EF041E">
        <w:t>two</w:t>
      </w:r>
      <w:r w:rsidRPr="000051B6">
        <w:t xml:space="preserve"> given the fact this is a highly complex and resource intense patient.</w:t>
      </w:r>
    </w:p>
    <w:p w:rsidR="006E7168" w:rsidRPr="000051B6" w:rsidRDefault="003943DB" w:rsidP="00C4130F">
      <w:pPr>
        <w:pStyle w:val="PwCNormal"/>
        <w:numPr>
          <w:ilvl w:val="0"/>
          <w:numId w:val="0"/>
        </w:numPr>
      </w:pPr>
      <w:r>
        <w:t>As presented in table 14 t</w:t>
      </w:r>
      <w:r w:rsidR="00AE2E92" w:rsidRPr="000051B6">
        <w:t xml:space="preserve">he AR-DRGs listed in the top 20 are </w:t>
      </w:r>
      <w:r w:rsidR="00EF041E">
        <w:t>anticipated</w:t>
      </w:r>
      <w:r w:rsidR="00AE2E92" w:rsidRPr="000051B6">
        <w:t xml:space="preserve"> to be within this ranking given that </w:t>
      </w:r>
      <w:r w:rsidR="006E7168" w:rsidRPr="000051B6">
        <w:t>they have high cost weights and low volume separations which are resource intensive treatments and have appeared in the top 20 of previous tables through this section.</w:t>
      </w:r>
      <w:r w:rsidR="00AE2E92" w:rsidRPr="000051B6">
        <w:t xml:space="preserve"> </w:t>
      </w:r>
    </w:p>
    <w:p w:rsidR="00AE2E92" w:rsidRPr="000051B6" w:rsidRDefault="00AE2E92" w:rsidP="00C4130F">
      <w:pPr>
        <w:pStyle w:val="PwCNormal"/>
        <w:numPr>
          <w:ilvl w:val="0"/>
          <w:numId w:val="0"/>
        </w:numPr>
      </w:pPr>
      <w:r w:rsidRPr="000051B6">
        <w:t xml:space="preserve">Additionally these highly complex patients only represent </w:t>
      </w:r>
      <w:r w:rsidR="006E7168" w:rsidRPr="000051B6">
        <w:t>0.1</w:t>
      </w:r>
      <w:r w:rsidRPr="000051B6">
        <w:t>% (</w:t>
      </w:r>
      <w:r w:rsidR="006E7168" w:rsidRPr="000051B6">
        <w:t>3,7</w:t>
      </w:r>
      <w:r w:rsidR="00C5781B">
        <w:t>78</w:t>
      </w:r>
      <w:r w:rsidR="006E7168" w:rsidRPr="000051B6">
        <w:t xml:space="preserve"> </w:t>
      </w:r>
      <w:r w:rsidR="00C5781B">
        <w:t>population-adjusted</w:t>
      </w:r>
      <w:r w:rsidRPr="000051B6">
        <w:t xml:space="preserve"> separ</w:t>
      </w:r>
      <w:r w:rsidR="00116E8C">
        <w:t>ations) of the total population-adjusted</w:t>
      </w:r>
      <w:r w:rsidRPr="000051B6">
        <w:t xml:space="preserve"> separations (2.83m </w:t>
      </w:r>
      <w:r w:rsidR="00C5781B">
        <w:t>population-adjusted</w:t>
      </w:r>
      <w:r w:rsidRPr="000051B6">
        <w:t xml:space="preserve"> separations)</w:t>
      </w:r>
      <w:r w:rsidR="003943DB">
        <w:t xml:space="preserve"> circled in table 14</w:t>
      </w:r>
      <w:r w:rsidRPr="000051B6">
        <w:t>.</w:t>
      </w:r>
    </w:p>
    <w:p w:rsidR="006E7168" w:rsidRPr="000051B6" w:rsidRDefault="006E7168" w:rsidP="00C4130F">
      <w:pPr>
        <w:pStyle w:val="PwCNormal"/>
        <w:numPr>
          <w:ilvl w:val="0"/>
          <w:numId w:val="0"/>
        </w:numPr>
      </w:pPr>
      <w:r w:rsidRPr="000051B6">
        <w:t>There was an increase in participants using allocation statistics and feeder data thus improving the quality and accuracy cost allocation of the general ledger to these miscellaneous cost buckets.</w:t>
      </w:r>
    </w:p>
    <w:p w:rsidR="00AE2E92" w:rsidRPr="000051B6" w:rsidRDefault="00AE2E92" w:rsidP="00AE2E92">
      <w:pPr>
        <w:pStyle w:val="PwCNormal"/>
        <w:numPr>
          <w:ilvl w:val="0"/>
          <w:numId w:val="0"/>
        </w:numPr>
        <w:spacing w:after="0"/>
        <w:rPr>
          <w:color w:val="A32020" w:themeColor="text2"/>
        </w:rPr>
      </w:pPr>
      <w:r w:rsidRPr="000051B6">
        <w:rPr>
          <w:color w:val="A32020" w:themeColor="text2"/>
        </w:rPr>
        <w:t>Consistencies between Round 17 and Round 18</w:t>
      </w:r>
    </w:p>
    <w:p w:rsidR="00AE2E92" w:rsidRPr="000051B6" w:rsidRDefault="00AE2E92" w:rsidP="00C4130F">
      <w:pPr>
        <w:pStyle w:val="PwCNormal"/>
        <w:numPr>
          <w:ilvl w:val="0"/>
          <w:numId w:val="0"/>
        </w:numPr>
      </w:pPr>
      <w:r w:rsidRPr="000051B6">
        <w:t>6</w:t>
      </w:r>
      <w:r w:rsidR="006E7168" w:rsidRPr="000051B6">
        <w:t>0</w:t>
      </w:r>
      <w:r w:rsidRPr="000051B6">
        <w:t>% (</w:t>
      </w:r>
      <w:r w:rsidR="006E7168" w:rsidRPr="000051B6">
        <w:t>12</w:t>
      </w:r>
      <w:r w:rsidRPr="000051B6">
        <w:t xml:space="preserve"> out of 20) of the top 20 AR-DRGs were included in Round 17’s results</w:t>
      </w:r>
      <w:r w:rsidR="002C7DBE" w:rsidRPr="000051B6">
        <w:t>, which was</w:t>
      </w:r>
      <w:r w:rsidR="006E7168" w:rsidRPr="000051B6">
        <w:t xml:space="preserve"> expected given the nature of these cost buckets included in this category</w:t>
      </w:r>
      <w:r w:rsidRPr="000051B6">
        <w:t>.</w:t>
      </w:r>
    </w:p>
    <w:p w:rsidR="000A2939" w:rsidRPr="000051B6" w:rsidRDefault="00D05281" w:rsidP="00C4130F">
      <w:pPr>
        <w:pStyle w:val="PwCNormal"/>
        <w:numPr>
          <w:ilvl w:val="0"/>
          <w:numId w:val="0"/>
        </w:numPr>
      </w:pPr>
      <w:r w:rsidRPr="000051B6">
        <w:t>The average cost weight mov</w:t>
      </w:r>
      <w:r w:rsidR="002D7C04" w:rsidRPr="000051B6">
        <w:t>ed</w:t>
      </w:r>
      <w:r w:rsidRPr="000051B6">
        <w:t xml:space="preserve"> </w:t>
      </w:r>
      <w:r w:rsidR="00C5781B">
        <w:t>by+1.58</w:t>
      </w:r>
      <w:r w:rsidRPr="000051B6">
        <w:t xml:space="preserve"> </w:t>
      </w:r>
      <w:r w:rsidR="000A2939" w:rsidRPr="000051B6">
        <w:t xml:space="preserve">between years indicating that this is a relatively stable cost bucket.  The biggest reduction was </w:t>
      </w:r>
      <w:r w:rsidRPr="000051B6">
        <w:t>B60A - Acute Paraplegia/Quadriplegia with or without OR Procs with Cat CC</w:t>
      </w:r>
      <w:r w:rsidR="000A2939" w:rsidRPr="000051B6">
        <w:t xml:space="preserve"> decreasing its cost weight by -1.95.  The biggest increase </w:t>
      </w:r>
      <w:r w:rsidR="002D7C04" w:rsidRPr="000051B6">
        <w:t xml:space="preserve">was </w:t>
      </w:r>
      <w:r w:rsidR="00D64643" w:rsidRPr="000051B6">
        <w:t xml:space="preserve">P04Z - Neonate, Admitted Weight 1500-1999 grams with Significant OR Procedure </w:t>
      </w:r>
      <w:r w:rsidR="000A2939" w:rsidRPr="000051B6">
        <w:t>increasing its cost weight by +7.</w:t>
      </w:r>
      <w:r w:rsidR="00D64643" w:rsidRPr="000051B6">
        <w:t>14</w:t>
      </w:r>
      <w:r w:rsidRPr="000051B6">
        <w:t>.</w:t>
      </w:r>
      <w:r w:rsidR="000A2939" w:rsidRPr="000051B6">
        <w:t xml:space="preserve">  These both relate to increased feeder data and allocation statistics being utilised and service weight changes between Rounds.</w:t>
      </w:r>
    </w:p>
    <w:p w:rsidR="008A658B" w:rsidRPr="000051B6" w:rsidRDefault="008A658B" w:rsidP="008A658B">
      <w:pPr>
        <w:pStyle w:val="PwCNormal"/>
        <w:numPr>
          <w:ilvl w:val="0"/>
          <w:numId w:val="0"/>
        </w:numPr>
        <w:spacing w:after="0"/>
        <w:rPr>
          <w:color w:val="A32020" w:themeColor="text2"/>
        </w:rPr>
      </w:pPr>
      <w:r w:rsidRPr="000051B6">
        <w:rPr>
          <w:color w:val="A32020" w:themeColor="text2"/>
        </w:rPr>
        <w:t xml:space="preserve">Key </w:t>
      </w:r>
      <w:r>
        <w:rPr>
          <w:color w:val="A32020" w:themeColor="text2"/>
        </w:rPr>
        <w:t xml:space="preserve">changes </w:t>
      </w:r>
      <w:r w:rsidRPr="000051B6">
        <w:rPr>
          <w:color w:val="A32020" w:themeColor="text2"/>
        </w:rPr>
        <w:t>in the top 20</w:t>
      </w:r>
    </w:p>
    <w:p w:rsidR="006E7168" w:rsidRPr="000051B6" w:rsidRDefault="006E7168" w:rsidP="00C4130F">
      <w:pPr>
        <w:spacing w:after="240"/>
      </w:pPr>
      <w:r w:rsidRPr="000051B6">
        <w:t xml:space="preserve">S65A - </w:t>
      </w:r>
      <w:r w:rsidR="00D05281" w:rsidRPr="000051B6">
        <w:t>HIV-Related Diseases with</w:t>
      </w:r>
      <w:r w:rsidRPr="000051B6">
        <w:t xml:space="preserve"> Catastrophic CC is new for Round 18 as last year this was a masked AR-DRG based on having less than 3 hospitals with that AR-DRG</w:t>
      </w:r>
      <w:r w:rsidR="003943DB">
        <w:t xml:space="preserve"> (circled in figure 10)</w:t>
      </w:r>
      <w:r w:rsidRPr="000051B6">
        <w:t>.</w:t>
      </w:r>
    </w:p>
    <w:p w:rsidR="006E7168" w:rsidRPr="000051B6" w:rsidRDefault="006E7168" w:rsidP="00C4130F">
      <w:pPr>
        <w:spacing w:after="240"/>
      </w:pPr>
      <w:r w:rsidRPr="000051B6">
        <w:t>P05Z - Neonate, Admitted Weight 2000-2499 grams with Significant OR Procedure this was ranked 103 in Round 17 however this year it is ranked 12</w:t>
      </w:r>
      <w:r w:rsidR="002C7DBE" w:rsidRPr="000051B6">
        <w:t xml:space="preserve"> as</w:t>
      </w:r>
      <w:r w:rsidRPr="000051B6">
        <w:t xml:space="preserve"> there has been an increase in </w:t>
      </w:r>
      <w:r w:rsidR="00116E8C">
        <w:t>population-adjusted</w:t>
      </w:r>
      <w:r w:rsidRPr="000051B6">
        <w:t xml:space="preserve"> separations for this AR-DRG between years</w:t>
      </w:r>
      <w:r w:rsidR="003943DB">
        <w:t xml:space="preserve"> (circled in figure 10)</w:t>
      </w:r>
      <w:r w:rsidR="003943DB" w:rsidRPr="000051B6">
        <w:t>.</w:t>
      </w:r>
    </w:p>
    <w:p w:rsidR="006E7168" w:rsidRPr="000051B6" w:rsidRDefault="006E7168" w:rsidP="00C4130F">
      <w:pPr>
        <w:spacing w:after="240"/>
      </w:pPr>
      <w:r w:rsidRPr="000051B6">
        <w:t xml:space="preserve">P65C - Neonate, Admitted </w:t>
      </w:r>
      <w:r w:rsidR="00563ABC">
        <w:t>W</w:t>
      </w:r>
      <w:r w:rsidRPr="000051B6">
        <w:t xml:space="preserve">eight 1500-1999 grams without Significant OR Procedure with Other Problem was ranked 45 in Round 17 however this year it is ranked 19 </w:t>
      </w:r>
      <w:r w:rsidR="002C7DBE" w:rsidRPr="000051B6">
        <w:t xml:space="preserve">as </w:t>
      </w:r>
      <w:r w:rsidRPr="000051B6">
        <w:t xml:space="preserve">there has been an increase in </w:t>
      </w:r>
      <w:r w:rsidR="00116E8C">
        <w:t>population-adjusted</w:t>
      </w:r>
      <w:r w:rsidRPr="000051B6">
        <w:t xml:space="preserve"> separations for this AR-DRG between years</w:t>
      </w:r>
      <w:r w:rsidR="003943DB">
        <w:t xml:space="preserve"> (circled in figure 10)</w:t>
      </w:r>
      <w:r w:rsidR="003943DB" w:rsidRPr="000051B6">
        <w:t>.</w:t>
      </w:r>
    </w:p>
    <w:p w:rsidR="003F7DF9" w:rsidRPr="000051B6" w:rsidRDefault="003F7DF9">
      <w:r w:rsidRPr="000051B6">
        <w:br w:type="page"/>
      </w:r>
    </w:p>
    <w:p w:rsidR="003F7DF9" w:rsidRPr="000051B6" w:rsidRDefault="003F7DF9" w:rsidP="00663D94">
      <w:pPr>
        <w:pStyle w:val="PwCNormal"/>
        <w:numPr>
          <w:ilvl w:val="0"/>
          <w:numId w:val="0"/>
        </w:numPr>
        <w:rPr>
          <w:highlight w:val="yellow"/>
        </w:rPr>
        <w:sectPr w:rsidR="003F7DF9" w:rsidRPr="000051B6" w:rsidSect="009549BC">
          <w:pgSz w:w="11907" w:h="16840" w:code="9"/>
          <w:pgMar w:top="1588" w:right="1843" w:bottom="1418" w:left="1843" w:header="567" w:footer="567" w:gutter="0"/>
          <w:cols w:space="227"/>
          <w:docGrid w:linePitch="360"/>
        </w:sectPr>
      </w:pPr>
    </w:p>
    <w:p w:rsidR="00427C15" w:rsidRPr="000051B6" w:rsidRDefault="00665BE8" w:rsidP="00C4130F">
      <w:pPr>
        <w:pStyle w:val="Tablesheadings"/>
        <w:spacing w:after="240"/>
        <w:rPr>
          <w:lang w:val="en-AU"/>
        </w:rPr>
      </w:pPr>
      <w:bookmarkStart w:id="185" w:name="_Toc435610619"/>
      <w:r>
        <w:rPr>
          <w:lang w:val="en-AU"/>
        </w:rPr>
        <w:lastRenderedPageBreak/>
        <w:t>Table 14</w:t>
      </w:r>
      <w:r w:rsidR="003F7DF9" w:rsidRPr="000051B6">
        <w:rPr>
          <w:lang w:val="en-AU"/>
        </w:rPr>
        <w:tab/>
        <w:t xml:space="preserve">Top 20 AR-DRGs for </w:t>
      </w:r>
      <w:r w:rsidR="00111F19" w:rsidRPr="000051B6">
        <w:rPr>
          <w:lang w:val="en-AU"/>
        </w:rPr>
        <w:t>m</w:t>
      </w:r>
      <w:r w:rsidR="003F7DF9" w:rsidRPr="000051B6">
        <w:rPr>
          <w:lang w:val="en-AU"/>
        </w:rPr>
        <w:t xml:space="preserve">iscellaneous </w:t>
      </w:r>
      <w:r w:rsidR="00DD1929">
        <w:rPr>
          <w:lang w:val="en-AU"/>
        </w:rPr>
        <w:t xml:space="preserve">(Misc.) </w:t>
      </w:r>
      <w:r w:rsidR="003F7DF9" w:rsidRPr="000051B6">
        <w:rPr>
          <w:lang w:val="en-AU"/>
        </w:rPr>
        <w:t>cost bucket</w:t>
      </w:r>
      <w:bookmarkEnd w:id="185"/>
    </w:p>
    <w:tbl>
      <w:tblPr>
        <w:tblW w:w="5229" w:type="pct"/>
        <w:tblLayout w:type="fixed"/>
        <w:tblLook w:val="04A0" w:firstRow="1" w:lastRow="0" w:firstColumn="1" w:lastColumn="0" w:noHBand="0" w:noVBand="1"/>
        <w:tblCaption w:val="Table 14 Top 20 AR-DRGs for miscellaneous cost bucket"/>
        <w:tblDescription w:val="Table 14 shows the Top 20 AR-DRGs ranked by highest Miscellaneous cost bucket. There are separate columns for whether or not the AR-DRG was in the Top 20 in Round 17, its rank in Round 18, the AR-DRG, the AR-DRG’s description, the Miscellaneous cost weight, the number of weighted separations, overall cost weight, average length of stay, the percentage of AR-DRG total cost divided into Operating Room and Special Procedure Suites, Critical care, Prosthesis and Miscellaneous, and the Round 17 Miscellaneous cost weight. AR-DRG A06A has been circled as it was referred to in the preceding text. At the bottom of the table, for some of the columns are rows for the sub-totals for the top 20 and totals for all AR-DRGs as well as the percentage of the total made up by the top 20."/>
      </w:tblPr>
      <w:tblGrid>
        <w:gridCol w:w="821"/>
        <w:gridCol w:w="848"/>
        <w:gridCol w:w="634"/>
        <w:gridCol w:w="5367"/>
        <w:gridCol w:w="820"/>
        <w:gridCol w:w="1162"/>
        <w:gridCol w:w="842"/>
        <w:gridCol w:w="842"/>
        <w:gridCol w:w="616"/>
        <w:gridCol w:w="920"/>
        <w:gridCol w:w="1134"/>
        <w:gridCol w:w="829"/>
        <w:gridCol w:w="867"/>
      </w:tblGrid>
      <w:tr w:rsidR="00805489" w:rsidRPr="00947A37" w:rsidTr="00805489">
        <w:trPr>
          <w:trHeight w:val="168"/>
        </w:trPr>
        <w:tc>
          <w:tcPr>
            <w:tcW w:w="261" w:type="pct"/>
            <w:vMerge w:val="restart"/>
            <w:tcBorders>
              <w:top w:val="single" w:sz="4" w:space="0" w:color="auto"/>
              <w:left w:val="nil"/>
              <w:bottom w:val="single" w:sz="4" w:space="0" w:color="000000"/>
              <w:right w:val="nil"/>
            </w:tcBorders>
            <w:shd w:val="clear" w:color="auto" w:fill="auto"/>
            <w:hideMark/>
          </w:tcPr>
          <w:p w:rsidR="00947A37" w:rsidRPr="00947A37" w:rsidRDefault="00947A37" w:rsidP="00947A37">
            <w:pPr>
              <w:jc w:val="center"/>
              <w:rPr>
                <w:b/>
                <w:bCs/>
                <w:snapToGrid/>
                <w:color w:val="A32020"/>
                <w:sz w:val="16"/>
                <w:szCs w:val="16"/>
                <w:lang w:eastAsia="en-AU"/>
              </w:rPr>
            </w:pPr>
            <w:r w:rsidRPr="00947A37">
              <w:rPr>
                <w:b/>
                <w:bCs/>
                <w:snapToGrid/>
                <w:color w:val="A32020"/>
                <w:sz w:val="16"/>
                <w:szCs w:val="16"/>
                <w:lang w:eastAsia="en-AU"/>
              </w:rPr>
              <w:t>Top 20 Round 17</w:t>
            </w:r>
          </w:p>
        </w:tc>
        <w:tc>
          <w:tcPr>
            <w:tcW w:w="270" w:type="pct"/>
            <w:vMerge w:val="restart"/>
            <w:tcBorders>
              <w:top w:val="single" w:sz="4" w:space="0" w:color="auto"/>
              <w:left w:val="nil"/>
              <w:bottom w:val="single" w:sz="4" w:space="0" w:color="000000"/>
              <w:right w:val="nil"/>
            </w:tcBorders>
            <w:shd w:val="clear" w:color="auto" w:fill="auto"/>
            <w:hideMark/>
          </w:tcPr>
          <w:p w:rsidR="00947A37" w:rsidRPr="00947A37" w:rsidRDefault="00947A37" w:rsidP="00947A37">
            <w:pPr>
              <w:jc w:val="center"/>
              <w:rPr>
                <w:b/>
                <w:bCs/>
                <w:snapToGrid/>
                <w:color w:val="A32020"/>
                <w:sz w:val="16"/>
                <w:szCs w:val="16"/>
                <w:lang w:eastAsia="en-AU"/>
              </w:rPr>
            </w:pPr>
            <w:r w:rsidRPr="00947A37">
              <w:rPr>
                <w:b/>
                <w:bCs/>
                <w:snapToGrid/>
                <w:color w:val="A32020"/>
                <w:sz w:val="16"/>
                <w:szCs w:val="16"/>
                <w:lang w:eastAsia="en-AU"/>
              </w:rPr>
              <w:t>Rank Round 18</w:t>
            </w:r>
          </w:p>
        </w:tc>
        <w:tc>
          <w:tcPr>
            <w:tcW w:w="202" w:type="pct"/>
            <w:vMerge w:val="restart"/>
            <w:tcBorders>
              <w:top w:val="single" w:sz="4" w:space="0" w:color="auto"/>
              <w:left w:val="nil"/>
              <w:bottom w:val="single" w:sz="4" w:space="0" w:color="000000"/>
              <w:right w:val="nil"/>
            </w:tcBorders>
            <w:shd w:val="clear" w:color="auto" w:fill="auto"/>
            <w:hideMark/>
          </w:tcPr>
          <w:p w:rsidR="00947A37" w:rsidRPr="00947A37" w:rsidRDefault="00947A37" w:rsidP="00947A37">
            <w:pPr>
              <w:jc w:val="center"/>
              <w:rPr>
                <w:b/>
                <w:bCs/>
                <w:snapToGrid/>
                <w:color w:val="A32020"/>
                <w:sz w:val="16"/>
                <w:szCs w:val="16"/>
                <w:lang w:eastAsia="en-AU"/>
              </w:rPr>
            </w:pPr>
            <w:r w:rsidRPr="00947A37">
              <w:rPr>
                <w:b/>
                <w:bCs/>
                <w:snapToGrid/>
                <w:color w:val="A32020"/>
                <w:sz w:val="16"/>
                <w:szCs w:val="16"/>
                <w:lang w:eastAsia="en-AU"/>
              </w:rPr>
              <w:t>AR-DRG</w:t>
            </w:r>
          </w:p>
        </w:tc>
        <w:tc>
          <w:tcPr>
            <w:tcW w:w="1708" w:type="pct"/>
            <w:vMerge w:val="restart"/>
            <w:tcBorders>
              <w:top w:val="single" w:sz="4" w:space="0" w:color="auto"/>
              <w:left w:val="nil"/>
              <w:bottom w:val="single" w:sz="4" w:space="0" w:color="000000"/>
              <w:right w:val="nil"/>
            </w:tcBorders>
            <w:shd w:val="clear" w:color="auto" w:fill="auto"/>
            <w:noWrap/>
            <w:hideMark/>
          </w:tcPr>
          <w:p w:rsidR="00947A37" w:rsidRPr="00947A37" w:rsidRDefault="00947A37" w:rsidP="00947A37">
            <w:pPr>
              <w:jc w:val="center"/>
              <w:rPr>
                <w:b/>
                <w:bCs/>
                <w:snapToGrid/>
                <w:color w:val="A32020"/>
                <w:sz w:val="16"/>
                <w:szCs w:val="16"/>
                <w:lang w:eastAsia="en-AU"/>
              </w:rPr>
            </w:pPr>
            <w:r w:rsidRPr="00947A37">
              <w:rPr>
                <w:b/>
                <w:bCs/>
                <w:snapToGrid/>
                <w:color w:val="A32020"/>
                <w:sz w:val="16"/>
                <w:szCs w:val="16"/>
                <w:lang w:eastAsia="en-AU"/>
              </w:rPr>
              <w:t>AR-DRG Description</w:t>
            </w:r>
          </w:p>
        </w:tc>
        <w:tc>
          <w:tcPr>
            <w:tcW w:w="261" w:type="pct"/>
            <w:vMerge w:val="restart"/>
            <w:tcBorders>
              <w:top w:val="single" w:sz="4" w:space="0" w:color="auto"/>
              <w:left w:val="nil"/>
              <w:bottom w:val="single" w:sz="4" w:space="0" w:color="000000"/>
              <w:right w:val="nil"/>
            </w:tcBorders>
            <w:shd w:val="clear" w:color="000000" w:fill="F4CACA"/>
            <w:hideMark/>
          </w:tcPr>
          <w:p w:rsidR="00947A37" w:rsidRPr="00947A37" w:rsidRDefault="00BB7496" w:rsidP="00947A37">
            <w:pPr>
              <w:jc w:val="center"/>
              <w:rPr>
                <w:b/>
                <w:bCs/>
                <w:snapToGrid/>
                <w:color w:val="A32020"/>
                <w:sz w:val="16"/>
                <w:szCs w:val="16"/>
                <w:lang w:eastAsia="en-AU"/>
              </w:rPr>
            </w:pPr>
            <w:r>
              <w:rPr>
                <w:b/>
                <w:bCs/>
                <w:snapToGrid/>
                <w:color w:val="A32020"/>
                <w:sz w:val="16"/>
                <w:szCs w:val="16"/>
                <w:lang w:eastAsia="en-AU"/>
              </w:rPr>
              <w:t>Misc.</w:t>
            </w:r>
            <w:r w:rsidR="00947A37" w:rsidRPr="00947A37">
              <w:rPr>
                <w:b/>
                <w:bCs/>
                <w:snapToGrid/>
                <w:color w:val="A32020"/>
                <w:sz w:val="16"/>
                <w:szCs w:val="16"/>
                <w:lang w:eastAsia="en-AU"/>
              </w:rPr>
              <w:t xml:space="preserve"> cost weight</w:t>
            </w:r>
            <w:r w:rsidR="00947A37" w:rsidRPr="00947A37">
              <w:rPr>
                <w:b/>
                <w:bCs/>
                <w:snapToGrid/>
                <w:color w:val="A32020"/>
                <w:sz w:val="16"/>
                <w:szCs w:val="16"/>
                <w:lang w:eastAsia="en-AU"/>
              </w:rPr>
              <w:br/>
              <w:t>(a)</w:t>
            </w:r>
          </w:p>
        </w:tc>
        <w:tc>
          <w:tcPr>
            <w:tcW w:w="370" w:type="pct"/>
            <w:vMerge w:val="restart"/>
            <w:tcBorders>
              <w:top w:val="single" w:sz="4" w:space="0" w:color="auto"/>
              <w:left w:val="nil"/>
              <w:bottom w:val="single" w:sz="4" w:space="0" w:color="000000"/>
              <w:right w:val="nil"/>
            </w:tcBorders>
            <w:shd w:val="clear" w:color="auto" w:fill="auto"/>
            <w:hideMark/>
          </w:tcPr>
          <w:p w:rsidR="00DD1929" w:rsidRDefault="00DD1929" w:rsidP="00DD1929">
            <w:pPr>
              <w:jc w:val="center"/>
              <w:rPr>
                <w:b/>
                <w:bCs/>
                <w:snapToGrid/>
                <w:color w:val="A32020"/>
                <w:sz w:val="16"/>
                <w:szCs w:val="16"/>
                <w:lang w:eastAsia="en-AU"/>
              </w:rPr>
            </w:pPr>
            <w:r w:rsidRPr="00660308">
              <w:rPr>
                <w:b/>
                <w:bCs/>
                <w:snapToGrid/>
                <w:color w:val="A32020"/>
                <w:sz w:val="16"/>
                <w:szCs w:val="16"/>
                <w:lang w:eastAsia="en-AU"/>
              </w:rPr>
              <w:t xml:space="preserve">No. of </w:t>
            </w:r>
            <w:r>
              <w:rPr>
                <w:b/>
                <w:bCs/>
                <w:snapToGrid/>
                <w:color w:val="A32020"/>
                <w:sz w:val="16"/>
                <w:szCs w:val="16"/>
                <w:lang w:eastAsia="en-AU"/>
              </w:rPr>
              <w:t>population-adjusted</w:t>
            </w:r>
            <w:r w:rsidRPr="00660308">
              <w:rPr>
                <w:b/>
                <w:bCs/>
                <w:snapToGrid/>
                <w:color w:val="A32020"/>
                <w:sz w:val="16"/>
                <w:szCs w:val="16"/>
                <w:lang w:eastAsia="en-AU"/>
              </w:rPr>
              <w:t xml:space="preserve"> seps</w:t>
            </w:r>
          </w:p>
          <w:p w:rsidR="00947A37" w:rsidRPr="00947A37" w:rsidRDefault="00DD1929" w:rsidP="00DD1929">
            <w:pPr>
              <w:jc w:val="center"/>
              <w:rPr>
                <w:b/>
                <w:bCs/>
                <w:snapToGrid/>
                <w:color w:val="A32020"/>
                <w:sz w:val="16"/>
                <w:szCs w:val="16"/>
                <w:lang w:eastAsia="en-AU"/>
              </w:rPr>
            </w:pPr>
            <w:r>
              <w:rPr>
                <w:b/>
                <w:bCs/>
                <w:snapToGrid/>
                <w:color w:val="A32020"/>
                <w:sz w:val="16"/>
                <w:szCs w:val="16"/>
                <w:lang w:eastAsia="en-AU"/>
              </w:rPr>
              <w:t>(b)</w:t>
            </w:r>
            <w:r w:rsidRPr="00660308">
              <w:rPr>
                <w:b/>
                <w:bCs/>
                <w:snapToGrid/>
                <w:color w:val="A32020"/>
                <w:sz w:val="16"/>
                <w:szCs w:val="16"/>
                <w:lang w:eastAsia="en-AU"/>
              </w:rPr>
              <w:br/>
            </w:r>
          </w:p>
        </w:tc>
        <w:tc>
          <w:tcPr>
            <w:tcW w:w="268" w:type="pct"/>
            <w:vMerge w:val="restart"/>
            <w:tcBorders>
              <w:top w:val="single" w:sz="4" w:space="0" w:color="auto"/>
              <w:left w:val="nil"/>
              <w:bottom w:val="single" w:sz="4" w:space="0" w:color="000000"/>
              <w:right w:val="nil"/>
            </w:tcBorders>
            <w:shd w:val="clear" w:color="auto" w:fill="auto"/>
            <w:hideMark/>
          </w:tcPr>
          <w:p w:rsidR="00947A37" w:rsidRPr="00947A37" w:rsidRDefault="00947A37" w:rsidP="00947A37">
            <w:pPr>
              <w:jc w:val="center"/>
              <w:rPr>
                <w:b/>
                <w:bCs/>
                <w:snapToGrid/>
                <w:color w:val="A32020"/>
                <w:sz w:val="16"/>
                <w:szCs w:val="16"/>
                <w:lang w:eastAsia="en-AU"/>
              </w:rPr>
            </w:pPr>
            <w:r w:rsidRPr="00947A37">
              <w:rPr>
                <w:b/>
                <w:bCs/>
                <w:snapToGrid/>
                <w:color w:val="A32020"/>
                <w:sz w:val="16"/>
                <w:szCs w:val="16"/>
                <w:lang w:eastAsia="en-AU"/>
              </w:rPr>
              <w:t>Overall cost weight</w:t>
            </w:r>
            <w:r w:rsidRPr="00947A37">
              <w:rPr>
                <w:b/>
                <w:bCs/>
                <w:snapToGrid/>
                <w:color w:val="A32020"/>
                <w:sz w:val="16"/>
                <w:szCs w:val="16"/>
                <w:lang w:eastAsia="en-AU"/>
              </w:rPr>
              <w:br/>
              <w:t>(c)</w:t>
            </w:r>
          </w:p>
        </w:tc>
        <w:tc>
          <w:tcPr>
            <w:tcW w:w="268" w:type="pct"/>
            <w:vMerge w:val="restart"/>
            <w:tcBorders>
              <w:top w:val="single" w:sz="4" w:space="0" w:color="auto"/>
              <w:left w:val="nil"/>
              <w:bottom w:val="single" w:sz="4" w:space="0" w:color="000000"/>
              <w:right w:val="single" w:sz="4" w:space="0" w:color="000000"/>
            </w:tcBorders>
            <w:shd w:val="clear" w:color="auto" w:fill="auto"/>
            <w:hideMark/>
          </w:tcPr>
          <w:p w:rsidR="00947A37" w:rsidRPr="00947A37" w:rsidRDefault="00947A37" w:rsidP="00947A37">
            <w:pPr>
              <w:jc w:val="center"/>
              <w:rPr>
                <w:b/>
                <w:bCs/>
                <w:snapToGrid/>
                <w:color w:val="A32020"/>
                <w:sz w:val="16"/>
                <w:szCs w:val="16"/>
                <w:lang w:eastAsia="en-AU"/>
              </w:rPr>
            </w:pPr>
            <w:r w:rsidRPr="00947A37">
              <w:rPr>
                <w:b/>
                <w:bCs/>
                <w:snapToGrid/>
                <w:color w:val="A32020"/>
                <w:sz w:val="16"/>
                <w:szCs w:val="16"/>
                <w:lang w:eastAsia="en-AU"/>
              </w:rPr>
              <w:t>ALoS (days)</w:t>
            </w:r>
            <w:r w:rsidRPr="00947A37">
              <w:rPr>
                <w:b/>
                <w:bCs/>
                <w:snapToGrid/>
                <w:color w:val="A32020"/>
                <w:sz w:val="16"/>
                <w:szCs w:val="16"/>
                <w:lang w:eastAsia="en-AU"/>
              </w:rPr>
              <w:br/>
              <w:t>(e)</w:t>
            </w:r>
          </w:p>
        </w:tc>
        <w:tc>
          <w:tcPr>
            <w:tcW w:w="1114" w:type="pct"/>
            <w:gridSpan w:val="4"/>
            <w:tcBorders>
              <w:top w:val="single" w:sz="4" w:space="0" w:color="auto"/>
              <w:left w:val="single" w:sz="4" w:space="0" w:color="000000"/>
              <w:bottom w:val="single" w:sz="4" w:space="0" w:color="auto"/>
              <w:right w:val="nil"/>
            </w:tcBorders>
            <w:shd w:val="clear" w:color="auto" w:fill="auto"/>
            <w:noWrap/>
            <w:hideMark/>
          </w:tcPr>
          <w:p w:rsidR="00947A37" w:rsidRPr="00947A37" w:rsidRDefault="00947A37" w:rsidP="00947A37">
            <w:pPr>
              <w:jc w:val="center"/>
              <w:rPr>
                <w:b/>
                <w:bCs/>
                <w:snapToGrid/>
                <w:color w:val="A32020"/>
                <w:sz w:val="16"/>
                <w:szCs w:val="16"/>
                <w:lang w:eastAsia="en-AU"/>
              </w:rPr>
            </w:pPr>
            <w:r w:rsidRPr="00947A37">
              <w:rPr>
                <w:b/>
                <w:bCs/>
                <w:snapToGrid/>
                <w:color w:val="A32020"/>
                <w:sz w:val="16"/>
                <w:szCs w:val="16"/>
                <w:lang w:eastAsia="en-AU"/>
              </w:rPr>
              <w:t>% of AR-DRG total cost</w:t>
            </w:r>
          </w:p>
        </w:tc>
        <w:tc>
          <w:tcPr>
            <w:tcW w:w="276" w:type="pct"/>
            <w:vMerge w:val="restart"/>
            <w:tcBorders>
              <w:top w:val="single" w:sz="4" w:space="0" w:color="auto"/>
              <w:left w:val="single" w:sz="4" w:space="0" w:color="auto"/>
              <w:bottom w:val="single" w:sz="4" w:space="0" w:color="000000"/>
              <w:right w:val="nil"/>
            </w:tcBorders>
            <w:shd w:val="clear" w:color="auto" w:fill="auto"/>
            <w:hideMark/>
          </w:tcPr>
          <w:p w:rsidR="00947A37" w:rsidRPr="00947A37" w:rsidRDefault="00947A37" w:rsidP="00DD1929">
            <w:pPr>
              <w:jc w:val="center"/>
              <w:rPr>
                <w:b/>
                <w:bCs/>
                <w:snapToGrid/>
                <w:color w:val="A32020"/>
                <w:sz w:val="16"/>
                <w:szCs w:val="16"/>
                <w:lang w:eastAsia="en-AU"/>
              </w:rPr>
            </w:pPr>
            <w:r w:rsidRPr="00947A37">
              <w:rPr>
                <w:b/>
                <w:bCs/>
                <w:snapToGrid/>
                <w:color w:val="A32020"/>
                <w:sz w:val="16"/>
                <w:szCs w:val="16"/>
                <w:lang w:eastAsia="en-AU"/>
              </w:rPr>
              <w:t xml:space="preserve">Round 17 </w:t>
            </w:r>
            <w:r w:rsidR="00DD1929">
              <w:rPr>
                <w:b/>
                <w:bCs/>
                <w:snapToGrid/>
                <w:color w:val="A32020"/>
                <w:sz w:val="16"/>
                <w:szCs w:val="16"/>
                <w:lang w:eastAsia="en-AU"/>
              </w:rPr>
              <w:t>Misc.</w:t>
            </w:r>
            <w:r w:rsidRPr="00947A37">
              <w:rPr>
                <w:b/>
                <w:bCs/>
                <w:snapToGrid/>
                <w:color w:val="A32020"/>
                <w:sz w:val="16"/>
                <w:szCs w:val="16"/>
                <w:lang w:eastAsia="en-AU"/>
              </w:rPr>
              <w:t xml:space="preserve"> cost weight</w:t>
            </w:r>
          </w:p>
        </w:tc>
      </w:tr>
      <w:tr w:rsidR="00805489" w:rsidRPr="00947A37" w:rsidTr="00805489">
        <w:trPr>
          <w:trHeight w:val="182"/>
        </w:trPr>
        <w:tc>
          <w:tcPr>
            <w:tcW w:w="261" w:type="pct"/>
            <w:vMerge/>
            <w:tcBorders>
              <w:top w:val="single" w:sz="4" w:space="0" w:color="auto"/>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270" w:type="pct"/>
            <w:vMerge/>
            <w:tcBorders>
              <w:top w:val="single" w:sz="4" w:space="0" w:color="auto"/>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202" w:type="pct"/>
            <w:vMerge/>
            <w:tcBorders>
              <w:top w:val="single" w:sz="4" w:space="0" w:color="auto"/>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1708" w:type="pct"/>
            <w:vMerge/>
            <w:tcBorders>
              <w:top w:val="single" w:sz="4" w:space="0" w:color="auto"/>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261" w:type="pct"/>
            <w:vMerge/>
            <w:tcBorders>
              <w:top w:val="single" w:sz="4" w:space="0" w:color="auto"/>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370" w:type="pct"/>
            <w:vMerge/>
            <w:tcBorders>
              <w:top w:val="single" w:sz="4" w:space="0" w:color="auto"/>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268" w:type="pct"/>
            <w:vMerge/>
            <w:tcBorders>
              <w:top w:val="single" w:sz="4" w:space="0" w:color="auto"/>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268" w:type="pct"/>
            <w:vMerge/>
            <w:tcBorders>
              <w:top w:val="single" w:sz="4" w:space="0" w:color="auto"/>
              <w:left w:val="nil"/>
              <w:bottom w:val="single" w:sz="4" w:space="0" w:color="000000"/>
              <w:right w:val="single" w:sz="4" w:space="0" w:color="000000"/>
            </w:tcBorders>
            <w:vAlign w:val="center"/>
            <w:hideMark/>
          </w:tcPr>
          <w:p w:rsidR="00947A37" w:rsidRPr="00947A37" w:rsidRDefault="00947A37" w:rsidP="00947A37">
            <w:pPr>
              <w:rPr>
                <w:b/>
                <w:bCs/>
                <w:snapToGrid/>
                <w:color w:val="A32020"/>
                <w:sz w:val="16"/>
                <w:szCs w:val="16"/>
                <w:lang w:eastAsia="en-AU"/>
              </w:rPr>
            </w:pPr>
          </w:p>
        </w:tc>
        <w:tc>
          <w:tcPr>
            <w:tcW w:w="196" w:type="pct"/>
            <w:vMerge w:val="restart"/>
            <w:tcBorders>
              <w:top w:val="nil"/>
              <w:left w:val="single" w:sz="4" w:space="0" w:color="000000"/>
              <w:bottom w:val="single" w:sz="4" w:space="0" w:color="000000"/>
              <w:right w:val="nil"/>
            </w:tcBorders>
            <w:shd w:val="clear" w:color="auto" w:fill="auto"/>
            <w:hideMark/>
          </w:tcPr>
          <w:p w:rsidR="00947A37" w:rsidRPr="00947A37" w:rsidRDefault="00947A37" w:rsidP="00947A37">
            <w:pPr>
              <w:jc w:val="center"/>
              <w:rPr>
                <w:b/>
                <w:bCs/>
                <w:snapToGrid/>
                <w:color w:val="A32020"/>
                <w:sz w:val="16"/>
                <w:szCs w:val="16"/>
                <w:lang w:eastAsia="en-AU"/>
              </w:rPr>
            </w:pPr>
            <w:r w:rsidRPr="00947A37">
              <w:rPr>
                <w:b/>
                <w:bCs/>
                <w:snapToGrid/>
                <w:color w:val="A32020"/>
                <w:sz w:val="16"/>
                <w:szCs w:val="16"/>
                <w:lang w:eastAsia="en-AU"/>
              </w:rPr>
              <w:t>OR and SPS</w:t>
            </w:r>
          </w:p>
        </w:tc>
        <w:tc>
          <w:tcPr>
            <w:tcW w:w="293" w:type="pct"/>
            <w:vMerge w:val="restart"/>
            <w:tcBorders>
              <w:top w:val="nil"/>
              <w:left w:val="nil"/>
              <w:bottom w:val="single" w:sz="4" w:space="0" w:color="000000"/>
              <w:right w:val="nil"/>
            </w:tcBorders>
            <w:shd w:val="clear" w:color="auto" w:fill="auto"/>
            <w:hideMark/>
          </w:tcPr>
          <w:p w:rsidR="00947A37" w:rsidRPr="00947A37" w:rsidRDefault="00947A37" w:rsidP="00947A37">
            <w:pPr>
              <w:jc w:val="center"/>
              <w:rPr>
                <w:b/>
                <w:bCs/>
                <w:snapToGrid/>
                <w:color w:val="A32020"/>
                <w:sz w:val="16"/>
                <w:szCs w:val="16"/>
                <w:lang w:eastAsia="en-AU"/>
              </w:rPr>
            </w:pPr>
            <w:r w:rsidRPr="00947A37">
              <w:rPr>
                <w:b/>
                <w:bCs/>
                <w:snapToGrid/>
                <w:color w:val="A32020"/>
                <w:sz w:val="16"/>
                <w:szCs w:val="16"/>
                <w:lang w:eastAsia="en-AU"/>
              </w:rPr>
              <w:t>Critical care</w:t>
            </w:r>
          </w:p>
        </w:tc>
        <w:tc>
          <w:tcPr>
            <w:tcW w:w="361" w:type="pct"/>
            <w:vMerge w:val="restart"/>
            <w:tcBorders>
              <w:top w:val="nil"/>
              <w:left w:val="nil"/>
              <w:bottom w:val="single" w:sz="4" w:space="0" w:color="000000"/>
              <w:right w:val="nil"/>
            </w:tcBorders>
            <w:shd w:val="clear" w:color="auto" w:fill="auto"/>
            <w:hideMark/>
          </w:tcPr>
          <w:p w:rsidR="00947A37" w:rsidRPr="00947A37" w:rsidRDefault="00947A37" w:rsidP="00805489">
            <w:pPr>
              <w:jc w:val="center"/>
              <w:rPr>
                <w:b/>
                <w:bCs/>
                <w:snapToGrid/>
                <w:color w:val="A32020"/>
                <w:sz w:val="16"/>
                <w:szCs w:val="16"/>
                <w:lang w:eastAsia="en-AU"/>
              </w:rPr>
            </w:pPr>
            <w:r w:rsidRPr="00947A37">
              <w:rPr>
                <w:b/>
                <w:bCs/>
                <w:snapToGrid/>
                <w:color w:val="A32020"/>
                <w:sz w:val="16"/>
                <w:szCs w:val="16"/>
                <w:lang w:eastAsia="en-AU"/>
              </w:rPr>
              <w:t>Prosthesis</w:t>
            </w:r>
          </w:p>
        </w:tc>
        <w:tc>
          <w:tcPr>
            <w:tcW w:w="264" w:type="pct"/>
            <w:vMerge w:val="restart"/>
            <w:tcBorders>
              <w:top w:val="nil"/>
              <w:left w:val="nil"/>
              <w:bottom w:val="single" w:sz="4" w:space="0" w:color="000000"/>
              <w:right w:val="nil"/>
            </w:tcBorders>
            <w:shd w:val="clear" w:color="auto" w:fill="auto"/>
            <w:hideMark/>
          </w:tcPr>
          <w:p w:rsidR="00947A37" w:rsidRPr="00947A37" w:rsidRDefault="00DD1929" w:rsidP="00947A37">
            <w:pPr>
              <w:jc w:val="center"/>
              <w:rPr>
                <w:b/>
                <w:bCs/>
                <w:snapToGrid/>
                <w:color w:val="A32020"/>
                <w:sz w:val="16"/>
                <w:szCs w:val="16"/>
                <w:lang w:eastAsia="en-AU"/>
              </w:rPr>
            </w:pPr>
            <w:r>
              <w:rPr>
                <w:b/>
                <w:bCs/>
                <w:snapToGrid/>
                <w:color w:val="A32020"/>
                <w:sz w:val="16"/>
                <w:szCs w:val="16"/>
                <w:lang w:eastAsia="en-AU"/>
              </w:rPr>
              <w:t>Misc.</w:t>
            </w:r>
            <w:r w:rsidR="00947A37" w:rsidRPr="00947A37">
              <w:rPr>
                <w:b/>
                <w:bCs/>
                <w:snapToGrid/>
                <w:color w:val="A32020"/>
                <w:sz w:val="16"/>
                <w:szCs w:val="16"/>
                <w:lang w:eastAsia="en-AU"/>
              </w:rPr>
              <w:t xml:space="preserve"> </w:t>
            </w:r>
          </w:p>
        </w:tc>
        <w:tc>
          <w:tcPr>
            <w:tcW w:w="276" w:type="pct"/>
            <w:vMerge/>
            <w:tcBorders>
              <w:top w:val="single" w:sz="4" w:space="0" w:color="auto"/>
              <w:left w:val="single" w:sz="4" w:space="0" w:color="auto"/>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r>
      <w:tr w:rsidR="00805489" w:rsidRPr="00947A37" w:rsidTr="00805489">
        <w:trPr>
          <w:trHeight w:val="182"/>
        </w:trPr>
        <w:tc>
          <w:tcPr>
            <w:tcW w:w="261" w:type="pct"/>
            <w:vMerge/>
            <w:tcBorders>
              <w:top w:val="single" w:sz="4" w:space="0" w:color="auto"/>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270" w:type="pct"/>
            <w:vMerge/>
            <w:tcBorders>
              <w:top w:val="single" w:sz="4" w:space="0" w:color="auto"/>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202" w:type="pct"/>
            <w:vMerge/>
            <w:tcBorders>
              <w:top w:val="single" w:sz="4" w:space="0" w:color="auto"/>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1708" w:type="pct"/>
            <w:vMerge/>
            <w:tcBorders>
              <w:top w:val="single" w:sz="4" w:space="0" w:color="auto"/>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261" w:type="pct"/>
            <w:vMerge/>
            <w:tcBorders>
              <w:top w:val="single" w:sz="4" w:space="0" w:color="auto"/>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370" w:type="pct"/>
            <w:vMerge/>
            <w:tcBorders>
              <w:top w:val="single" w:sz="4" w:space="0" w:color="auto"/>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268" w:type="pct"/>
            <w:vMerge/>
            <w:tcBorders>
              <w:top w:val="single" w:sz="4" w:space="0" w:color="auto"/>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268" w:type="pct"/>
            <w:vMerge/>
            <w:tcBorders>
              <w:top w:val="single" w:sz="4" w:space="0" w:color="auto"/>
              <w:left w:val="nil"/>
              <w:bottom w:val="single" w:sz="4" w:space="0" w:color="000000"/>
              <w:right w:val="single" w:sz="4" w:space="0" w:color="000000"/>
            </w:tcBorders>
            <w:vAlign w:val="center"/>
            <w:hideMark/>
          </w:tcPr>
          <w:p w:rsidR="00947A37" w:rsidRPr="00947A37" w:rsidRDefault="00947A37" w:rsidP="00947A37">
            <w:pPr>
              <w:rPr>
                <w:b/>
                <w:bCs/>
                <w:snapToGrid/>
                <w:color w:val="A32020"/>
                <w:sz w:val="16"/>
                <w:szCs w:val="16"/>
                <w:lang w:eastAsia="en-AU"/>
              </w:rPr>
            </w:pPr>
          </w:p>
        </w:tc>
        <w:tc>
          <w:tcPr>
            <w:tcW w:w="196" w:type="pct"/>
            <w:vMerge/>
            <w:tcBorders>
              <w:top w:val="nil"/>
              <w:left w:val="single" w:sz="4" w:space="0" w:color="000000"/>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293" w:type="pct"/>
            <w:vMerge/>
            <w:tcBorders>
              <w:top w:val="nil"/>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361" w:type="pct"/>
            <w:vMerge/>
            <w:tcBorders>
              <w:top w:val="nil"/>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264" w:type="pct"/>
            <w:vMerge/>
            <w:tcBorders>
              <w:top w:val="nil"/>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276" w:type="pct"/>
            <w:vMerge/>
            <w:tcBorders>
              <w:top w:val="single" w:sz="4" w:space="0" w:color="auto"/>
              <w:left w:val="single" w:sz="4" w:space="0" w:color="auto"/>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r>
      <w:tr w:rsidR="00805489" w:rsidRPr="00947A37" w:rsidTr="00805489">
        <w:trPr>
          <w:trHeight w:val="182"/>
        </w:trPr>
        <w:tc>
          <w:tcPr>
            <w:tcW w:w="261" w:type="pct"/>
            <w:vMerge/>
            <w:tcBorders>
              <w:top w:val="single" w:sz="4" w:space="0" w:color="auto"/>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270" w:type="pct"/>
            <w:vMerge/>
            <w:tcBorders>
              <w:top w:val="single" w:sz="4" w:space="0" w:color="auto"/>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202" w:type="pct"/>
            <w:vMerge/>
            <w:tcBorders>
              <w:top w:val="single" w:sz="4" w:space="0" w:color="auto"/>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1708" w:type="pct"/>
            <w:vMerge/>
            <w:tcBorders>
              <w:top w:val="single" w:sz="4" w:space="0" w:color="auto"/>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261" w:type="pct"/>
            <w:vMerge/>
            <w:tcBorders>
              <w:top w:val="single" w:sz="4" w:space="0" w:color="auto"/>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370" w:type="pct"/>
            <w:vMerge/>
            <w:tcBorders>
              <w:top w:val="single" w:sz="4" w:space="0" w:color="auto"/>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268" w:type="pct"/>
            <w:vMerge/>
            <w:tcBorders>
              <w:top w:val="single" w:sz="4" w:space="0" w:color="auto"/>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268" w:type="pct"/>
            <w:vMerge/>
            <w:tcBorders>
              <w:top w:val="single" w:sz="4" w:space="0" w:color="auto"/>
              <w:left w:val="nil"/>
              <w:bottom w:val="single" w:sz="4" w:space="0" w:color="000000"/>
              <w:right w:val="single" w:sz="4" w:space="0" w:color="000000"/>
            </w:tcBorders>
            <w:vAlign w:val="center"/>
            <w:hideMark/>
          </w:tcPr>
          <w:p w:rsidR="00947A37" w:rsidRPr="00947A37" w:rsidRDefault="00947A37" w:rsidP="00947A37">
            <w:pPr>
              <w:rPr>
                <w:b/>
                <w:bCs/>
                <w:snapToGrid/>
                <w:color w:val="A32020"/>
                <w:sz w:val="16"/>
                <w:szCs w:val="16"/>
                <w:lang w:eastAsia="en-AU"/>
              </w:rPr>
            </w:pPr>
          </w:p>
        </w:tc>
        <w:tc>
          <w:tcPr>
            <w:tcW w:w="196" w:type="pct"/>
            <w:vMerge/>
            <w:tcBorders>
              <w:top w:val="nil"/>
              <w:left w:val="single" w:sz="4" w:space="0" w:color="000000"/>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293" w:type="pct"/>
            <w:vMerge/>
            <w:tcBorders>
              <w:top w:val="nil"/>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361" w:type="pct"/>
            <w:vMerge/>
            <w:tcBorders>
              <w:top w:val="nil"/>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264" w:type="pct"/>
            <w:vMerge/>
            <w:tcBorders>
              <w:top w:val="nil"/>
              <w:left w:val="nil"/>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c>
          <w:tcPr>
            <w:tcW w:w="276" w:type="pct"/>
            <w:vMerge/>
            <w:tcBorders>
              <w:top w:val="single" w:sz="4" w:space="0" w:color="auto"/>
              <w:left w:val="single" w:sz="4" w:space="0" w:color="auto"/>
              <w:bottom w:val="single" w:sz="4" w:space="0" w:color="000000"/>
              <w:right w:val="nil"/>
            </w:tcBorders>
            <w:vAlign w:val="center"/>
            <w:hideMark/>
          </w:tcPr>
          <w:p w:rsidR="00947A37" w:rsidRPr="00947A37" w:rsidRDefault="00947A37" w:rsidP="00947A37">
            <w:pPr>
              <w:rPr>
                <w:b/>
                <w:bCs/>
                <w:snapToGrid/>
                <w:color w:val="A32020"/>
                <w:sz w:val="16"/>
                <w:szCs w:val="16"/>
                <w:lang w:eastAsia="en-AU"/>
              </w:rPr>
            </w:pPr>
          </w:p>
        </w:tc>
      </w:tr>
      <w:tr w:rsidR="00805489" w:rsidRPr="00947A37" w:rsidTr="00805489">
        <w:trPr>
          <w:trHeight w:val="168"/>
        </w:trPr>
        <w:tc>
          <w:tcPr>
            <w:tcW w:w="261" w:type="pct"/>
            <w:tcBorders>
              <w:top w:val="nil"/>
              <w:left w:val="nil"/>
              <w:bottom w:val="nil"/>
              <w:right w:val="nil"/>
            </w:tcBorders>
            <w:shd w:val="clear" w:color="auto" w:fill="auto"/>
            <w:noWrap/>
            <w:hideMark/>
          </w:tcPr>
          <w:p w:rsidR="00947A37" w:rsidRPr="00947A37" w:rsidRDefault="00C5781B" w:rsidP="00947A37">
            <w:pPr>
              <w:jc w:val="center"/>
              <w:rPr>
                <w:snapToGrid/>
                <w:color w:val="000000"/>
                <w:sz w:val="16"/>
                <w:szCs w:val="16"/>
                <w:lang w:eastAsia="en-AU"/>
              </w:rPr>
            </w:pPr>
            <w:r>
              <w:rPr>
                <w:noProof/>
                <w:snapToGrid/>
                <w:lang w:eastAsia="en-AU"/>
              </w:rPr>
              <mc:AlternateContent>
                <mc:Choice Requires="wps">
                  <w:drawing>
                    <wp:anchor distT="0" distB="0" distL="114300" distR="114300" simplePos="0" relativeHeight="251720704" behindDoc="0" locked="0" layoutInCell="1" allowOverlap="1" wp14:anchorId="475B6E36" wp14:editId="199FFA0B">
                      <wp:simplePos x="0" y="0"/>
                      <wp:positionH relativeFrom="column">
                        <wp:posOffset>45085</wp:posOffset>
                      </wp:positionH>
                      <wp:positionV relativeFrom="paragraph">
                        <wp:posOffset>2540</wp:posOffset>
                      </wp:positionV>
                      <wp:extent cx="9616440" cy="120015"/>
                      <wp:effectExtent l="0" t="0" r="22860" b="13335"/>
                      <wp:wrapNone/>
                      <wp:docPr id="76" name="Rectangle 76"/>
                      <wp:cNvGraphicFramePr/>
                      <a:graphic xmlns:a="http://schemas.openxmlformats.org/drawingml/2006/main">
                        <a:graphicData uri="http://schemas.microsoft.com/office/word/2010/wordprocessingShape">
                          <wps:wsp>
                            <wps:cNvSpPr/>
                            <wps:spPr bwMode="ltGray">
                              <a:xfrm>
                                <a:off x="0" y="0"/>
                                <a:ext cx="9616440" cy="120015"/>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o:spid="_x0000_s1026" style="position:absolute;margin-left:3.55pt;margin-top:.2pt;width:757.2pt;height:9.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" filled="f" strokecolor="#511010 [1604]" strokeweight="1.75pt"/>
                  </w:pict>
                </mc:Fallback>
              </mc:AlternateContent>
            </w:r>
            <w:r w:rsidR="00947A37" w:rsidRPr="00947A37">
              <w:rPr>
                <w:snapToGrid/>
                <w:color w:val="000000"/>
                <w:sz w:val="16"/>
                <w:szCs w:val="16"/>
                <w:lang w:eastAsia="en-AU"/>
              </w:rPr>
              <w:t>Yes</w:t>
            </w:r>
          </w:p>
        </w:tc>
        <w:tc>
          <w:tcPr>
            <w:tcW w:w="270"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1</w:t>
            </w:r>
          </w:p>
        </w:tc>
        <w:tc>
          <w:tcPr>
            <w:tcW w:w="202"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A06A</w:t>
            </w:r>
          </w:p>
        </w:tc>
        <w:tc>
          <w:tcPr>
            <w:tcW w:w="1708"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Tracheostomy W Ventilation &gt;95 hours W Catastrophic CC</w:t>
            </w:r>
          </w:p>
        </w:tc>
        <w:tc>
          <w:tcPr>
            <w:tcW w:w="261" w:type="pct"/>
            <w:tcBorders>
              <w:top w:val="nil"/>
              <w:left w:val="nil"/>
              <w:bottom w:val="nil"/>
              <w:right w:val="nil"/>
            </w:tcBorders>
            <w:shd w:val="clear" w:color="000000" w:fill="F4CACA"/>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14.86</w:t>
            </w:r>
          </w:p>
        </w:tc>
        <w:tc>
          <w:tcPr>
            <w:tcW w:w="370"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206</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45.16</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52.3</w:t>
            </w:r>
          </w:p>
        </w:tc>
        <w:tc>
          <w:tcPr>
            <w:tcW w:w="196" w:type="pct"/>
            <w:tcBorders>
              <w:top w:val="nil"/>
              <w:left w:val="single" w:sz="4" w:space="0" w:color="000000"/>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5%</w:t>
            </w:r>
          </w:p>
        </w:tc>
        <w:tc>
          <w:tcPr>
            <w:tcW w:w="293"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47%</w:t>
            </w:r>
          </w:p>
        </w:tc>
        <w:tc>
          <w:tcPr>
            <w:tcW w:w="361"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16%</w:t>
            </w:r>
          </w:p>
        </w:tc>
        <w:tc>
          <w:tcPr>
            <w:tcW w:w="264"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33%</w:t>
            </w:r>
          </w:p>
        </w:tc>
        <w:tc>
          <w:tcPr>
            <w:tcW w:w="276" w:type="pct"/>
            <w:tcBorders>
              <w:top w:val="nil"/>
              <w:left w:val="single" w:sz="4" w:space="0" w:color="auto"/>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13.28</w:t>
            </w:r>
          </w:p>
        </w:tc>
      </w:tr>
      <w:tr w:rsidR="00805489" w:rsidRPr="00947A37" w:rsidTr="00805489">
        <w:trPr>
          <w:trHeight w:val="168"/>
        </w:trPr>
        <w:tc>
          <w:tcPr>
            <w:tcW w:w="261"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Yes</w:t>
            </w:r>
          </w:p>
        </w:tc>
        <w:tc>
          <w:tcPr>
            <w:tcW w:w="270"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2</w:t>
            </w:r>
          </w:p>
        </w:tc>
        <w:tc>
          <w:tcPr>
            <w:tcW w:w="202"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P04Z</w:t>
            </w:r>
          </w:p>
        </w:tc>
        <w:tc>
          <w:tcPr>
            <w:tcW w:w="1708"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Neonate, AdmWt 1500-1999 g W Significant OR Procedure</w:t>
            </w:r>
          </w:p>
        </w:tc>
        <w:tc>
          <w:tcPr>
            <w:tcW w:w="261" w:type="pct"/>
            <w:tcBorders>
              <w:top w:val="nil"/>
              <w:left w:val="nil"/>
              <w:bottom w:val="nil"/>
              <w:right w:val="nil"/>
            </w:tcBorders>
            <w:shd w:val="clear" w:color="000000" w:fill="F4CACA"/>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13.54</w:t>
            </w:r>
          </w:p>
        </w:tc>
        <w:tc>
          <w:tcPr>
            <w:tcW w:w="370"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23</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19.57</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41.6</w:t>
            </w:r>
          </w:p>
        </w:tc>
        <w:tc>
          <w:tcPr>
            <w:tcW w:w="196" w:type="pct"/>
            <w:tcBorders>
              <w:top w:val="nil"/>
              <w:left w:val="single" w:sz="4" w:space="0" w:color="000000"/>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w:t>
            </w:r>
          </w:p>
        </w:tc>
        <w:tc>
          <w:tcPr>
            <w:tcW w:w="293"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29%</w:t>
            </w:r>
          </w:p>
        </w:tc>
        <w:tc>
          <w:tcPr>
            <w:tcW w:w="361"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0%</w:t>
            </w:r>
          </w:p>
        </w:tc>
        <w:tc>
          <w:tcPr>
            <w:tcW w:w="264"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69%</w:t>
            </w:r>
          </w:p>
        </w:tc>
        <w:tc>
          <w:tcPr>
            <w:tcW w:w="276" w:type="pct"/>
            <w:tcBorders>
              <w:top w:val="nil"/>
              <w:left w:val="single" w:sz="4" w:space="0" w:color="auto"/>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6.39</w:t>
            </w:r>
          </w:p>
        </w:tc>
      </w:tr>
      <w:tr w:rsidR="00805489" w:rsidRPr="00947A37" w:rsidTr="00805489">
        <w:trPr>
          <w:trHeight w:val="168"/>
        </w:trPr>
        <w:tc>
          <w:tcPr>
            <w:tcW w:w="261"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Yes</w:t>
            </w:r>
          </w:p>
        </w:tc>
        <w:tc>
          <w:tcPr>
            <w:tcW w:w="270"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3</w:t>
            </w:r>
          </w:p>
        </w:tc>
        <w:tc>
          <w:tcPr>
            <w:tcW w:w="202"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A11A</w:t>
            </w:r>
          </w:p>
        </w:tc>
        <w:tc>
          <w:tcPr>
            <w:tcW w:w="1708"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Insertion of Implantable Spinal Infusion Device W Catastrophic CC</w:t>
            </w:r>
          </w:p>
        </w:tc>
        <w:tc>
          <w:tcPr>
            <w:tcW w:w="261" w:type="pct"/>
            <w:tcBorders>
              <w:top w:val="nil"/>
              <w:left w:val="nil"/>
              <w:bottom w:val="nil"/>
              <w:right w:val="nil"/>
            </w:tcBorders>
            <w:shd w:val="clear" w:color="000000" w:fill="F4CACA"/>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10.21</w:t>
            </w:r>
          </w:p>
        </w:tc>
        <w:tc>
          <w:tcPr>
            <w:tcW w:w="370"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13</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17.61</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34.4</w:t>
            </w:r>
          </w:p>
        </w:tc>
        <w:tc>
          <w:tcPr>
            <w:tcW w:w="196" w:type="pct"/>
            <w:tcBorders>
              <w:top w:val="nil"/>
              <w:left w:val="single" w:sz="4" w:space="0" w:color="000000"/>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5%</w:t>
            </w:r>
          </w:p>
        </w:tc>
        <w:tc>
          <w:tcPr>
            <w:tcW w:w="293"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15%</w:t>
            </w:r>
          </w:p>
        </w:tc>
        <w:tc>
          <w:tcPr>
            <w:tcW w:w="361"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23%</w:t>
            </w:r>
          </w:p>
        </w:tc>
        <w:tc>
          <w:tcPr>
            <w:tcW w:w="264"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58%</w:t>
            </w:r>
          </w:p>
        </w:tc>
        <w:tc>
          <w:tcPr>
            <w:tcW w:w="276" w:type="pct"/>
            <w:tcBorders>
              <w:top w:val="nil"/>
              <w:left w:val="single" w:sz="4" w:space="0" w:color="auto"/>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6.23</w:t>
            </w:r>
          </w:p>
        </w:tc>
      </w:tr>
      <w:tr w:rsidR="00805489" w:rsidRPr="00947A37" w:rsidTr="00805489">
        <w:trPr>
          <w:trHeight w:val="168"/>
        </w:trPr>
        <w:tc>
          <w:tcPr>
            <w:tcW w:w="261"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Yes</w:t>
            </w:r>
          </w:p>
        </w:tc>
        <w:tc>
          <w:tcPr>
            <w:tcW w:w="270"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4</w:t>
            </w:r>
          </w:p>
        </w:tc>
        <w:tc>
          <w:tcPr>
            <w:tcW w:w="202"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P65A</w:t>
            </w:r>
          </w:p>
        </w:tc>
        <w:tc>
          <w:tcPr>
            <w:tcW w:w="1708"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Neonate, AdmWt 1500-1999 g W/O Significant OR Proc W Multi Major Problems</w:t>
            </w:r>
          </w:p>
        </w:tc>
        <w:tc>
          <w:tcPr>
            <w:tcW w:w="261" w:type="pct"/>
            <w:tcBorders>
              <w:top w:val="nil"/>
              <w:left w:val="nil"/>
              <w:bottom w:val="nil"/>
              <w:right w:val="nil"/>
            </w:tcBorders>
            <w:shd w:val="clear" w:color="000000" w:fill="F4CACA"/>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9.43</w:t>
            </w:r>
          </w:p>
        </w:tc>
        <w:tc>
          <w:tcPr>
            <w:tcW w:w="370"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11</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9.75</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28.8</w:t>
            </w:r>
          </w:p>
        </w:tc>
        <w:tc>
          <w:tcPr>
            <w:tcW w:w="196" w:type="pct"/>
            <w:tcBorders>
              <w:top w:val="nil"/>
              <w:left w:val="single" w:sz="4" w:space="0" w:color="000000"/>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0%</w:t>
            </w:r>
          </w:p>
        </w:tc>
        <w:tc>
          <w:tcPr>
            <w:tcW w:w="293"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3%</w:t>
            </w:r>
          </w:p>
        </w:tc>
        <w:tc>
          <w:tcPr>
            <w:tcW w:w="361"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0%</w:t>
            </w:r>
          </w:p>
        </w:tc>
        <w:tc>
          <w:tcPr>
            <w:tcW w:w="264"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97%</w:t>
            </w:r>
          </w:p>
        </w:tc>
        <w:tc>
          <w:tcPr>
            <w:tcW w:w="276" w:type="pct"/>
            <w:tcBorders>
              <w:top w:val="nil"/>
              <w:left w:val="single" w:sz="4" w:space="0" w:color="auto"/>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7.27</w:t>
            </w:r>
          </w:p>
        </w:tc>
      </w:tr>
      <w:tr w:rsidR="00805489" w:rsidRPr="00947A37" w:rsidTr="00805489">
        <w:trPr>
          <w:trHeight w:val="168"/>
        </w:trPr>
        <w:tc>
          <w:tcPr>
            <w:tcW w:w="261"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Yes</w:t>
            </w:r>
          </w:p>
        </w:tc>
        <w:tc>
          <w:tcPr>
            <w:tcW w:w="270"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5</w:t>
            </w:r>
          </w:p>
        </w:tc>
        <w:tc>
          <w:tcPr>
            <w:tcW w:w="202"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P62Z</w:t>
            </w:r>
          </w:p>
        </w:tc>
        <w:tc>
          <w:tcPr>
            <w:tcW w:w="1708"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Neonate, AdmWt 750-999 g</w:t>
            </w:r>
          </w:p>
        </w:tc>
        <w:tc>
          <w:tcPr>
            <w:tcW w:w="261" w:type="pct"/>
            <w:tcBorders>
              <w:top w:val="nil"/>
              <w:left w:val="nil"/>
              <w:bottom w:val="nil"/>
              <w:right w:val="nil"/>
            </w:tcBorders>
            <w:shd w:val="clear" w:color="000000" w:fill="F4CACA"/>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9.09</w:t>
            </w:r>
          </w:p>
        </w:tc>
        <w:tc>
          <w:tcPr>
            <w:tcW w:w="370"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28</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35.71</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53.0</w:t>
            </w:r>
          </w:p>
        </w:tc>
        <w:tc>
          <w:tcPr>
            <w:tcW w:w="196" w:type="pct"/>
            <w:tcBorders>
              <w:top w:val="nil"/>
              <w:left w:val="single" w:sz="4" w:space="0" w:color="000000"/>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0%</w:t>
            </w:r>
          </w:p>
        </w:tc>
        <w:tc>
          <w:tcPr>
            <w:tcW w:w="293"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74%</w:t>
            </w:r>
          </w:p>
        </w:tc>
        <w:tc>
          <w:tcPr>
            <w:tcW w:w="361"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0%</w:t>
            </w:r>
          </w:p>
        </w:tc>
        <w:tc>
          <w:tcPr>
            <w:tcW w:w="264"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25%</w:t>
            </w:r>
          </w:p>
        </w:tc>
        <w:tc>
          <w:tcPr>
            <w:tcW w:w="276" w:type="pct"/>
            <w:tcBorders>
              <w:top w:val="nil"/>
              <w:left w:val="single" w:sz="4" w:space="0" w:color="auto"/>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7.61</w:t>
            </w:r>
          </w:p>
        </w:tc>
      </w:tr>
      <w:tr w:rsidR="00805489" w:rsidRPr="00947A37" w:rsidTr="00805489">
        <w:trPr>
          <w:trHeight w:val="168"/>
        </w:trPr>
        <w:tc>
          <w:tcPr>
            <w:tcW w:w="261"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Yes</w:t>
            </w:r>
          </w:p>
        </w:tc>
        <w:tc>
          <w:tcPr>
            <w:tcW w:w="270"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6</w:t>
            </w:r>
          </w:p>
        </w:tc>
        <w:tc>
          <w:tcPr>
            <w:tcW w:w="202"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A06B</w:t>
            </w:r>
          </w:p>
        </w:tc>
        <w:tc>
          <w:tcPr>
            <w:tcW w:w="1708"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Trach W Vent &gt;95 hours W/O Cat CC or Trach/Vent &gt;95 hours W Cat CC</w:t>
            </w:r>
          </w:p>
        </w:tc>
        <w:tc>
          <w:tcPr>
            <w:tcW w:w="261" w:type="pct"/>
            <w:tcBorders>
              <w:top w:val="nil"/>
              <w:left w:val="nil"/>
              <w:bottom w:val="nil"/>
              <w:right w:val="nil"/>
            </w:tcBorders>
            <w:shd w:val="clear" w:color="000000" w:fill="F4CACA"/>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8.57</w:t>
            </w:r>
          </w:p>
        </w:tc>
        <w:tc>
          <w:tcPr>
            <w:tcW w:w="370"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735</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22.61</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28.4</w:t>
            </w:r>
          </w:p>
        </w:tc>
        <w:tc>
          <w:tcPr>
            <w:tcW w:w="196" w:type="pct"/>
            <w:tcBorders>
              <w:top w:val="nil"/>
              <w:left w:val="single" w:sz="4" w:space="0" w:color="000000"/>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6%</w:t>
            </w:r>
          </w:p>
        </w:tc>
        <w:tc>
          <w:tcPr>
            <w:tcW w:w="293"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42%</w:t>
            </w:r>
          </w:p>
        </w:tc>
        <w:tc>
          <w:tcPr>
            <w:tcW w:w="361"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13%</w:t>
            </w:r>
          </w:p>
        </w:tc>
        <w:tc>
          <w:tcPr>
            <w:tcW w:w="264"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38%</w:t>
            </w:r>
          </w:p>
        </w:tc>
        <w:tc>
          <w:tcPr>
            <w:tcW w:w="276" w:type="pct"/>
            <w:tcBorders>
              <w:top w:val="nil"/>
              <w:left w:val="single" w:sz="4" w:space="0" w:color="auto"/>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6.51</w:t>
            </w:r>
          </w:p>
        </w:tc>
      </w:tr>
      <w:tr w:rsidR="00805489" w:rsidRPr="00947A37" w:rsidTr="00805489">
        <w:trPr>
          <w:trHeight w:val="168"/>
        </w:trPr>
        <w:tc>
          <w:tcPr>
            <w:tcW w:w="261"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Yes</w:t>
            </w:r>
          </w:p>
        </w:tc>
        <w:tc>
          <w:tcPr>
            <w:tcW w:w="270"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7</w:t>
            </w:r>
          </w:p>
        </w:tc>
        <w:tc>
          <w:tcPr>
            <w:tcW w:w="202"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B60A</w:t>
            </w:r>
          </w:p>
        </w:tc>
        <w:tc>
          <w:tcPr>
            <w:tcW w:w="1708"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Acute Paraplegia/Quadriplegia W or W/O OR Procs W Cat CC</w:t>
            </w:r>
          </w:p>
        </w:tc>
        <w:tc>
          <w:tcPr>
            <w:tcW w:w="261" w:type="pct"/>
            <w:tcBorders>
              <w:top w:val="nil"/>
              <w:left w:val="nil"/>
              <w:bottom w:val="nil"/>
              <w:right w:val="nil"/>
            </w:tcBorders>
            <w:shd w:val="clear" w:color="000000" w:fill="F4CACA"/>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8.12</w:t>
            </w:r>
          </w:p>
        </w:tc>
        <w:tc>
          <w:tcPr>
            <w:tcW w:w="370"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15</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16.61</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25.2</w:t>
            </w:r>
          </w:p>
        </w:tc>
        <w:tc>
          <w:tcPr>
            <w:tcW w:w="196" w:type="pct"/>
            <w:tcBorders>
              <w:top w:val="nil"/>
              <w:left w:val="single" w:sz="4" w:space="0" w:color="000000"/>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11%</w:t>
            </w:r>
          </w:p>
        </w:tc>
        <w:tc>
          <w:tcPr>
            <w:tcW w:w="293"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20%</w:t>
            </w:r>
          </w:p>
        </w:tc>
        <w:tc>
          <w:tcPr>
            <w:tcW w:w="361"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20%</w:t>
            </w:r>
          </w:p>
        </w:tc>
        <w:tc>
          <w:tcPr>
            <w:tcW w:w="264"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49%</w:t>
            </w:r>
          </w:p>
        </w:tc>
        <w:tc>
          <w:tcPr>
            <w:tcW w:w="276" w:type="pct"/>
            <w:tcBorders>
              <w:top w:val="nil"/>
              <w:left w:val="single" w:sz="4" w:space="0" w:color="auto"/>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10.07</w:t>
            </w:r>
          </w:p>
        </w:tc>
      </w:tr>
      <w:tr w:rsidR="00805489" w:rsidRPr="00947A37" w:rsidTr="00805489">
        <w:trPr>
          <w:trHeight w:val="168"/>
        </w:trPr>
        <w:tc>
          <w:tcPr>
            <w:tcW w:w="261"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Yes</w:t>
            </w:r>
          </w:p>
        </w:tc>
        <w:tc>
          <w:tcPr>
            <w:tcW w:w="270"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8</w:t>
            </w:r>
          </w:p>
        </w:tc>
        <w:tc>
          <w:tcPr>
            <w:tcW w:w="202"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W04A</w:t>
            </w:r>
          </w:p>
        </w:tc>
        <w:tc>
          <w:tcPr>
            <w:tcW w:w="1708"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Other OR Procs for Multiple Significant Trauma W Catastrophic or Severe CC</w:t>
            </w:r>
          </w:p>
        </w:tc>
        <w:tc>
          <w:tcPr>
            <w:tcW w:w="261" w:type="pct"/>
            <w:tcBorders>
              <w:top w:val="nil"/>
              <w:left w:val="nil"/>
              <w:bottom w:val="nil"/>
              <w:right w:val="nil"/>
            </w:tcBorders>
            <w:shd w:val="clear" w:color="000000" w:fill="F4CACA"/>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8.02</w:t>
            </w:r>
          </w:p>
        </w:tc>
        <w:tc>
          <w:tcPr>
            <w:tcW w:w="370"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12</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9.45</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32.1</w:t>
            </w:r>
          </w:p>
        </w:tc>
        <w:tc>
          <w:tcPr>
            <w:tcW w:w="196" w:type="pct"/>
            <w:tcBorders>
              <w:top w:val="nil"/>
              <w:left w:val="single" w:sz="4" w:space="0" w:color="000000"/>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13%</w:t>
            </w:r>
          </w:p>
        </w:tc>
        <w:tc>
          <w:tcPr>
            <w:tcW w:w="293"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w:t>
            </w:r>
          </w:p>
        </w:tc>
        <w:tc>
          <w:tcPr>
            <w:tcW w:w="361"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w:t>
            </w:r>
          </w:p>
        </w:tc>
        <w:tc>
          <w:tcPr>
            <w:tcW w:w="264"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85%</w:t>
            </w:r>
          </w:p>
        </w:tc>
        <w:tc>
          <w:tcPr>
            <w:tcW w:w="276" w:type="pct"/>
            <w:tcBorders>
              <w:top w:val="nil"/>
              <w:left w:val="single" w:sz="4" w:space="0" w:color="auto"/>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6.94</w:t>
            </w:r>
          </w:p>
        </w:tc>
      </w:tr>
      <w:tr w:rsidR="00805489" w:rsidRPr="00947A37" w:rsidTr="00805489">
        <w:trPr>
          <w:trHeight w:val="168"/>
        </w:trPr>
        <w:tc>
          <w:tcPr>
            <w:tcW w:w="261"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No</w:t>
            </w:r>
          </w:p>
        </w:tc>
        <w:tc>
          <w:tcPr>
            <w:tcW w:w="270"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9</w:t>
            </w:r>
          </w:p>
        </w:tc>
        <w:tc>
          <w:tcPr>
            <w:tcW w:w="202"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S65A</w:t>
            </w:r>
          </w:p>
        </w:tc>
        <w:tc>
          <w:tcPr>
            <w:tcW w:w="1708"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HIV-Related Diseases W Catastrophic CC</w:t>
            </w:r>
          </w:p>
        </w:tc>
        <w:tc>
          <w:tcPr>
            <w:tcW w:w="261" w:type="pct"/>
            <w:tcBorders>
              <w:top w:val="nil"/>
              <w:left w:val="nil"/>
              <w:bottom w:val="nil"/>
              <w:right w:val="nil"/>
            </w:tcBorders>
            <w:shd w:val="clear" w:color="000000" w:fill="F4CACA"/>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7.91</w:t>
            </w:r>
          </w:p>
        </w:tc>
        <w:tc>
          <w:tcPr>
            <w:tcW w:w="370"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22</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9.06</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23.2</w:t>
            </w:r>
          </w:p>
        </w:tc>
        <w:tc>
          <w:tcPr>
            <w:tcW w:w="196" w:type="pct"/>
            <w:tcBorders>
              <w:top w:val="nil"/>
              <w:left w:val="single" w:sz="4" w:space="0" w:color="000000"/>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w:t>
            </w:r>
          </w:p>
        </w:tc>
        <w:tc>
          <w:tcPr>
            <w:tcW w:w="293"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10%</w:t>
            </w:r>
          </w:p>
        </w:tc>
        <w:tc>
          <w:tcPr>
            <w:tcW w:w="361"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w:t>
            </w:r>
          </w:p>
        </w:tc>
        <w:tc>
          <w:tcPr>
            <w:tcW w:w="264"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87%</w:t>
            </w:r>
          </w:p>
        </w:tc>
        <w:tc>
          <w:tcPr>
            <w:tcW w:w="276" w:type="pct"/>
            <w:tcBorders>
              <w:top w:val="nil"/>
              <w:left w:val="single" w:sz="4" w:space="0" w:color="auto"/>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w:t>
            </w:r>
          </w:p>
        </w:tc>
      </w:tr>
      <w:tr w:rsidR="00805489" w:rsidRPr="00947A37" w:rsidTr="00805489">
        <w:trPr>
          <w:trHeight w:val="168"/>
        </w:trPr>
        <w:tc>
          <w:tcPr>
            <w:tcW w:w="261"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Yes</w:t>
            </w:r>
          </w:p>
        </w:tc>
        <w:tc>
          <w:tcPr>
            <w:tcW w:w="270"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10</w:t>
            </w:r>
          </w:p>
        </w:tc>
        <w:tc>
          <w:tcPr>
            <w:tcW w:w="202"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P63Z</w:t>
            </w:r>
          </w:p>
        </w:tc>
        <w:tc>
          <w:tcPr>
            <w:tcW w:w="1708"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Neonate, AdmWt 1000-1249 g W/O Significant OR Procedure</w:t>
            </w:r>
          </w:p>
        </w:tc>
        <w:tc>
          <w:tcPr>
            <w:tcW w:w="261" w:type="pct"/>
            <w:tcBorders>
              <w:top w:val="nil"/>
              <w:left w:val="nil"/>
              <w:bottom w:val="nil"/>
              <w:right w:val="nil"/>
            </w:tcBorders>
            <w:shd w:val="clear" w:color="000000" w:fill="F4CACA"/>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7.43</w:t>
            </w:r>
          </w:p>
        </w:tc>
        <w:tc>
          <w:tcPr>
            <w:tcW w:w="370"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31</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8.82</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33.2</w:t>
            </w:r>
          </w:p>
        </w:tc>
        <w:tc>
          <w:tcPr>
            <w:tcW w:w="196" w:type="pct"/>
            <w:tcBorders>
              <w:top w:val="nil"/>
              <w:left w:val="single" w:sz="4" w:space="0" w:color="000000"/>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0%</w:t>
            </w:r>
          </w:p>
        </w:tc>
        <w:tc>
          <w:tcPr>
            <w:tcW w:w="293"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16%</w:t>
            </w:r>
          </w:p>
        </w:tc>
        <w:tc>
          <w:tcPr>
            <w:tcW w:w="361"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0%</w:t>
            </w:r>
          </w:p>
        </w:tc>
        <w:tc>
          <w:tcPr>
            <w:tcW w:w="264"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84%</w:t>
            </w:r>
          </w:p>
        </w:tc>
        <w:tc>
          <w:tcPr>
            <w:tcW w:w="276" w:type="pct"/>
            <w:tcBorders>
              <w:top w:val="nil"/>
              <w:left w:val="single" w:sz="4" w:space="0" w:color="auto"/>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5.97</w:t>
            </w:r>
          </w:p>
        </w:tc>
      </w:tr>
      <w:tr w:rsidR="00805489" w:rsidRPr="00947A37" w:rsidTr="00805489">
        <w:trPr>
          <w:trHeight w:val="168"/>
        </w:trPr>
        <w:tc>
          <w:tcPr>
            <w:tcW w:w="261"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Yes</w:t>
            </w:r>
          </w:p>
        </w:tc>
        <w:tc>
          <w:tcPr>
            <w:tcW w:w="270"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11</w:t>
            </w:r>
          </w:p>
        </w:tc>
        <w:tc>
          <w:tcPr>
            <w:tcW w:w="202"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A08A</w:t>
            </w:r>
          </w:p>
        </w:tc>
        <w:tc>
          <w:tcPr>
            <w:tcW w:w="1708"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Autologous Bone Marrow Transplant W Catastrophic CC</w:t>
            </w:r>
          </w:p>
        </w:tc>
        <w:tc>
          <w:tcPr>
            <w:tcW w:w="261" w:type="pct"/>
            <w:tcBorders>
              <w:top w:val="nil"/>
              <w:left w:val="nil"/>
              <w:bottom w:val="nil"/>
              <w:right w:val="nil"/>
            </w:tcBorders>
            <w:shd w:val="clear" w:color="000000" w:fill="F4CACA"/>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7.32</w:t>
            </w:r>
          </w:p>
        </w:tc>
        <w:tc>
          <w:tcPr>
            <w:tcW w:w="370"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113</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7.91</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25.8</w:t>
            </w:r>
          </w:p>
        </w:tc>
        <w:tc>
          <w:tcPr>
            <w:tcW w:w="196" w:type="pct"/>
            <w:tcBorders>
              <w:top w:val="nil"/>
              <w:left w:val="single" w:sz="4" w:space="0" w:color="000000"/>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w:t>
            </w:r>
          </w:p>
        </w:tc>
        <w:tc>
          <w:tcPr>
            <w:tcW w:w="293"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5%</w:t>
            </w:r>
          </w:p>
        </w:tc>
        <w:tc>
          <w:tcPr>
            <w:tcW w:w="361"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w:t>
            </w:r>
          </w:p>
        </w:tc>
        <w:tc>
          <w:tcPr>
            <w:tcW w:w="264"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93%</w:t>
            </w:r>
          </w:p>
        </w:tc>
        <w:tc>
          <w:tcPr>
            <w:tcW w:w="276" w:type="pct"/>
            <w:tcBorders>
              <w:top w:val="nil"/>
              <w:left w:val="single" w:sz="4" w:space="0" w:color="auto"/>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7.29</w:t>
            </w:r>
          </w:p>
        </w:tc>
      </w:tr>
      <w:tr w:rsidR="00805489" w:rsidRPr="00947A37" w:rsidTr="00805489">
        <w:trPr>
          <w:trHeight w:val="168"/>
        </w:trPr>
        <w:tc>
          <w:tcPr>
            <w:tcW w:w="261"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No</w:t>
            </w:r>
          </w:p>
        </w:tc>
        <w:tc>
          <w:tcPr>
            <w:tcW w:w="270"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12</w:t>
            </w:r>
          </w:p>
        </w:tc>
        <w:tc>
          <w:tcPr>
            <w:tcW w:w="202"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P05Z</w:t>
            </w:r>
          </w:p>
        </w:tc>
        <w:tc>
          <w:tcPr>
            <w:tcW w:w="1708"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Neonate, AdmWt 2000-2499 g W Significant OR Procedure</w:t>
            </w:r>
          </w:p>
        </w:tc>
        <w:tc>
          <w:tcPr>
            <w:tcW w:w="261" w:type="pct"/>
            <w:tcBorders>
              <w:top w:val="nil"/>
              <w:left w:val="nil"/>
              <w:bottom w:val="nil"/>
              <w:right w:val="nil"/>
            </w:tcBorders>
            <w:shd w:val="clear" w:color="000000" w:fill="F4CACA"/>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7.30</w:t>
            </w:r>
          </w:p>
        </w:tc>
        <w:tc>
          <w:tcPr>
            <w:tcW w:w="370"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26</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13.37</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26.6</w:t>
            </w:r>
          </w:p>
        </w:tc>
        <w:tc>
          <w:tcPr>
            <w:tcW w:w="196" w:type="pct"/>
            <w:tcBorders>
              <w:top w:val="nil"/>
              <w:left w:val="single" w:sz="4" w:space="0" w:color="000000"/>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w:t>
            </w:r>
          </w:p>
        </w:tc>
        <w:tc>
          <w:tcPr>
            <w:tcW w:w="293"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43%</w:t>
            </w:r>
          </w:p>
        </w:tc>
        <w:tc>
          <w:tcPr>
            <w:tcW w:w="361"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0%</w:t>
            </w:r>
          </w:p>
        </w:tc>
        <w:tc>
          <w:tcPr>
            <w:tcW w:w="264"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55%</w:t>
            </w:r>
          </w:p>
        </w:tc>
        <w:tc>
          <w:tcPr>
            <w:tcW w:w="276" w:type="pct"/>
            <w:tcBorders>
              <w:top w:val="nil"/>
              <w:left w:val="single" w:sz="4" w:space="0" w:color="auto"/>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2.78</w:t>
            </w:r>
          </w:p>
        </w:tc>
      </w:tr>
      <w:tr w:rsidR="00805489" w:rsidRPr="00947A37" w:rsidTr="00805489">
        <w:trPr>
          <w:trHeight w:val="168"/>
        </w:trPr>
        <w:tc>
          <w:tcPr>
            <w:tcW w:w="261"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No</w:t>
            </w:r>
          </w:p>
        </w:tc>
        <w:tc>
          <w:tcPr>
            <w:tcW w:w="270"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13</w:t>
            </w:r>
          </w:p>
        </w:tc>
        <w:tc>
          <w:tcPr>
            <w:tcW w:w="202"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P65B</w:t>
            </w:r>
          </w:p>
        </w:tc>
        <w:tc>
          <w:tcPr>
            <w:tcW w:w="1708"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Neonate, AdmWt 1500-1999 g W/O Significant OR Procedure W Major Problem</w:t>
            </w:r>
          </w:p>
        </w:tc>
        <w:tc>
          <w:tcPr>
            <w:tcW w:w="261" w:type="pct"/>
            <w:tcBorders>
              <w:top w:val="nil"/>
              <w:left w:val="nil"/>
              <w:bottom w:val="nil"/>
              <w:right w:val="nil"/>
            </w:tcBorders>
            <w:shd w:val="clear" w:color="000000" w:fill="F4CACA"/>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6.93</w:t>
            </w:r>
          </w:p>
        </w:tc>
        <w:tc>
          <w:tcPr>
            <w:tcW w:w="370"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211</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8.46</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26.6</w:t>
            </w:r>
          </w:p>
        </w:tc>
        <w:tc>
          <w:tcPr>
            <w:tcW w:w="196" w:type="pct"/>
            <w:tcBorders>
              <w:top w:val="nil"/>
              <w:left w:val="single" w:sz="4" w:space="0" w:color="000000"/>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0%</w:t>
            </w:r>
          </w:p>
        </w:tc>
        <w:tc>
          <w:tcPr>
            <w:tcW w:w="293"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18%</w:t>
            </w:r>
          </w:p>
        </w:tc>
        <w:tc>
          <w:tcPr>
            <w:tcW w:w="361"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0%</w:t>
            </w:r>
          </w:p>
        </w:tc>
        <w:tc>
          <w:tcPr>
            <w:tcW w:w="264"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82%</w:t>
            </w:r>
          </w:p>
        </w:tc>
        <w:tc>
          <w:tcPr>
            <w:tcW w:w="276" w:type="pct"/>
            <w:tcBorders>
              <w:top w:val="nil"/>
              <w:left w:val="single" w:sz="4" w:space="0" w:color="auto"/>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4.39</w:t>
            </w:r>
          </w:p>
        </w:tc>
      </w:tr>
      <w:tr w:rsidR="00805489" w:rsidRPr="00947A37" w:rsidTr="00805489">
        <w:trPr>
          <w:trHeight w:val="168"/>
        </w:trPr>
        <w:tc>
          <w:tcPr>
            <w:tcW w:w="261"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No</w:t>
            </w:r>
          </w:p>
        </w:tc>
        <w:tc>
          <w:tcPr>
            <w:tcW w:w="270"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14</w:t>
            </w:r>
          </w:p>
        </w:tc>
        <w:tc>
          <w:tcPr>
            <w:tcW w:w="202"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K01A</w:t>
            </w:r>
          </w:p>
        </w:tc>
        <w:tc>
          <w:tcPr>
            <w:tcW w:w="1708"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OR Procedures for Diabetic Complications W Catastrophic CC</w:t>
            </w:r>
          </w:p>
        </w:tc>
        <w:tc>
          <w:tcPr>
            <w:tcW w:w="261" w:type="pct"/>
            <w:tcBorders>
              <w:top w:val="nil"/>
              <w:left w:val="nil"/>
              <w:bottom w:val="nil"/>
              <w:right w:val="nil"/>
            </w:tcBorders>
            <w:shd w:val="clear" w:color="000000" w:fill="F4CACA"/>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6.91</w:t>
            </w:r>
          </w:p>
        </w:tc>
        <w:tc>
          <w:tcPr>
            <w:tcW w:w="370"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153</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8.99</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32.0</w:t>
            </w:r>
          </w:p>
        </w:tc>
        <w:tc>
          <w:tcPr>
            <w:tcW w:w="196" w:type="pct"/>
            <w:tcBorders>
              <w:top w:val="nil"/>
              <w:left w:val="single" w:sz="4" w:space="0" w:color="000000"/>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10%</w:t>
            </w:r>
          </w:p>
        </w:tc>
        <w:tc>
          <w:tcPr>
            <w:tcW w:w="293"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6%</w:t>
            </w:r>
          </w:p>
        </w:tc>
        <w:tc>
          <w:tcPr>
            <w:tcW w:w="361"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7%</w:t>
            </w:r>
          </w:p>
        </w:tc>
        <w:tc>
          <w:tcPr>
            <w:tcW w:w="264"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77%</w:t>
            </w:r>
          </w:p>
        </w:tc>
        <w:tc>
          <w:tcPr>
            <w:tcW w:w="276" w:type="pct"/>
            <w:tcBorders>
              <w:top w:val="nil"/>
              <w:left w:val="single" w:sz="4" w:space="0" w:color="auto"/>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5.45</w:t>
            </w:r>
          </w:p>
        </w:tc>
      </w:tr>
      <w:tr w:rsidR="00805489" w:rsidRPr="00947A37" w:rsidTr="00805489">
        <w:trPr>
          <w:trHeight w:val="168"/>
        </w:trPr>
        <w:tc>
          <w:tcPr>
            <w:tcW w:w="261"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Yes</w:t>
            </w:r>
          </w:p>
        </w:tc>
        <w:tc>
          <w:tcPr>
            <w:tcW w:w="270"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15</w:t>
            </w:r>
          </w:p>
        </w:tc>
        <w:tc>
          <w:tcPr>
            <w:tcW w:w="202"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P64Z</w:t>
            </w:r>
          </w:p>
        </w:tc>
        <w:tc>
          <w:tcPr>
            <w:tcW w:w="1708"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Neonate, AdmWt 1250-1499 g W/O Significant OR Procedure</w:t>
            </w:r>
          </w:p>
        </w:tc>
        <w:tc>
          <w:tcPr>
            <w:tcW w:w="261" w:type="pct"/>
            <w:tcBorders>
              <w:top w:val="nil"/>
              <w:left w:val="nil"/>
              <w:bottom w:val="nil"/>
              <w:right w:val="nil"/>
            </w:tcBorders>
            <w:shd w:val="clear" w:color="000000" w:fill="F4CACA"/>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6.26</w:t>
            </w:r>
          </w:p>
        </w:tc>
        <w:tc>
          <w:tcPr>
            <w:tcW w:w="370"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153</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7.51</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28.4</w:t>
            </w:r>
          </w:p>
        </w:tc>
        <w:tc>
          <w:tcPr>
            <w:tcW w:w="196" w:type="pct"/>
            <w:tcBorders>
              <w:top w:val="nil"/>
              <w:left w:val="single" w:sz="4" w:space="0" w:color="000000"/>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0%</w:t>
            </w:r>
          </w:p>
        </w:tc>
        <w:tc>
          <w:tcPr>
            <w:tcW w:w="293"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17%</w:t>
            </w:r>
          </w:p>
        </w:tc>
        <w:tc>
          <w:tcPr>
            <w:tcW w:w="361"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0%</w:t>
            </w:r>
          </w:p>
        </w:tc>
        <w:tc>
          <w:tcPr>
            <w:tcW w:w="264"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83%</w:t>
            </w:r>
          </w:p>
        </w:tc>
        <w:tc>
          <w:tcPr>
            <w:tcW w:w="276" w:type="pct"/>
            <w:tcBorders>
              <w:top w:val="nil"/>
              <w:left w:val="single" w:sz="4" w:space="0" w:color="auto"/>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5.91</w:t>
            </w:r>
          </w:p>
        </w:tc>
      </w:tr>
      <w:tr w:rsidR="00805489" w:rsidRPr="00947A37" w:rsidTr="00805489">
        <w:trPr>
          <w:trHeight w:val="168"/>
        </w:trPr>
        <w:tc>
          <w:tcPr>
            <w:tcW w:w="261"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Yes</w:t>
            </w:r>
          </w:p>
        </w:tc>
        <w:tc>
          <w:tcPr>
            <w:tcW w:w="270"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16</w:t>
            </w:r>
          </w:p>
        </w:tc>
        <w:tc>
          <w:tcPr>
            <w:tcW w:w="202"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R60A</w:t>
            </w:r>
          </w:p>
        </w:tc>
        <w:tc>
          <w:tcPr>
            <w:tcW w:w="1708"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Acute Leukaemia W Catastrophic CC</w:t>
            </w:r>
          </w:p>
        </w:tc>
        <w:tc>
          <w:tcPr>
            <w:tcW w:w="261" w:type="pct"/>
            <w:tcBorders>
              <w:top w:val="nil"/>
              <w:left w:val="nil"/>
              <w:bottom w:val="nil"/>
              <w:right w:val="nil"/>
            </w:tcBorders>
            <w:shd w:val="clear" w:color="000000" w:fill="F4CACA"/>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6.00</w:t>
            </w:r>
          </w:p>
        </w:tc>
        <w:tc>
          <w:tcPr>
            <w:tcW w:w="370"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300</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6.48</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20.0</w:t>
            </w:r>
          </w:p>
        </w:tc>
        <w:tc>
          <w:tcPr>
            <w:tcW w:w="196" w:type="pct"/>
            <w:tcBorders>
              <w:top w:val="nil"/>
              <w:left w:val="single" w:sz="4" w:space="0" w:color="000000"/>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w:t>
            </w:r>
          </w:p>
        </w:tc>
        <w:tc>
          <w:tcPr>
            <w:tcW w:w="293"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5%</w:t>
            </w:r>
          </w:p>
        </w:tc>
        <w:tc>
          <w:tcPr>
            <w:tcW w:w="361"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w:t>
            </w:r>
          </w:p>
        </w:tc>
        <w:tc>
          <w:tcPr>
            <w:tcW w:w="264"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93%</w:t>
            </w:r>
          </w:p>
        </w:tc>
        <w:tc>
          <w:tcPr>
            <w:tcW w:w="276" w:type="pct"/>
            <w:tcBorders>
              <w:top w:val="nil"/>
              <w:left w:val="single" w:sz="4" w:space="0" w:color="auto"/>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6.89</w:t>
            </w:r>
          </w:p>
        </w:tc>
      </w:tr>
      <w:tr w:rsidR="00805489" w:rsidRPr="00947A37" w:rsidTr="00805489">
        <w:trPr>
          <w:trHeight w:val="168"/>
        </w:trPr>
        <w:tc>
          <w:tcPr>
            <w:tcW w:w="261"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No</w:t>
            </w:r>
          </w:p>
        </w:tc>
        <w:tc>
          <w:tcPr>
            <w:tcW w:w="270"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17</w:t>
            </w:r>
          </w:p>
        </w:tc>
        <w:tc>
          <w:tcPr>
            <w:tcW w:w="202"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T01A</w:t>
            </w:r>
          </w:p>
        </w:tc>
        <w:tc>
          <w:tcPr>
            <w:tcW w:w="1708"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OR Procedures for Infectious and Parasitic Diseases W Catastrophic CC</w:t>
            </w:r>
          </w:p>
        </w:tc>
        <w:tc>
          <w:tcPr>
            <w:tcW w:w="261" w:type="pct"/>
            <w:tcBorders>
              <w:top w:val="nil"/>
              <w:left w:val="nil"/>
              <w:bottom w:val="nil"/>
              <w:right w:val="nil"/>
            </w:tcBorders>
            <w:shd w:val="clear" w:color="000000" w:fill="F4CACA"/>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5.98</w:t>
            </w:r>
          </w:p>
        </w:tc>
        <w:tc>
          <w:tcPr>
            <w:tcW w:w="370"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685</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8.38</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24.5</w:t>
            </w:r>
          </w:p>
        </w:tc>
        <w:tc>
          <w:tcPr>
            <w:tcW w:w="196" w:type="pct"/>
            <w:tcBorders>
              <w:top w:val="nil"/>
              <w:left w:val="single" w:sz="4" w:space="0" w:color="000000"/>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9%</w:t>
            </w:r>
          </w:p>
        </w:tc>
        <w:tc>
          <w:tcPr>
            <w:tcW w:w="293"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13%</w:t>
            </w:r>
          </w:p>
        </w:tc>
        <w:tc>
          <w:tcPr>
            <w:tcW w:w="361"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7%</w:t>
            </w:r>
          </w:p>
        </w:tc>
        <w:tc>
          <w:tcPr>
            <w:tcW w:w="264"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71%</w:t>
            </w:r>
          </w:p>
        </w:tc>
        <w:tc>
          <w:tcPr>
            <w:tcW w:w="276" w:type="pct"/>
            <w:tcBorders>
              <w:top w:val="nil"/>
              <w:left w:val="single" w:sz="4" w:space="0" w:color="auto"/>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5.32</w:t>
            </w:r>
          </w:p>
        </w:tc>
      </w:tr>
      <w:tr w:rsidR="00805489" w:rsidRPr="00947A37" w:rsidTr="00805489">
        <w:trPr>
          <w:trHeight w:val="168"/>
        </w:trPr>
        <w:tc>
          <w:tcPr>
            <w:tcW w:w="261"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No</w:t>
            </w:r>
          </w:p>
        </w:tc>
        <w:tc>
          <w:tcPr>
            <w:tcW w:w="270"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18</w:t>
            </w:r>
          </w:p>
        </w:tc>
        <w:tc>
          <w:tcPr>
            <w:tcW w:w="202"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F01A</w:t>
            </w:r>
          </w:p>
        </w:tc>
        <w:tc>
          <w:tcPr>
            <w:tcW w:w="1708"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Implantation or Replacement of AICD, Total System W Catastrophic CC</w:t>
            </w:r>
          </w:p>
        </w:tc>
        <w:tc>
          <w:tcPr>
            <w:tcW w:w="261" w:type="pct"/>
            <w:tcBorders>
              <w:top w:val="nil"/>
              <w:left w:val="nil"/>
              <w:bottom w:val="nil"/>
              <w:right w:val="nil"/>
            </w:tcBorders>
            <w:shd w:val="clear" w:color="000000" w:fill="F4CACA"/>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5.88</w:t>
            </w:r>
          </w:p>
        </w:tc>
        <w:tc>
          <w:tcPr>
            <w:tcW w:w="370"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339</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28.41</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8.7</w:t>
            </w:r>
          </w:p>
        </w:tc>
        <w:tc>
          <w:tcPr>
            <w:tcW w:w="196" w:type="pct"/>
            <w:tcBorders>
              <w:top w:val="nil"/>
              <w:left w:val="single" w:sz="4" w:space="0" w:color="000000"/>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3%</w:t>
            </w:r>
          </w:p>
        </w:tc>
        <w:tc>
          <w:tcPr>
            <w:tcW w:w="293"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6%</w:t>
            </w:r>
          </w:p>
        </w:tc>
        <w:tc>
          <w:tcPr>
            <w:tcW w:w="361"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70%</w:t>
            </w:r>
          </w:p>
        </w:tc>
        <w:tc>
          <w:tcPr>
            <w:tcW w:w="264"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21%</w:t>
            </w:r>
          </w:p>
        </w:tc>
        <w:tc>
          <w:tcPr>
            <w:tcW w:w="276" w:type="pct"/>
            <w:tcBorders>
              <w:top w:val="nil"/>
              <w:left w:val="single" w:sz="4" w:space="0" w:color="auto"/>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5.39</w:t>
            </w:r>
          </w:p>
        </w:tc>
      </w:tr>
      <w:tr w:rsidR="00805489" w:rsidRPr="00947A37" w:rsidTr="00805489">
        <w:trPr>
          <w:trHeight w:val="168"/>
        </w:trPr>
        <w:tc>
          <w:tcPr>
            <w:tcW w:w="261"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No</w:t>
            </w:r>
          </w:p>
        </w:tc>
        <w:tc>
          <w:tcPr>
            <w:tcW w:w="270"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19</w:t>
            </w:r>
          </w:p>
        </w:tc>
        <w:tc>
          <w:tcPr>
            <w:tcW w:w="202"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P65C</w:t>
            </w:r>
          </w:p>
        </w:tc>
        <w:tc>
          <w:tcPr>
            <w:tcW w:w="1708"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Neonate, AdmWt 1500-1999 g W/O Significant OR Procedure W Other Problem</w:t>
            </w:r>
          </w:p>
        </w:tc>
        <w:tc>
          <w:tcPr>
            <w:tcW w:w="261" w:type="pct"/>
            <w:tcBorders>
              <w:top w:val="nil"/>
              <w:left w:val="nil"/>
              <w:bottom w:val="nil"/>
              <w:right w:val="nil"/>
            </w:tcBorders>
            <w:shd w:val="clear" w:color="000000" w:fill="F4CACA"/>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5.75</w:t>
            </w:r>
          </w:p>
        </w:tc>
        <w:tc>
          <w:tcPr>
            <w:tcW w:w="370"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302</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6.65</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24.0</w:t>
            </w:r>
          </w:p>
        </w:tc>
        <w:tc>
          <w:tcPr>
            <w:tcW w:w="196" w:type="pct"/>
            <w:tcBorders>
              <w:top w:val="nil"/>
              <w:left w:val="single" w:sz="4" w:space="0" w:color="000000"/>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0%</w:t>
            </w:r>
          </w:p>
        </w:tc>
        <w:tc>
          <w:tcPr>
            <w:tcW w:w="293"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13%</w:t>
            </w:r>
          </w:p>
        </w:tc>
        <w:tc>
          <w:tcPr>
            <w:tcW w:w="361"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0%</w:t>
            </w:r>
          </w:p>
        </w:tc>
        <w:tc>
          <w:tcPr>
            <w:tcW w:w="264"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87%</w:t>
            </w:r>
          </w:p>
        </w:tc>
        <w:tc>
          <w:tcPr>
            <w:tcW w:w="276" w:type="pct"/>
            <w:tcBorders>
              <w:top w:val="nil"/>
              <w:left w:val="single" w:sz="4" w:space="0" w:color="auto"/>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4.06</w:t>
            </w:r>
          </w:p>
        </w:tc>
      </w:tr>
      <w:tr w:rsidR="00805489" w:rsidRPr="00947A37" w:rsidTr="00805489">
        <w:trPr>
          <w:trHeight w:val="168"/>
        </w:trPr>
        <w:tc>
          <w:tcPr>
            <w:tcW w:w="261"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No</w:t>
            </w:r>
          </w:p>
        </w:tc>
        <w:tc>
          <w:tcPr>
            <w:tcW w:w="270"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20</w:t>
            </w:r>
          </w:p>
        </w:tc>
        <w:tc>
          <w:tcPr>
            <w:tcW w:w="202"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F03A</w:t>
            </w:r>
          </w:p>
        </w:tc>
        <w:tc>
          <w:tcPr>
            <w:tcW w:w="1708" w:type="pct"/>
            <w:tcBorders>
              <w:top w:val="nil"/>
              <w:left w:val="nil"/>
              <w:bottom w:val="nil"/>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Cardiac Valve Proc W CPB Pump W Invasive Cardiac Investigation W Cat CC</w:t>
            </w:r>
          </w:p>
        </w:tc>
        <w:tc>
          <w:tcPr>
            <w:tcW w:w="261" w:type="pct"/>
            <w:tcBorders>
              <w:top w:val="nil"/>
              <w:left w:val="nil"/>
              <w:bottom w:val="nil"/>
              <w:right w:val="nil"/>
            </w:tcBorders>
            <w:shd w:val="clear" w:color="000000" w:fill="F4CACA"/>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5.68</w:t>
            </w:r>
          </w:p>
        </w:tc>
        <w:tc>
          <w:tcPr>
            <w:tcW w:w="370" w:type="pct"/>
            <w:tcBorders>
              <w:top w:val="nil"/>
              <w:left w:val="nil"/>
              <w:bottom w:val="nil"/>
              <w:right w:val="nil"/>
            </w:tcBorders>
            <w:shd w:val="clear" w:color="auto" w:fill="auto"/>
            <w:noWrap/>
            <w:hideMark/>
          </w:tcPr>
          <w:p w:rsidR="00947A37" w:rsidRPr="00947A37" w:rsidRDefault="00C5781B" w:rsidP="00947A37">
            <w:pPr>
              <w:jc w:val="right"/>
              <w:rPr>
                <w:snapToGrid/>
                <w:color w:val="000000"/>
                <w:sz w:val="16"/>
                <w:szCs w:val="16"/>
                <w:lang w:eastAsia="en-AU"/>
              </w:rPr>
            </w:pPr>
            <w:r>
              <w:rPr>
                <w:noProof/>
                <w:snapToGrid/>
                <w:lang w:eastAsia="en-AU"/>
              </w:rPr>
              <mc:AlternateContent>
                <mc:Choice Requires="wps">
                  <w:drawing>
                    <wp:anchor distT="0" distB="0" distL="114300" distR="114300" simplePos="0" relativeHeight="251722752" behindDoc="0" locked="0" layoutInCell="1" allowOverlap="1" wp14:anchorId="2948251B" wp14:editId="4FC43D9F">
                      <wp:simplePos x="0" y="0"/>
                      <wp:positionH relativeFrom="column">
                        <wp:posOffset>-4445</wp:posOffset>
                      </wp:positionH>
                      <wp:positionV relativeFrom="paragraph">
                        <wp:posOffset>187960</wp:posOffset>
                      </wp:positionV>
                      <wp:extent cx="770255" cy="536575"/>
                      <wp:effectExtent l="0" t="0" r="10795" b="15875"/>
                      <wp:wrapNone/>
                      <wp:docPr id="77" name="Oval 77"/>
                      <wp:cNvGraphicFramePr/>
                      <a:graphic xmlns:a="http://schemas.openxmlformats.org/drawingml/2006/main">
                        <a:graphicData uri="http://schemas.microsoft.com/office/word/2010/wordprocessingShape">
                          <wps:wsp>
                            <wps:cNvSpPr/>
                            <wps:spPr bwMode="ltGray">
                              <a:xfrm>
                                <a:off x="0" y="0"/>
                                <a:ext cx="770255" cy="53657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7" o:spid="_x0000_s1026" style="position:absolute;margin-left:-.35pt;margin-top:14.8pt;width:60.65pt;height:4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" filled="f" strokecolor="#511010 [1604]" strokeweight="1pt"/>
                  </w:pict>
                </mc:Fallback>
              </mc:AlternateContent>
            </w:r>
            <w:r w:rsidR="00947A37" w:rsidRPr="00947A37">
              <w:rPr>
                <w:snapToGrid/>
                <w:color w:val="000000"/>
                <w:sz w:val="16"/>
                <w:szCs w:val="16"/>
                <w:lang w:eastAsia="en-AU"/>
              </w:rPr>
              <w:t>400</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16.11</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19.0</w:t>
            </w:r>
          </w:p>
        </w:tc>
        <w:tc>
          <w:tcPr>
            <w:tcW w:w="196" w:type="pct"/>
            <w:tcBorders>
              <w:top w:val="nil"/>
              <w:left w:val="single" w:sz="4" w:space="0" w:color="000000"/>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15%</w:t>
            </w:r>
          </w:p>
        </w:tc>
        <w:tc>
          <w:tcPr>
            <w:tcW w:w="293"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24%</w:t>
            </w:r>
          </w:p>
        </w:tc>
        <w:tc>
          <w:tcPr>
            <w:tcW w:w="361"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26%</w:t>
            </w:r>
          </w:p>
        </w:tc>
        <w:tc>
          <w:tcPr>
            <w:tcW w:w="264"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35%</w:t>
            </w:r>
          </w:p>
        </w:tc>
        <w:tc>
          <w:tcPr>
            <w:tcW w:w="276" w:type="pct"/>
            <w:tcBorders>
              <w:top w:val="nil"/>
              <w:left w:val="single" w:sz="4" w:space="0" w:color="auto"/>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5.32</w:t>
            </w:r>
          </w:p>
        </w:tc>
      </w:tr>
      <w:tr w:rsidR="00805489" w:rsidRPr="00947A37" w:rsidTr="00805489">
        <w:trPr>
          <w:trHeight w:val="168"/>
        </w:trPr>
        <w:tc>
          <w:tcPr>
            <w:tcW w:w="261" w:type="pct"/>
            <w:tcBorders>
              <w:top w:val="single" w:sz="4" w:space="0" w:color="auto"/>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12</w:t>
            </w:r>
          </w:p>
        </w:tc>
        <w:tc>
          <w:tcPr>
            <w:tcW w:w="270" w:type="pct"/>
            <w:tcBorders>
              <w:top w:val="single" w:sz="4" w:space="0" w:color="auto"/>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 </w:t>
            </w:r>
          </w:p>
        </w:tc>
        <w:tc>
          <w:tcPr>
            <w:tcW w:w="1910" w:type="pct"/>
            <w:gridSpan w:val="2"/>
            <w:tcBorders>
              <w:top w:val="single" w:sz="4" w:space="0" w:color="auto"/>
              <w:left w:val="nil"/>
              <w:bottom w:val="nil"/>
              <w:right w:val="nil"/>
            </w:tcBorders>
            <w:shd w:val="clear" w:color="auto" w:fill="auto"/>
            <w:noWrap/>
            <w:hideMark/>
          </w:tcPr>
          <w:p w:rsidR="00947A37" w:rsidRPr="00947A37" w:rsidRDefault="00947A37" w:rsidP="00947A37">
            <w:pPr>
              <w:rPr>
                <w:b/>
                <w:bCs/>
                <w:snapToGrid/>
                <w:color w:val="000000"/>
                <w:sz w:val="16"/>
                <w:szCs w:val="16"/>
                <w:lang w:eastAsia="en-AU"/>
              </w:rPr>
            </w:pPr>
            <w:r w:rsidRPr="00947A37">
              <w:rPr>
                <w:b/>
                <w:bCs/>
                <w:snapToGrid/>
                <w:color w:val="000000"/>
                <w:sz w:val="16"/>
                <w:szCs w:val="16"/>
                <w:lang w:eastAsia="en-AU"/>
              </w:rPr>
              <w:t>Sub-total, top 20 highest miscellaneous cost-weight DRGs</w:t>
            </w:r>
          </w:p>
        </w:tc>
        <w:tc>
          <w:tcPr>
            <w:tcW w:w="261" w:type="pct"/>
            <w:tcBorders>
              <w:top w:val="single" w:sz="4" w:space="0" w:color="auto"/>
              <w:left w:val="nil"/>
              <w:bottom w:val="nil"/>
              <w:right w:val="nil"/>
            </w:tcBorders>
            <w:shd w:val="clear" w:color="000000" w:fill="F4CACA"/>
            <w:noWrap/>
            <w:hideMark/>
          </w:tcPr>
          <w:p w:rsidR="00947A37" w:rsidRPr="00947A37" w:rsidRDefault="00947A37" w:rsidP="00947A37">
            <w:pPr>
              <w:jc w:val="right"/>
              <w:rPr>
                <w:b/>
                <w:bCs/>
                <w:snapToGrid/>
                <w:color w:val="000000"/>
                <w:sz w:val="16"/>
                <w:szCs w:val="16"/>
                <w:lang w:eastAsia="en-AU"/>
              </w:rPr>
            </w:pPr>
            <w:r w:rsidRPr="00947A37">
              <w:rPr>
                <w:b/>
                <w:bCs/>
                <w:snapToGrid/>
                <w:color w:val="000000"/>
                <w:sz w:val="16"/>
                <w:szCs w:val="16"/>
                <w:lang w:eastAsia="en-AU"/>
              </w:rPr>
              <w:t>7.19</w:t>
            </w:r>
          </w:p>
        </w:tc>
        <w:tc>
          <w:tcPr>
            <w:tcW w:w="370" w:type="pct"/>
            <w:tcBorders>
              <w:top w:val="single" w:sz="4" w:space="0" w:color="auto"/>
              <w:left w:val="nil"/>
              <w:bottom w:val="nil"/>
              <w:right w:val="nil"/>
            </w:tcBorders>
            <w:shd w:val="clear" w:color="auto" w:fill="auto"/>
            <w:noWrap/>
            <w:hideMark/>
          </w:tcPr>
          <w:p w:rsidR="00947A37" w:rsidRPr="00947A37" w:rsidRDefault="00947A37" w:rsidP="00947A37">
            <w:pPr>
              <w:jc w:val="right"/>
              <w:rPr>
                <w:b/>
                <w:bCs/>
                <w:snapToGrid/>
                <w:color w:val="000000"/>
                <w:sz w:val="16"/>
                <w:szCs w:val="16"/>
                <w:lang w:eastAsia="en-AU"/>
              </w:rPr>
            </w:pPr>
            <w:r w:rsidRPr="00947A37">
              <w:rPr>
                <w:b/>
                <w:bCs/>
                <w:snapToGrid/>
                <w:color w:val="000000"/>
                <w:sz w:val="16"/>
                <w:szCs w:val="16"/>
                <w:lang w:eastAsia="en-AU"/>
              </w:rPr>
              <w:t>3,778</w:t>
            </w:r>
          </w:p>
        </w:tc>
        <w:tc>
          <w:tcPr>
            <w:tcW w:w="268" w:type="pct"/>
            <w:tcBorders>
              <w:top w:val="single" w:sz="4" w:space="0" w:color="auto"/>
              <w:left w:val="nil"/>
              <w:bottom w:val="nil"/>
              <w:right w:val="nil"/>
            </w:tcBorders>
            <w:shd w:val="clear" w:color="auto" w:fill="auto"/>
            <w:noWrap/>
            <w:hideMark/>
          </w:tcPr>
          <w:p w:rsidR="00947A37" w:rsidRPr="00947A37" w:rsidRDefault="00947A37" w:rsidP="00947A37">
            <w:pPr>
              <w:jc w:val="right"/>
              <w:rPr>
                <w:b/>
                <w:bCs/>
                <w:snapToGrid/>
                <w:color w:val="000000"/>
                <w:sz w:val="16"/>
                <w:szCs w:val="16"/>
                <w:lang w:eastAsia="en-AU"/>
              </w:rPr>
            </w:pPr>
            <w:r w:rsidRPr="00947A37">
              <w:rPr>
                <w:b/>
                <w:bCs/>
                <w:snapToGrid/>
                <w:color w:val="000000"/>
                <w:sz w:val="16"/>
                <w:szCs w:val="16"/>
                <w:lang w:eastAsia="en-AU"/>
              </w:rPr>
              <w:t>15.85</w:t>
            </w:r>
          </w:p>
        </w:tc>
        <w:tc>
          <w:tcPr>
            <w:tcW w:w="268" w:type="pct"/>
            <w:tcBorders>
              <w:top w:val="single" w:sz="4" w:space="0" w:color="auto"/>
              <w:left w:val="nil"/>
              <w:bottom w:val="nil"/>
              <w:right w:val="nil"/>
            </w:tcBorders>
            <w:shd w:val="clear" w:color="auto" w:fill="auto"/>
            <w:noWrap/>
            <w:hideMark/>
          </w:tcPr>
          <w:p w:rsidR="00947A37" w:rsidRPr="00947A37" w:rsidRDefault="00947A37" w:rsidP="00947A37">
            <w:pPr>
              <w:jc w:val="right"/>
              <w:rPr>
                <w:b/>
                <w:bCs/>
                <w:snapToGrid/>
                <w:color w:val="000000"/>
                <w:sz w:val="16"/>
                <w:szCs w:val="16"/>
                <w:lang w:eastAsia="en-AU"/>
              </w:rPr>
            </w:pPr>
            <w:r w:rsidRPr="00947A37">
              <w:rPr>
                <w:b/>
                <w:bCs/>
                <w:snapToGrid/>
                <w:color w:val="000000"/>
                <w:sz w:val="16"/>
                <w:szCs w:val="16"/>
                <w:lang w:eastAsia="en-AU"/>
              </w:rPr>
              <w:t>25.5</w:t>
            </w:r>
          </w:p>
        </w:tc>
        <w:tc>
          <w:tcPr>
            <w:tcW w:w="196" w:type="pct"/>
            <w:tcBorders>
              <w:top w:val="single" w:sz="4" w:space="0" w:color="auto"/>
              <w:left w:val="single" w:sz="4" w:space="0" w:color="000000"/>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6%</w:t>
            </w:r>
          </w:p>
        </w:tc>
        <w:tc>
          <w:tcPr>
            <w:tcW w:w="293" w:type="pct"/>
            <w:tcBorders>
              <w:top w:val="single" w:sz="4" w:space="0" w:color="auto"/>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27%</w:t>
            </w:r>
          </w:p>
        </w:tc>
        <w:tc>
          <w:tcPr>
            <w:tcW w:w="361" w:type="pct"/>
            <w:tcBorders>
              <w:top w:val="single" w:sz="4" w:space="0" w:color="auto"/>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21%</w:t>
            </w:r>
          </w:p>
        </w:tc>
        <w:tc>
          <w:tcPr>
            <w:tcW w:w="264" w:type="pct"/>
            <w:tcBorders>
              <w:top w:val="single" w:sz="4" w:space="0" w:color="auto"/>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45%</w:t>
            </w:r>
          </w:p>
        </w:tc>
        <w:tc>
          <w:tcPr>
            <w:tcW w:w="276" w:type="pct"/>
            <w:tcBorders>
              <w:top w:val="single" w:sz="4" w:space="0" w:color="auto"/>
              <w:left w:val="single" w:sz="4" w:space="0" w:color="auto"/>
              <w:bottom w:val="nil"/>
              <w:right w:val="nil"/>
            </w:tcBorders>
            <w:shd w:val="clear" w:color="auto" w:fill="auto"/>
            <w:noWrap/>
            <w:hideMark/>
          </w:tcPr>
          <w:p w:rsidR="00947A37" w:rsidRPr="00947A37" w:rsidRDefault="00947A37" w:rsidP="00947A37">
            <w:pPr>
              <w:rPr>
                <w:b/>
                <w:bCs/>
                <w:snapToGrid/>
                <w:color w:val="000000"/>
                <w:sz w:val="16"/>
                <w:szCs w:val="16"/>
                <w:lang w:eastAsia="en-AU"/>
              </w:rPr>
            </w:pPr>
            <w:r w:rsidRPr="00947A37">
              <w:rPr>
                <w:b/>
                <w:bCs/>
                <w:snapToGrid/>
                <w:color w:val="000000"/>
                <w:sz w:val="16"/>
                <w:szCs w:val="16"/>
                <w:lang w:eastAsia="en-AU"/>
              </w:rPr>
              <w:t> </w:t>
            </w:r>
          </w:p>
        </w:tc>
      </w:tr>
      <w:tr w:rsidR="00805489" w:rsidRPr="00947A37" w:rsidTr="00805489">
        <w:trPr>
          <w:trHeight w:val="168"/>
        </w:trPr>
        <w:tc>
          <w:tcPr>
            <w:tcW w:w="261"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 xml:space="preserve">in </w:t>
            </w:r>
          </w:p>
        </w:tc>
        <w:tc>
          <w:tcPr>
            <w:tcW w:w="270" w:type="pct"/>
            <w:tcBorders>
              <w:top w:val="nil"/>
              <w:left w:val="nil"/>
              <w:bottom w:val="nil"/>
              <w:right w:val="nil"/>
            </w:tcBorders>
            <w:shd w:val="clear" w:color="auto" w:fill="auto"/>
            <w:noWrap/>
            <w:hideMark/>
          </w:tcPr>
          <w:p w:rsidR="00947A37" w:rsidRPr="00947A37" w:rsidRDefault="00947A37" w:rsidP="00947A37">
            <w:pPr>
              <w:jc w:val="center"/>
              <w:rPr>
                <w:snapToGrid/>
                <w:color w:val="000000"/>
                <w:sz w:val="16"/>
                <w:szCs w:val="16"/>
                <w:lang w:eastAsia="en-AU"/>
              </w:rPr>
            </w:pPr>
          </w:p>
        </w:tc>
        <w:tc>
          <w:tcPr>
            <w:tcW w:w="1910" w:type="pct"/>
            <w:gridSpan w:val="2"/>
            <w:tcBorders>
              <w:top w:val="nil"/>
              <w:left w:val="nil"/>
              <w:bottom w:val="nil"/>
              <w:right w:val="nil"/>
            </w:tcBorders>
            <w:shd w:val="clear" w:color="auto" w:fill="auto"/>
            <w:noWrap/>
            <w:hideMark/>
          </w:tcPr>
          <w:p w:rsidR="00947A37" w:rsidRPr="00947A37" w:rsidRDefault="00947A37" w:rsidP="00947A37">
            <w:pPr>
              <w:rPr>
                <w:b/>
                <w:bCs/>
                <w:snapToGrid/>
                <w:color w:val="000000"/>
                <w:sz w:val="16"/>
                <w:szCs w:val="16"/>
                <w:lang w:eastAsia="en-AU"/>
              </w:rPr>
            </w:pPr>
            <w:r w:rsidRPr="00947A37">
              <w:rPr>
                <w:b/>
                <w:bCs/>
                <w:snapToGrid/>
                <w:color w:val="000000"/>
                <w:sz w:val="16"/>
                <w:szCs w:val="16"/>
                <w:lang w:eastAsia="en-AU"/>
              </w:rPr>
              <w:t>All DRGs</w:t>
            </w:r>
          </w:p>
        </w:tc>
        <w:tc>
          <w:tcPr>
            <w:tcW w:w="261" w:type="pct"/>
            <w:tcBorders>
              <w:top w:val="nil"/>
              <w:left w:val="nil"/>
              <w:bottom w:val="nil"/>
              <w:right w:val="nil"/>
            </w:tcBorders>
            <w:shd w:val="clear" w:color="000000" w:fill="F4CACA"/>
            <w:noWrap/>
            <w:hideMark/>
          </w:tcPr>
          <w:p w:rsidR="00947A37" w:rsidRPr="00947A37" w:rsidRDefault="00947A37" w:rsidP="00947A37">
            <w:pPr>
              <w:jc w:val="right"/>
              <w:rPr>
                <w:b/>
                <w:bCs/>
                <w:snapToGrid/>
                <w:color w:val="000000"/>
                <w:sz w:val="16"/>
                <w:szCs w:val="16"/>
                <w:lang w:eastAsia="en-AU"/>
              </w:rPr>
            </w:pPr>
            <w:r w:rsidRPr="00947A37">
              <w:rPr>
                <w:b/>
                <w:bCs/>
                <w:snapToGrid/>
                <w:color w:val="000000"/>
                <w:sz w:val="16"/>
                <w:szCs w:val="16"/>
                <w:lang w:eastAsia="en-AU"/>
              </w:rPr>
              <w:t>0.49</w:t>
            </w:r>
          </w:p>
        </w:tc>
        <w:tc>
          <w:tcPr>
            <w:tcW w:w="370" w:type="pct"/>
            <w:tcBorders>
              <w:top w:val="nil"/>
              <w:left w:val="nil"/>
              <w:bottom w:val="nil"/>
              <w:right w:val="nil"/>
            </w:tcBorders>
            <w:shd w:val="clear" w:color="auto" w:fill="auto"/>
            <w:noWrap/>
            <w:hideMark/>
          </w:tcPr>
          <w:p w:rsidR="00947A37" w:rsidRPr="00947A37" w:rsidRDefault="00947A37" w:rsidP="00947A37">
            <w:pPr>
              <w:jc w:val="right"/>
              <w:rPr>
                <w:b/>
                <w:bCs/>
                <w:snapToGrid/>
                <w:color w:val="000000"/>
                <w:sz w:val="16"/>
                <w:szCs w:val="16"/>
                <w:lang w:eastAsia="en-AU"/>
              </w:rPr>
            </w:pPr>
            <w:r w:rsidRPr="00947A37">
              <w:rPr>
                <w:b/>
                <w:bCs/>
                <w:snapToGrid/>
                <w:color w:val="000000"/>
                <w:sz w:val="16"/>
                <w:szCs w:val="16"/>
                <w:lang w:eastAsia="en-AU"/>
              </w:rPr>
              <w:t>2,827,996</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b/>
                <w:bCs/>
                <w:snapToGrid/>
                <w:color w:val="000000"/>
                <w:sz w:val="16"/>
                <w:szCs w:val="16"/>
                <w:lang w:eastAsia="en-AU"/>
              </w:rPr>
            </w:pPr>
            <w:r w:rsidRPr="00947A37">
              <w:rPr>
                <w:b/>
                <w:bCs/>
                <w:snapToGrid/>
                <w:color w:val="000000"/>
                <w:sz w:val="16"/>
                <w:szCs w:val="16"/>
                <w:lang w:eastAsia="en-AU"/>
              </w:rPr>
              <w:t>1.00</w:t>
            </w:r>
          </w:p>
        </w:tc>
        <w:tc>
          <w:tcPr>
            <w:tcW w:w="268" w:type="pct"/>
            <w:tcBorders>
              <w:top w:val="nil"/>
              <w:left w:val="nil"/>
              <w:bottom w:val="nil"/>
              <w:right w:val="nil"/>
            </w:tcBorders>
            <w:shd w:val="clear" w:color="auto" w:fill="auto"/>
            <w:noWrap/>
            <w:hideMark/>
          </w:tcPr>
          <w:p w:rsidR="00947A37" w:rsidRPr="00947A37" w:rsidRDefault="00947A37" w:rsidP="00947A37">
            <w:pPr>
              <w:jc w:val="right"/>
              <w:rPr>
                <w:b/>
                <w:bCs/>
                <w:snapToGrid/>
                <w:color w:val="000000"/>
                <w:sz w:val="16"/>
                <w:szCs w:val="16"/>
                <w:lang w:eastAsia="en-AU"/>
              </w:rPr>
            </w:pPr>
            <w:r w:rsidRPr="00947A37">
              <w:rPr>
                <w:b/>
                <w:bCs/>
                <w:snapToGrid/>
                <w:color w:val="000000"/>
                <w:sz w:val="16"/>
                <w:szCs w:val="16"/>
                <w:lang w:eastAsia="en-AU"/>
              </w:rPr>
              <w:t>2.4</w:t>
            </w:r>
          </w:p>
        </w:tc>
        <w:tc>
          <w:tcPr>
            <w:tcW w:w="196" w:type="pct"/>
            <w:tcBorders>
              <w:top w:val="nil"/>
              <w:left w:val="single" w:sz="4" w:space="0" w:color="000000"/>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23%</w:t>
            </w:r>
          </w:p>
        </w:tc>
        <w:tc>
          <w:tcPr>
            <w:tcW w:w="293"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6%</w:t>
            </w:r>
          </w:p>
        </w:tc>
        <w:tc>
          <w:tcPr>
            <w:tcW w:w="361"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22%</w:t>
            </w:r>
          </w:p>
        </w:tc>
        <w:tc>
          <w:tcPr>
            <w:tcW w:w="264" w:type="pct"/>
            <w:tcBorders>
              <w:top w:val="nil"/>
              <w:left w:val="nil"/>
              <w:bottom w:val="nil"/>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49%</w:t>
            </w:r>
          </w:p>
        </w:tc>
        <w:tc>
          <w:tcPr>
            <w:tcW w:w="276" w:type="pct"/>
            <w:tcBorders>
              <w:top w:val="nil"/>
              <w:left w:val="single" w:sz="4" w:space="0" w:color="auto"/>
              <w:bottom w:val="nil"/>
              <w:right w:val="nil"/>
            </w:tcBorders>
            <w:shd w:val="clear" w:color="auto" w:fill="auto"/>
            <w:noWrap/>
            <w:hideMark/>
          </w:tcPr>
          <w:p w:rsidR="00947A37" w:rsidRPr="00947A37" w:rsidRDefault="00947A37" w:rsidP="00947A37">
            <w:pPr>
              <w:rPr>
                <w:b/>
                <w:bCs/>
                <w:snapToGrid/>
                <w:color w:val="000000"/>
                <w:sz w:val="16"/>
                <w:szCs w:val="16"/>
                <w:lang w:eastAsia="en-AU"/>
              </w:rPr>
            </w:pPr>
            <w:r w:rsidRPr="00947A37">
              <w:rPr>
                <w:b/>
                <w:bCs/>
                <w:snapToGrid/>
                <w:color w:val="000000"/>
                <w:sz w:val="16"/>
                <w:szCs w:val="16"/>
                <w:lang w:eastAsia="en-AU"/>
              </w:rPr>
              <w:t> </w:t>
            </w:r>
          </w:p>
        </w:tc>
      </w:tr>
      <w:tr w:rsidR="00805489" w:rsidRPr="00947A37" w:rsidTr="00805489">
        <w:trPr>
          <w:trHeight w:val="168"/>
        </w:trPr>
        <w:tc>
          <w:tcPr>
            <w:tcW w:w="261" w:type="pct"/>
            <w:tcBorders>
              <w:top w:val="nil"/>
              <w:left w:val="nil"/>
              <w:bottom w:val="single" w:sz="4" w:space="0" w:color="000000"/>
              <w:right w:val="nil"/>
            </w:tcBorders>
            <w:shd w:val="clear" w:color="auto" w:fill="auto"/>
            <w:noWrap/>
            <w:hideMark/>
          </w:tcPr>
          <w:p w:rsidR="00947A37" w:rsidRPr="00947A37" w:rsidRDefault="00947A37" w:rsidP="00947A37">
            <w:pPr>
              <w:jc w:val="center"/>
              <w:rPr>
                <w:snapToGrid/>
                <w:color w:val="000000"/>
                <w:sz w:val="16"/>
                <w:szCs w:val="16"/>
                <w:lang w:eastAsia="en-AU"/>
              </w:rPr>
            </w:pPr>
            <w:r w:rsidRPr="00947A37">
              <w:rPr>
                <w:snapToGrid/>
                <w:color w:val="000000"/>
                <w:sz w:val="16"/>
                <w:szCs w:val="16"/>
                <w:lang w:eastAsia="en-AU"/>
              </w:rPr>
              <w:t>Top 20</w:t>
            </w:r>
          </w:p>
        </w:tc>
        <w:tc>
          <w:tcPr>
            <w:tcW w:w="270" w:type="pct"/>
            <w:tcBorders>
              <w:top w:val="nil"/>
              <w:left w:val="nil"/>
              <w:bottom w:val="single" w:sz="4" w:space="0" w:color="000000"/>
              <w:right w:val="nil"/>
            </w:tcBorders>
            <w:shd w:val="clear" w:color="auto" w:fill="auto"/>
            <w:noWrap/>
            <w:hideMark/>
          </w:tcPr>
          <w:p w:rsidR="00947A37" w:rsidRPr="00947A37" w:rsidRDefault="00947A37" w:rsidP="00947A37">
            <w:pPr>
              <w:jc w:val="right"/>
              <w:rPr>
                <w:snapToGrid/>
                <w:color w:val="000000"/>
                <w:sz w:val="16"/>
                <w:szCs w:val="16"/>
                <w:lang w:eastAsia="en-AU"/>
              </w:rPr>
            </w:pPr>
            <w:r w:rsidRPr="00947A37">
              <w:rPr>
                <w:snapToGrid/>
                <w:color w:val="000000"/>
                <w:sz w:val="16"/>
                <w:szCs w:val="16"/>
                <w:lang w:eastAsia="en-AU"/>
              </w:rPr>
              <w:t> </w:t>
            </w:r>
          </w:p>
        </w:tc>
        <w:tc>
          <w:tcPr>
            <w:tcW w:w="1910" w:type="pct"/>
            <w:gridSpan w:val="2"/>
            <w:tcBorders>
              <w:top w:val="nil"/>
              <w:left w:val="nil"/>
              <w:bottom w:val="single" w:sz="4" w:space="0" w:color="000000"/>
              <w:right w:val="nil"/>
            </w:tcBorders>
            <w:shd w:val="clear" w:color="auto" w:fill="auto"/>
            <w:noWrap/>
            <w:hideMark/>
          </w:tcPr>
          <w:p w:rsidR="00947A37" w:rsidRPr="00947A37" w:rsidRDefault="00947A37" w:rsidP="00947A37">
            <w:pPr>
              <w:rPr>
                <w:b/>
                <w:bCs/>
                <w:snapToGrid/>
                <w:color w:val="000000"/>
                <w:sz w:val="16"/>
                <w:szCs w:val="16"/>
                <w:lang w:eastAsia="en-AU"/>
              </w:rPr>
            </w:pPr>
            <w:r w:rsidRPr="00947A37">
              <w:rPr>
                <w:b/>
                <w:bCs/>
                <w:snapToGrid/>
                <w:color w:val="000000"/>
                <w:sz w:val="16"/>
                <w:szCs w:val="16"/>
                <w:lang w:eastAsia="en-AU"/>
              </w:rPr>
              <w:t>Top 20 Miscellaneous cost-weight DRGs, % of all DRGs</w:t>
            </w:r>
          </w:p>
        </w:tc>
        <w:tc>
          <w:tcPr>
            <w:tcW w:w="261" w:type="pct"/>
            <w:tcBorders>
              <w:top w:val="nil"/>
              <w:left w:val="nil"/>
              <w:bottom w:val="single" w:sz="4" w:space="0" w:color="000000"/>
              <w:right w:val="nil"/>
            </w:tcBorders>
            <w:shd w:val="clear" w:color="000000" w:fill="F4CACA"/>
            <w:noWrap/>
            <w:hideMark/>
          </w:tcPr>
          <w:p w:rsidR="00947A37" w:rsidRPr="00947A37" w:rsidRDefault="00947A37" w:rsidP="00947A37">
            <w:pPr>
              <w:rPr>
                <w:b/>
                <w:bCs/>
                <w:snapToGrid/>
                <w:color w:val="000000"/>
                <w:sz w:val="16"/>
                <w:szCs w:val="16"/>
                <w:lang w:eastAsia="en-AU"/>
              </w:rPr>
            </w:pPr>
            <w:r w:rsidRPr="00947A37">
              <w:rPr>
                <w:b/>
                <w:bCs/>
                <w:snapToGrid/>
                <w:color w:val="000000"/>
                <w:sz w:val="16"/>
                <w:szCs w:val="16"/>
                <w:lang w:eastAsia="en-AU"/>
              </w:rPr>
              <w:t> </w:t>
            </w:r>
          </w:p>
        </w:tc>
        <w:tc>
          <w:tcPr>
            <w:tcW w:w="370" w:type="pct"/>
            <w:tcBorders>
              <w:top w:val="nil"/>
              <w:left w:val="nil"/>
              <w:bottom w:val="single" w:sz="4" w:space="0" w:color="000000"/>
              <w:right w:val="nil"/>
            </w:tcBorders>
            <w:shd w:val="clear" w:color="auto" w:fill="auto"/>
            <w:noWrap/>
            <w:hideMark/>
          </w:tcPr>
          <w:p w:rsidR="00947A37" w:rsidRPr="00947A37" w:rsidRDefault="00947A37" w:rsidP="00947A37">
            <w:pPr>
              <w:jc w:val="right"/>
              <w:rPr>
                <w:b/>
                <w:bCs/>
                <w:snapToGrid/>
                <w:color w:val="000000"/>
                <w:sz w:val="16"/>
                <w:szCs w:val="16"/>
                <w:lang w:eastAsia="en-AU"/>
              </w:rPr>
            </w:pPr>
            <w:r w:rsidRPr="00947A37">
              <w:rPr>
                <w:b/>
                <w:bCs/>
                <w:snapToGrid/>
                <w:color w:val="000000"/>
                <w:sz w:val="16"/>
                <w:szCs w:val="16"/>
                <w:lang w:eastAsia="en-AU"/>
              </w:rPr>
              <w:t>0.1%</w:t>
            </w:r>
          </w:p>
        </w:tc>
        <w:tc>
          <w:tcPr>
            <w:tcW w:w="268" w:type="pct"/>
            <w:tcBorders>
              <w:top w:val="nil"/>
              <w:left w:val="nil"/>
              <w:bottom w:val="single" w:sz="4" w:space="0" w:color="000000"/>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 </w:t>
            </w:r>
          </w:p>
        </w:tc>
        <w:tc>
          <w:tcPr>
            <w:tcW w:w="268" w:type="pct"/>
            <w:tcBorders>
              <w:top w:val="nil"/>
              <w:left w:val="nil"/>
              <w:bottom w:val="single" w:sz="4" w:space="0" w:color="000000"/>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 </w:t>
            </w:r>
          </w:p>
        </w:tc>
        <w:tc>
          <w:tcPr>
            <w:tcW w:w="196" w:type="pct"/>
            <w:tcBorders>
              <w:top w:val="nil"/>
              <w:left w:val="single" w:sz="4" w:space="0" w:color="000000"/>
              <w:bottom w:val="single" w:sz="4" w:space="0" w:color="000000"/>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 </w:t>
            </w:r>
          </w:p>
        </w:tc>
        <w:tc>
          <w:tcPr>
            <w:tcW w:w="293" w:type="pct"/>
            <w:tcBorders>
              <w:top w:val="nil"/>
              <w:left w:val="nil"/>
              <w:bottom w:val="single" w:sz="4" w:space="0" w:color="000000"/>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 </w:t>
            </w:r>
          </w:p>
        </w:tc>
        <w:tc>
          <w:tcPr>
            <w:tcW w:w="361" w:type="pct"/>
            <w:tcBorders>
              <w:top w:val="nil"/>
              <w:left w:val="nil"/>
              <w:bottom w:val="single" w:sz="4" w:space="0" w:color="000000"/>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 </w:t>
            </w:r>
          </w:p>
        </w:tc>
        <w:tc>
          <w:tcPr>
            <w:tcW w:w="264" w:type="pct"/>
            <w:tcBorders>
              <w:top w:val="nil"/>
              <w:left w:val="nil"/>
              <w:bottom w:val="single" w:sz="4" w:space="0" w:color="000000"/>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 </w:t>
            </w:r>
          </w:p>
        </w:tc>
        <w:tc>
          <w:tcPr>
            <w:tcW w:w="276" w:type="pct"/>
            <w:tcBorders>
              <w:top w:val="nil"/>
              <w:left w:val="single" w:sz="4" w:space="0" w:color="auto"/>
              <w:bottom w:val="single" w:sz="4" w:space="0" w:color="auto"/>
              <w:right w:val="nil"/>
            </w:tcBorders>
            <w:shd w:val="clear" w:color="auto" w:fill="auto"/>
            <w:noWrap/>
            <w:hideMark/>
          </w:tcPr>
          <w:p w:rsidR="00947A37" w:rsidRPr="00947A37" w:rsidRDefault="00947A37" w:rsidP="00947A37">
            <w:pPr>
              <w:rPr>
                <w:snapToGrid/>
                <w:color w:val="000000"/>
                <w:sz w:val="16"/>
                <w:szCs w:val="16"/>
                <w:lang w:eastAsia="en-AU"/>
              </w:rPr>
            </w:pPr>
            <w:r w:rsidRPr="00947A37">
              <w:rPr>
                <w:snapToGrid/>
                <w:color w:val="000000"/>
                <w:sz w:val="16"/>
                <w:szCs w:val="16"/>
                <w:lang w:eastAsia="en-AU"/>
              </w:rPr>
              <w:t> </w:t>
            </w:r>
          </w:p>
        </w:tc>
      </w:tr>
    </w:tbl>
    <w:p w:rsidR="00947A37" w:rsidRDefault="00947A37" w:rsidP="000A2939">
      <w:pPr>
        <w:rPr>
          <w:sz w:val="16"/>
          <w:szCs w:val="16"/>
        </w:rPr>
      </w:pPr>
    </w:p>
    <w:p w:rsidR="000A2939" w:rsidRPr="000051B6" w:rsidRDefault="000A2939" w:rsidP="000A2939">
      <w:pPr>
        <w:rPr>
          <w:sz w:val="16"/>
          <w:szCs w:val="16"/>
        </w:rPr>
      </w:pPr>
      <w:r w:rsidRPr="000051B6">
        <w:rPr>
          <w:sz w:val="16"/>
          <w:szCs w:val="16"/>
        </w:rPr>
        <w:t>Notes:</w:t>
      </w:r>
    </w:p>
    <w:p w:rsidR="000A2939" w:rsidRPr="000051B6" w:rsidRDefault="000A2939" w:rsidP="000A2939">
      <w:pPr>
        <w:rPr>
          <w:sz w:val="16"/>
          <w:szCs w:val="16"/>
        </w:rPr>
      </w:pPr>
      <w:r w:rsidRPr="000051B6">
        <w:rPr>
          <w:sz w:val="16"/>
          <w:szCs w:val="16"/>
        </w:rPr>
        <w:t>(a)</w:t>
      </w:r>
      <w:r w:rsidRPr="000051B6">
        <w:rPr>
          <w:sz w:val="16"/>
          <w:szCs w:val="16"/>
        </w:rPr>
        <w:tab/>
        <w:t>For cost weight (cost bucket specific) calculations please refer to Appendix E</w:t>
      </w:r>
    </w:p>
    <w:p w:rsidR="000A2939" w:rsidRPr="000051B6" w:rsidRDefault="000A2939" w:rsidP="000A2939">
      <w:pPr>
        <w:rPr>
          <w:sz w:val="16"/>
          <w:szCs w:val="16"/>
        </w:rPr>
      </w:pPr>
      <w:r w:rsidRPr="000051B6">
        <w:rPr>
          <w:sz w:val="16"/>
          <w:szCs w:val="16"/>
        </w:rPr>
        <w:t>(b)</w:t>
      </w:r>
      <w:r w:rsidRPr="000051B6">
        <w:rPr>
          <w:sz w:val="16"/>
          <w:szCs w:val="16"/>
        </w:rPr>
        <w:tab/>
        <w:t xml:space="preserve">Separations shown are </w:t>
      </w:r>
      <w:r w:rsidR="00C5781B">
        <w:rPr>
          <w:sz w:val="16"/>
          <w:szCs w:val="16"/>
        </w:rPr>
        <w:t>population-adjusted</w:t>
      </w:r>
    </w:p>
    <w:p w:rsidR="000A2939" w:rsidRPr="000051B6" w:rsidRDefault="000A2939" w:rsidP="000A2939">
      <w:pPr>
        <w:rPr>
          <w:sz w:val="16"/>
          <w:szCs w:val="16"/>
        </w:rPr>
      </w:pPr>
      <w:r w:rsidRPr="000051B6">
        <w:rPr>
          <w:sz w:val="16"/>
          <w:szCs w:val="16"/>
        </w:rPr>
        <w:t xml:space="preserve">(c)  </w:t>
      </w:r>
      <w:r w:rsidRPr="000051B6">
        <w:rPr>
          <w:sz w:val="16"/>
          <w:szCs w:val="16"/>
        </w:rPr>
        <w:tab/>
        <w:t>DRG-rank for cost weight across all cost buckets. A rank of 1 means that the DRG has the highest cost weight.</w:t>
      </w:r>
    </w:p>
    <w:p w:rsidR="00C4130F" w:rsidRPr="00C4130F" w:rsidRDefault="002032F1" w:rsidP="00C4130F">
      <w:pPr>
        <w:pStyle w:val="PwCNormal"/>
        <w:numPr>
          <w:ilvl w:val="0"/>
          <w:numId w:val="0"/>
        </w:numPr>
        <w:spacing w:after="0"/>
        <w:rPr>
          <w:sz w:val="16"/>
          <w:szCs w:val="16"/>
        </w:rPr>
      </w:pPr>
      <w:r w:rsidRPr="000051B6">
        <w:rPr>
          <w:sz w:val="16"/>
          <w:szCs w:val="16"/>
        </w:rPr>
        <w:t>(d</w:t>
      </w:r>
      <w:r w:rsidR="000A2939" w:rsidRPr="000051B6">
        <w:rPr>
          <w:sz w:val="16"/>
          <w:szCs w:val="16"/>
        </w:rPr>
        <w:t>)</w:t>
      </w:r>
      <w:r w:rsidR="000A2939" w:rsidRPr="000051B6">
        <w:rPr>
          <w:sz w:val="16"/>
          <w:szCs w:val="16"/>
        </w:rPr>
        <w:tab/>
        <w:t>ALoS means average length of stay</w:t>
      </w:r>
      <w:r w:rsidR="00C4130F">
        <w:br w:type="page"/>
      </w:r>
    </w:p>
    <w:p w:rsidR="00111F19" w:rsidRPr="000051B6" w:rsidRDefault="00111F19" w:rsidP="00C4130F">
      <w:pPr>
        <w:pStyle w:val="Figureheadings"/>
        <w:spacing w:after="240"/>
        <w:rPr>
          <w:lang w:val="en-AU"/>
        </w:rPr>
      </w:pPr>
      <w:bookmarkStart w:id="186" w:name="_Toc435610633"/>
      <w:r w:rsidRPr="000051B6">
        <w:rPr>
          <w:lang w:val="en-AU"/>
        </w:rPr>
        <w:lastRenderedPageBreak/>
        <w:t>Figure 1</w:t>
      </w:r>
      <w:r w:rsidR="00E0217E" w:rsidRPr="000051B6">
        <w:rPr>
          <w:lang w:val="en-AU"/>
        </w:rPr>
        <w:t>0</w:t>
      </w:r>
      <w:r w:rsidRPr="000051B6">
        <w:rPr>
          <w:lang w:val="en-AU"/>
        </w:rPr>
        <w:tab/>
        <w:t>Top 20 AR-DRGs for miscellaneous cost bucket</w:t>
      </w:r>
      <w:bookmarkEnd w:id="186"/>
    </w:p>
    <w:p w:rsidR="004C1F71" w:rsidRPr="000051B6" w:rsidRDefault="00E54F82">
      <w:pPr>
        <w:rPr>
          <w:highlight w:val="yellow"/>
        </w:rPr>
      </w:pPr>
      <w:r>
        <w:rPr>
          <w:noProof/>
          <w:snapToGrid/>
          <w:lang w:eastAsia="en-AU"/>
        </w:rPr>
        <mc:AlternateContent>
          <mc:Choice Requires="wps">
            <w:drawing>
              <wp:anchor distT="0" distB="0" distL="114300" distR="114300" simplePos="0" relativeHeight="251728896" behindDoc="0" locked="0" layoutInCell="1" allowOverlap="1" wp14:anchorId="367CDB2C" wp14:editId="6EF0FBBA">
                <wp:simplePos x="0" y="0"/>
                <wp:positionH relativeFrom="column">
                  <wp:posOffset>3523615</wp:posOffset>
                </wp:positionH>
                <wp:positionV relativeFrom="paragraph">
                  <wp:posOffset>622935</wp:posOffset>
                </wp:positionV>
                <wp:extent cx="321310" cy="2302510"/>
                <wp:effectExtent l="19050" t="19050" r="21590" b="21590"/>
                <wp:wrapNone/>
                <wp:docPr id="80" name="Oval 80"/>
                <wp:cNvGraphicFramePr/>
                <a:graphic xmlns:a="http://schemas.openxmlformats.org/drawingml/2006/main">
                  <a:graphicData uri="http://schemas.microsoft.com/office/word/2010/wordprocessingShape">
                    <wps:wsp>
                      <wps:cNvSpPr/>
                      <wps:spPr bwMode="ltGray">
                        <a:xfrm>
                          <a:off x="0" y="0"/>
                          <a:ext cx="321310" cy="2302510"/>
                        </a:xfrm>
                        <a:prstGeom prst="ellipse">
                          <a:avLst/>
                        </a:prstGeom>
                        <a:noFill/>
                        <a:ln w="349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0" o:spid="_x0000_s1026" style="position:absolute;margin-left:277.45pt;margin-top:49.05pt;width:25.3pt;height:181.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" filled="f" strokecolor="#511010 [1604]" strokeweight="2.75pt"/>
            </w:pict>
          </mc:Fallback>
        </mc:AlternateContent>
      </w:r>
      <w:r>
        <w:rPr>
          <w:noProof/>
          <w:snapToGrid/>
          <w:lang w:eastAsia="en-AU"/>
        </w:rPr>
        <mc:AlternateContent>
          <mc:Choice Requires="wps">
            <w:drawing>
              <wp:anchor distT="0" distB="0" distL="114300" distR="114300" simplePos="0" relativeHeight="251730944" behindDoc="0" locked="0" layoutInCell="1" allowOverlap="1" wp14:anchorId="2DF5F91F" wp14:editId="5062D8FA">
                <wp:simplePos x="0" y="0"/>
                <wp:positionH relativeFrom="column">
                  <wp:posOffset>4600575</wp:posOffset>
                </wp:positionH>
                <wp:positionV relativeFrom="paragraph">
                  <wp:posOffset>683048</wp:posOffset>
                </wp:positionV>
                <wp:extent cx="321310" cy="2226310"/>
                <wp:effectExtent l="19050" t="19050" r="21590" b="21590"/>
                <wp:wrapNone/>
                <wp:docPr id="81" name="Oval 81"/>
                <wp:cNvGraphicFramePr/>
                <a:graphic xmlns:a="http://schemas.openxmlformats.org/drawingml/2006/main">
                  <a:graphicData uri="http://schemas.microsoft.com/office/word/2010/wordprocessingShape">
                    <wps:wsp>
                      <wps:cNvSpPr/>
                      <wps:spPr bwMode="ltGray">
                        <a:xfrm>
                          <a:off x="0" y="0"/>
                          <a:ext cx="321310" cy="2226310"/>
                        </a:xfrm>
                        <a:prstGeom prst="ellipse">
                          <a:avLst/>
                        </a:prstGeom>
                        <a:noFill/>
                        <a:ln w="349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1" o:spid="_x0000_s1026" style="position:absolute;margin-left:362.25pt;margin-top:53.8pt;width:25.3pt;height:175.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" filled="f" strokecolor="#511010 [1604]" strokeweight="2.75pt"/>
            </w:pict>
          </mc:Fallback>
        </mc:AlternateContent>
      </w:r>
      <w:r>
        <w:rPr>
          <w:noProof/>
          <w:snapToGrid/>
          <w:lang w:eastAsia="en-AU"/>
        </w:rPr>
        <mc:AlternateContent>
          <mc:Choice Requires="wps">
            <w:drawing>
              <wp:anchor distT="0" distB="0" distL="114300" distR="114300" simplePos="0" relativeHeight="251732992" behindDoc="0" locked="0" layoutInCell="1" allowOverlap="1" wp14:anchorId="7B2AC9EE" wp14:editId="3391AADE">
                <wp:simplePos x="0" y="0"/>
                <wp:positionH relativeFrom="column">
                  <wp:posOffset>7095490</wp:posOffset>
                </wp:positionH>
                <wp:positionV relativeFrom="paragraph">
                  <wp:posOffset>736388</wp:posOffset>
                </wp:positionV>
                <wp:extent cx="321733" cy="2226521"/>
                <wp:effectExtent l="19050" t="19050" r="21590" b="21590"/>
                <wp:wrapNone/>
                <wp:docPr id="82" name="Oval 82"/>
                <wp:cNvGraphicFramePr/>
                <a:graphic xmlns:a="http://schemas.openxmlformats.org/drawingml/2006/main">
                  <a:graphicData uri="http://schemas.microsoft.com/office/word/2010/wordprocessingShape">
                    <wps:wsp>
                      <wps:cNvSpPr/>
                      <wps:spPr bwMode="ltGray">
                        <a:xfrm>
                          <a:off x="0" y="0"/>
                          <a:ext cx="321733" cy="2226521"/>
                        </a:xfrm>
                        <a:prstGeom prst="ellipse">
                          <a:avLst/>
                        </a:prstGeom>
                        <a:noFill/>
                        <a:ln w="349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2" o:spid="_x0000_s1026" style="position:absolute;margin-left:558.7pt;margin-top:58pt;width:25.35pt;height:175.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" filled="f" strokecolor="#511010 [1604]" strokeweight="2.75pt"/>
            </w:pict>
          </mc:Fallback>
        </mc:AlternateContent>
      </w:r>
      <w:r w:rsidR="00057AAB" w:rsidRPr="00665BE8">
        <w:rPr>
          <w:noProof/>
          <w:lang w:eastAsia="en-AU"/>
        </w:rPr>
        <w:drawing>
          <wp:inline distT="0" distB="0" distL="0" distR="0" wp14:anchorId="7654E6C7" wp14:editId="32266238">
            <wp:extent cx="7981950" cy="3409950"/>
            <wp:effectExtent l="0" t="0" r="0" b="0"/>
            <wp:docPr id="131" name="Picture 131" descr="Figure 10 is a bar graph showing the Top 20 AR-DRGs ranked by the Miscellaneous cost bucket in Round 18 and their Miscellaneous cost bucket in Round 17. S65A, P05Z and P65C have been circled." title="Figure 10 Top 20 AR-DRGs for miscellaneous cost 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981950" cy="3409950"/>
                    </a:xfrm>
                    <a:prstGeom prst="rect">
                      <a:avLst/>
                    </a:prstGeom>
                    <a:noFill/>
                    <a:ln>
                      <a:noFill/>
                    </a:ln>
                  </pic:spPr>
                </pic:pic>
              </a:graphicData>
            </a:graphic>
          </wp:inline>
        </w:drawing>
      </w:r>
    </w:p>
    <w:p w:rsidR="003F7DF9" w:rsidRPr="000051B6" w:rsidRDefault="004C1F71">
      <w:pPr>
        <w:rPr>
          <w:color w:val="FF0000"/>
          <w:highlight w:val="yellow"/>
        </w:rPr>
      </w:pPr>
      <w:r w:rsidRPr="000051B6">
        <w:rPr>
          <w:b/>
        </w:rPr>
        <w:t>Note:</w:t>
      </w:r>
      <w:r w:rsidRPr="000051B6">
        <w:t xml:space="preserve"> when a Round 17 bar is missing from the chart, this is because that AR-DRG was masked in Round 17 due to having less than 5 separations or having less than 3 hospitals with that AR-DRG. </w:t>
      </w:r>
      <w:r w:rsidR="003F7DF9" w:rsidRPr="000051B6">
        <w:rPr>
          <w:color w:val="FF0000"/>
          <w:highlight w:val="yellow"/>
        </w:rPr>
        <w:br w:type="page"/>
      </w:r>
    </w:p>
    <w:p w:rsidR="00D85FC3" w:rsidRPr="000051B6" w:rsidRDefault="00D85FC3" w:rsidP="009831A7">
      <w:pPr>
        <w:pStyle w:val="PwCNormal"/>
        <w:rPr>
          <w:color w:val="FF0000"/>
          <w:highlight w:val="yellow"/>
        </w:rPr>
        <w:sectPr w:rsidR="00D85FC3" w:rsidRPr="000051B6" w:rsidSect="00B31BBC">
          <w:pgSz w:w="16840" w:h="11907" w:orient="landscape" w:code="9"/>
          <w:pgMar w:top="1418" w:right="1021" w:bottom="1134" w:left="1021" w:header="567" w:footer="567" w:gutter="0"/>
          <w:cols w:space="227"/>
          <w:docGrid w:linePitch="360"/>
        </w:sectPr>
      </w:pPr>
    </w:p>
    <w:p w:rsidR="00C43555" w:rsidRPr="000051B6" w:rsidRDefault="00235556" w:rsidP="00C4130F">
      <w:pPr>
        <w:pStyle w:val="Heading1"/>
        <w:numPr>
          <w:ilvl w:val="0"/>
          <w:numId w:val="0"/>
        </w:numPr>
        <w:spacing w:after="480"/>
      </w:pPr>
      <w:bookmarkStart w:id="187" w:name="_Ref401135794"/>
      <w:bookmarkStart w:id="188" w:name="_Ref401135795"/>
      <w:bookmarkStart w:id="189" w:name="_Toc430010944"/>
      <w:bookmarkStart w:id="190" w:name="_Ref430159724"/>
      <w:bookmarkStart w:id="191" w:name="_Ref430347712"/>
      <w:bookmarkStart w:id="192" w:name="_Ref430348512"/>
      <w:bookmarkStart w:id="193" w:name="_Toc435611231"/>
      <w:r w:rsidRPr="000051B6">
        <w:rPr>
          <w:rFonts w:asciiTheme="majorHAnsi" w:hAnsiTheme="majorHAnsi"/>
        </w:rPr>
        <w:lastRenderedPageBreak/>
        <w:t xml:space="preserve">Appendix </w:t>
      </w:r>
      <w:r w:rsidR="00E20E6F" w:rsidRPr="000051B6">
        <w:rPr>
          <w:rFonts w:asciiTheme="majorHAnsi" w:hAnsiTheme="majorHAnsi"/>
        </w:rPr>
        <w:t>A</w:t>
      </w:r>
      <w:r w:rsidRPr="000051B6">
        <w:rPr>
          <w:rFonts w:asciiTheme="majorHAnsi" w:hAnsiTheme="majorHAnsi"/>
        </w:rPr>
        <w:t xml:space="preserve">: </w:t>
      </w:r>
      <w:r w:rsidR="00C43555" w:rsidRPr="000051B6">
        <w:rPr>
          <w:rFonts w:asciiTheme="majorHAnsi" w:hAnsiTheme="majorHAnsi"/>
        </w:rPr>
        <w:t xml:space="preserve">Analysis </w:t>
      </w:r>
      <w:r w:rsidR="00C71B05">
        <w:rPr>
          <w:rFonts w:asciiTheme="majorHAnsi" w:hAnsiTheme="majorHAnsi"/>
        </w:rPr>
        <w:t>p</w:t>
      </w:r>
      <w:r w:rsidR="00C43555" w:rsidRPr="000051B6">
        <w:rPr>
          <w:rFonts w:asciiTheme="majorHAnsi" w:hAnsiTheme="majorHAnsi"/>
        </w:rPr>
        <w:t>erformed to determine the minimum sample size</w:t>
      </w:r>
      <w:bookmarkEnd w:id="187"/>
      <w:bookmarkEnd w:id="188"/>
      <w:bookmarkEnd w:id="189"/>
      <w:bookmarkEnd w:id="190"/>
      <w:bookmarkEnd w:id="191"/>
      <w:bookmarkEnd w:id="192"/>
      <w:bookmarkEnd w:id="193"/>
    </w:p>
    <w:p w:rsidR="00467228" w:rsidRPr="000051B6" w:rsidRDefault="00467228" w:rsidP="002D7C04">
      <w:pPr>
        <w:pStyle w:val="ListBullet"/>
        <w:numPr>
          <w:ilvl w:val="0"/>
          <w:numId w:val="0"/>
        </w:numPr>
        <w:spacing w:after="0"/>
        <w:rPr>
          <w:rFonts w:cs="Georgia"/>
          <w:b/>
          <w:bCs/>
          <w:snapToGrid/>
          <w:color w:val="A42020"/>
          <w:lang w:eastAsia="en-AU"/>
        </w:rPr>
      </w:pPr>
      <w:r w:rsidRPr="000051B6">
        <w:rPr>
          <w:rFonts w:cs="Georgia"/>
          <w:b/>
          <w:bCs/>
          <w:snapToGrid/>
          <w:color w:val="A42020"/>
          <w:lang w:eastAsia="en-AU"/>
        </w:rPr>
        <w:t>Background</w:t>
      </w:r>
    </w:p>
    <w:p w:rsidR="00FC1080" w:rsidRPr="000051B6" w:rsidRDefault="00FC1080" w:rsidP="00C4130F">
      <w:pPr>
        <w:spacing w:after="240"/>
      </w:pPr>
      <w:r w:rsidRPr="000051B6">
        <w:t xml:space="preserve">In September 2012 IHPA engaged PwC to review the methodology for calculating the minimum sample size to have a valid and reliable private </w:t>
      </w:r>
      <w:r w:rsidR="0031569D" w:rsidRPr="000051B6">
        <w:t>s</w:t>
      </w:r>
      <w:r w:rsidR="002D317E" w:rsidRPr="000051B6">
        <w:t>ector</w:t>
      </w:r>
      <w:r w:rsidRPr="000051B6">
        <w:t xml:space="preserve"> NHCDC collectio</w:t>
      </w:r>
      <w:r w:rsidR="00C71B05">
        <w:t>n</w:t>
      </w:r>
      <w:r w:rsidRPr="000051B6">
        <w:t xml:space="preserve">.  This review was requested by the Private </w:t>
      </w:r>
      <w:r w:rsidR="0031569D" w:rsidRPr="000051B6">
        <w:t>s</w:t>
      </w:r>
      <w:r w:rsidR="002D317E" w:rsidRPr="000051B6">
        <w:t>ector</w:t>
      </w:r>
      <w:r w:rsidRPr="000051B6">
        <w:t xml:space="preserve"> to ensure the validity and reliability of the collection.</w:t>
      </w:r>
    </w:p>
    <w:p w:rsidR="00FC1080" w:rsidRPr="000051B6" w:rsidRDefault="00FC1080" w:rsidP="00C4130F">
      <w:pPr>
        <w:spacing w:after="240"/>
        <w:rPr>
          <w:rFonts w:cs="Georgia"/>
          <w:snapToGrid/>
          <w:lang w:eastAsia="en-AU"/>
        </w:rPr>
      </w:pPr>
      <w:r w:rsidRPr="000051B6">
        <w:rPr>
          <w:rFonts w:cs="Georgia"/>
          <w:snapToGrid/>
          <w:lang w:eastAsia="en-AU"/>
        </w:rPr>
        <w:t xml:space="preserve">The calculations were based on data received from IHPA, the DoH and PHDB to determine the number of separations, number of hospitals and number of hospital groups required to participate. </w:t>
      </w:r>
    </w:p>
    <w:p w:rsidR="00FC1080" w:rsidRPr="000051B6" w:rsidRDefault="00FC1080" w:rsidP="00FC1080">
      <w:pPr>
        <w:pStyle w:val="ListBullet"/>
        <w:numPr>
          <w:ilvl w:val="0"/>
          <w:numId w:val="0"/>
        </w:numPr>
        <w:spacing w:after="0"/>
        <w:rPr>
          <w:rFonts w:cs="Georgia"/>
          <w:b/>
          <w:bCs/>
          <w:snapToGrid/>
          <w:color w:val="A42020"/>
          <w:lang w:eastAsia="en-AU"/>
        </w:rPr>
      </w:pPr>
      <w:r w:rsidRPr="000051B6">
        <w:rPr>
          <w:rFonts w:cs="Georgia"/>
          <w:b/>
          <w:bCs/>
          <w:snapToGrid/>
          <w:color w:val="A42020"/>
          <w:lang w:eastAsia="en-AU"/>
        </w:rPr>
        <w:t>The outcome</w:t>
      </w:r>
    </w:p>
    <w:p w:rsidR="00FC1080" w:rsidRPr="000051B6" w:rsidRDefault="00FC1080" w:rsidP="00FC1080">
      <w:pPr>
        <w:pStyle w:val="PwCNormal"/>
        <w:numPr>
          <w:ilvl w:val="0"/>
          <w:numId w:val="0"/>
        </w:numPr>
        <w:spacing w:after="0"/>
        <w:rPr>
          <w:lang w:eastAsia="en-AU"/>
        </w:rPr>
      </w:pPr>
      <w:r w:rsidRPr="000051B6">
        <w:rPr>
          <w:lang w:eastAsia="en-AU"/>
        </w:rPr>
        <w:t>The conclusion of this re-evaluation based on 2012 data was:</w:t>
      </w:r>
    </w:p>
    <w:p w:rsidR="00FC1080" w:rsidRPr="000051B6" w:rsidRDefault="00FC1080" w:rsidP="00C71B05">
      <w:pPr>
        <w:pStyle w:val="ListParagraph"/>
        <w:numPr>
          <w:ilvl w:val="0"/>
          <w:numId w:val="31"/>
        </w:numPr>
        <w:rPr>
          <w:rFonts w:cs="Georgia"/>
          <w:snapToGrid/>
          <w:lang w:eastAsia="en-AU"/>
        </w:rPr>
      </w:pPr>
      <w:r w:rsidRPr="000051B6">
        <w:rPr>
          <w:rFonts w:cs="Georgia"/>
          <w:snapToGrid/>
          <w:lang w:eastAsia="en-AU"/>
        </w:rPr>
        <w:t xml:space="preserve">Approximately 60% of all separations are required in order to achieve a 95% confidence level and 4% acceptable margin of error. </w:t>
      </w:r>
    </w:p>
    <w:p w:rsidR="00FC1080" w:rsidRPr="000051B6" w:rsidRDefault="00FC1080" w:rsidP="00C71B05">
      <w:pPr>
        <w:pStyle w:val="ListParagraph"/>
        <w:numPr>
          <w:ilvl w:val="0"/>
          <w:numId w:val="31"/>
        </w:numPr>
        <w:rPr>
          <w:rFonts w:cs="Georgia"/>
          <w:snapToGrid/>
          <w:lang w:eastAsia="en-AU"/>
        </w:rPr>
      </w:pPr>
      <w:r w:rsidRPr="000051B6">
        <w:rPr>
          <w:rFonts w:cs="Georgia"/>
          <w:snapToGrid/>
          <w:lang w:eastAsia="en-AU"/>
        </w:rPr>
        <w:t xml:space="preserve">The 95% confidence level and 4% margin of error parameters have been informed by considering participation levels in historic publications. </w:t>
      </w:r>
    </w:p>
    <w:p w:rsidR="00FC1080" w:rsidRPr="000051B6" w:rsidRDefault="00FC1080" w:rsidP="00C4130F">
      <w:pPr>
        <w:pStyle w:val="ListParagraph"/>
        <w:numPr>
          <w:ilvl w:val="0"/>
          <w:numId w:val="31"/>
        </w:numPr>
        <w:spacing w:after="240"/>
        <w:ind w:left="714" w:hanging="357"/>
        <w:rPr>
          <w:rFonts w:cs="Georgia"/>
          <w:snapToGrid/>
          <w:lang w:eastAsia="en-AU"/>
        </w:rPr>
      </w:pPr>
      <w:r w:rsidRPr="000051B6">
        <w:rPr>
          <w:rFonts w:cs="Georgia"/>
          <w:snapToGrid/>
          <w:lang w:eastAsia="en-AU"/>
        </w:rPr>
        <w:t>The collection should include approximately 90 hospitals and 10 hospitals ‘groups’ (of 2 or more hospitals) to be representative.</w:t>
      </w:r>
    </w:p>
    <w:p w:rsidR="00FC1080" w:rsidRPr="000051B6" w:rsidRDefault="00FC1080" w:rsidP="00FC1080">
      <w:pPr>
        <w:pStyle w:val="PwCNormal"/>
        <w:numPr>
          <w:ilvl w:val="0"/>
          <w:numId w:val="0"/>
        </w:numPr>
        <w:rPr>
          <w:lang w:eastAsia="en-AU"/>
        </w:rPr>
      </w:pPr>
      <w:r w:rsidRPr="000051B6">
        <w:rPr>
          <w:lang w:eastAsia="en-AU"/>
        </w:rPr>
        <w:t xml:space="preserve">These minimum targets were used as the condition on which the Round 18 collection would go ahead.  It should be noted that these criteria are based on 2012 data and no adjustments have been made to account for any significant </w:t>
      </w:r>
      <w:r w:rsidR="0031569D" w:rsidRPr="000051B6">
        <w:rPr>
          <w:lang w:eastAsia="en-AU"/>
        </w:rPr>
        <w:t>s</w:t>
      </w:r>
      <w:r w:rsidR="002D317E" w:rsidRPr="000051B6">
        <w:rPr>
          <w:lang w:eastAsia="en-AU"/>
        </w:rPr>
        <w:t>ector</w:t>
      </w:r>
      <w:r w:rsidRPr="000051B6">
        <w:rPr>
          <w:lang w:eastAsia="en-AU"/>
        </w:rPr>
        <w:t xml:space="preserve"> or market changes for this round 18 collection and associated reports. </w:t>
      </w:r>
    </w:p>
    <w:p w:rsidR="00FC1080" w:rsidRPr="000051B6" w:rsidRDefault="00FC1080" w:rsidP="00FC1080">
      <w:pPr>
        <w:pStyle w:val="PwCNormal"/>
        <w:numPr>
          <w:ilvl w:val="0"/>
          <w:numId w:val="0"/>
        </w:numPr>
        <w:rPr>
          <w:lang w:eastAsia="en-AU"/>
        </w:rPr>
      </w:pPr>
      <w:r w:rsidRPr="000051B6">
        <w:rPr>
          <w:lang w:eastAsia="en-AU"/>
        </w:rPr>
        <w:t>For Round 18 the participation rate was 60%, 96 hospitals and 19 groups therefore the collection proceeded.</w:t>
      </w:r>
    </w:p>
    <w:p w:rsidR="002D7C04" w:rsidRPr="000051B6" w:rsidRDefault="00FF0FE3" w:rsidP="002D7C04">
      <w:pPr>
        <w:pStyle w:val="ListBullet"/>
        <w:numPr>
          <w:ilvl w:val="0"/>
          <w:numId w:val="0"/>
        </w:numPr>
        <w:spacing w:after="0"/>
        <w:rPr>
          <w:rFonts w:cs="Georgia"/>
          <w:b/>
          <w:bCs/>
          <w:snapToGrid/>
          <w:color w:val="A42020"/>
          <w:lang w:eastAsia="en-AU"/>
        </w:rPr>
      </w:pPr>
      <w:r w:rsidRPr="000051B6">
        <w:rPr>
          <w:rFonts w:cs="Georgia"/>
          <w:b/>
          <w:bCs/>
          <w:snapToGrid/>
          <w:color w:val="A42020"/>
          <w:lang w:eastAsia="en-AU"/>
        </w:rPr>
        <w:t>Minimum participation levels</w:t>
      </w:r>
    </w:p>
    <w:p w:rsidR="00C43555" w:rsidRPr="000051B6" w:rsidRDefault="00C43555" w:rsidP="002D7C04">
      <w:pPr>
        <w:pStyle w:val="ListBullet"/>
        <w:numPr>
          <w:ilvl w:val="0"/>
          <w:numId w:val="0"/>
        </w:numPr>
        <w:spacing w:after="0"/>
        <w:rPr>
          <w:b/>
        </w:rPr>
      </w:pPr>
      <w:r w:rsidRPr="000051B6">
        <w:rPr>
          <w:b/>
        </w:rPr>
        <w:t>Data analysis</w:t>
      </w:r>
      <w:r w:rsidR="00A23AA9" w:rsidRPr="000051B6">
        <w:rPr>
          <w:b/>
        </w:rPr>
        <w:t xml:space="preserve"> used in determining the minimum participation levels</w:t>
      </w:r>
    </w:p>
    <w:p w:rsidR="00C43555" w:rsidRPr="000051B6" w:rsidRDefault="00A23AA9" w:rsidP="00973D5B">
      <w:pPr>
        <w:pStyle w:val="PwCNormal"/>
        <w:numPr>
          <w:ilvl w:val="0"/>
          <w:numId w:val="0"/>
        </w:numPr>
        <w:spacing w:after="120"/>
      </w:pPr>
      <w:r w:rsidRPr="000051B6">
        <w:t>The</w:t>
      </w:r>
      <w:r w:rsidR="00C43555" w:rsidRPr="000051B6">
        <w:t xml:space="preserve"> following datasets were received and reviewed:</w:t>
      </w:r>
    </w:p>
    <w:p w:rsidR="00C43555" w:rsidRPr="000051B6" w:rsidRDefault="00C43555" w:rsidP="00911A8C">
      <w:pPr>
        <w:pStyle w:val="ListNumber"/>
        <w:numPr>
          <w:ilvl w:val="0"/>
          <w:numId w:val="27"/>
        </w:numPr>
        <w:spacing w:after="120"/>
        <w:contextualSpacing w:val="0"/>
      </w:pPr>
      <w:r w:rsidRPr="000051B6">
        <w:t>The published cost weight tables for Round 13;</w:t>
      </w:r>
    </w:p>
    <w:p w:rsidR="00C43555" w:rsidRPr="000051B6" w:rsidRDefault="00C43555" w:rsidP="00911A8C">
      <w:pPr>
        <w:pStyle w:val="ListNumber"/>
        <w:numPr>
          <w:ilvl w:val="0"/>
          <w:numId w:val="27"/>
        </w:numPr>
        <w:spacing w:after="120"/>
        <w:contextualSpacing w:val="0"/>
      </w:pPr>
      <w:r w:rsidRPr="000051B6">
        <w:t xml:space="preserve">A summary of the NHCDC sample for Round 13 and Round 14, by hospital and </w:t>
      </w:r>
      <w:r w:rsidR="00D05281" w:rsidRPr="000051B6">
        <w:t>AR-</w:t>
      </w:r>
      <w:r w:rsidRPr="000051B6">
        <w:t xml:space="preserve">DRG, for the overnight </w:t>
      </w:r>
      <w:r w:rsidR="0031569D" w:rsidRPr="000051B6">
        <w:t>s</w:t>
      </w:r>
      <w:r w:rsidR="002D317E" w:rsidRPr="000051B6">
        <w:t>ector</w:t>
      </w:r>
      <w:r w:rsidRPr="000051B6">
        <w:t>;</w:t>
      </w:r>
    </w:p>
    <w:p w:rsidR="00C43555" w:rsidRPr="000051B6" w:rsidRDefault="00C43555" w:rsidP="00911A8C">
      <w:pPr>
        <w:pStyle w:val="ListNumber"/>
        <w:numPr>
          <w:ilvl w:val="0"/>
          <w:numId w:val="27"/>
        </w:numPr>
        <w:spacing w:after="120"/>
        <w:contextualSpacing w:val="0"/>
      </w:pPr>
      <w:r w:rsidRPr="000051B6">
        <w:t xml:space="preserve">From the Private Hospital Data Bureau dataset(PHDB): a summary of the population levels of activity, showing the total number of separations by hospital in-scope for the collection (at least 200 separations), for Round 13 and Round 14, for the overnight </w:t>
      </w:r>
      <w:r w:rsidR="0031569D" w:rsidRPr="000051B6">
        <w:t>s</w:t>
      </w:r>
      <w:r w:rsidR="002D317E" w:rsidRPr="000051B6">
        <w:t>ector</w:t>
      </w:r>
      <w:r w:rsidRPr="000051B6">
        <w:t>;</w:t>
      </w:r>
    </w:p>
    <w:p w:rsidR="00C43555" w:rsidRPr="000051B6" w:rsidRDefault="00C43555" w:rsidP="00911A8C">
      <w:pPr>
        <w:pStyle w:val="ListNumber"/>
        <w:numPr>
          <w:ilvl w:val="0"/>
          <w:numId w:val="27"/>
        </w:numPr>
        <w:spacing w:after="120"/>
        <w:contextualSpacing w:val="0"/>
      </w:pPr>
      <w:r w:rsidRPr="000051B6">
        <w:t xml:space="preserve">From the PHDB dataset: a summary of the population levels of activity, average length of stay, and standard deviation of the length of stay, by hospital and </w:t>
      </w:r>
      <w:r w:rsidR="00D05281" w:rsidRPr="000051B6">
        <w:t>AR-</w:t>
      </w:r>
      <w:r w:rsidRPr="000051B6">
        <w:t xml:space="preserve">DRG, for all private hospitals, </w:t>
      </w:r>
      <w:r w:rsidR="00F702B3" w:rsidRPr="000051B6">
        <w:t>that is,</w:t>
      </w:r>
      <w:r w:rsidRPr="000051B6">
        <w:t xml:space="preserve"> for private overnight hospitals and private day hospitals.</w:t>
      </w:r>
    </w:p>
    <w:p w:rsidR="00C43555" w:rsidRPr="000051B6" w:rsidRDefault="00C43555" w:rsidP="00973D5B">
      <w:pPr>
        <w:pStyle w:val="PwCNormal"/>
        <w:numPr>
          <w:ilvl w:val="0"/>
          <w:numId w:val="0"/>
        </w:numPr>
      </w:pPr>
      <w:r w:rsidRPr="000051B6">
        <w:t>Item 1 above was obtained from the Department of Health (DoH) website</w:t>
      </w:r>
      <w:r w:rsidRPr="000051B6">
        <w:rPr>
          <w:rStyle w:val="FootnoteReference"/>
        </w:rPr>
        <w:footnoteReference w:id="13"/>
      </w:r>
      <w:r w:rsidRPr="000051B6">
        <w:t xml:space="preserve">. Items 2 and 3 above were provided by IHPA. Item 4 above was provided by DoH. </w:t>
      </w:r>
    </w:p>
    <w:p w:rsidR="00C43555" w:rsidRPr="000051B6" w:rsidRDefault="00C43555" w:rsidP="00973D5B">
      <w:pPr>
        <w:pStyle w:val="PwCNormal"/>
        <w:numPr>
          <w:ilvl w:val="0"/>
          <w:numId w:val="0"/>
        </w:numPr>
      </w:pPr>
      <w:r w:rsidRPr="000051B6">
        <w:t>In order for the NHCDC sample to be representative of the patient population and the population of private hospitals, minimum participation levels have been specified in terms of:</w:t>
      </w:r>
    </w:p>
    <w:p w:rsidR="00C43555" w:rsidRPr="000051B6" w:rsidRDefault="00C43555" w:rsidP="00911A8C">
      <w:pPr>
        <w:pStyle w:val="ListNumber"/>
        <w:numPr>
          <w:ilvl w:val="0"/>
          <w:numId w:val="28"/>
        </w:numPr>
        <w:spacing w:after="120"/>
        <w:contextualSpacing w:val="0"/>
      </w:pPr>
      <w:r w:rsidRPr="000051B6">
        <w:t>Separation sample size expressed as a percentage of the population levels of activity, where “population” is defined as the total number of separations for hospitals in-scope for the collection. The minimum separation sample size considered to provide sufficient reliability consistent with common statistical practice and historical publication practices was based on the following parameters:</w:t>
      </w:r>
    </w:p>
    <w:p w:rsidR="00C43555" w:rsidRPr="000051B6" w:rsidRDefault="00C43555" w:rsidP="00911A8C">
      <w:pPr>
        <w:pStyle w:val="ListNumber2"/>
        <w:numPr>
          <w:ilvl w:val="1"/>
          <w:numId w:val="27"/>
        </w:numPr>
        <w:spacing w:after="120"/>
        <w:contextualSpacing w:val="0"/>
      </w:pPr>
      <w:r w:rsidRPr="000051B6">
        <w:lastRenderedPageBreak/>
        <w:t xml:space="preserve">Standard deviation of costs per </w:t>
      </w:r>
      <w:r w:rsidR="00D05281" w:rsidRPr="000051B6">
        <w:t>AR-</w:t>
      </w:r>
      <w:r w:rsidRPr="000051B6">
        <w:t>DRG;</w:t>
      </w:r>
    </w:p>
    <w:p w:rsidR="00C43555" w:rsidRPr="000051B6" w:rsidRDefault="00C43555" w:rsidP="00911A8C">
      <w:pPr>
        <w:pStyle w:val="ListNumber2"/>
        <w:numPr>
          <w:ilvl w:val="1"/>
          <w:numId w:val="27"/>
        </w:numPr>
        <w:spacing w:after="120"/>
        <w:contextualSpacing w:val="0"/>
      </w:pPr>
      <w:r w:rsidRPr="000051B6">
        <w:t xml:space="preserve">Margin of error in the estimated average cost per </w:t>
      </w:r>
      <w:r w:rsidR="00D05281" w:rsidRPr="000051B6">
        <w:t>AR-</w:t>
      </w:r>
      <w:r w:rsidRPr="000051B6">
        <w:t>DRG; and</w:t>
      </w:r>
    </w:p>
    <w:p w:rsidR="00C43555" w:rsidRPr="000051B6" w:rsidRDefault="00C43555" w:rsidP="00911A8C">
      <w:pPr>
        <w:pStyle w:val="ListNumber2"/>
        <w:numPr>
          <w:ilvl w:val="1"/>
          <w:numId w:val="27"/>
        </w:numPr>
        <w:spacing w:after="120"/>
        <w:contextualSpacing w:val="0"/>
      </w:pPr>
      <w:r w:rsidRPr="000051B6">
        <w:t>Statistical confidence that the estimates fall within the specified margin of error.</w:t>
      </w:r>
    </w:p>
    <w:p w:rsidR="00C43555" w:rsidRPr="000051B6" w:rsidRDefault="00C43555" w:rsidP="00EC4240">
      <w:pPr>
        <w:pStyle w:val="PwCNormal"/>
        <w:numPr>
          <w:ilvl w:val="0"/>
          <w:numId w:val="0"/>
        </w:numPr>
        <w:ind w:left="567"/>
      </w:pPr>
      <w:r w:rsidRPr="000051B6">
        <w:t>Parameters (b) and (c) above were informed by reviewing the minimum sample size considered robust enough for publication in the Round 7 to 13 collections and parameter (a) was derived from the Round 13 cost weights.</w:t>
      </w:r>
    </w:p>
    <w:p w:rsidR="00C43555" w:rsidRPr="000051B6" w:rsidRDefault="00C43555" w:rsidP="00911A8C">
      <w:pPr>
        <w:pStyle w:val="ListNumber"/>
        <w:numPr>
          <w:ilvl w:val="0"/>
          <w:numId w:val="27"/>
        </w:numPr>
        <w:spacing w:after="120"/>
        <w:contextualSpacing w:val="0"/>
      </w:pPr>
      <w:r w:rsidRPr="000051B6">
        <w:t xml:space="preserve">The minimum number of hospitals that are required to participate, in aggregate and by hospital characteristic, to ensure that the collection is representative of the population of private hospitals; and </w:t>
      </w:r>
    </w:p>
    <w:p w:rsidR="00C43555" w:rsidRPr="000051B6" w:rsidRDefault="00C43555" w:rsidP="00911A8C">
      <w:pPr>
        <w:pStyle w:val="ListNumber"/>
        <w:numPr>
          <w:ilvl w:val="0"/>
          <w:numId w:val="27"/>
        </w:numPr>
        <w:spacing w:after="120"/>
        <w:contextualSpacing w:val="0"/>
      </w:pPr>
      <w:r w:rsidRPr="000051B6">
        <w:t>The minimum number of hospital groups that are required to participate, to ensure that the results represent the population of private hospitals.</w:t>
      </w:r>
    </w:p>
    <w:p w:rsidR="00C43555" w:rsidRPr="000051B6" w:rsidRDefault="00C43555" w:rsidP="00C43555">
      <w:pPr>
        <w:pStyle w:val="Minorheading2"/>
        <w:rPr>
          <w:color w:val="auto"/>
        </w:rPr>
      </w:pPr>
      <w:r w:rsidRPr="000051B6">
        <w:rPr>
          <w:color w:val="auto"/>
        </w:rPr>
        <w:t>Percentage of population separations</w:t>
      </w:r>
    </w:p>
    <w:p w:rsidR="00C43555" w:rsidRPr="000051B6" w:rsidRDefault="00C43555" w:rsidP="00C43555">
      <w:pPr>
        <w:pStyle w:val="BodyText"/>
      </w:pPr>
      <w:r w:rsidRPr="000051B6">
        <w:t>A key objective of the collection is to produce estimated costs and cost-weights by classified activity. The percentage of population separations that is required in a sample depends upon the tolerable “margin of error”, statistical confidence</w:t>
      </w:r>
      <w:r w:rsidRPr="000051B6">
        <w:rPr>
          <w:rStyle w:val="FootnoteReference"/>
        </w:rPr>
        <w:footnoteReference w:id="14"/>
      </w:r>
      <w:r w:rsidRPr="000051B6">
        <w:t xml:space="preserve"> required, and the standard deviation of costs.  To obtain an estimate of the average episode cost of a given </w:t>
      </w:r>
      <w:r w:rsidR="00D05281" w:rsidRPr="000051B6">
        <w:t>AR-</w:t>
      </w:r>
      <w:r w:rsidRPr="000051B6">
        <w:t xml:space="preserve">DRG, say “k”, within a margin of error </w:t>
      </w:r>
      <w:r w:rsidRPr="000051B6">
        <w:rPr>
          <w:i/>
        </w:rPr>
        <w:t>m</w:t>
      </w:r>
      <w:r w:rsidRPr="000051B6">
        <w:t xml:space="preserve"> and with </w:t>
      </w:r>
      <w:r w:rsidRPr="000051B6">
        <w:rPr>
          <w:i/>
        </w:rPr>
        <w:t>x%</w:t>
      </w:r>
      <w:r w:rsidRPr="000051B6">
        <w:t xml:space="preserve"> confidence, the required sample size for </w:t>
      </w:r>
      <w:r w:rsidR="00D05281" w:rsidRPr="000051B6">
        <w:t>AR-</w:t>
      </w:r>
      <w:r w:rsidRPr="000051B6">
        <w:t>DRG(k) is:</w:t>
      </w:r>
    </w:p>
    <w:p w:rsidR="00C43555" w:rsidRPr="000051B6" w:rsidRDefault="00C43555" w:rsidP="00C43555">
      <w:pPr>
        <w:pStyle w:val="BodyText"/>
        <w:jc w:val="center"/>
      </w:pPr>
      <m:oMathPara>
        <m:oMathParaPr>
          <m:jc m:val="left"/>
        </m:oMathParaPr>
        <m:oMath>
          <m:r>
            <w:rPr>
              <w:rFonts w:ascii="Cambria Math" w:hAnsi="Cambria Math"/>
            </w:rPr>
            <m:t>sample size of AR-DRG</m:t>
          </m:r>
          <m:d>
            <m:dPr>
              <m:ctrlPr>
                <w:rPr>
                  <w:rFonts w:ascii="Cambria Math" w:hAnsi="Cambria Math"/>
                  <w:i/>
                </w:rPr>
              </m:ctrlPr>
            </m:dPr>
            <m:e>
              <m:r>
                <w:rPr>
                  <w:rFonts w:ascii="Cambria Math" w:hAnsi="Cambria Math"/>
                </w:rPr>
                <m:t>k</m:t>
              </m:r>
            </m:e>
          </m:d>
        </m:oMath>
      </m:oMathPara>
    </w:p>
    <w:p w:rsidR="00C43555" w:rsidRPr="000051B6" w:rsidRDefault="00C43555" w:rsidP="00C43555">
      <w:pPr>
        <w:pStyle w:val="BodyText"/>
        <w:jc w:val="center"/>
        <w:rPr>
          <w:rFonts w:eastAsiaTheme="minorEastAsia"/>
        </w:rPr>
      </w:pPr>
      <m:oMathPara>
        <m:oMath>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Z-score of x</m:t>
                          </m:r>
                        </m:e>
                      </m:d>
                      <m:r>
                        <w:rPr>
                          <w:rFonts w:ascii="Cambria Math" w:hAnsi="Cambria Math"/>
                        </w:rPr>
                        <m:t>×(standard deviation of epi</m:t>
                      </m:r>
                      <m:r>
                        <w:rPr>
                          <w:rFonts w:ascii="Cambria Math" w:hAnsi="Cambria Math"/>
                        </w:rPr>
                        <m:t>sode cost for AR-DRG(k))</m:t>
                      </m:r>
                    </m:num>
                    <m:den>
                      <m:r>
                        <w:rPr>
                          <w:rFonts w:ascii="Cambria Math" w:hAnsi="Cambria Math"/>
                        </w:rPr>
                        <m:t>(margin of error m)</m:t>
                      </m:r>
                    </m:den>
                  </m:f>
                </m:e>
              </m:d>
            </m:e>
            <m:sup>
              <m:r>
                <w:rPr>
                  <w:rFonts w:ascii="Cambria Math" w:hAnsi="Cambria Math"/>
                </w:rPr>
                <m:t>2</m:t>
              </m:r>
            </m:sup>
          </m:sSup>
        </m:oMath>
      </m:oMathPara>
    </w:p>
    <w:p w:rsidR="00C43555" w:rsidRPr="000051B6" w:rsidRDefault="00C43555" w:rsidP="00973D5B">
      <w:pPr>
        <w:pStyle w:val="PwCNormal"/>
        <w:numPr>
          <w:ilvl w:val="0"/>
          <w:numId w:val="0"/>
        </w:numPr>
      </w:pPr>
      <w:r w:rsidRPr="000051B6">
        <w:t xml:space="preserve">A dataset with a lower margin of error, higher statistical confidence, and higher standard deviation, will require a larger sample size. The standard deviation of each </w:t>
      </w:r>
      <w:r w:rsidR="00D05281" w:rsidRPr="000051B6">
        <w:t>AR-</w:t>
      </w:r>
      <w:r w:rsidRPr="000051B6">
        <w:t xml:space="preserve">DRG varies, and so the sample size required for each </w:t>
      </w:r>
      <w:r w:rsidR="00D05281" w:rsidRPr="000051B6">
        <w:t>AR-</w:t>
      </w:r>
      <w:r w:rsidRPr="000051B6">
        <w:t xml:space="preserve">DRG (given the same parameters for error and confidence) will vary. However, given that the NHCDC collection is a voluntary one, it will be impossible to achieve target samples for each </w:t>
      </w:r>
      <w:r w:rsidR="00D05281" w:rsidRPr="000051B6">
        <w:t>AR-</w:t>
      </w:r>
      <w:r w:rsidRPr="000051B6">
        <w:t xml:space="preserve">DRG. Hence, the sample sizes across all </w:t>
      </w:r>
      <w:r w:rsidR="00D05281" w:rsidRPr="000051B6">
        <w:t>AR-</w:t>
      </w:r>
      <w:r w:rsidRPr="000051B6">
        <w:t xml:space="preserve">DRGs </w:t>
      </w:r>
      <w:r w:rsidR="00FF0FE3" w:rsidRPr="000051B6">
        <w:t>were aggregated</w:t>
      </w:r>
      <w:r w:rsidRPr="000051B6">
        <w:t>. In performing this aggregation, two weighting methods were investigated:</w:t>
      </w:r>
    </w:p>
    <w:p w:rsidR="00C43555" w:rsidRPr="000051B6" w:rsidRDefault="00C43555" w:rsidP="00911A8C">
      <w:pPr>
        <w:pStyle w:val="ListNumber"/>
        <w:numPr>
          <w:ilvl w:val="0"/>
          <w:numId w:val="29"/>
        </w:numPr>
        <w:spacing w:after="120"/>
        <w:contextualSpacing w:val="0"/>
      </w:pPr>
      <w:r w:rsidRPr="000051B6">
        <w:t xml:space="preserve">Number of separations by </w:t>
      </w:r>
      <w:r w:rsidR="00D05281" w:rsidRPr="000051B6">
        <w:t>AR-</w:t>
      </w:r>
      <w:r w:rsidRPr="000051B6">
        <w:t>DRG;</w:t>
      </w:r>
    </w:p>
    <w:p w:rsidR="00C43555" w:rsidRPr="000051B6" w:rsidRDefault="00C43555" w:rsidP="00C43555">
      <w:pPr>
        <w:pStyle w:val="ListNumber"/>
        <w:spacing w:after="120"/>
        <w:contextualSpacing w:val="0"/>
      </w:pPr>
      <w:r w:rsidRPr="000051B6">
        <w:t xml:space="preserve">Total cost by </w:t>
      </w:r>
      <w:r w:rsidR="00D05281" w:rsidRPr="000051B6">
        <w:t>AR-</w:t>
      </w:r>
      <w:r w:rsidRPr="000051B6">
        <w:t xml:space="preserve">DRG (number of separations per </w:t>
      </w:r>
      <w:r w:rsidR="00D05281" w:rsidRPr="000051B6">
        <w:t>AR-</w:t>
      </w:r>
      <w:r w:rsidRPr="000051B6">
        <w:t xml:space="preserve">DRG multiplied by the average cost per </w:t>
      </w:r>
      <w:r w:rsidR="00D05281" w:rsidRPr="000051B6">
        <w:t>AR-</w:t>
      </w:r>
      <w:r w:rsidRPr="000051B6">
        <w:t>DRG).</w:t>
      </w:r>
    </w:p>
    <w:p w:rsidR="006365D0" w:rsidRPr="000051B6" w:rsidRDefault="006365D0" w:rsidP="006365D0">
      <w:pPr>
        <w:pStyle w:val="PwCNormal"/>
        <w:numPr>
          <w:ilvl w:val="0"/>
          <w:numId w:val="0"/>
        </w:numPr>
      </w:pPr>
      <w:r w:rsidRPr="000051B6">
        <w:rPr>
          <w:rFonts w:cs="Georgia"/>
          <w:snapToGrid/>
          <w:color w:val="A42020"/>
          <w:lang w:eastAsia="en-AU"/>
        </w:rPr>
        <w:t>Summary of separation sample size results for overnight private hospitals</w:t>
      </w:r>
    </w:p>
    <w:p w:rsidR="00D05281" w:rsidRPr="000051B6" w:rsidRDefault="00D05281" w:rsidP="00D05281">
      <w:pPr>
        <w:pStyle w:val="Minorheading2"/>
        <w:rPr>
          <w:color w:val="auto"/>
        </w:rPr>
      </w:pPr>
      <w:r w:rsidRPr="000051B6">
        <w:rPr>
          <w:noProof/>
          <w:lang w:eastAsia="en-AU"/>
        </w:rPr>
        <w:drawing>
          <wp:inline distT="0" distB="0" distL="0" distR="0" wp14:anchorId="0592D6D7" wp14:editId="6D489712">
            <wp:extent cx="3420745" cy="2023745"/>
            <wp:effectExtent l="0" t="0" r="8255" b="0"/>
            <wp:docPr id="8" name="Picture 8" descr="This table indicates the margin of error per AR-DRG class as a percentage versus the confidence level. 60% participation gives 4% error at the 95% confidence level and 5% error at the 99% confidence level." title="Summary of separation sample size results for overnight private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20745" cy="2023745"/>
                    </a:xfrm>
                    <a:prstGeom prst="rect">
                      <a:avLst/>
                    </a:prstGeom>
                    <a:noFill/>
                    <a:ln>
                      <a:noFill/>
                    </a:ln>
                  </pic:spPr>
                </pic:pic>
              </a:graphicData>
            </a:graphic>
          </wp:inline>
        </w:drawing>
      </w:r>
    </w:p>
    <w:p w:rsidR="001C6AFB" w:rsidRPr="000051B6" w:rsidRDefault="001C6AFB" w:rsidP="001C6AFB">
      <w:pPr>
        <w:pStyle w:val="ListBullet"/>
        <w:numPr>
          <w:ilvl w:val="0"/>
          <w:numId w:val="0"/>
        </w:numPr>
      </w:pPr>
      <w:r w:rsidRPr="000051B6">
        <w:t>Please note: The grey shaded areas are the regions with a participation level lower than the Round 14 collection (37% of separations).</w:t>
      </w:r>
    </w:p>
    <w:p w:rsidR="00911A8C" w:rsidRPr="000051B6" w:rsidRDefault="002D7C04" w:rsidP="00911A8C">
      <w:pPr>
        <w:rPr>
          <w:rFonts w:cs="Georgia"/>
          <w:b/>
          <w:bCs/>
          <w:snapToGrid/>
          <w:lang w:eastAsia="en-AU"/>
        </w:rPr>
      </w:pPr>
      <w:r w:rsidRPr="000051B6">
        <w:rPr>
          <w:rFonts w:cs="Georgia"/>
          <w:b/>
          <w:bCs/>
          <w:snapToGrid/>
          <w:lang w:eastAsia="en-AU"/>
        </w:rPr>
        <w:br w:type="page"/>
      </w:r>
      <w:r w:rsidR="00911A8C" w:rsidRPr="000051B6">
        <w:rPr>
          <w:rFonts w:cs="Georgia"/>
          <w:b/>
          <w:bCs/>
          <w:snapToGrid/>
          <w:lang w:eastAsia="en-AU"/>
        </w:rPr>
        <w:lastRenderedPageBreak/>
        <w:t>Outcome of analysis</w:t>
      </w:r>
    </w:p>
    <w:p w:rsidR="00FF0FE3" w:rsidRPr="000051B6" w:rsidRDefault="001C6AFB" w:rsidP="001C6AFB">
      <w:pPr>
        <w:pStyle w:val="ListBullet"/>
        <w:numPr>
          <w:ilvl w:val="0"/>
          <w:numId w:val="0"/>
        </w:numPr>
      </w:pPr>
      <w:r w:rsidRPr="000051B6">
        <w:t>Based on the above analysis IHPA agreed that for the private overnight NHCDC the minimum target participation rate would be 60% in order to achieve a robust sample</w:t>
      </w:r>
      <w:r w:rsidR="00C43555" w:rsidRPr="000051B6">
        <w:rPr>
          <w:rStyle w:val="FootnoteReference"/>
        </w:rPr>
        <w:footnoteReference w:id="15"/>
      </w:r>
      <w:r w:rsidRPr="000051B6">
        <w:t>.</w:t>
      </w:r>
    </w:p>
    <w:p w:rsidR="00FF0FE3" w:rsidRPr="000051B6" w:rsidRDefault="00FF0FE3" w:rsidP="001C6AFB">
      <w:pPr>
        <w:pStyle w:val="ListBullet"/>
        <w:numPr>
          <w:ilvl w:val="0"/>
          <w:numId w:val="0"/>
        </w:numPr>
        <w:rPr>
          <w:rFonts w:cs="Georgia"/>
          <w:b/>
          <w:bCs/>
          <w:snapToGrid/>
          <w:color w:val="A42020"/>
          <w:lang w:eastAsia="en-AU"/>
        </w:rPr>
      </w:pPr>
      <w:r w:rsidRPr="000051B6">
        <w:rPr>
          <w:rFonts w:cs="Georgia"/>
          <w:b/>
          <w:bCs/>
          <w:snapToGrid/>
          <w:color w:val="A42020"/>
          <w:lang w:eastAsia="en-AU"/>
        </w:rPr>
        <w:t>Minimum number of hospitals required</w:t>
      </w:r>
    </w:p>
    <w:p w:rsidR="00FF0FE3" w:rsidRPr="000051B6" w:rsidRDefault="00FF0FE3" w:rsidP="00FF0FE3">
      <w:pPr>
        <w:rPr>
          <w:rFonts w:cs="Georgia"/>
          <w:b/>
          <w:bCs/>
          <w:snapToGrid/>
          <w:lang w:eastAsia="en-AU"/>
        </w:rPr>
      </w:pPr>
      <w:r w:rsidRPr="000051B6">
        <w:rPr>
          <w:rFonts w:cs="Georgia"/>
          <w:b/>
          <w:bCs/>
          <w:snapToGrid/>
          <w:lang w:eastAsia="en-AU"/>
        </w:rPr>
        <w:t>Methodology to calculate minimum number of hospitals required</w:t>
      </w:r>
    </w:p>
    <w:p w:rsidR="00FF0FE3" w:rsidRPr="000051B6" w:rsidRDefault="00FF0FE3" w:rsidP="00FF0FE3">
      <w:pPr>
        <w:rPr>
          <w:rFonts w:cs="Georgia"/>
          <w:snapToGrid/>
          <w:color w:val="000000"/>
          <w:lang w:eastAsia="en-AU"/>
        </w:rPr>
      </w:pPr>
      <w:r w:rsidRPr="000051B6">
        <w:rPr>
          <w:rFonts w:cs="Georgia"/>
          <w:snapToGrid/>
          <w:color w:val="000000"/>
          <w:lang w:eastAsia="en-AU"/>
        </w:rPr>
        <w:t>The formula that is used to produce cost-weights is provided below:</w:t>
      </w:r>
    </w:p>
    <w:p w:rsidR="00FF0FE3" w:rsidRPr="000051B6" w:rsidRDefault="00EB211C" w:rsidP="00FF0FE3">
      <w:pPr>
        <w:rPr>
          <w:rFonts w:cs="Georgia"/>
          <w:snapToGrid/>
          <w:color w:val="000000"/>
          <w:lang w:eastAsia="en-AU"/>
        </w:rPr>
      </w:pPr>
      <w:r w:rsidRPr="000051B6">
        <w:rPr>
          <w:noProof/>
          <w:snapToGrid/>
          <w:lang w:eastAsia="en-AU"/>
        </w:rPr>
        <w:drawing>
          <wp:inline distT="0" distB="0" distL="0" distR="0" wp14:anchorId="14D88ABF" wp14:editId="524F88F1">
            <wp:extent cx="4716780" cy="9296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4716780" cy="929640"/>
                    </a:xfrm>
                    <a:prstGeom prst="rect">
                      <a:avLst/>
                    </a:prstGeom>
                  </pic:spPr>
                </pic:pic>
              </a:graphicData>
            </a:graphic>
          </wp:inline>
        </w:drawing>
      </w:r>
    </w:p>
    <w:p w:rsidR="00FF0FE3" w:rsidRPr="000051B6" w:rsidRDefault="00EB211C" w:rsidP="00C4130F">
      <w:pPr>
        <w:spacing w:after="240"/>
        <w:rPr>
          <w:rFonts w:cs="Georgia"/>
          <w:snapToGrid/>
          <w:color w:val="000000"/>
          <w:lang w:eastAsia="en-AU"/>
        </w:rPr>
      </w:pPr>
      <w:r w:rsidRPr="000051B6">
        <w:rPr>
          <w:rFonts w:cs="Georgia"/>
          <w:snapToGrid/>
          <w:color w:val="000000"/>
          <w:lang w:eastAsia="en-AU"/>
        </w:rPr>
        <w:t>W</w:t>
      </w:r>
      <w:r w:rsidR="00FF0FE3" w:rsidRPr="000051B6">
        <w:rPr>
          <w:rFonts w:cs="Georgia"/>
          <w:snapToGrid/>
          <w:color w:val="000000"/>
          <w:lang w:eastAsia="en-AU"/>
        </w:rPr>
        <w:t xml:space="preserve">here the average costs are weighted by population levels of activity across all </w:t>
      </w:r>
      <w:r w:rsidR="00D05281" w:rsidRPr="000051B6">
        <w:rPr>
          <w:rFonts w:cs="Georgia"/>
          <w:snapToGrid/>
          <w:color w:val="000000"/>
          <w:lang w:eastAsia="en-AU"/>
        </w:rPr>
        <w:t>AR-</w:t>
      </w:r>
      <w:r w:rsidR="00FF0FE3" w:rsidRPr="000051B6">
        <w:rPr>
          <w:rFonts w:cs="Georgia"/>
          <w:snapToGrid/>
          <w:color w:val="000000"/>
          <w:lang w:eastAsia="en-AU"/>
        </w:rPr>
        <w:t>DRG classes</w:t>
      </w:r>
      <w:r w:rsidRPr="000051B6">
        <w:rPr>
          <w:rFonts w:cs="Georgia"/>
          <w:snapToGrid/>
          <w:color w:val="000000"/>
          <w:lang w:eastAsia="en-AU"/>
        </w:rPr>
        <w:t xml:space="preserve"> </w:t>
      </w:r>
      <w:r w:rsidR="00FF0FE3" w:rsidRPr="000051B6">
        <w:rPr>
          <w:rFonts w:cs="Georgia"/>
          <w:snapToGrid/>
          <w:color w:val="000000"/>
          <w:lang w:eastAsia="en-AU"/>
        </w:rPr>
        <w:t>and by other hospital characteristics (e.g. hospital size and for-profit / not-for-profit status).</w:t>
      </w:r>
    </w:p>
    <w:p w:rsidR="00FF0FE3" w:rsidRPr="000051B6" w:rsidRDefault="00FF0FE3" w:rsidP="00C4130F">
      <w:pPr>
        <w:spacing w:after="240"/>
      </w:pPr>
      <w:r w:rsidRPr="000051B6">
        <w:rPr>
          <w:rFonts w:cs="Georgia"/>
          <w:snapToGrid/>
          <w:color w:val="000000"/>
          <w:lang w:eastAsia="en-AU"/>
        </w:rPr>
        <w:t>The above formula shows that the cost-weight is influenced by both the average cost of an</w:t>
      </w:r>
      <w:r w:rsidR="00EB211C" w:rsidRPr="000051B6">
        <w:rPr>
          <w:rFonts w:cs="Georgia"/>
          <w:snapToGrid/>
          <w:color w:val="000000"/>
          <w:lang w:eastAsia="en-AU"/>
        </w:rPr>
        <w:t xml:space="preserve"> </w:t>
      </w:r>
      <w:r w:rsidRPr="000051B6">
        <w:rPr>
          <w:rFonts w:cs="Georgia"/>
          <w:snapToGrid/>
          <w:color w:val="000000"/>
          <w:lang w:eastAsia="en-AU"/>
        </w:rPr>
        <w:t xml:space="preserve">individual </w:t>
      </w:r>
      <w:r w:rsidR="00D05281" w:rsidRPr="000051B6">
        <w:rPr>
          <w:rFonts w:cs="Georgia"/>
          <w:snapToGrid/>
          <w:color w:val="000000"/>
          <w:lang w:eastAsia="en-AU"/>
        </w:rPr>
        <w:t>AR-</w:t>
      </w:r>
      <w:r w:rsidRPr="000051B6">
        <w:rPr>
          <w:rFonts w:cs="Georgia"/>
          <w:snapToGrid/>
          <w:color w:val="000000"/>
          <w:lang w:eastAsia="en-AU"/>
        </w:rPr>
        <w:t xml:space="preserve">DRG, as well as the overall average cost across all </w:t>
      </w:r>
      <w:r w:rsidR="00D05281" w:rsidRPr="000051B6">
        <w:rPr>
          <w:rFonts w:cs="Georgia"/>
          <w:snapToGrid/>
          <w:color w:val="000000"/>
          <w:lang w:eastAsia="en-AU"/>
        </w:rPr>
        <w:t>AR-</w:t>
      </w:r>
      <w:r w:rsidRPr="000051B6">
        <w:rPr>
          <w:rFonts w:cs="Georgia"/>
          <w:snapToGrid/>
          <w:color w:val="000000"/>
          <w:lang w:eastAsia="en-AU"/>
        </w:rPr>
        <w:t>DRGs. The average costs within</w:t>
      </w:r>
      <w:r w:rsidR="00EB211C" w:rsidRPr="000051B6">
        <w:rPr>
          <w:rFonts w:cs="Georgia"/>
          <w:snapToGrid/>
          <w:color w:val="000000"/>
          <w:lang w:eastAsia="en-AU"/>
        </w:rPr>
        <w:t xml:space="preserve"> </w:t>
      </w:r>
      <w:r w:rsidRPr="000051B6">
        <w:rPr>
          <w:rFonts w:cs="Georgia"/>
          <w:snapToGrid/>
          <w:color w:val="000000"/>
          <w:lang w:eastAsia="en-AU"/>
        </w:rPr>
        <w:t>a given DRG, and across all DRGs, are in turn influenced by the underlying distribution of</w:t>
      </w:r>
      <w:r w:rsidR="00EB211C" w:rsidRPr="000051B6">
        <w:rPr>
          <w:rFonts w:cs="Georgia"/>
          <w:snapToGrid/>
          <w:color w:val="000000"/>
          <w:lang w:eastAsia="en-AU"/>
        </w:rPr>
        <w:t xml:space="preserve"> </w:t>
      </w:r>
      <w:r w:rsidRPr="000051B6">
        <w:rPr>
          <w:rFonts w:cs="Georgia"/>
          <w:snapToGrid/>
          <w:color w:val="000000"/>
          <w:lang w:eastAsia="en-AU"/>
        </w:rPr>
        <w:t>separations by hospital attribute by which average costs can vary. Therefore, to ensure that</w:t>
      </w:r>
      <w:r w:rsidR="00EB211C" w:rsidRPr="000051B6">
        <w:rPr>
          <w:rFonts w:cs="Georgia"/>
          <w:snapToGrid/>
          <w:color w:val="000000"/>
          <w:lang w:eastAsia="en-AU"/>
        </w:rPr>
        <w:t xml:space="preserve"> </w:t>
      </w:r>
      <w:r w:rsidRPr="000051B6">
        <w:rPr>
          <w:rFonts w:cs="Georgia"/>
          <w:snapToGrid/>
          <w:color w:val="000000"/>
          <w:lang w:eastAsia="en-AU"/>
        </w:rPr>
        <w:t>the national cost-weights are representative of the Australian population of hospitals, it is</w:t>
      </w:r>
      <w:r w:rsidR="00EB211C" w:rsidRPr="000051B6">
        <w:rPr>
          <w:rFonts w:cs="Georgia"/>
          <w:snapToGrid/>
          <w:color w:val="000000"/>
          <w:lang w:eastAsia="en-AU"/>
        </w:rPr>
        <w:t xml:space="preserve"> </w:t>
      </w:r>
      <w:r w:rsidRPr="000051B6">
        <w:rPr>
          <w:rFonts w:cs="Georgia"/>
          <w:snapToGrid/>
          <w:color w:val="000000"/>
          <w:lang w:eastAsia="en-AU"/>
        </w:rPr>
        <w:t>important to have a sample that reflects the distribution of separations, and the average</w:t>
      </w:r>
      <w:r w:rsidR="00EB211C" w:rsidRPr="000051B6">
        <w:rPr>
          <w:rFonts w:cs="Georgia"/>
          <w:snapToGrid/>
          <w:color w:val="000000"/>
          <w:lang w:eastAsia="en-AU"/>
        </w:rPr>
        <w:t xml:space="preserve"> </w:t>
      </w:r>
      <w:r w:rsidR="00EB211C" w:rsidRPr="000051B6">
        <w:rPr>
          <w:rFonts w:cs="Georgia"/>
          <w:snapToGrid/>
          <w:lang w:eastAsia="en-AU"/>
        </w:rPr>
        <w:t>costs, across the hospital attributes by which costs can vary.</w:t>
      </w:r>
    </w:p>
    <w:p w:rsidR="00C70AA2" w:rsidRPr="000051B6" w:rsidRDefault="00C70AA2" w:rsidP="00C70AA2">
      <w:pPr>
        <w:rPr>
          <w:rFonts w:cs="Georgia"/>
          <w:snapToGrid/>
          <w:color w:val="000000"/>
          <w:lang w:eastAsia="en-AU"/>
        </w:rPr>
      </w:pPr>
      <w:r w:rsidRPr="000051B6">
        <w:rPr>
          <w:rFonts w:cs="Georgia"/>
          <w:snapToGrid/>
          <w:color w:val="000000"/>
          <w:lang w:eastAsia="en-AU"/>
        </w:rPr>
        <w:t>The study</w:t>
      </w:r>
      <w:r w:rsidR="00EB211C" w:rsidRPr="000051B6">
        <w:rPr>
          <w:rFonts w:cs="Georgia"/>
          <w:snapToGrid/>
          <w:color w:val="000000"/>
          <w:lang w:eastAsia="en-AU"/>
        </w:rPr>
        <w:t xml:space="preserve"> found that there are statistically significant variations in cost between the following hospital attributes:</w:t>
      </w:r>
    </w:p>
    <w:p w:rsidR="00C70AA2" w:rsidRPr="000051B6" w:rsidRDefault="00C70AA2" w:rsidP="00C70AA2">
      <w:pPr>
        <w:pStyle w:val="PwCNormal"/>
        <w:rPr>
          <w:snapToGrid/>
          <w:lang w:eastAsia="en-AU"/>
        </w:rPr>
      </w:pPr>
      <w:r w:rsidRPr="000051B6">
        <w:rPr>
          <w:snapToGrid/>
          <w:lang w:eastAsia="en-AU"/>
        </w:rPr>
        <w:t>State variations in average costs;</w:t>
      </w:r>
    </w:p>
    <w:p w:rsidR="00C70AA2" w:rsidRPr="000051B6" w:rsidRDefault="00C70AA2" w:rsidP="00C70AA2">
      <w:pPr>
        <w:pStyle w:val="PwCNormal"/>
        <w:rPr>
          <w:snapToGrid/>
          <w:lang w:eastAsia="en-AU"/>
        </w:rPr>
      </w:pPr>
      <w:r w:rsidRPr="000051B6">
        <w:rPr>
          <w:snapToGrid/>
          <w:lang w:eastAsia="en-AU"/>
        </w:rPr>
        <w:t>Status (for profit/non-profit);</w:t>
      </w:r>
    </w:p>
    <w:p w:rsidR="00C70AA2" w:rsidRPr="000051B6" w:rsidRDefault="00C70AA2" w:rsidP="00C70AA2">
      <w:pPr>
        <w:pStyle w:val="PwCNormal"/>
        <w:rPr>
          <w:snapToGrid/>
          <w:lang w:eastAsia="en-AU"/>
        </w:rPr>
      </w:pPr>
      <w:r w:rsidRPr="000051B6">
        <w:rPr>
          <w:snapToGrid/>
          <w:lang w:eastAsia="en-AU"/>
        </w:rPr>
        <w:t>Hospital size (+8,000 separations or under 8,000 separations); and</w:t>
      </w:r>
    </w:p>
    <w:p w:rsidR="00C70AA2" w:rsidRPr="000051B6" w:rsidRDefault="00C70AA2" w:rsidP="00C70AA2">
      <w:pPr>
        <w:pStyle w:val="PwCNormal"/>
        <w:rPr>
          <w:snapToGrid/>
          <w:lang w:eastAsia="en-AU"/>
        </w:rPr>
      </w:pPr>
      <w:r w:rsidRPr="000051B6">
        <w:rPr>
          <w:snapToGrid/>
          <w:lang w:eastAsia="en-AU"/>
        </w:rPr>
        <w:t>Region (metropolitan verses non-metropolitan).</w:t>
      </w:r>
    </w:p>
    <w:p w:rsidR="00EB211C" w:rsidRPr="000051B6" w:rsidRDefault="00EB211C" w:rsidP="00C4130F">
      <w:pPr>
        <w:spacing w:after="240"/>
        <w:rPr>
          <w:rFonts w:cs="Georgia"/>
          <w:snapToGrid/>
          <w:color w:val="000000"/>
          <w:lang w:eastAsia="en-AU"/>
        </w:rPr>
      </w:pPr>
      <w:r w:rsidRPr="000051B6">
        <w:rPr>
          <w:rFonts w:cs="Georgia"/>
          <w:snapToGrid/>
          <w:color w:val="000000"/>
          <w:lang w:eastAsia="en-AU"/>
        </w:rPr>
        <w:t xml:space="preserve">To ensure that the average cost per </w:t>
      </w:r>
      <w:r w:rsidR="00D05281" w:rsidRPr="000051B6">
        <w:rPr>
          <w:rFonts w:cs="Georgia"/>
          <w:snapToGrid/>
          <w:color w:val="000000"/>
          <w:lang w:eastAsia="en-AU"/>
        </w:rPr>
        <w:t>AR-</w:t>
      </w:r>
      <w:r w:rsidRPr="000051B6">
        <w:rPr>
          <w:rFonts w:cs="Georgia"/>
          <w:snapToGrid/>
          <w:color w:val="000000"/>
          <w:lang w:eastAsia="en-AU"/>
        </w:rPr>
        <w:t xml:space="preserve">DRG represents a national average, the attributes of the participating hospitals must be such that they represent the hospital attributes by which costs can vary.  </w:t>
      </w:r>
    </w:p>
    <w:p w:rsidR="00EB211C" w:rsidRPr="000051B6" w:rsidRDefault="00EB211C" w:rsidP="00C4130F">
      <w:pPr>
        <w:spacing w:after="240"/>
        <w:rPr>
          <w:rFonts w:cs="Georgia"/>
          <w:snapToGrid/>
          <w:color w:val="000000"/>
          <w:lang w:eastAsia="en-AU"/>
        </w:rPr>
      </w:pPr>
      <w:r w:rsidRPr="000051B6">
        <w:rPr>
          <w:rFonts w:cs="Georgia"/>
          <w:snapToGrid/>
          <w:color w:val="000000"/>
          <w:lang w:eastAsia="en-AU"/>
        </w:rPr>
        <w:t xml:space="preserve">Weighting factors can then be applied to re-balance the sample to the population by </w:t>
      </w:r>
      <w:r w:rsidR="00D05281" w:rsidRPr="000051B6">
        <w:rPr>
          <w:rFonts w:cs="Georgia"/>
          <w:snapToGrid/>
          <w:color w:val="000000"/>
          <w:lang w:eastAsia="en-AU"/>
        </w:rPr>
        <w:t>AR-</w:t>
      </w:r>
      <w:r w:rsidRPr="000051B6">
        <w:rPr>
          <w:rFonts w:cs="Georgia"/>
          <w:snapToGrid/>
          <w:color w:val="000000"/>
          <w:lang w:eastAsia="en-AU"/>
        </w:rPr>
        <w:t>DRG and hospital attribute. Therefore, the attributes listed above can be used to formulate a sampling frame against which hospitals can be recruited to participate.</w:t>
      </w:r>
    </w:p>
    <w:p w:rsidR="00911A8C" w:rsidRPr="000051B6" w:rsidRDefault="00911A8C" w:rsidP="002D7C04">
      <w:pPr>
        <w:rPr>
          <w:rFonts w:cs="Georgia"/>
          <w:b/>
          <w:bCs/>
          <w:snapToGrid/>
          <w:lang w:eastAsia="en-AU"/>
        </w:rPr>
      </w:pPr>
      <w:r w:rsidRPr="000051B6">
        <w:rPr>
          <w:rFonts w:cs="Georgia"/>
          <w:b/>
          <w:bCs/>
          <w:snapToGrid/>
          <w:lang w:eastAsia="en-AU"/>
        </w:rPr>
        <w:t>Outcome of analysis</w:t>
      </w:r>
    </w:p>
    <w:p w:rsidR="00911A8C" w:rsidRPr="000051B6" w:rsidRDefault="00911A8C" w:rsidP="00C4130F">
      <w:pPr>
        <w:spacing w:after="240"/>
        <w:rPr>
          <w:rFonts w:cs="Georgia"/>
          <w:snapToGrid/>
          <w:color w:val="000000"/>
          <w:lang w:eastAsia="en-AU"/>
        </w:rPr>
      </w:pPr>
      <w:r w:rsidRPr="000051B6">
        <w:t xml:space="preserve">Based on the above analysis </w:t>
      </w:r>
      <w:r w:rsidR="00711934" w:rsidRPr="000051B6">
        <w:t xml:space="preserve">and to achieve a separation sample size of 60% </w:t>
      </w:r>
      <w:r w:rsidRPr="000051B6">
        <w:t xml:space="preserve">IHPA agreed that for the private overnight NHCDC the </w:t>
      </w:r>
      <w:r w:rsidRPr="000051B6">
        <w:rPr>
          <w:rFonts w:cs="Georgia"/>
          <w:snapToGrid/>
          <w:color w:val="000000"/>
          <w:lang w:eastAsia="en-AU"/>
        </w:rPr>
        <w:t>target minimum number of 90 hospitals will be required.</w:t>
      </w:r>
    </w:p>
    <w:p w:rsidR="00EB211C" w:rsidRPr="000051B6" w:rsidRDefault="00EF23C9" w:rsidP="002D7C04">
      <w:pPr>
        <w:pStyle w:val="ListBullet"/>
        <w:numPr>
          <w:ilvl w:val="0"/>
          <w:numId w:val="0"/>
        </w:numPr>
        <w:spacing w:after="0"/>
        <w:rPr>
          <w:rFonts w:cs="Georgia"/>
          <w:b/>
          <w:bCs/>
          <w:snapToGrid/>
          <w:color w:val="A42020"/>
          <w:lang w:eastAsia="en-AU"/>
        </w:rPr>
      </w:pPr>
      <w:r w:rsidRPr="000051B6">
        <w:rPr>
          <w:rFonts w:cs="Georgia"/>
          <w:b/>
          <w:bCs/>
          <w:snapToGrid/>
          <w:color w:val="A42020"/>
          <w:lang w:eastAsia="en-AU"/>
        </w:rPr>
        <w:t>M</w:t>
      </w:r>
      <w:r w:rsidR="00EB211C" w:rsidRPr="000051B6">
        <w:rPr>
          <w:rFonts w:cs="Georgia"/>
          <w:b/>
          <w:bCs/>
          <w:snapToGrid/>
          <w:color w:val="A42020"/>
          <w:lang w:eastAsia="en-AU"/>
        </w:rPr>
        <w:t>inimum number of hospital groups required</w:t>
      </w:r>
    </w:p>
    <w:p w:rsidR="00911A8C" w:rsidRPr="000051B6" w:rsidRDefault="00A3373C" w:rsidP="00C4130F">
      <w:pPr>
        <w:spacing w:after="240"/>
        <w:rPr>
          <w:rFonts w:cs="Georgia"/>
          <w:snapToGrid/>
          <w:color w:val="000000"/>
          <w:lang w:eastAsia="en-AU"/>
        </w:rPr>
      </w:pPr>
      <w:r w:rsidRPr="000051B6">
        <w:rPr>
          <w:rFonts w:cs="Georgia"/>
          <w:snapToGrid/>
          <w:color w:val="000000"/>
          <w:lang w:eastAsia="en-AU"/>
        </w:rPr>
        <w:t>In order to avoid high skewed data towards the larger hospital groups IHPA agreed that targeting</w:t>
      </w:r>
      <w:r w:rsidR="00911A8C" w:rsidRPr="000051B6">
        <w:rPr>
          <w:rFonts w:cs="Georgia"/>
          <w:snapToGrid/>
          <w:color w:val="000000"/>
          <w:lang w:eastAsia="en-AU"/>
        </w:rPr>
        <w:t xml:space="preserve"> a minimum number of 10 hospital</w:t>
      </w:r>
      <w:r w:rsidRPr="000051B6">
        <w:rPr>
          <w:rFonts w:cs="Georgia"/>
          <w:snapToGrid/>
          <w:color w:val="000000"/>
          <w:lang w:eastAsia="en-AU"/>
        </w:rPr>
        <w:t xml:space="preserve"> </w:t>
      </w:r>
      <w:r w:rsidR="00911A8C" w:rsidRPr="000051B6">
        <w:rPr>
          <w:rFonts w:cs="Georgia"/>
          <w:snapToGrid/>
          <w:color w:val="000000"/>
          <w:lang w:eastAsia="en-AU"/>
        </w:rPr>
        <w:t>groups which, when combined with i</w:t>
      </w:r>
      <w:r w:rsidRPr="000051B6">
        <w:rPr>
          <w:rFonts w:cs="Georgia"/>
          <w:snapToGrid/>
          <w:color w:val="000000"/>
          <w:lang w:eastAsia="en-AU"/>
        </w:rPr>
        <w:t>ndividual/independent hospitals</w:t>
      </w:r>
      <w:r w:rsidR="00911A8C" w:rsidRPr="000051B6">
        <w:rPr>
          <w:rFonts w:cs="Georgia"/>
          <w:snapToGrid/>
          <w:color w:val="000000"/>
          <w:lang w:eastAsia="en-AU"/>
        </w:rPr>
        <w:t>.</w:t>
      </w:r>
    </w:p>
    <w:p w:rsidR="00A3373C" w:rsidRPr="000051B6" w:rsidRDefault="00A3373C" w:rsidP="002D7C04">
      <w:pPr>
        <w:pStyle w:val="ListBullet"/>
        <w:numPr>
          <w:ilvl w:val="0"/>
          <w:numId w:val="0"/>
        </w:numPr>
        <w:spacing w:after="0"/>
        <w:rPr>
          <w:rFonts w:cs="Georgia"/>
          <w:b/>
          <w:bCs/>
          <w:snapToGrid/>
          <w:color w:val="A42020"/>
          <w:lang w:eastAsia="en-AU"/>
        </w:rPr>
      </w:pPr>
      <w:r w:rsidRPr="000051B6">
        <w:rPr>
          <w:rFonts w:cs="Georgia"/>
          <w:b/>
          <w:bCs/>
          <w:snapToGrid/>
          <w:color w:val="A42020"/>
          <w:lang w:eastAsia="en-AU"/>
        </w:rPr>
        <w:t>Minimum targets used for the collection</w:t>
      </w:r>
    </w:p>
    <w:p w:rsidR="00BD4251" w:rsidRPr="000051B6" w:rsidRDefault="00A3373C" w:rsidP="002D7C04">
      <w:pPr>
        <w:pStyle w:val="BodyText"/>
        <w:spacing w:after="0"/>
      </w:pPr>
      <w:r w:rsidRPr="000051B6">
        <w:t>The</w:t>
      </w:r>
      <w:r w:rsidR="00C43555" w:rsidRPr="000051B6">
        <w:t xml:space="preserve"> minimum targets </w:t>
      </w:r>
      <w:r w:rsidR="00BD4251" w:rsidRPr="000051B6">
        <w:t>to be used</w:t>
      </w:r>
      <w:r w:rsidR="00C43555" w:rsidRPr="000051B6">
        <w:t xml:space="preserve"> on which the collection would go ahead. </w:t>
      </w:r>
    </w:p>
    <w:p w:rsidR="00BD4251" w:rsidRPr="000051B6" w:rsidRDefault="00C43555" w:rsidP="00BD4251">
      <w:pPr>
        <w:pStyle w:val="PwCNormal"/>
      </w:pPr>
      <w:r w:rsidRPr="000051B6">
        <w:t>Hospitals were requested whether they h</w:t>
      </w:r>
      <w:r w:rsidR="00BD4251" w:rsidRPr="000051B6">
        <w:t>ad an intention to participate;</w:t>
      </w:r>
    </w:p>
    <w:p w:rsidR="00BD4251" w:rsidRPr="000051B6" w:rsidRDefault="00C43555" w:rsidP="00BD4251">
      <w:pPr>
        <w:pStyle w:val="PwCNormal"/>
      </w:pPr>
      <w:r w:rsidRPr="000051B6">
        <w:t>The indicative participation rate exceeded the 60%</w:t>
      </w:r>
      <w:r w:rsidR="00BD4251" w:rsidRPr="000051B6">
        <w:t>;</w:t>
      </w:r>
      <w:r w:rsidRPr="000051B6">
        <w:t xml:space="preserve"> and </w:t>
      </w:r>
    </w:p>
    <w:p w:rsidR="00C43555" w:rsidRPr="000051B6" w:rsidRDefault="00C43555" w:rsidP="00BD4251">
      <w:pPr>
        <w:pStyle w:val="PwCNormal"/>
      </w:pPr>
      <w:r w:rsidRPr="000051B6">
        <w:t xml:space="preserve">90 hospital threshold </w:t>
      </w:r>
      <w:r w:rsidR="001C6AFB" w:rsidRPr="000051B6">
        <w:t>requirements for</w:t>
      </w:r>
      <w:r w:rsidRPr="000051B6">
        <w:t xml:space="preserve"> the collection to proceed.</w:t>
      </w:r>
    </w:p>
    <w:p w:rsidR="009E38A0" w:rsidRPr="000051B6" w:rsidRDefault="009E38A0">
      <w:pPr>
        <w:pStyle w:val="PwCNormal"/>
        <w:rPr>
          <w:highlight w:val="yellow"/>
        </w:rPr>
        <w:sectPr w:rsidR="009E38A0" w:rsidRPr="000051B6" w:rsidSect="00B31BBC">
          <w:headerReference w:type="even" r:id="rId38"/>
          <w:headerReference w:type="default" r:id="rId39"/>
          <w:footerReference w:type="even" r:id="rId40"/>
          <w:footerReference w:type="default" r:id="rId41"/>
          <w:headerReference w:type="first" r:id="rId42"/>
          <w:footerReference w:type="first" r:id="rId43"/>
          <w:pgSz w:w="11907" w:h="16840" w:code="9"/>
          <w:pgMar w:top="1021" w:right="1134" w:bottom="1021" w:left="1418" w:header="567" w:footer="567" w:gutter="0"/>
          <w:cols w:space="227"/>
          <w:docGrid w:linePitch="360"/>
        </w:sectPr>
      </w:pPr>
    </w:p>
    <w:p w:rsidR="00EF23C9" w:rsidRPr="000051B6" w:rsidRDefault="00EF23C9" w:rsidP="007F64A3">
      <w:pPr>
        <w:pStyle w:val="Heading1"/>
        <w:numPr>
          <w:ilvl w:val="0"/>
          <w:numId w:val="0"/>
        </w:numPr>
        <w:spacing w:after="480"/>
        <w:rPr>
          <w:rFonts w:asciiTheme="majorHAnsi" w:hAnsiTheme="majorHAnsi"/>
        </w:rPr>
      </w:pPr>
      <w:bookmarkStart w:id="194" w:name="_Ref430242964"/>
      <w:bookmarkStart w:id="195" w:name="_Toc435611232"/>
      <w:bookmarkStart w:id="196" w:name="_Ref401135166"/>
      <w:bookmarkStart w:id="197" w:name="_Toc430010945"/>
      <w:r w:rsidRPr="000051B6">
        <w:rPr>
          <w:rFonts w:asciiTheme="majorHAnsi" w:hAnsiTheme="majorHAnsi"/>
        </w:rPr>
        <w:lastRenderedPageBreak/>
        <w:t xml:space="preserve">Appendix </w:t>
      </w:r>
      <w:r w:rsidR="00A37EFB" w:rsidRPr="000051B6">
        <w:rPr>
          <w:rFonts w:asciiTheme="majorHAnsi" w:hAnsiTheme="majorHAnsi"/>
        </w:rPr>
        <w:t>B</w:t>
      </w:r>
      <w:r w:rsidRPr="000051B6">
        <w:rPr>
          <w:rFonts w:asciiTheme="majorHAnsi" w:hAnsiTheme="majorHAnsi"/>
        </w:rPr>
        <w:t>: PHDB and HCP data quality issues for Round 18</w:t>
      </w:r>
      <w:bookmarkEnd w:id="194"/>
      <w:bookmarkEnd w:id="195"/>
    </w:p>
    <w:tbl>
      <w:tblPr>
        <w:tblStyle w:val="LightShading-Accent1"/>
        <w:tblW w:w="0" w:type="auto"/>
        <w:tblInd w:w="108" w:type="dxa"/>
        <w:tblLook w:val="04A0" w:firstRow="1" w:lastRow="0" w:firstColumn="1" w:lastColumn="0" w:noHBand="0" w:noVBand="1"/>
        <w:tblCaption w:val="Appendix B PHDB and HCP data quality issues for Round 18"/>
        <w:tblDescription w:val="Appendix B is presented in this table. It has 6 columns; issue, issue description, comments, applicable dataset(s), IHPA &amp; Department of Health comments, and Round 18 approach. There is one row for each issue with the PHDB &amp; HCP datasets"/>
      </w:tblPr>
      <w:tblGrid>
        <w:gridCol w:w="760"/>
        <w:gridCol w:w="2216"/>
        <w:gridCol w:w="4335"/>
        <w:gridCol w:w="1368"/>
        <w:gridCol w:w="3279"/>
        <w:gridCol w:w="2948"/>
      </w:tblGrid>
      <w:tr w:rsidR="001034AF" w:rsidRPr="000051B6" w:rsidTr="008959EB">
        <w:trPr>
          <w:cnfStyle w:val="100000000000" w:firstRow="1" w:lastRow="0" w:firstColumn="0" w:lastColumn="0" w:oddVBand="0" w:evenVBand="0" w:oddHBand="0" w:evenHBand="0" w:firstRowFirstColumn="0" w:firstRowLastColumn="0" w:lastRowFirstColumn="0" w:lastRowLastColumn="0"/>
          <w:cantSplit/>
          <w:trHeight w:val="145"/>
          <w:tblHeader/>
        </w:trPr>
        <w:tc>
          <w:tcPr>
            <w:cnfStyle w:val="001000000000" w:firstRow="0" w:lastRow="0" w:firstColumn="1" w:lastColumn="0" w:oddVBand="0" w:evenVBand="0" w:oddHBand="0" w:evenHBand="0" w:firstRowFirstColumn="0" w:firstRowLastColumn="0" w:lastRowFirstColumn="0" w:lastRowLastColumn="0"/>
            <w:tcW w:w="0" w:type="auto"/>
          </w:tcPr>
          <w:p w:rsidR="001034AF" w:rsidRPr="000051B6" w:rsidRDefault="001034AF" w:rsidP="00CE6583">
            <w:pPr>
              <w:spacing w:before="120" w:after="120"/>
              <w:rPr>
                <w:rFonts w:asciiTheme="majorHAnsi" w:hAnsiTheme="majorHAnsi"/>
                <w:b w:val="0"/>
                <w:bCs w:val="0"/>
              </w:rPr>
            </w:pPr>
            <w:r w:rsidRPr="000051B6">
              <w:rPr>
                <w:rFonts w:asciiTheme="majorHAnsi" w:hAnsiTheme="majorHAnsi"/>
              </w:rPr>
              <w:t>Issue</w:t>
            </w:r>
          </w:p>
        </w:tc>
        <w:tc>
          <w:tcPr>
            <w:tcW w:w="0" w:type="auto"/>
          </w:tcPr>
          <w:p w:rsidR="001034AF" w:rsidRPr="000051B6" w:rsidRDefault="001034AF" w:rsidP="00CE6583">
            <w:pPr>
              <w:spacing w:before="120" w:after="120"/>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Issue Description</w:t>
            </w:r>
          </w:p>
        </w:tc>
        <w:tc>
          <w:tcPr>
            <w:tcW w:w="0" w:type="auto"/>
          </w:tcPr>
          <w:p w:rsidR="001034AF" w:rsidRPr="000051B6" w:rsidRDefault="001034AF" w:rsidP="00CE6583">
            <w:pPr>
              <w:spacing w:before="120" w:after="120"/>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051B6">
              <w:rPr>
                <w:rFonts w:asciiTheme="majorHAnsi" w:hAnsiTheme="majorHAnsi"/>
              </w:rPr>
              <w:t>Comments</w:t>
            </w:r>
          </w:p>
        </w:tc>
        <w:tc>
          <w:tcPr>
            <w:tcW w:w="0" w:type="auto"/>
          </w:tcPr>
          <w:p w:rsidR="001034AF" w:rsidRPr="000051B6" w:rsidRDefault="001034AF" w:rsidP="00CE6583">
            <w:pPr>
              <w:spacing w:before="120" w:after="120"/>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051B6">
              <w:rPr>
                <w:rFonts w:asciiTheme="majorHAnsi" w:hAnsiTheme="majorHAnsi"/>
              </w:rPr>
              <w:t>Applicable dataset(s)</w:t>
            </w:r>
          </w:p>
        </w:tc>
        <w:tc>
          <w:tcPr>
            <w:tcW w:w="0" w:type="auto"/>
          </w:tcPr>
          <w:p w:rsidR="001034AF" w:rsidRPr="000051B6" w:rsidRDefault="001034AF" w:rsidP="00CE6583">
            <w:pPr>
              <w:spacing w:before="120" w:after="120"/>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051B6">
              <w:rPr>
                <w:rFonts w:asciiTheme="majorHAnsi" w:hAnsiTheme="majorHAnsi"/>
              </w:rPr>
              <w:t>IHPA &amp; DoH</w:t>
            </w:r>
          </w:p>
        </w:tc>
        <w:tc>
          <w:tcPr>
            <w:tcW w:w="0" w:type="auto"/>
          </w:tcPr>
          <w:p w:rsidR="001034AF" w:rsidRPr="000051B6" w:rsidRDefault="001034AF" w:rsidP="00CE6583">
            <w:pPr>
              <w:spacing w:before="120" w:after="120"/>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0051B6">
              <w:rPr>
                <w:rFonts w:asciiTheme="majorHAnsi" w:hAnsiTheme="majorHAnsi"/>
              </w:rPr>
              <w:t>Round 18 approach</w:t>
            </w:r>
          </w:p>
        </w:tc>
      </w:tr>
      <w:tr w:rsidR="00E8642A" w:rsidRPr="000051B6" w:rsidTr="005D31FE">
        <w:trPr>
          <w:cnfStyle w:val="000000100000" w:firstRow="0" w:lastRow="0" w:firstColumn="0" w:lastColumn="0" w:oddVBand="0" w:evenVBand="0" w:oddHBand="1" w:evenHBand="0" w:firstRowFirstColumn="0" w:firstRowLastColumn="0" w:lastRowFirstColumn="0" w:lastRowLastColumn="0"/>
          <w:cantSplit/>
          <w:trHeight w:val="145"/>
        </w:trPr>
        <w:tc>
          <w:tcPr>
            <w:cnfStyle w:val="001000000000" w:firstRow="0" w:lastRow="0" w:firstColumn="1" w:lastColumn="0" w:oddVBand="0" w:evenVBand="0" w:oddHBand="0" w:evenHBand="0" w:firstRowFirstColumn="0" w:firstRowLastColumn="0" w:lastRowFirstColumn="0" w:lastRowLastColumn="0"/>
            <w:tcW w:w="0" w:type="auto"/>
          </w:tcPr>
          <w:p w:rsidR="005D31FE" w:rsidRPr="000051B6" w:rsidRDefault="005D31FE" w:rsidP="00CE6583">
            <w:pPr>
              <w:spacing w:before="120" w:after="120"/>
              <w:rPr>
                <w:rFonts w:asciiTheme="majorHAnsi" w:hAnsiTheme="majorHAnsi"/>
              </w:rPr>
            </w:pPr>
            <w:r w:rsidRPr="000051B6">
              <w:rPr>
                <w:rFonts w:asciiTheme="majorHAnsi" w:hAnsiTheme="majorHAnsi"/>
              </w:rPr>
              <w:t>1</w:t>
            </w:r>
          </w:p>
        </w:tc>
        <w:tc>
          <w:tcPr>
            <w:tcW w:w="0" w:type="auto"/>
          </w:tcPr>
          <w:p w:rsidR="005D31FE" w:rsidRPr="000051B6" w:rsidRDefault="005D31FE" w:rsidP="00CE658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051B6">
              <w:rPr>
                <w:rFonts w:asciiTheme="majorHAnsi" w:hAnsiTheme="majorHAnsi"/>
              </w:rPr>
              <w:t>No common identifier between PHDB and HCP to pull data from both sources</w:t>
            </w:r>
          </w:p>
        </w:tc>
        <w:tc>
          <w:tcPr>
            <w:tcW w:w="0" w:type="auto"/>
          </w:tcPr>
          <w:p w:rsidR="005D31FE" w:rsidRPr="000051B6" w:rsidRDefault="005D31FE" w:rsidP="005D31FE">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There is no common identifier with the current data specifications to link PHDB and HCP datasets. In the past, PwC’s method of dealing with this has been to link using a combination of patient &amp; episode identification fields e.g. hospital provider number, date of birth, admission/discharge dates. In Round 17 (FY12/13) the PwC team was able to match approximately 85% of records. Relaxing the matching criteria resulted in a higher match rate – but has the potential to cause false positive matches.</w:t>
            </w:r>
          </w:p>
        </w:tc>
        <w:tc>
          <w:tcPr>
            <w:tcW w:w="0" w:type="auto"/>
          </w:tcPr>
          <w:p w:rsidR="005D31FE" w:rsidRPr="000051B6" w:rsidRDefault="005D31FE" w:rsidP="00CE658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HCP &amp; PHDB</w:t>
            </w:r>
          </w:p>
        </w:tc>
        <w:tc>
          <w:tcPr>
            <w:tcW w:w="0" w:type="auto"/>
          </w:tcPr>
          <w:p w:rsidR="005D31FE" w:rsidRPr="000051B6" w:rsidRDefault="005D31FE" w:rsidP="00CE658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051B6">
              <w:rPr>
                <w:rFonts w:asciiTheme="majorHAnsi" w:hAnsiTheme="majorHAnsi"/>
                <w:color w:val="auto"/>
              </w:rPr>
              <w:t>Suggestion for future submissions/data specifications (potentially July 2016 onwards) to include a common identifier/linking key and a patient identifier (see item 2).</w:t>
            </w:r>
          </w:p>
        </w:tc>
        <w:tc>
          <w:tcPr>
            <w:tcW w:w="0" w:type="auto"/>
          </w:tcPr>
          <w:p w:rsidR="005D31FE" w:rsidRPr="000051B6" w:rsidRDefault="005D31FE" w:rsidP="005D31FE">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051B6">
              <w:rPr>
                <w:rFonts w:asciiTheme="majorHAnsi" w:hAnsiTheme="majorHAnsi"/>
                <w:color w:val="auto"/>
              </w:rPr>
              <w:t>As with Round 17, used a combination of patient and episode identifiers to link records. Many hospitals had issues linking HCP to their patient administration system, so PHDB was used when appropriate.</w:t>
            </w:r>
          </w:p>
        </w:tc>
      </w:tr>
      <w:tr w:rsidR="00E8642A" w:rsidRPr="000051B6" w:rsidTr="005D31FE">
        <w:trPr>
          <w:cantSplit/>
          <w:trHeight w:val="145"/>
        </w:trPr>
        <w:tc>
          <w:tcPr>
            <w:cnfStyle w:val="001000000000" w:firstRow="0" w:lastRow="0" w:firstColumn="1" w:lastColumn="0" w:oddVBand="0" w:evenVBand="0" w:oddHBand="0" w:evenHBand="0" w:firstRowFirstColumn="0" w:firstRowLastColumn="0" w:lastRowFirstColumn="0" w:lastRowLastColumn="0"/>
            <w:tcW w:w="0" w:type="auto"/>
          </w:tcPr>
          <w:p w:rsidR="005D31FE" w:rsidRPr="000051B6" w:rsidRDefault="005D31FE" w:rsidP="00CE6583">
            <w:pPr>
              <w:spacing w:before="120" w:after="120"/>
              <w:rPr>
                <w:rFonts w:asciiTheme="majorHAnsi" w:hAnsiTheme="majorHAnsi"/>
                <w:highlight w:val="yellow"/>
              </w:rPr>
            </w:pPr>
            <w:r w:rsidRPr="000051B6">
              <w:rPr>
                <w:rFonts w:asciiTheme="majorHAnsi" w:hAnsiTheme="majorHAnsi"/>
              </w:rPr>
              <w:t>2</w:t>
            </w:r>
          </w:p>
        </w:tc>
        <w:tc>
          <w:tcPr>
            <w:tcW w:w="0" w:type="auto"/>
          </w:tcPr>
          <w:p w:rsidR="005D31FE" w:rsidRPr="000051B6" w:rsidRDefault="005D31FE" w:rsidP="00CE6583">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051B6">
              <w:rPr>
                <w:rFonts w:asciiTheme="majorHAnsi" w:hAnsiTheme="majorHAnsi"/>
              </w:rPr>
              <w:t>Patient number / MRN not included in dataset</w:t>
            </w:r>
          </w:p>
        </w:tc>
        <w:tc>
          <w:tcPr>
            <w:tcW w:w="0" w:type="auto"/>
          </w:tcPr>
          <w:p w:rsidR="005D31FE" w:rsidRPr="000051B6" w:rsidRDefault="005D31FE" w:rsidP="005D31FE">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HCP data does not contain a patient identifier, which is required for costing.</w:t>
            </w:r>
          </w:p>
        </w:tc>
        <w:tc>
          <w:tcPr>
            <w:tcW w:w="0" w:type="auto"/>
          </w:tcPr>
          <w:p w:rsidR="005D31FE" w:rsidRPr="000051B6" w:rsidRDefault="005D31FE" w:rsidP="00CE6583">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HCP</w:t>
            </w:r>
          </w:p>
        </w:tc>
        <w:tc>
          <w:tcPr>
            <w:tcW w:w="0" w:type="auto"/>
          </w:tcPr>
          <w:p w:rsidR="005D31FE" w:rsidRPr="000051B6" w:rsidRDefault="005D31FE" w:rsidP="00CE6583">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N/A</w:t>
            </w:r>
          </w:p>
        </w:tc>
        <w:tc>
          <w:tcPr>
            <w:tcW w:w="0" w:type="auto"/>
          </w:tcPr>
          <w:p w:rsidR="005D31FE" w:rsidRPr="000051B6" w:rsidRDefault="005D31FE" w:rsidP="00CE6583">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See item 1.</w:t>
            </w:r>
          </w:p>
        </w:tc>
      </w:tr>
      <w:tr w:rsidR="00E8642A" w:rsidRPr="000051B6" w:rsidTr="00D20907">
        <w:trPr>
          <w:cnfStyle w:val="000000100000" w:firstRow="0" w:lastRow="0" w:firstColumn="0" w:lastColumn="0" w:oddVBand="0" w:evenVBand="0" w:oddHBand="1" w:evenHBand="0" w:firstRowFirstColumn="0" w:firstRowLastColumn="0" w:lastRowFirstColumn="0" w:lastRowLastColumn="0"/>
          <w:cantSplit/>
          <w:trHeight w:val="4526"/>
        </w:trPr>
        <w:tc>
          <w:tcPr>
            <w:cnfStyle w:val="001000000000" w:firstRow="0" w:lastRow="0" w:firstColumn="1" w:lastColumn="0" w:oddVBand="0" w:evenVBand="0" w:oddHBand="0" w:evenHBand="0" w:firstRowFirstColumn="0" w:firstRowLastColumn="0" w:lastRowFirstColumn="0" w:lastRowLastColumn="0"/>
            <w:tcW w:w="0" w:type="auto"/>
          </w:tcPr>
          <w:p w:rsidR="005D31FE" w:rsidRPr="000051B6" w:rsidRDefault="005D31FE" w:rsidP="00CE6583">
            <w:pPr>
              <w:spacing w:before="120" w:after="120"/>
              <w:rPr>
                <w:rFonts w:asciiTheme="majorHAnsi" w:hAnsiTheme="majorHAnsi"/>
              </w:rPr>
            </w:pPr>
            <w:r w:rsidRPr="000051B6">
              <w:rPr>
                <w:rFonts w:asciiTheme="majorHAnsi" w:hAnsiTheme="majorHAnsi"/>
              </w:rPr>
              <w:lastRenderedPageBreak/>
              <w:t>3</w:t>
            </w:r>
          </w:p>
        </w:tc>
        <w:tc>
          <w:tcPr>
            <w:tcW w:w="0" w:type="auto"/>
          </w:tcPr>
          <w:p w:rsidR="005D31FE" w:rsidRPr="000051B6" w:rsidRDefault="005D31FE" w:rsidP="00CE6583">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051B6">
              <w:rPr>
                <w:rFonts w:asciiTheme="majorHAnsi" w:hAnsiTheme="majorHAnsi"/>
              </w:rPr>
              <w:t>Duplication of records within PHDB or HCP data</w:t>
            </w:r>
          </w:p>
        </w:tc>
        <w:tc>
          <w:tcPr>
            <w:tcW w:w="0" w:type="auto"/>
          </w:tcPr>
          <w:p w:rsidR="005D31FE" w:rsidRPr="000051B6" w:rsidRDefault="005D31FE" w:rsidP="00CE6583">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There are a small number of duplicate records in both HCP and PHDB datasets.  The number of incidents from previous Rounds has been reduced in PHDB data due to the cleansing work that DoH has performed.  However there may be still issues with HCP for example:</w:t>
            </w:r>
          </w:p>
          <w:p w:rsidR="005D31FE" w:rsidRPr="000051B6" w:rsidRDefault="005D31FE" w:rsidP="00C71B05">
            <w:pPr>
              <w:pStyle w:val="BodyText"/>
              <w:numPr>
                <w:ilvl w:val="0"/>
                <w:numId w:val="33"/>
              </w:num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Possible HCP Link identifier – this identifier should not be duplicated, however DoH has identified some duplication in HCP link identifiers (150 records)</w:t>
            </w:r>
          </w:p>
        </w:tc>
        <w:tc>
          <w:tcPr>
            <w:tcW w:w="0" w:type="auto"/>
          </w:tcPr>
          <w:p w:rsidR="005D31FE" w:rsidRPr="000051B6" w:rsidRDefault="005D31FE" w:rsidP="00CE658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HCP &amp; PHDB</w:t>
            </w:r>
          </w:p>
        </w:tc>
        <w:tc>
          <w:tcPr>
            <w:tcW w:w="0" w:type="auto"/>
          </w:tcPr>
          <w:p w:rsidR="005D31FE" w:rsidRPr="000051B6" w:rsidRDefault="005D31FE" w:rsidP="00CE658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051B6">
              <w:rPr>
                <w:rFonts w:asciiTheme="majorHAnsi" w:hAnsiTheme="majorHAnsi"/>
                <w:color w:val="auto"/>
              </w:rPr>
              <w:t>N/A</w:t>
            </w:r>
          </w:p>
        </w:tc>
        <w:tc>
          <w:tcPr>
            <w:tcW w:w="0" w:type="auto"/>
          </w:tcPr>
          <w:p w:rsidR="005D31FE" w:rsidRPr="000051B6" w:rsidRDefault="00C71B05" w:rsidP="005D31FE">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Pr>
                <w:rFonts w:asciiTheme="majorHAnsi" w:hAnsiTheme="majorHAnsi"/>
                <w:color w:val="auto"/>
              </w:rPr>
              <w:t>PwC e</w:t>
            </w:r>
            <w:r w:rsidR="005D31FE" w:rsidRPr="000051B6">
              <w:rPr>
                <w:rFonts w:asciiTheme="majorHAnsi" w:hAnsiTheme="majorHAnsi"/>
                <w:color w:val="auto"/>
              </w:rPr>
              <w:t>pisode linked identifiers to remove duplicate episodes.</w:t>
            </w:r>
          </w:p>
          <w:p w:rsidR="005D31FE" w:rsidRPr="000051B6" w:rsidRDefault="005D31FE" w:rsidP="005D31FE">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 xml:space="preserve">Missing HCP records – PwC used PHDB data to fill in HCP gaps where possible and verified with hospitals. </w:t>
            </w:r>
          </w:p>
          <w:p w:rsidR="005D31FE" w:rsidRPr="000051B6" w:rsidRDefault="005D31FE" w:rsidP="005D31FE">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Large data gaps/variances were reported and discussed with the participating hospitals (and IHPA) to agree on next steps.</w:t>
            </w:r>
          </w:p>
          <w:p w:rsidR="005D31FE" w:rsidRPr="000051B6" w:rsidRDefault="005D31FE" w:rsidP="005D31FE">
            <w:pPr>
              <w:pStyle w:val="PwCNormal"/>
              <w:numPr>
                <w:ilvl w:val="0"/>
                <w:numId w:val="0"/>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The website performed an upload check to identify duplicate episodes and duplicates had to be removed before the file could be submitted.</w:t>
            </w:r>
          </w:p>
        </w:tc>
      </w:tr>
      <w:tr w:rsidR="00E8642A" w:rsidRPr="000051B6" w:rsidTr="005D31FE">
        <w:trPr>
          <w:cantSplit/>
          <w:trHeight w:val="145"/>
        </w:trPr>
        <w:tc>
          <w:tcPr>
            <w:cnfStyle w:val="001000000000" w:firstRow="0" w:lastRow="0" w:firstColumn="1" w:lastColumn="0" w:oddVBand="0" w:evenVBand="0" w:oddHBand="0" w:evenHBand="0" w:firstRowFirstColumn="0" w:firstRowLastColumn="0" w:lastRowFirstColumn="0" w:lastRowLastColumn="0"/>
            <w:tcW w:w="0" w:type="auto"/>
          </w:tcPr>
          <w:p w:rsidR="005D31FE" w:rsidRPr="000051B6" w:rsidRDefault="005D31FE" w:rsidP="00CE6583">
            <w:pPr>
              <w:spacing w:before="120" w:after="120"/>
              <w:rPr>
                <w:rFonts w:asciiTheme="majorHAnsi" w:hAnsiTheme="majorHAnsi"/>
                <w:highlight w:val="yellow"/>
              </w:rPr>
            </w:pPr>
            <w:r w:rsidRPr="000051B6">
              <w:rPr>
                <w:rFonts w:asciiTheme="majorHAnsi" w:hAnsiTheme="majorHAnsi"/>
              </w:rPr>
              <w:t>4.1</w:t>
            </w:r>
          </w:p>
        </w:tc>
        <w:tc>
          <w:tcPr>
            <w:tcW w:w="0" w:type="auto"/>
          </w:tcPr>
          <w:p w:rsidR="005D31FE" w:rsidRPr="000051B6" w:rsidRDefault="005D31FE" w:rsidP="00CE6583">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051B6">
              <w:rPr>
                <w:rFonts w:asciiTheme="majorHAnsi" w:hAnsiTheme="majorHAnsi"/>
              </w:rPr>
              <w:t>Significant error DRGs in the dataset</w:t>
            </w:r>
          </w:p>
        </w:tc>
        <w:tc>
          <w:tcPr>
            <w:tcW w:w="0" w:type="auto"/>
          </w:tcPr>
          <w:p w:rsidR="005D31FE" w:rsidRPr="000051B6" w:rsidRDefault="005D31FE" w:rsidP="00D05281">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In Round 17 PwC discovered that HCP has a very high rate of Error</w:t>
            </w:r>
            <w:r w:rsidR="00D05281" w:rsidRPr="000051B6">
              <w:rPr>
                <w:rFonts w:asciiTheme="majorHAnsi" w:hAnsiTheme="majorHAnsi"/>
                <w:color w:val="auto"/>
              </w:rPr>
              <w:t>AR-</w:t>
            </w:r>
            <w:r w:rsidRPr="000051B6">
              <w:rPr>
                <w:rFonts w:asciiTheme="majorHAnsi" w:hAnsiTheme="majorHAnsi"/>
                <w:color w:val="auto"/>
              </w:rPr>
              <w:t xml:space="preserve">DRGs. On average, episodes within scope of the Private Overnight collection had an Error </w:t>
            </w:r>
            <w:r w:rsidR="00D05281" w:rsidRPr="000051B6">
              <w:rPr>
                <w:rFonts w:asciiTheme="majorHAnsi" w:hAnsiTheme="majorHAnsi"/>
                <w:color w:val="auto"/>
              </w:rPr>
              <w:t>AR-</w:t>
            </w:r>
            <w:r w:rsidRPr="000051B6">
              <w:rPr>
                <w:rFonts w:asciiTheme="majorHAnsi" w:hAnsiTheme="majorHAnsi"/>
                <w:color w:val="auto"/>
              </w:rPr>
              <w:t>DRG (beginning with '9') approximately 8% of the time. The average in the PHDB data is less than 0.5%.</w:t>
            </w:r>
          </w:p>
        </w:tc>
        <w:tc>
          <w:tcPr>
            <w:tcW w:w="0" w:type="auto"/>
          </w:tcPr>
          <w:p w:rsidR="005D31FE" w:rsidRPr="000051B6" w:rsidRDefault="005D31FE" w:rsidP="00CE6583">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HCP</w:t>
            </w:r>
          </w:p>
        </w:tc>
        <w:tc>
          <w:tcPr>
            <w:tcW w:w="0" w:type="auto"/>
          </w:tcPr>
          <w:p w:rsidR="005D31FE" w:rsidRPr="000051B6" w:rsidRDefault="003F5B2E" w:rsidP="003F5B2E">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 xml:space="preserve">DoH believes these errors are often related to public hospitals, whereas for private hospitals, the error </w:t>
            </w:r>
            <w:r w:rsidR="00D05281" w:rsidRPr="000051B6">
              <w:rPr>
                <w:rFonts w:asciiTheme="majorHAnsi" w:hAnsiTheme="majorHAnsi"/>
                <w:color w:val="auto"/>
              </w:rPr>
              <w:t>AR-</w:t>
            </w:r>
            <w:r w:rsidRPr="000051B6">
              <w:rPr>
                <w:rFonts w:asciiTheme="majorHAnsi" w:hAnsiTheme="majorHAnsi"/>
                <w:color w:val="auto"/>
              </w:rPr>
              <w:t>DRG rate should be low.</w:t>
            </w:r>
          </w:p>
        </w:tc>
        <w:tc>
          <w:tcPr>
            <w:tcW w:w="0" w:type="auto"/>
          </w:tcPr>
          <w:p w:rsidR="005D31FE" w:rsidRPr="000051B6" w:rsidRDefault="003F5B2E" w:rsidP="003F5B2E">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051B6">
              <w:rPr>
                <w:rFonts w:asciiTheme="majorHAnsi" w:hAnsiTheme="majorHAnsi"/>
                <w:color w:val="auto"/>
              </w:rPr>
              <w:t>PwC investigated the prevalence of this and found it to be reduced in Round 18. Quality of grouping in PHDB was far better than HCP. Hospitals were encouraged to use PHDB where possible.</w:t>
            </w:r>
          </w:p>
        </w:tc>
      </w:tr>
      <w:tr w:rsidR="00E8642A" w:rsidRPr="000051B6" w:rsidTr="005D31FE">
        <w:trPr>
          <w:cnfStyle w:val="000000100000" w:firstRow="0" w:lastRow="0" w:firstColumn="0" w:lastColumn="0" w:oddVBand="0" w:evenVBand="0" w:oddHBand="1" w:evenHBand="0" w:firstRowFirstColumn="0" w:firstRowLastColumn="0" w:lastRowFirstColumn="0" w:lastRowLastColumn="0"/>
          <w:cantSplit/>
          <w:trHeight w:val="145"/>
        </w:trPr>
        <w:tc>
          <w:tcPr>
            <w:cnfStyle w:val="001000000000" w:firstRow="0" w:lastRow="0" w:firstColumn="1" w:lastColumn="0" w:oddVBand="0" w:evenVBand="0" w:oddHBand="0" w:evenHBand="0" w:firstRowFirstColumn="0" w:firstRowLastColumn="0" w:lastRowFirstColumn="0" w:lastRowLastColumn="0"/>
            <w:tcW w:w="0" w:type="auto"/>
          </w:tcPr>
          <w:p w:rsidR="005D31FE" w:rsidRPr="000051B6" w:rsidRDefault="005D31FE" w:rsidP="00CE6583">
            <w:pPr>
              <w:spacing w:before="120" w:after="120"/>
              <w:rPr>
                <w:rFonts w:asciiTheme="majorHAnsi" w:hAnsiTheme="majorHAnsi"/>
              </w:rPr>
            </w:pPr>
            <w:r w:rsidRPr="000051B6">
              <w:rPr>
                <w:rFonts w:asciiTheme="majorHAnsi" w:hAnsiTheme="majorHAnsi"/>
              </w:rPr>
              <w:t>4.2</w:t>
            </w:r>
          </w:p>
        </w:tc>
        <w:tc>
          <w:tcPr>
            <w:tcW w:w="0" w:type="auto"/>
          </w:tcPr>
          <w:p w:rsidR="005D31FE" w:rsidRPr="000051B6" w:rsidRDefault="005D31FE" w:rsidP="00CE658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051B6">
              <w:rPr>
                <w:rFonts w:asciiTheme="majorHAnsi" w:hAnsiTheme="majorHAnsi"/>
              </w:rPr>
              <w:t xml:space="preserve">Mismatched DRGs in PHDB and HCP dataset (same episode, different </w:t>
            </w:r>
            <w:r w:rsidR="00D05281" w:rsidRPr="000051B6">
              <w:rPr>
                <w:rFonts w:asciiTheme="majorHAnsi" w:hAnsiTheme="majorHAnsi"/>
              </w:rPr>
              <w:t>AR-</w:t>
            </w:r>
            <w:r w:rsidRPr="000051B6">
              <w:rPr>
                <w:rFonts w:asciiTheme="majorHAnsi" w:hAnsiTheme="majorHAnsi"/>
              </w:rPr>
              <w:t>DRG)</w:t>
            </w:r>
          </w:p>
        </w:tc>
        <w:tc>
          <w:tcPr>
            <w:tcW w:w="0" w:type="auto"/>
          </w:tcPr>
          <w:p w:rsidR="005D31FE" w:rsidRPr="000051B6" w:rsidRDefault="005D31FE" w:rsidP="003F5B2E">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051B6">
              <w:rPr>
                <w:rFonts w:asciiTheme="majorHAnsi" w:hAnsiTheme="majorHAnsi"/>
                <w:color w:val="000000" w:themeColor="text1"/>
              </w:rPr>
              <w:t>As above.</w:t>
            </w:r>
          </w:p>
        </w:tc>
        <w:tc>
          <w:tcPr>
            <w:tcW w:w="0" w:type="auto"/>
          </w:tcPr>
          <w:p w:rsidR="005D31FE" w:rsidRPr="000051B6" w:rsidRDefault="005D31FE" w:rsidP="00CE658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051B6">
              <w:rPr>
                <w:rFonts w:asciiTheme="majorHAnsi" w:hAnsiTheme="majorHAnsi"/>
                <w:color w:val="000000" w:themeColor="text1"/>
              </w:rPr>
              <w:t xml:space="preserve">HCP &amp; PHDB </w:t>
            </w:r>
          </w:p>
        </w:tc>
        <w:tc>
          <w:tcPr>
            <w:tcW w:w="0" w:type="auto"/>
          </w:tcPr>
          <w:p w:rsidR="005D31FE" w:rsidRPr="000051B6" w:rsidRDefault="005D31FE" w:rsidP="00CE658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N/A</w:t>
            </w:r>
          </w:p>
        </w:tc>
        <w:tc>
          <w:tcPr>
            <w:tcW w:w="0" w:type="auto"/>
          </w:tcPr>
          <w:p w:rsidR="005D31FE" w:rsidRPr="000051B6" w:rsidRDefault="003F5B2E" w:rsidP="00C1683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051B6">
              <w:rPr>
                <w:rFonts w:asciiTheme="majorHAnsi" w:hAnsiTheme="majorHAnsi"/>
                <w:color w:val="000000" w:themeColor="text1"/>
              </w:rPr>
              <w:t>Significant mismatches at the hospital level were reported and discussed with the participating hospitals.</w:t>
            </w:r>
          </w:p>
        </w:tc>
      </w:tr>
      <w:tr w:rsidR="00E8642A" w:rsidRPr="000051B6" w:rsidTr="005D31FE">
        <w:trPr>
          <w:cantSplit/>
          <w:trHeight w:val="145"/>
        </w:trPr>
        <w:tc>
          <w:tcPr>
            <w:cnfStyle w:val="001000000000" w:firstRow="0" w:lastRow="0" w:firstColumn="1" w:lastColumn="0" w:oddVBand="0" w:evenVBand="0" w:oddHBand="0" w:evenHBand="0" w:firstRowFirstColumn="0" w:firstRowLastColumn="0" w:lastRowFirstColumn="0" w:lastRowLastColumn="0"/>
            <w:tcW w:w="0" w:type="auto"/>
          </w:tcPr>
          <w:p w:rsidR="005D31FE" w:rsidRPr="000051B6" w:rsidRDefault="005D31FE" w:rsidP="00CE6583">
            <w:pPr>
              <w:spacing w:before="120" w:after="120"/>
              <w:rPr>
                <w:rFonts w:asciiTheme="majorHAnsi" w:hAnsiTheme="majorHAnsi"/>
                <w:highlight w:val="yellow"/>
              </w:rPr>
            </w:pPr>
            <w:r w:rsidRPr="000051B6">
              <w:rPr>
                <w:rFonts w:asciiTheme="majorHAnsi" w:hAnsiTheme="majorHAnsi"/>
              </w:rPr>
              <w:lastRenderedPageBreak/>
              <w:t>5</w:t>
            </w:r>
          </w:p>
        </w:tc>
        <w:tc>
          <w:tcPr>
            <w:tcW w:w="0" w:type="auto"/>
          </w:tcPr>
          <w:p w:rsidR="005D31FE" w:rsidRPr="000051B6" w:rsidRDefault="005D31FE" w:rsidP="00CE6583">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051B6">
              <w:rPr>
                <w:rFonts w:asciiTheme="majorHAnsi" w:hAnsiTheme="majorHAnsi"/>
              </w:rPr>
              <w:t xml:space="preserve">Hospitals are submitting data under the same provider number </w:t>
            </w:r>
          </w:p>
        </w:tc>
        <w:tc>
          <w:tcPr>
            <w:tcW w:w="0" w:type="auto"/>
          </w:tcPr>
          <w:p w:rsidR="005D31FE" w:rsidRPr="000051B6" w:rsidRDefault="005D31FE" w:rsidP="003F5B2E">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 xml:space="preserve">For example, a large overnight hospital and an associated sameday clinic submit data under same provider number. Clearly only the overnight hospital is relevant to NHCDC. How </w:t>
            </w:r>
            <w:r w:rsidR="003F5B2E" w:rsidRPr="000051B6">
              <w:rPr>
                <w:rFonts w:asciiTheme="majorHAnsi" w:hAnsiTheme="majorHAnsi"/>
                <w:color w:val="auto"/>
              </w:rPr>
              <w:t>to</w:t>
            </w:r>
            <w:r w:rsidRPr="000051B6">
              <w:rPr>
                <w:rFonts w:asciiTheme="majorHAnsi" w:hAnsiTheme="majorHAnsi"/>
                <w:color w:val="auto"/>
              </w:rPr>
              <w:t xml:space="preserve"> differentiate?</w:t>
            </w:r>
          </w:p>
        </w:tc>
        <w:tc>
          <w:tcPr>
            <w:tcW w:w="0" w:type="auto"/>
          </w:tcPr>
          <w:p w:rsidR="005D31FE" w:rsidRPr="000051B6" w:rsidRDefault="005D31FE" w:rsidP="00CE6583">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PHDB</w:t>
            </w:r>
          </w:p>
        </w:tc>
        <w:tc>
          <w:tcPr>
            <w:tcW w:w="0" w:type="auto"/>
          </w:tcPr>
          <w:p w:rsidR="005D31FE" w:rsidRPr="000051B6" w:rsidRDefault="005D31FE" w:rsidP="00CE6583">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DoH provided list of which hospitals fell into this category.</w:t>
            </w:r>
            <w:r w:rsidR="003F5B2E" w:rsidRPr="000051B6">
              <w:rPr>
                <w:rFonts w:asciiTheme="majorHAnsi" w:hAnsiTheme="majorHAnsi"/>
                <w:color w:val="auto"/>
              </w:rPr>
              <w:t xml:space="preserve"> Only a few instances.</w:t>
            </w:r>
          </w:p>
        </w:tc>
        <w:tc>
          <w:tcPr>
            <w:tcW w:w="0" w:type="auto"/>
          </w:tcPr>
          <w:p w:rsidR="005D31FE" w:rsidRPr="000051B6" w:rsidRDefault="00805489" w:rsidP="00805489">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color w:val="auto"/>
              </w:rPr>
              <w:t>This w</w:t>
            </w:r>
            <w:r w:rsidR="003F5B2E" w:rsidRPr="000051B6">
              <w:rPr>
                <w:rFonts w:asciiTheme="majorHAnsi" w:hAnsiTheme="majorHAnsi"/>
                <w:color w:val="auto"/>
              </w:rPr>
              <w:t>asn’t a big issue in Round 18. PwC used list to appropriately include/exclude separations. Hospitals also were able to include/exclude separations and parts of the General Ledger.</w:t>
            </w:r>
          </w:p>
        </w:tc>
      </w:tr>
      <w:tr w:rsidR="00E8642A" w:rsidRPr="000051B6" w:rsidTr="005D31FE">
        <w:trPr>
          <w:cnfStyle w:val="000000100000" w:firstRow="0" w:lastRow="0" w:firstColumn="0" w:lastColumn="0" w:oddVBand="0" w:evenVBand="0" w:oddHBand="1" w:evenHBand="0" w:firstRowFirstColumn="0" w:firstRowLastColumn="0" w:lastRowFirstColumn="0" w:lastRowLastColumn="0"/>
          <w:cantSplit/>
          <w:trHeight w:val="145"/>
        </w:trPr>
        <w:tc>
          <w:tcPr>
            <w:cnfStyle w:val="001000000000" w:firstRow="0" w:lastRow="0" w:firstColumn="1" w:lastColumn="0" w:oddVBand="0" w:evenVBand="0" w:oddHBand="0" w:evenHBand="0" w:firstRowFirstColumn="0" w:firstRowLastColumn="0" w:lastRowFirstColumn="0" w:lastRowLastColumn="0"/>
            <w:tcW w:w="0" w:type="auto"/>
          </w:tcPr>
          <w:p w:rsidR="005D31FE" w:rsidRPr="000051B6" w:rsidRDefault="005D31FE" w:rsidP="00CE6583">
            <w:pPr>
              <w:spacing w:before="120" w:after="120"/>
              <w:rPr>
                <w:rFonts w:asciiTheme="majorHAnsi" w:hAnsiTheme="majorHAnsi"/>
              </w:rPr>
            </w:pPr>
            <w:r w:rsidRPr="000051B6">
              <w:rPr>
                <w:rFonts w:asciiTheme="majorHAnsi" w:hAnsiTheme="majorHAnsi"/>
              </w:rPr>
              <w:t>6</w:t>
            </w:r>
          </w:p>
        </w:tc>
        <w:tc>
          <w:tcPr>
            <w:tcW w:w="0" w:type="auto"/>
          </w:tcPr>
          <w:p w:rsidR="005D31FE" w:rsidRPr="000051B6" w:rsidRDefault="005D31FE" w:rsidP="00CE6583">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051B6">
              <w:rPr>
                <w:rFonts w:asciiTheme="majorHAnsi" w:hAnsiTheme="majorHAnsi"/>
              </w:rPr>
              <w:t>Some episodes are submitted with incorrect Hospital Types (i.e. overnight, sameday facilities)</w:t>
            </w:r>
          </w:p>
        </w:tc>
        <w:tc>
          <w:tcPr>
            <w:tcW w:w="0" w:type="auto"/>
          </w:tcPr>
          <w:p w:rsidR="005D31FE" w:rsidRPr="000051B6" w:rsidRDefault="005D31FE" w:rsidP="00CE658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051B6">
              <w:rPr>
                <w:rFonts w:asciiTheme="majorHAnsi" w:hAnsiTheme="majorHAnsi"/>
                <w:color w:val="000000" w:themeColor="text1"/>
              </w:rPr>
              <w:t>In the PHDB dataset, Hosp_Type is an attribute of patient epis</w:t>
            </w:r>
            <w:r w:rsidR="003F5B2E" w:rsidRPr="000051B6">
              <w:rPr>
                <w:rFonts w:asciiTheme="majorHAnsi" w:hAnsiTheme="majorHAnsi"/>
                <w:color w:val="000000" w:themeColor="text1"/>
              </w:rPr>
              <w:t xml:space="preserve">ode level data. In </w:t>
            </w:r>
            <w:r w:rsidR="00D05281" w:rsidRPr="000051B6">
              <w:rPr>
                <w:rFonts w:asciiTheme="majorHAnsi" w:hAnsiTheme="majorHAnsi"/>
                <w:color w:val="000000" w:themeColor="text1"/>
              </w:rPr>
              <w:t>Round</w:t>
            </w:r>
            <w:r w:rsidR="003F5B2E" w:rsidRPr="000051B6">
              <w:rPr>
                <w:rFonts w:asciiTheme="majorHAnsi" w:hAnsiTheme="majorHAnsi"/>
                <w:color w:val="000000" w:themeColor="text1"/>
              </w:rPr>
              <w:t xml:space="preserve"> 17, PwC </w:t>
            </w:r>
            <w:r w:rsidRPr="000051B6">
              <w:rPr>
                <w:rFonts w:asciiTheme="majorHAnsi" w:hAnsiTheme="majorHAnsi"/>
                <w:color w:val="000000" w:themeColor="text1"/>
              </w:rPr>
              <w:t>identified episodes within a facility with different ‘Hosp_type’ flags. This issue needs to be carefully considered and episode records need to be adjusted for both participating and non-participating hospitals as this impacts the overall participation rate, market share and populat</w:t>
            </w:r>
            <w:r w:rsidR="007F64A3">
              <w:rPr>
                <w:rFonts w:asciiTheme="majorHAnsi" w:hAnsiTheme="majorHAnsi"/>
                <w:color w:val="000000" w:themeColor="text1"/>
              </w:rPr>
              <w:t>ion adjustments for reporting.</w:t>
            </w:r>
          </w:p>
          <w:p w:rsidR="005D31FE" w:rsidRPr="000051B6" w:rsidRDefault="005D31FE" w:rsidP="003F5B2E">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051B6">
              <w:rPr>
                <w:rFonts w:asciiTheme="majorHAnsi" w:hAnsiTheme="majorHAnsi"/>
                <w:color w:val="000000" w:themeColor="text1"/>
              </w:rPr>
              <w:t>It is important to make these hospitals aware that they are using the “hospital type” field incorrectly.</w:t>
            </w:r>
          </w:p>
        </w:tc>
        <w:tc>
          <w:tcPr>
            <w:tcW w:w="0" w:type="auto"/>
          </w:tcPr>
          <w:p w:rsidR="005D31FE" w:rsidRPr="000051B6" w:rsidRDefault="005D31FE" w:rsidP="00CE658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051B6">
              <w:rPr>
                <w:rFonts w:asciiTheme="majorHAnsi" w:hAnsiTheme="majorHAnsi"/>
                <w:color w:val="000000" w:themeColor="text1"/>
              </w:rPr>
              <w:t>PHDB</w:t>
            </w:r>
          </w:p>
        </w:tc>
        <w:tc>
          <w:tcPr>
            <w:tcW w:w="0" w:type="auto"/>
          </w:tcPr>
          <w:p w:rsidR="005D31FE" w:rsidRPr="000051B6" w:rsidRDefault="003F5B2E" w:rsidP="00CE658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rPr>
            </w:pPr>
            <w:r w:rsidRPr="000051B6">
              <w:rPr>
                <w:rFonts w:asciiTheme="majorHAnsi" w:hAnsiTheme="majorHAnsi"/>
                <w:color w:val="000000" w:themeColor="text1"/>
              </w:rPr>
              <w:t>There is a category in the declared hospital database that can be used to link to PHDB/HCP to identify hospital type, but this is currently not included in the extracts. DoH may consider adding this category into future extracts.</w:t>
            </w:r>
          </w:p>
        </w:tc>
        <w:tc>
          <w:tcPr>
            <w:tcW w:w="0" w:type="auto"/>
          </w:tcPr>
          <w:p w:rsidR="00C16833" w:rsidRDefault="003F5B2E" w:rsidP="00C1683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Identified instances of incorrect use of Hosp_Type field from Round 1</w:t>
            </w:r>
            <w:r w:rsidR="007F64A3">
              <w:rPr>
                <w:rFonts w:asciiTheme="majorHAnsi" w:hAnsiTheme="majorHAnsi"/>
                <w:color w:val="auto"/>
              </w:rPr>
              <w:t>8 PHDB submissions to IHPA/DoH.</w:t>
            </w:r>
          </w:p>
          <w:p w:rsidR="003F5B2E" w:rsidRPr="000051B6" w:rsidRDefault="003F5B2E" w:rsidP="00C16833">
            <w:pPr>
              <w:spacing w:before="120" w:after="120"/>
              <w:cnfStyle w:val="000000100000" w:firstRow="0" w:lastRow="0" w:firstColumn="0" w:lastColumn="0" w:oddVBand="0" w:evenVBand="0" w:oddHBand="1" w:evenHBand="0" w:firstRowFirstColumn="0" w:firstRowLastColumn="0" w:lastRowFirstColumn="0" w:lastRowLastColumn="0"/>
              <w:rPr>
                <w:color w:val="auto"/>
              </w:rPr>
            </w:pPr>
            <w:r w:rsidRPr="000051B6">
              <w:rPr>
                <w:rFonts w:asciiTheme="majorHAnsi" w:hAnsiTheme="majorHAnsi"/>
                <w:color w:val="auto"/>
              </w:rPr>
              <w:t>An initial review of the PHDB data showed that this issue from Round 17 is not as prevalent for Round 18 participating hospitals.</w:t>
            </w:r>
          </w:p>
        </w:tc>
      </w:tr>
      <w:tr w:rsidR="00E8642A" w:rsidRPr="000051B6" w:rsidTr="00D20907">
        <w:trPr>
          <w:cantSplit/>
          <w:trHeight w:val="2400"/>
        </w:trPr>
        <w:tc>
          <w:tcPr>
            <w:cnfStyle w:val="001000000000" w:firstRow="0" w:lastRow="0" w:firstColumn="1" w:lastColumn="0" w:oddVBand="0" w:evenVBand="0" w:oddHBand="0" w:evenHBand="0" w:firstRowFirstColumn="0" w:firstRowLastColumn="0" w:lastRowFirstColumn="0" w:lastRowLastColumn="0"/>
            <w:tcW w:w="0" w:type="auto"/>
          </w:tcPr>
          <w:p w:rsidR="005D31FE" w:rsidRPr="000051B6" w:rsidRDefault="005D31FE" w:rsidP="00CE6583">
            <w:pPr>
              <w:spacing w:before="120" w:after="120"/>
              <w:rPr>
                <w:rFonts w:asciiTheme="majorHAnsi" w:hAnsiTheme="majorHAnsi"/>
              </w:rPr>
            </w:pPr>
            <w:r w:rsidRPr="000051B6">
              <w:rPr>
                <w:rFonts w:asciiTheme="majorHAnsi" w:hAnsiTheme="majorHAnsi"/>
              </w:rPr>
              <w:t>7</w:t>
            </w:r>
          </w:p>
        </w:tc>
        <w:tc>
          <w:tcPr>
            <w:tcW w:w="0" w:type="auto"/>
          </w:tcPr>
          <w:p w:rsidR="005D31FE" w:rsidRPr="000051B6" w:rsidRDefault="005D31FE" w:rsidP="00CE6583">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051B6">
              <w:rPr>
                <w:rFonts w:asciiTheme="majorHAnsi" w:hAnsiTheme="majorHAnsi"/>
              </w:rPr>
              <w:t>Prosthetics charges and product codes are unclear</w:t>
            </w:r>
          </w:p>
        </w:tc>
        <w:tc>
          <w:tcPr>
            <w:tcW w:w="0" w:type="auto"/>
          </w:tcPr>
          <w:p w:rsidR="005D31FE" w:rsidRPr="000051B6" w:rsidRDefault="005D31FE" w:rsidP="00CE6583">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In the datasets, there are several fields relating to prosthetics charges and it was unclear which should be used to reflect the actual hospital cost incurred.</w:t>
            </w:r>
          </w:p>
          <w:p w:rsidR="005D31FE" w:rsidRPr="000051B6" w:rsidRDefault="005D31FE" w:rsidP="00CE6583">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051B6">
              <w:rPr>
                <w:rFonts w:asciiTheme="majorHAnsi" w:hAnsiTheme="majorHAnsi"/>
                <w:color w:val="auto"/>
              </w:rPr>
              <w:t>We note that this issue has the potential to impact on the accuracy of prosthetics-related costing in the final reports.</w:t>
            </w:r>
          </w:p>
        </w:tc>
        <w:tc>
          <w:tcPr>
            <w:tcW w:w="0" w:type="auto"/>
          </w:tcPr>
          <w:p w:rsidR="005D31FE" w:rsidRPr="000051B6" w:rsidRDefault="005D31FE" w:rsidP="00CE6583">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 xml:space="preserve">HCP &amp; PHDB </w:t>
            </w:r>
          </w:p>
        </w:tc>
        <w:tc>
          <w:tcPr>
            <w:tcW w:w="0" w:type="auto"/>
          </w:tcPr>
          <w:p w:rsidR="00436E46" w:rsidRPr="000051B6" w:rsidRDefault="00436E46" w:rsidP="00436E46">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 xml:space="preserve">This is a known issue, </w:t>
            </w:r>
            <w:r w:rsidRPr="000051B6">
              <w:rPr>
                <w:rFonts w:asciiTheme="majorHAnsi" w:hAnsiTheme="majorHAnsi"/>
                <w:color w:val="000000" w:themeColor="text1"/>
              </w:rPr>
              <w:t xml:space="preserve">DoH advises that there is no best approach and there is some </w:t>
            </w:r>
            <w:r w:rsidRPr="000051B6">
              <w:rPr>
                <w:rFonts w:asciiTheme="majorHAnsi" w:hAnsiTheme="majorHAnsi"/>
                <w:color w:val="auto"/>
              </w:rPr>
              <w:t>variance in how hospitals use these fields.</w:t>
            </w:r>
          </w:p>
          <w:p w:rsidR="005D31FE" w:rsidRPr="000051B6" w:rsidRDefault="00436E46" w:rsidP="00D20907">
            <w:pPr>
              <w:pStyle w:val="PwCNormal"/>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051B6">
              <w:rPr>
                <w:rFonts w:asciiTheme="majorHAnsi" w:hAnsiTheme="majorHAnsi"/>
                <w:color w:val="auto"/>
              </w:rPr>
              <w:t>HCP data is recommended as the best source of truth (rather than PHDB data) for Prosthetics charges for insured patients.</w:t>
            </w:r>
          </w:p>
        </w:tc>
        <w:tc>
          <w:tcPr>
            <w:tcW w:w="0" w:type="auto"/>
          </w:tcPr>
          <w:p w:rsidR="005D31FE" w:rsidRPr="000051B6" w:rsidRDefault="00436E46" w:rsidP="00CE6583">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Used the Prosthetics Cost field only.</w:t>
            </w:r>
          </w:p>
        </w:tc>
      </w:tr>
      <w:tr w:rsidR="00E8642A" w:rsidRPr="000051B6" w:rsidTr="005D31FE">
        <w:trPr>
          <w:cnfStyle w:val="000000100000" w:firstRow="0" w:lastRow="0" w:firstColumn="0" w:lastColumn="0" w:oddVBand="0" w:evenVBand="0" w:oddHBand="1" w:evenHBand="0" w:firstRowFirstColumn="0" w:firstRowLastColumn="0" w:lastRowFirstColumn="0" w:lastRowLastColumn="0"/>
          <w:cantSplit/>
          <w:trHeight w:val="145"/>
        </w:trPr>
        <w:tc>
          <w:tcPr>
            <w:cnfStyle w:val="001000000000" w:firstRow="0" w:lastRow="0" w:firstColumn="1" w:lastColumn="0" w:oddVBand="0" w:evenVBand="0" w:oddHBand="0" w:evenHBand="0" w:firstRowFirstColumn="0" w:firstRowLastColumn="0" w:lastRowFirstColumn="0" w:lastRowLastColumn="0"/>
            <w:tcW w:w="0" w:type="auto"/>
          </w:tcPr>
          <w:p w:rsidR="005D31FE" w:rsidRPr="000051B6" w:rsidRDefault="005D31FE" w:rsidP="00CE6583">
            <w:pPr>
              <w:spacing w:before="120" w:after="120"/>
              <w:rPr>
                <w:rFonts w:asciiTheme="majorHAnsi" w:hAnsiTheme="majorHAnsi"/>
              </w:rPr>
            </w:pPr>
            <w:r w:rsidRPr="000051B6">
              <w:rPr>
                <w:rFonts w:asciiTheme="majorHAnsi" w:hAnsiTheme="majorHAnsi"/>
              </w:rPr>
              <w:lastRenderedPageBreak/>
              <w:t>8</w:t>
            </w:r>
          </w:p>
        </w:tc>
        <w:tc>
          <w:tcPr>
            <w:tcW w:w="0" w:type="auto"/>
          </w:tcPr>
          <w:p w:rsidR="005D31FE" w:rsidRPr="000051B6" w:rsidRDefault="005D31FE" w:rsidP="00CE6583">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051B6">
              <w:rPr>
                <w:rFonts w:asciiTheme="majorHAnsi" w:hAnsiTheme="majorHAnsi"/>
              </w:rPr>
              <w:t>Episode identifier in dataset does not match ID used by hospital</w:t>
            </w:r>
          </w:p>
        </w:tc>
        <w:tc>
          <w:tcPr>
            <w:tcW w:w="0" w:type="auto"/>
          </w:tcPr>
          <w:p w:rsidR="005D31FE" w:rsidRPr="000051B6" w:rsidRDefault="005D31FE" w:rsidP="00436E46">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For many hospitals, the episode identifier in PHDB or HCP does not match the episode identifier they provide as part of Data Item 4, which is the basis for encounter information for the NHCDC.</w:t>
            </w:r>
          </w:p>
        </w:tc>
        <w:tc>
          <w:tcPr>
            <w:tcW w:w="0" w:type="auto"/>
          </w:tcPr>
          <w:p w:rsidR="005D31FE" w:rsidRPr="000051B6" w:rsidRDefault="005D31FE" w:rsidP="00CE658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HCP &amp; PHDB</w:t>
            </w:r>
          </w:p>
        </w:tc>
        <w:tc>
          <w:tcPr>
            <w:tcW w:w="0" w:type="auto"/>
          </w:tcPr>
          <w:p w:rsidR="005D31FE" w:rsidRPr="000051B6" w:rsidRDefault="00436E46" w:rsidP="00D20907">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051B6">
              <w:rPr>
                <w:rFonts w:asciiTheme="majorHAnsi" w:hAnsiTheme="majorHAnsi"/>
                <w:color w:val="auto"/>
              </w:rPr>
              <w:t xml:space="preserve">No feasible solution for this issue. APC dataset may contain more information, however without establishment IDs/provider </w:t>
            </w:r>
            <w:r w:rsidR="00EF041E" w:rsidRPr="000051B6">
              <w:rPr>
                <w:rFonts w:asciiTheme="majorHAnsi" w:hAnsiTheme="majorHAnsi"/>
                <w:color w:val="auto"/>
              </w:rPr>
              <w:t>numbers;</w:t>
            </w:r>
            <w:r w:rsidRPr="000051B6">
              <w:rPr>
                <w:rFonts w:asciiTheme="majorHAnsi" w:hAnsiTheme="majorHAnsi"/>
                <w:color w:val="auto"/>
              </w:rPr>
              <w:t xml:space="preserve"> linking episode information in the APC dataset will be extremely difficult.</w:t>
            </w:r>
          </w:p>
        </w:tc>
        <w:tc>
          <w:tcPr>
            <w:tcW w:w="0" w:type="auto"/>
          </w:tcPr>
          <w:p w:rsidR="00436E46" w:rsidRPr="000051B6" w:rsidRDefault="00436E46" w:rsidP="00436E46">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Continued matching episodes using a combination of patient and episode identifiers to link PHDB/HCP records. Identified and discuss any discrepancies with the participating hospitals and agree on next steps.</w:t>
            </w:r>
          </w:p>
          <w:p w:rsidR="005D31FE" w:rsidRPr="000051B6" w:rsidRDefault="00436E46" w:rsidP="00436E46">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051B6">
              <w:rPr>
                <w:rFonts w:asciiTheme="majorHAnsi" w:hAnsiTheme="majorHAnsi"/>
                <w:color w:val="auto"/>
              </w:rPr>
              <w:t>As part of the validation checks built into the website, Hospitals were notified if the Episode ID in their Encounter Data didn’t match that in PHDB/HCP and were unable to submit data until this has been rectified.</w:t>
            </w:r>
          </w:p>
        </w:tc>
      </w:tr>
      <w:tr w:rsidR="00E8642A" w:rsidRPr="000051B6" w:rsidTr="005D31FE">
        <w:trPr>
          <w:cantSplit/>
          <w:trHeight w:val="145"/>
        </w:trPr>
        <w:tc>
          <w:tcPr>
            <w:cnfStyle w:val="001000000000" w:firstRow="0" w:lastRow="0" w:firstColumn="1" w:lastColumn="0" w:oddVBand="0" w:evenVBand="0" w:oddHBand="0" w:evenHBand="0" w:firstRowFirstColumn="0" w:firstRowLastColumn="0" w:lastRowFirstColumn="0" w:lastRowLastColumn="0"/>
            <w:tcW w:w="0" w:type="auto"/>
          </w:tcPr>
          <w:p w:rsidR="005D31FE" w:rsidRPr="000051B6" w:rsidRDefault="005D31FE" w:rsidP="00CE6583">
            <w:pPr>
              <w:spacing w:before="120" w:after="120"/>
              <w:rPr>
                <w:rFonts w:asciiTheme="majorHAnsi" w:hAnsiTheme="majorHAnsi"/>
              </w:rPr>
            </w:pPr>
            <w:r w:rsidRPr="000051B6">
              <w:rPr>
                <w:rFonts w:asciiTheme="majorHAnsi" w:hAnsiTheme="majorHAnsi"/>
              </w:rPr>
              <w:t>9</w:t>
            </w:r>
          </w:p>
        </w:tc>
        <w:tc>
          <w:tcPr>
            <w:tcW w:w="0" w:type="auto"/>
          </w:tcPr>
          <w:p w:rsidR="005D31FE" w:rsidRPr="000051B6" w:rsidRDefault="005D31FE" w:rsidP="00CE6583">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051B6">
              <w:rPr>
                <w:rFonts w:asciiTheme="majorHAnsi" w:hAnsiTheme="majorHAnsi"/>
              </w:rPr>
              <w:t>Negative or low theatre minutes (&lt;7 mins in duration)</w:t>
            </w:r>
          </w:p>
        </w:tc>
        <w:tc>
          <w:tcPr>
            <w:tcW w:w="0" w:type="auto"/>
          </w:tcPr>
          <w:p w:rsidR="005D31FE" w:rsidRPr="000051B6" w:rsidRDefault="00E8642A" w:rsidP="00CE6583">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In Round</w:t>
            </w:r>
            <w:r w:rsidR="005D31FE" w:rsidRPr="000051B6">
              <w:rPr>
                <w:rFonts w:asciiTheme="majorHAnsi" w:hAnsiTheme="majorHAnsi"/>
                <w:color w:val="auto"/>
              </w:rPr>
              <w:t xml:space="preserve"> 17, 71 hospitals (from a total of 78 PwC costed hospitals) reported low/negative theatre minutes as part of their PHDB/HCP submissions. On average, 1% of hospital theatre records included low (&lt;7 mins) or negative theatre minutes. This resulted in very low or negative theatre costs being allocated to these episodes.</w:t>
            </w:r>
          </w:p>
          <w:p w:rsidR="005D31FE" w:rsidRPr="000051B6" w:rsidRDefault="005D31FE" w:rsidP="00C71B05">
            <w:pPr>
              <w:pStyle w:val="ListParagraph"/>
              <w:numPr>
                <w:ilvl w:val="0"/>
                <w:numId w:val="34"/>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051B6">
              <w:rPr>
                <w:rFonts w:asciiTheme="majorHAnsi" w:hAnsiTheme="majorHAnsi"/>
                <w:color w:val="000000" w:themeColor="text1"/>
              </w:rPr>
              <w:t xml:space="preserve">PwC discussed this issue with the </w:t>
            </w:r>
            <w:r w:rsidR="0031569D" w:rsidRPr="000051B6">
              <w:rPr>
                <w:rFonts w:asciiTheme="majorHAnsi" w:hAnsiTheme="majorHAnsi"/>
                <w:color w:val="000000" w:themeColor="text1"/>
              </w:rPr>
              <w:t>s</w:t>
            </w:r>
            <w:r w:rsidR="002D317E" w:rsidRPr="000051B6">
              <w:rPr>
                <w:rFonts w:asciiTheme="majorHAnsi" w:hAnsiTheme="majorHAnsi"/>
                <w:color w:val="000000" w:themeColor="text1"/>
              </w:rPr>
              <w:t>ector</w:t>
            </w:r>
            <w:r w:rsidRPr="000051B6">
              <w:rPr>
                <w:rFonts w:asciiTheme="majorHAnsi" w:hAnsiTheme="majorHAnsi"/>
                <w:color w:val="000000" w:themeColor="text1"/>
              </w:rPr>
              <w:t xml:space="preserve"> in focus groups in January 2015. Variations exist in hospital PAS data, theatre management/utilisation data and reports designed for PHDB/HCP submissions.</w:t>
            </w:r>
          </w:p>
        </w:tc>
        <w:tc>
          <w:tcPr>
            <w:tcW w:w="0" w:type="auto"/>
          </w:tcPr>
          <w:p w:rsidR="005D31FE" w:rsidRPr="000051B6" w:rsidRDefault="005D31FE" w:rsidP="00CE6583">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HCP &amp; PHDB</w:t>
            </w:r>
          </w:p>
        </w:tc>
        <w:tc>
          <w:tcPr>
            <w:tcW w:w="0" w:type="auto"/>
          </w:tcPr>
          <w:p w:rsidR="00ED5157" w:rsidRPr="000051B6" w:rsidRDefault="00ED5157" w:rsidP="00ED5157">
            <w:pPr>
              <w:pStyle w:val="PwCNormal"/>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rPr>
            </w:pPr>
            <w:r w:rsidRPr="000051B6">
              <w:rPr>
                <w:rFonts w:asciiTheme="majorHAnsi" w:hAnsiTheme="majorHAnsi"/>
                <w:color w:val="000000" w:themeColor="text1"/>
              </w:rPr>
              <w:t xml:space="preserve">DoH team is also aware of this issue – health insurers and the </w:t>
            </w:r>
            <w:r w:rsidR="0031569D" w:rsidRPr="000051B6">
              <w:rPr>
                <w:rFonts w:asciiTheme="majorHAnsi" w:hAnsiTheme="majorHAnsi"/>
                <w:color w:val="000000" w:themeColor="text1"/>
              </w:rPr>
              <w:t>s</w:t>
            </w:r>
            <w:r w:rsidR="002D317E" w:rsidRPr="000051B6">
              <w:rPr>
                <w:rFonts w:asciiTheme="majorHAnsi" w:hAnsiTheme="majorHAnsi"/>
                <w:color w:val="000000" w:themeColor="text1"/>
              </w:rPr>
              <w:t>ector</w:t>
            </w:r>
            <w:r w:rsidRPr="000051B6">
              <w:rPr>
                <w:rFonts w:asciiTheme="majorHAnsi" w:hAnsiTheme="majorHAnsi"/>
                <w:color w:val="000000" w:themeColor="text1"/>
              </w:rPr>
              <w:t xml:space="preserve"> sees the need for a standard definition/specification of “theatre duration”.</w:t>
            </w:r>
          </w:p>
          <w:p w:rsidR="00ED5157" w:rsidRPr="000051B6" w:rsidRDefault="00ED5157" w:rsidP="0031569D">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 xml:space="preserve">Proposed Action: DoH team to ensure that the ‘theatre duration’ field is specified and communicated clearly to private </w:t>
            </w:r>
            <w:r w:rsidR="0031569D" w:rsidRPr="000051B6">
              <w:rPr>
                <w:rFonts w:asciiTheme="majorHAnsi" w:hAnsiTheme="majorHAnsi"/>
                <w:color w:val="auto"/>
              </w:rPr>
              <w:t>s</w:t>
            </w:r>
            <w:r w:rsidR="002D317E" w:rsidRPr="000051B6">
              <w:rPr>
                <w:rFonts w:asciiTheme="majorHAnsi" w:hAnsiTheme="majorHAnsi"/>
                <w:color w:val="auto"/>
              </w:rPr>
              <w:t>ector</w:t>
            </w:r>
            <w:r w:rsidRPr="000051B6">
              <w:rPr>
                <w:rFonts w:asciiTheme="majorHAnsi" w:hAnsiTheme="majorHAnsi"/>
                <w:color w:val="auto"/>
              </w:rPr>
              <w:t xml:space="preserve"> hospitals.</w:t>
            </w:r>
          </w:p>
        </w:tc>
        <w:tc>
          <w:tcPr>
            <w:tcW w:w="0" w:type="auto"/>
          </w:tcPr>
          <w:p w:rsidR="005D31FE" w:rsidRPr="000051B6" w:rsidRDefault="00ED5157" w:rsidP="00ED5157">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051B6">
              <w:rPr>
                <w:rFonts w:asciiTheme="majorHAnsi" w:hAnsiTheme="majorHAnsi"/>
                <w:color w:val="auto"/>
              </w:rPr>
              <w:t>This issue was much less prevalent in Round 18.</w:t>
            </w:r>
          </w:p>
        </w:tc>
      </w:tr>
      <w:tr w:rsidR="00E8642A" w:rsidRPr="000051B6" w:rsidTr="00D20907">
        <w:trPr>
          <w:cnfStyle w:val="000000100000" w:firstRow="0" w:lastRow="0" w:firstColumn="0" w:lastColumn="0" w:oddVBand="0" w:evenVBand="0" w:oddHBand="1" w:evenHBand="0" w:firstRowFirstColumn="0" w:firstRowLastColumn="0" w:lastRowFirstColumn="0" w:lastRowLastColumn="0"/>
          <w:cantSplit/>
          <w:trHeight w:val="2366"/>
        </w:trPr>
        <w:tc>
          <w:tcPr>
            <w:cnfStyle w:val="001000000000" w:firstRow="0" w:lastRow="0" w:firstColumn="1" w:lastColumn="0" w:oddVBand="0" w:evenVBand="0" w:oddHBand="0" w:evenHBand="0" w:firstRowFirstColumn="0" w:firstRowLastColumn="0" w:lastRowFirstColumn="0" w:lastRowLastColumn="0"/>
            <w:tcW w:w="0" w:type="auto"/>
          </w:tcPr>
          <w:p w:rsidR="005D31FE" w:rsidRPr="000051B6" w:rsidRDefault="005D31FE" w:rsidP="00CE6583">
            <w:pPr>
              <w:spacing w:before="120" w:after="120"/>
              <w:rPr>
                <w:rFonts w:asciiTheme="majorHAnsi" w:hAnsiTheme="majorHAnsi"/>
              </w:rPr>
            </w:pPr>
            <w:r w:rsidRPr="000051B6">
              <w:rPr>
                <w:rFonts w:asciiTheme="majorHAnsi" w:hAnsiTheme="majorHAnsi"/>
              </w:rPr>
              <w:lastRenderedPageBreak/>
              <w:t>10</w:t>
            </w:r>
          </w:p>
        </w:tc>
        <w:tc>
          <w:tcPr>
            <w:tcW w:w="0" w:type="auto"/>
          </w:tcPr>
          <w:p w:rsidR="005D31FE" w:rsidRPr="000051B6" w:rsidRDefault="005D31FE" w:rsidP="00CE6583">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051B6">
              <w:rPr>
                <w:rFonts w:asciiTheme="majorHAnsi" w:hAnsiTheme="majorHAnsi"/>
              </w:rPr>
              <w:t>Missing parts of dataset</w:t>
            </w:r>
          </w:p>
        </w:tc>
        <w:tc>
          <w:tcPr>
            <w:tcW w:w="0" w:type="auto"/>
          </w:tcPr>
          <w:p w:rsidR="005D31FE" w:rsidRPr="000051B6" w:rsidRDefault="005D31FE" w:rsidP="00CE658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Months of data may be missing from HCP &amp; PHDB, but hospitals advise that the data was submitted.</w:t>
            </w:r>
          </w:p>
          <w:p w:rsidR="005D31FE" w:rsidRPr="000051B6" w:rsidRDefault="005D31FE" w:rsidP="00CE658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An initial look at the PHDB data indicates that there are approximately  30 Hospitals where the number of months containing Admission dates did not match the number of months containing Separation dates, so these h</w:t>
            </w:r>
            <w:r w:rsidR="00E8642A" w:rsidRPr="000051B6">
              <w:rPr>
                <w:rFonts w:asciiTheme="majorHAnsi" w:hAnsiTheme="majorHAnsi"/>
                <w:color w:val="auto"/>
              </w:rPr>
              <w:t>ospitals may have missing data.</w:t>
            </w:r>
          </w:p>
        </w:tc>
        <w:tc>
          <w:tcPr>
            <w:tcW w:w="0" w:type="auto"/>
          </w:tcPr>
          <w:p w:rsidR="005D31FE" w:rsidRPr="000051B6" w:rsidRDefault="005D31FE" w:rsidP="00CE658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HCP &amp; PHDB</w:t>
            </w:r>
          </w:p>
        </w:tc>
        <w:tc>
          <w:tcPr>
            <w:tcW w:w="0" w:type="auto"/>
          </w:tcPr>
          <w:p w:rsidR="005D31FE" w:rsidRPr="000051B6" w:rsidRDefault="00E8642A" w:rsidP="00CE658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DoH – the data process is very manual. Sometimes sections go missing due to human error.</w:t>
            </w:r>
          </w:p>
        </w:tc>
        <w:tc>
          <w:tcPr>
            <w:tcW w:w="0" w:type="auto"/>
          </w:tcPr>
          <w:p w:rsidR="005D31FE" w:rsidRPr="000051B6" w:rsidRDefault="00E8642A" w:rsidP="00C1683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 xml:space="preserve">Identify and discuss any data gaps/discrepancies with the participating hospitals during the pre-costing QA process and agree on next steps. </w:t>
            </w:r>
          </w:p>
        </w:tc>
      </w:tr>
      <w:tr w:rsidR="00E8642A" w:rsidRPr="000051B6" w:rsidTr="00D20907">
        <w:trPr>
          <w:cantSplit/>
          <w:trHeight w:val="4243"/>
        </w:trPr>
        <w:tc>
          <w:tcPr>
            <w:cnfStyle w:val="001000000000" w:firstRow="0" w:lastRow="0" w:firstColumn="1" w:lastColumn="0" w:oddVBand="0" w:evenVBand="0" w:oddHBand="0" w:evenHBand="0" w:firstRowFirstColumn="0" w:firstRowLastColumn="0" w:lastRowFirstColumn="0" w:lastRowLastColumn="0"/>
            <w:tcW w:w="0" w:type="auto"/>
          </w:tcPr>
          <w:p w:rsidR="005D31FE" w:rsidRPr="000051B6" w:rsidRDefault="005D31FE" w:rsidP="00CE6583">
            <w:pPr>
              <w:spacing w:before="120" w:after="120"/>
              <w:rPr>
                <w:rFonts w:asciiTheme="majorHAnsi" w:hAnsiTheme="majorHAnsi"/>
              </w:rPr>
            </w:pPr>
            <w:r w:rsidRPr="000051B6">
              <w:rPr>
                <w:rFonts w:asciiTheme="majorHAnsi" w:hAnsiTheme="majorHAnsi"/>
              </w:rPr>
              <w:t>11</w:t>
            </w:r>
          </w:p>
        </w:tc>
        <w:tc>
          <w:tcPr>
            <w:tcW w:w="0" w:type="auto"/>
          </w:tcPr>
          <w:p w:rsidR="005D31FE" w:rsidRPr="000051B6" w:rsidRDefault="005D31FE" w:rsidP="00CE6583">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051B6">
              <w:rPr>
                <w:rFonts w:asciiTheme="majorHAnsi" w:hAnsiTheme="majorHAnsi"/>
              </w:rPr>
              <w:t xml:space="preserve">Incompleteness in different fields, and inconsistency of PHDB &amp; HCP data when compared to a hospital’s data newly submitted for NHCDC </w:t>
            </w:r>
          </w:p>
        </w:tc>
        <w:tc>
          <w:tcPr>
            <w:tcW w:w="0" w:type="auto"/>
          </w:tcPr>
          <w:p w:rsidR="00E8642A" w:rsidRPr="000051B6" w:rsidRDefault="00E8642A" w:rsidP="00CE6583">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rPr>
            </w:pPr>
            <w:r w:rsidRPr="000051B6">
              <w:rPr>
                <w:rFonts w:asciiTheme="majorHAnsi" w:hAnsiTheme="majorHAnsi"/>
                <w:color w:val="auto"/>
              </w:rPr>
              <w:t>Hospitals’ submitted transfer, encounter and feeder data often did not match perfectly with the data obtained from PHDB and HCP.</w:t>
            </w:r>
          </w:p>
          <w:p w:rsidR="005D31FE" w:rsidRPr="000051B6" w:rsidRDefault="005D31FE" w:rsidP="007F64A3">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051B6">
              <w:rPr>
                <w:rFonts w:asciiTheme="majorHAnsi" w:hAnsiTheme="majorHAnsi"/>
                <w:color w:val="auto"/>
              </w:rPr>
              <w:t>HCP may have better completeness as these submissions are reviewed by health insurers. HCP is more complete for some data elements (such as prosthesis items), but PHDB dataset can be more complete with patient activity data. PwC usually prefers PHDB because it is virtually unchanged when compared with a hospital’s original submission and so it has good compatibility with a hospital’s data newly submitted for the NHCDC. By contrast, one issue with HCP is that it is re-grouped by Health insurers so that sometimes encounters change group compared to the hospital’s original submission.</w:t>
            </w:r>
          </w:p>
        </w:tc>
        <w:tc>
          <w:tcPr>
            <w:tcW w:w="0" w:type="auto"/>
          </w:tcPr>
          <w:p w:rsidR="005D31FE" w:rsidRPr="000051B6" w:rsidRDefault="005D31FE" w:rsidP="00CE6583">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051B6">
              <w:rPr>
                <w:rFonts w:asciiTheme="majorHAnsi" w:hAnsiTheme="majorHAnsi"/>
                <w:color w:val="auto"/>
              </w:rPr>
              <w:t>PHDB &amp; HCP</w:t>
            </w:r>
          </w:p>
        </w:tc>
        <w:tc>
          <w:tcPr>
            <w:tcW w:w="0" w:type="auto"/>
          </w:tcPr>
          <w:p w:rsidR="005D31FE" w:rsidRPr="000051B6" w:rsidRDefault="00E8642A" w:rsidP="00CE6583">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051B6">
              <w:rPr>
                <w:rFonts w:asciiTheme="majorHAnsi" w:hAnsiTheme="majorHAnsi"/>
                <w:color w:val="auto"/>
              </w:rPr>
              <w:t>N/A</w:t>
            </w:r>
          </w:p>
        </w:tc>
        <w:tc>
          <w:tcPr>
            <w:tcW w:w="0" w:type="auto"/>
          </w:tcPr>
          <w:p w:rsidR="00E8642A" w:rsidRPr="000051B6" w:rsidRDefault="00C71B05" w:rsidP="00E8642A">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color w:val="auto"/>
              </w:rPr>
              <w:t>R</w:t>
            </w:r>
            <w:r w:rsidR="00E8642A" w:rsidRPr="000051B6">
              <w:rPr>
                <w:rFonts w:asciiTheme="majorHAnsi" w:hAnsiTheme="majorHAnsi"/>
                <w:color w:val="auto"/>
              </w:rPr>
              <w:t>eviewed and assess completeness of data based on individual hospital’s preference and their ability to provide supplementary data.</w:t>
            </w:r>
          </w:p>
          <w:p w:rsidR="005D31FE" w:rsidRPr="000051B6" w:rsidRDefault="00E8642A" w:rsidP="00E8642A">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051B6">
              <w:rPr>
                <w:rFonts w:asciiTheme="majorHAnsi" w:hAnsiTheme="majorHAnsi"/>
                <w:color w:val="auto"/>
              </w:rPr>
              <w:t xml:space="preserve">In general, when records did not match between a hospital’s submitted data and PHDB or HCP, records were removed from each until a perfect match was achieved. Records were always only removed with the hospital’s permission. </w:t>
            </w:r>
          </w:p>
        </w:tc>
      </w:tr>
    </w:tbl>
    <w:p w:rsidR="00EF23C9" w:rsidRPr="000051B6" w:rsidRDefault="00EF23C9" w:rsidP="00235556">
      <w:pPr>
        <w:pStyle w:val="Heading1"/>
        <w:numPr>
          <w:ilvl w:val="0"/>
          <w:numId w:val="0"/>
        </w:numPr>
        <w:rPr>
          <w:rFonts w:asciiTheme="majorHAnsi" w:hAnsiTheme="majorHAnsi"/>
          <w:highlight w:val="yellow"/>
        </w:rPr>
        <w:sectPr w:rsidR="00EF23C9" w:rsidRPr="000051B6" w:rsidSect="00B31BBC">
          <w:pgSz w:w="16840" w:h="11907" w:orient="landscape" w:code="9"/>
          <w:pgMar w:top="1418" w:right="1021" w:bottom="1134" w:left="1021" w:header="567" w:footer="567" w:gutter="0"/>
          <w:cols w:space="227"/>
          <w:docGrid w:linePitch="360"/>
        </w:sectPr>
      </w:pPr>
    </w:p>
    <w:p w:rsidR="009E38A0" w:rsidRPr="000051B6" w:rsidRDefault="00235556" w:rsidP="007F64A3">
      <w:pPr>
        <w:pStyle w:val="Heading1"/>
        <w:numPr>
          <w:ilvl w:val="0"/>
          <w:numId w:val="0"/>
        </w:numPr>
        <w:spacing w:after="240"/>
        <w:rPr>
          <w:rFonts w:asciiTheme="majorHAnsi" w:hAnsiTheme="majorHAnsi"/>
        </w:rPr>
      </w:pPr>
      <w:bookmarkStart w:id="198" w:name="_Ref430270291"/>
      <w:bookmarkStart w:id="199" w:name="_Ref433966171"/>
      <w:bookmarkStart w:id="200" w:name="_Toc435611233"/>
      <w:r w:rsidRPr="000051B6">
        <w:rPr>
          <w:rFonts w:asciiTheme="majorHAnsi" w:hAnsiTheme="majorHAnsi"/>
        </w:rPr>
        <w:lastRenderedPageBreak/>
        <w:t xml:space="preserve">Appendix </w:t>
      </w:r>
      <w:r w:rsidR="00A37EFB" w:rsidRPr="000051B6">
        <w:rPr>
          <w:rFonts w:asciiTheme="majorHAnsi" w:hAnsiTheme="majorHAnsi"/>
        </w:rPr>
        <w:t>C</w:t>
      </w:r>
      <w:r w:rsidRPr="000051B6">
        <w:rPr>
          <w:rFonts w:asciiTheme="majorHAnsi" w:hAnsiTheme="majorHAnsi"/>
        </w:rPr>
        <w:t xml:space="preserve">: </w:t>
      </w:r>
      <w:bookmarkEnd w:id="196"/>
      <w:bookmarkEnd w:id="197"/>
      <w:bookmarkEnd w:id="198"/>
      <w:r w:rsidR="003738C0">
        <w:rPr>
          <w:rFonts w:asciiTheme="majorHAnsi" w:hAnsiTheme="majorHAnsi"/>
        </w:rPr>
        <w:t>Detailed methodology</w:t>
      </w:r>
      <w:bookmarkEnd w:id="199"/>
      <w:bookmarkEnd w:id="200"/>
    </w:p>
    <w:p w:rsidR="003738C0" w:rsidRPr="00C16833" w:rsidRDefault="003738C0" w:rsidP="003738C0">
      <w:pPr>
        <w:autoSpaceDE w:val="0"/>
        <w:autoSpaceDN w:val="0"/>
        <w:adjustRightInd w:val="0"/>
        <w:rPr>
          <w:b/>
          <w:i/>
          <w:color w:val="A32020" w:themeColor="text2"/>
          <w:sz w:val="32"/>
          <w:szCs w:val="32"/>
        </w:rPr>
      </w:pPr>
      <w:bookmarkStart w:id="201" w:name="_Toc356829286"/>
      <w:r w:rsidRPr="00C16833">
        <w:rPr>
          <w:b/>
          <w:i/>
          <w:color w:val="A32020" w:themeColor="text2"/>
          <w:sz w:val="32"/>
          <w:szCs w:val="32"/>
        </w:rPr>
        <w:t xml:space="preserve">Costing methodologies </w:t>
      </w:r>
    </w:p>
    <w:p w:rsidR="003738C0" w:rsidRPr="000051B6" w:rsidRDefault="003738C0" w:rsidP="007F64A3">
      <w:pPr>
        <w:pStyle w:val="PwCNormal"/>
        <w:numPr>
          <w:ilvl w:val="0"/>
          <w:numId w:val="0"/>
        </w:numPr>
      </w:pPr>
      <w:r w:rsidRPr="000051B6">
        <w:t>Hospital costing is the process of identifying the resources and inputs used during an episode and applying the costs of those inputs to the different types of clinical procedures and treatments provided to each patient in a hospital.</w:t>
      </w:r>
    </w:p>
    <w:p w:rsidR="003738C0" w:rsidRPr="000051B6" w:rsidRDefault="003738C0" w:rsidP="003738C0">
      <w:pPr>
        <w:pStyle w:val="PwCNormal"/>
        <w:numPr>
          <w:ilvl w:val="0"/>
          <w:numId w:val="0"/>
        </w:numPr>
      </w:pPr>
      <w:r w:rsidRPr="000051B6">
        <w:t>There are two main methodologies adopted for hospital cost allocations: cost modelled or patient costed:</w:t>
      </w:r>
    </w:p>
    <w:p w:rsidR="003738C0" w:rsidRPr="000051B6" w:rsidRDefault="003738C0" w:rsidP="003738C0">
      <w:pPr>
        <w:pStyle w:val="Heading3"/>
        <w:numPr>
          <w:ilvl w:val="0"/>
          <w:numId w:val="0"/>
        </w:numPr>
        <w:ind w:left="720" w:hanging="720"/>
        <w:rPr>
          <w:b w:val="0"/>
        </w:rPr>
      </w:pPr>
      <w:r w:rsidRPr="000051B6">
        <w:rPr>
          <w:b w:val="0"/>
        </w:rPr>
        <w:t xml:space="preserve">Cost modelling </w:t>
      </w:r>
    </w:p>
    <w:p w:rsidR="003738C0" w:rsidRPr="000051B6" w:rsidRDefault="003738C0" w:rsidP="007F64A3">
      <w:pPr>
        <w:pStyle w:val="PwCNormal"/>
        <w:numPr>
          <w:ilvl w:val="0"/>
          <w:numId w:val="0"/>
        </w:numPr>
      </w:pPr>
      <w:r w:rsidRPr="000051B6">
        <w:t>Cost modelling (also known as top down costing) takes the total admitted acute costs for patient areas (such as Wards) and allocates costs to encounters based on an assumed level of consumption using service weights.  Service weights are the relative costs of a service for each type of patient care product. Service weights are applied to apportion costs to patient groups defined by their AR-DRG (in the case of acute admitted care).</w:t>
      </w:r>
    </w:p>
    <w:p w:rsidR="003738C0" w:rsidRPr="000051B6" w:rsidRDefault="003738C0" w:rsidP="003738C0">
      <w:pPr>
        <w:pStyle w:val="Heading3"/>
        <w:numPr>
          <w:ilvl w:val="0"/>
          <w:numId w:val="0"/>
        </w:numPr>
        <w:ind w:left="720" w:hanging="720"/>
        <w:rPr>
          <w:b w:val="0"/>
        </w:rPr>
      </w:pPr>
      <w:r w:rsidRPr="000051B6">
        <w:rPr>
          <w:b w:val="0"/>
        </w:rPr>
        <w:t xml:space="preserve">Patient costing </w:t>
      </w:r>
    </w:p>
    <w:p w:rsidR="003738C0" w:rsidRPr="000051B6" w:rsidRDefault="003738C0" w:rsidP="003738C0">
      <w:pPr>
        <w:pStyle w:val="PwCNormal"/>
        <w:numPr>
          <w:ilvl w:val="0"/>
          <w:numId w:val="0"/>
        </w:numPr>
      </w:pPr>
      <w:r w:rsidRPr="000051B6">
        <w:t>Patient costing (also known as bottom-up costing) uses some type of activity feeder system to provide actual resource consumption.  For example, a prostheses system within a hospital will record what type of prosthesis has been implanted into a patient and the cost.  This data is used to allocate costs to patients from the Prostheses patient care area.</w:t>
      </w:r>
    </w:p>
    <w:p w:rsidR="003738C0" w:rsidRPr="000051B6" w:rsidRDefault="003738C0" w:rsidP="007F64A3">
      <w:pPr>
        <w:spacing w:after="240"/>
        <w:rPr>
          <w:rFonts w:cs="Georgia"/>
        </w:rPr>
      </w:pPr>
      <w:r w:rsidRPr="000051B6">
        <w:rPr>
          <w:rFonts w:cs="Georgia"/>
        </w:rPr>
        <w:t xml:space="preserve">Patient level costing yields results that are closer to the true cost of an encounter within a hospital, however due to the dependency on feeder systems, perfect patient level costing can be difficult to achieve. </w:t>
      </w:r>
    </w:p>
    <w:p w:rsidR="003738C0" w:rsidRPr="00C16833" w:rsidRDefault="003738C0" w:rsidP="007F64A3">
      <w:pPr>
        <w:autoSpaceDE w:val="0"/>
        <w:autoSpaceDN w:val="0"/>
        <w:adjustRightInd w:val="0"/>
        <w:spacing w:after="240"/>
        <w:rPr>
          <w:b/>
          <w:i/>
          <w:color w:val="A32020" w:themeColor="text2"/>
          <w:sz w:val="32"/>
          <w:szCs w:val="32"/>
        </w:rPr>
      </w:pPr>
      <w:bookmarkStart w:id="202" w:name="_Ref430163241"/>
      <w:bookmarkStart w:id="203" w:name="_Ref431564747"/>
      <w:bookmarkEnd w:id="201"/>
      <w:r w:rsidRPr="00C16833">
        <w:rPr>
          <w:b/>
          <w:i/>
          <w:color w:val="A32020" w:themeColor="text2"/>
          <w:sz w:val="32"/>
          <w:szCs w:val="32"/>
        </w:rPr>
        <w:t>Stages of the private sector NHCDC</w:t>
      </w:r>
      <w:bookmarkEnd w:id="202"/>
      <w:bookmarkEnd w:id="203"/>
    </w:p>
    <w:p w:rsidR="003738C0" w:rsidRPr="000051B6" w:rsidRDefault="003738C0" w:rsidP="007F64A3">
      <w:pPr>
        <w:pStyle w:val="BodyText"/>
      </w:pPr>
      <w:r w:rsidRPr="000051B6">
        <w:t>The eight stages of the collection were:</w:t>
      </w:r>
    </w:p>
    <w:p w:rsidR="003738C0" w:rsidRPr="000051B6" w:rsidRDefault="003738C0" w:rsidP="007F64A3">
      <w:pPr>
        <w:autoSpaceDE w:val="0"/>
        <w:autoSpaceDN w:val="0"/>
        <w:adjustRightInd w:val="0"/>
        <w:spacing w:after="240"/>
      </w:pPr>
      <w:r w:rsidRPr="000051B6">
        <w:rPr>
          <w:b/>
        </w:rPr>
        <w:t>Stage 1 - Expression of interest to participate to primary and secondary collection:</w:t>
      </w:r>
      <w:r w:rsidRPr="000051B6">
        <w:rPr>
          <w:rFonts w:ascii="Arial" w:hAnsi="Arial"/>
          <w:snapToGrid/>
          <w:color w:val="000000"/>
          <w:lang w:eastAsia="en-AU"/>
        </w:rPr>
        <w:t xml:space="preserve"> </w:t>
      </w:r>
      <w:r w:rsidRPr="000051B6">
        <w:t>All private overnight hospitals that were deemed to be eligible for the collection were sent an invitation to participate in the collection via email. Those hospitals that chose to participate sent an 'Expression of Interest' form to confirm their participation and also indicate whether they wanted to participate in the secondary collection or not. Once this form had been return those hospitals were sent a confidentiality agreement to sign.  If this form was not returned signed then the hospital/hospital group did not receive their participant report and secondary dataset report.</w:t>
      </w:r>
    </w:p>
    <w:p w:rsidR="003738C0" w:rsidRPr="000051B6" w:rsidRDefault="003738C0" w:rsidP="007F64A3">
      <w:pPr>
        <w:autoSpaceDE w:val="0"/>
        <w:autoSpaceDN w:val="0"/>
        <w:adjustRightInd w:val="0"/>
        <w:spacing w:after="240"/>
      </w:pPr>
      <w:r w:rsidRPr="000051B6">
        <w:t>To increase the participation rate to the optimal level of 60% for both the primary and secondary report, hospitals were re contacted to discuss the main benefits of participating in the collection. The result of this was that participation rates for both reports reached the 60% level.</w:t>
      </w:r>
    </w:p>
    <w:p w:rsidR="003738C0" w:rsidRPr="000051B6" w:rsidRDefault="003738C0" w:rsidP="007F64A3">
      <w:pPr>
        <w:pStyle w:val="BodyText"/>
      </w:pPr>
      <w:r w:rsidRPr="000051B6">
        <w:rPr>
          <w:b/>
        </w:rPr>
        <w:t>Stage 2 - Data collection:</w:t>
      </w:r>
      <w:r w:rsidRPr="000051B6">
        <w:t xml:space="preserve"> At the commencement of the data collection phase a data specification guide was prepared and distributed to all participants. Hospitals were informed of the data collection timeframes and provided access to a secure website or EDW drop box to upload and submit all relevant files such as the patient activity data items, general ledger data and mapping files. This collection was for both PwC costed hospitals and </w:t>
      </w:r>
      <w:r w:rsidR="00BB7496" w:rsidRPr="000051B6">
        <w:t>self-costed</w:t>
      </w:r>
      <w:r w:rsidRPr="000051B6">
        <w:t xml:space="preserve"> hospita</w:t>
      </w:r>
      <w:r w:rsidR="007F64A3">
        <w:t>ls.</w:t>
      </w:r>
    </w:p>
    <w:p w:rsidR="003738C0" w:rsidRPr="000051B6" w:rsidRDefault="003738C0" w:rsidP="007F64A3">
      <w:pPr>
        <w:pStyle w:val="BodyText"/>
      </w:pPr>
      <w:r w:rsidRPr="000051B6">
        <w:rPr>
          <w:b/>
        </w:rPr>
        <w:t>Stage 3 – Pre-costing quality assurance (Pre-QA) and review:</w:t>
      </w:r>
      <w:r w:rsidRPr="000051B6">
        <w:t xml:space="preserve"> Pre-costing quality assurance checks were performed on the submitted data, and a pre-costing reasonableness and validation report was generated and provided to all participating hospitals. For Round 18 we added additional checks to the pre-QA report. One of the major changes compared to last year was to flag 7 critical checks which needed to be amended before the costing phase commenced.  Unless these critical checks were rectified participants were not allowed to progress to the costing phase.  </w:t>
      </w:r>
    </w:p>
    <w:p w:rsidR="003738C0" w:rsidRPr="000051B6" w:rsidRDefault="003738C0" w:rsidP="007F64A3">
      <w:pPr>
        <w:pStyle w:val="BodyText"/>
      </w:pPr>
      <w:r w:rsidRPr="000051B6">
        <w:t>If the remaining 40 warning checks failed then the NHCDC team worked with stakeholders to rectify these within the time constraints.  If these warning checks were not passed hospitals were allowed to progress to the costing phase as these were not deemed critical.</w:t>
      </w:r>
    </w:p>
    <w:p w:rsidR="003738C0" w:rsidRPr="000051B6" w:rsidRDefault="003738C0" w:rsidP="003738C0">
      <w:pPr>
        <w:pStyle w:val="BodyText"/>
      </w:pPr>
      <w:r w:rsidRPr="000051B6">
        <w:rPr>
          <w:b/>
        </w:rPr>
        <w:lastRenderedPageBreak/>
        <w:t>Stage 4 - Costing:</w:t>
      </w:r>
      <w:r w:rsidRPr="000051B6">
        <w:t xml:space="preserve"> The costing phase comprised of performing episode level costing using specialised</w:t>
      </w:r>
      <w:r w:rsidR="00BB7496">
        <w:t xml:space="preserve"> and well-known</w:t>
      </w:r>
      <w:r w:rsidRPr="000051B6">
        <w:t xml:space="preserve"> costing software for all participating hospitals.  </w:t>
      </w:r>
    </w:p>
    <w:p w:rsidR="003738C0" w:rsidRPr="000051B6" w:rsidRDefault="003738C0" w:rsidP="003738C0">
      <w:pPr>
        <w:pStyle w:val="BodyText"/>
      </w:pPr>
      <w:r w:rsidRPr="000051B6">
        <w:rPr>
          <w:b/>
        </w:rPr>
        <w:t xml:space="preserve">Stage 5 – Post-costing quality assurance (Post-QA) review: </w:t>
      </w:r>
      <w:r w:rsidRPr="000051B6">
        <w:t>Once the hospital/hospital groups had been costed the PwC team reviewed the costing results using our post costing quality assurance review (Post-QA).  This included checking for zero or negative cost buckets, outliers in average length of stay or cost and “DRG flipping” which is when the average cost of a lower complexity AR-DRG within a related AR-DRG group is higher than the one with more complexity.  If the checks identified a critical issue, then the data was corrected and the hospital would be re-costed.</w:t>
      </w:r>
    </w:p>
    <w:p w:rsidR="003738C0" w:rsidRPr="000051B6" w:rsidRDefault="003738C0" w:rsidP="003738C0">
      <w:pPr>
        <w:pStyle w:val="BodyText"/>
      </w:pPr>
      <w:r w:rsidRPr="000051B6">
        <w:rPr>
          <w:b/>
        </w:rPr>
        <w:t>Stage 6 – Costed Output report:</w:t>
      </w:r>
      <w:r w:rsidRPr="000051B6">
        <w:t xml:space="preserve"> A costed output report was generated at patient level (including </w:t>
      </w:r>
      <w:r>
        <w:t>AR-</w:t>
      </w:r>
      <w:r w:rsidRPr="000051B6">
        <w:t>DRG and cost buckets) and was shared with the hospitals to review and provide feedback.  Once hospitals agreed to the report their results were then final and stage 7 commenced.</w:t>
      </w:r>
    </w:p>
    <w:p w:rsidR="004840F1" w:rsidRDefault="003738C0" w:rsidP="004840F1">
      <w:pPr>
        <w:pStyle w:val="BodyText"/>
      </w:pPr>
      <w:r w:rsidRPr="000051B6">
        <w:rPr>
          <w:b/>
        </w:rPr>
        <w:t xml:space="preserve">Stage 7 – Agreement with </w:t>
      </w:r>
      <w:r>
        <w:rPr>
          <w:b/>
        </w:rPr>
        <w:t>stakeholders</w:t>
      </w:r>
      <w:r w:rsidRPr="000051B6">
        <w:rPr>
          <w:b/>
        </w:rPr>
        <w:t xml:space="preserve"> on AR-DRG flipping and cost weight table:</w:t>
      </w:r>
      <w:r w:rsidRPr="000051B6">
        <w:t xml:space="preserve"> </w:t>
      </w:r>
      <w:r w:rsidR="004840F1">
        <w:t xml:space="preserve">A review was performed </w:t>
      </w:r>
      <w:r w:rsidR="004840F1">
        <w:t xml:space="preserve">of all AR-DRGs for flipping.  AR-DRG flipping is where the cost weight is higher than </w:t>
      </w:r>
      <w:r w:rsidR="004840F1" w:rsidRPr="00563C19">
        <w:t xml:space="preserve">expected for the complexity of the </w:t>
      </w:r>
      <w:r w:rsidR="004840F1">
        <w:t>AR-</w:t>
      </w:r>
      <w:r w:rsidR="004840F1" w:rsidRPr="00563C19">
        <w:t xml:space="preserve">DRG as indicated by the last alphabetic letter in the </w:t>
      </w:r>
      <w:r w:rsidR="004840F1">
        <w:t>AR-</w:t>
      </w:r>
      <w:r w:rsidR="004840F1" w:rsidRPr="00563C19">
        <w:t xml:space="preserve">DRG </w:t>
      </w:r>
      <w:r w:rsidR="004840F1">
        <w:t>family</w:t>
      </w:r>
      <w:r w:rsidR="004840F1" w:rsidRPr="00563C19">
        <w:t xml:space="preserve">.  For example I04A </w:t>
      </w:r>
      <w:r w:rsidR="004840F1">
        <w:t>is a</w:t>
      </w:r>
      <w:r w:rsidR="004840F1" w:rsidRPr="00563C19">
        <w:t xml:space="preserve"> higher complexity than I04B.  </w:t>
      </w:r>
      <w:r w:rsidR="004840F1">
        <w:t>Therefore the cost weight for I04A is expected to be higher than I04B</w:t>
      </w:r>
      <w:r w:rsidR="004840F1" w:rsidRPr="00563C19">
        <w:t>.</w:t>
      </w:r>
      <w:r w:rsidR="004840F1">
        <w:t xml:space="preserve"> If this is not the case then this is referred to as AR-DRG flipping.  In Round 18 there were a small number of these instances which were analysed and discussed with the key stakeholders about the appropriate treatment.  After discussions with affected stakeholders, including reviewing patient data, it was agreed that a number of these encounters should have been coded to a high complexity AR-DRG and therefore this was changed in the data.  </w:t>
      </w:r>
    </w:p>
    <w:p w:rsidR="004840F1" w:rsidRDefault="004840F1" w:rsidP="004840F1">
      <w:pPr>
        <w:pStyle w:val="BodyText"/>
        <w:spacing w:line="240" w:lineRule="atLeast"/>
      </w:pPr>
      <w:r>
        <w:t>There were a remaining 6 encounters were it was decided with key stakeholders that these records should be removed from the collection, to reverse the AR-DRG flipping, as these were all low cost outliers.</w:t>
      </w:r>
    </w:p>
    <w:p w:rsidR="003738C0" w:rsidRPr="000051B6" w:rsidRDefault="003738C0" w:rsidP="007F64A3">
      <w:pPr>
        <w:pStyle w:val="BodyText"/>
      </w:pPr>
      <w:r>
        <w:t>The</w:t>
      </w:r>
      <w:r w:rsidRPr="000051B6">
        <w:t xml:space="preserve"> only flipped AR-DRG remaining was P60A&amp;B (P60A - Neonate without Sig OR Proc, Died or Transferred to Acute Facility &lt;5 Days and P60B - Neonate without Sig OR Proc, Died or Transferred to Acute Facility Sameday).  This is the same treatment as Round 17 and the reason for not changing these AR-DRGs is P60A is for newborn neonates wh</w:t>
      </w:r>
      <w:r w:rsidR="007F64A3">
        <w:t>ereas P60B is for non-newborns.</w:t>
      </w:r>
    </w:p>
    <w:p w:rsidR="003738C0" w:rsidRPr="000051B6" w:rsidRDefault="003738C0" w:rsidP="007F64A3">
      <w:pPr>
        <w:pStyle w:val="BodyText"/>
      </w:pPr>
      <w:r w:rsidRPr="000051B6">
        <w:t xml:space="preserve">Based on the adjustments described above the cost weight tables were produced and checked for reasonableness and compared to the Round 17 results. </w:t>
      </w:r>
    </w:p>
    <w:p w:rsidR="003738C0" w:rsidRPr="000051B6" w:rsidRDefault="003738C0" w:rsidP="003738C0">
      <w:pPr>
        <w:pStyle w:val="BodyText"/>
      </w:pPr>
      <w:r w:rsidRPr="000051B6">
        <w:rPr>
          <w:b/>
        </w:rPr>
        <w:t>Stage 8 – Reporting:</w:t>
      </w:r>
      <w:r w:rsidRPr="000051B6">
        <w:t xml:space="preserve"> The following reports were produced:</w:t>
      </w:r>
    </w:p>
    <w:p w:rsidR="003738C0" w:rsidRPr="000051B6" w:rsidRDefault="003738C0" w:rsidP="00C71B05">
      <w:pPr>
        <w:pStyle w:val="BodyText"/>
        <w:numPr>
          <w:ilvl w:val="0"/>
          <w:numId w:val="32"/>
        </w:numPr>
      </w:pPr>
      <w:r w:rsidRPr="000051B6">
        <w:t>Public Published Report for Round 18</w:t>
      </w:r>
    </w:p>
    <w:p w:rsidR="003738C0" w:rsidRPr="000051B6" w:rsidRDefault="003738C0" w:rsidP="00C71B05">
      <w:pPr>
        <w:pStyle w:val="BodyText"/>
        <w:numPr>
          <w:ilvl w:val="0"/>
          <w:numId w:val="32"/>
        </w:numPr>
      </w:pPr>
      <w:r w:rsidRPr="000051B6">
        <w:t>Participant’s Pack for all participating hospitals</w:t>
      </w:r>
    </w:p>
    <w:p w:rsidR="003738C0" w:rsidRPr="000051B6" w:rsidRDefault="003738C0" w:rsidP="00C71B05">
      <w:pPr>
        <w:pStyle w:val="BodyText"/>
        <w:numPr>
          <w:ilvl w:val="0"/>
          <w:numId w:val="32"/>
        </w:numPr>
      </w:pPr>
      <w:r w:rsidRPr="000051B6">
        <w:t>Secondary dataset (only for participants that nominated to take part in the secondary collection).</w:t>
      </w:r>
    </w:p>
    <w:p w:rsidR="003738C0" w:rsidRPr="00C16833" w:rsidRDefault="003738C0" w:rsidP="007F64A3">
      <w:pPr>
        <w:autoSpaceDE w:val="0"/>
        <w:autoSpaceDN w:val="0"/>
        <w:adjustRightInd w:val="0"/>
        <w:spacing w:after="240"/>
        <w:rPr>
          <w:b/>
          <w:i/>
          <w:color w:val="A32020" w:themeColor="text2"/>
          <w:sz w:val="32"/>
          <w:szCs w:val="32"/>
        </w:rPr>
      </w:pPr>
      <w:r w:rsidRPr="00C16833">
        <w:rPr>
          <w:b/>
          <w:i/>
          <w:color w:val="A32020" w:themeColor="text2"/>
          <w:sz w:val="32"/>
          <w:szCs w:val="32"/>
        </w:rPr>
        <w:t>Costing approach for Round 18</w:t>
      </w:r>
    </w:p>
    <w:p w:rsidR="003738C0" w:rsidRPr="000051B6" w:rsidRDefault="003738C0" w:rsidP="003738C0">
      <w:pPr>
        <w:pStyle w:val="PwCNormal"/>
        <w:numPr>
          <w:ilvl w:val="0"/>
          <w:numId w:val="0"/>
        </w:numPr>
      </w:pPr>
      <w:r w:rsidRPr="000051B6">
        <w:t xml:space="preserve">Round 18 continued with the focus on improving costing by using feeder system data, such as prosthetics, to allocate costs for the major patient areas in private hospitals.  Service weights were used to allocate costs to the smaller cost buckets, such as pharmacy, pathology (if any), and imaging (if any).  </w:t>
      </w:r>
    </w:p>
    <w:p w:rsidR="003738C0" w:rsidRPr="000051B6" w:rsidRDefault="003738C0" w:rsidP="003738C0">
      <w:pPr>
        <w:pStyle w:val="PwCNormal"/>
        <w:numPr>
          <w:ilvl w:val="0"/>
          <w:numId w:val="0"/>
        </w:numPr>
      </w:pPr>
      <w:r w:rsidRPr="000051B6">
        <w:t>For Round 18 there was an increase in hospitals opting to use their own feeder data and allocation statistics rather than relying on service weights or total general ledger to allocate costs.</w:t>
      </w:r>
    </w:p>
    <w:p w:rsidR="003738C0" w:rsidRPr="000051B6" w:rsidRDefault="003738C0" w:rsidP="003738C0">
      <w:pPr>
        <w:pStyle w:val="Heading3"/>
        <w:numPr>
          <w:ilvl w:val="0"/>
          <w:numId w:val="0"/>
        </w:numPr>
        <w:ind w:left="720" w:hanging="720"/>
      </w:pPr>
      <w:r w:rsidRPr="000051B6">
        <w:t>Data sources</w:t>
      </w:r>
    </w:p>
    <w:p w:rsidR="003738C0" w:rsidRPr="000051B6" w:rsidRDefault="003738C0" w:rsidP="003738C0">
      <w:pPr>
        <w:pStyle w:val="PwCNormal"/>
        <w:numPr>
          <w:ilvl w:val="0"/>
          <w:numId w:val="0"/>
        </w:numPr>
      </w:pPr>
      <w:r w:rsidRPr="000051B6">
        <w:t>In this round, the following categories of patient level data components have been utilised during the costing process:</w:t>
      </w:r>
    </w:p>
    <w:p w:rsidR="003738C0" w:rsidRPr="000051B6" w:rsidRDefault="003738C0" w:rsidP="003738C0">
      <w:pPr>
        <w:pStyle w:val="PwCNormal"/>
        <w:numPr>
          <w:ilvl w:val="0"/>
          <w:numId w:val="0"/>
        </w:numPr>
      </w:pPr>
      <w:r w:rsidRPr="000051B6">
        <w:rPr>
          <w:color w:val="A32020" w:themeColor="text2"/>
        </w:rPr>
        <w:t>Financial data:</w:t>
      </w:r>
      <w:r w:rsidRPr="000051B6">
        <w:rPr>
          <w:color w:val="C00000"/>
        </w:rPr>
        <w:t xml:space="preserve"> </w:t>
      </w:r>
      <w:r w:rsidRPr="000051B6">
        <w:rPr>
          <w:rFonts w:eastAsiaTheme="minorHAnsi"/>
          <w:snapToGrid/>
        </w:rPr>
        <w:t>This includes the general ledger cost centres and account codes, along with mapping of those cost centres to patient care areas and standardised line items. This data set excluded revenue cost centres and/or account codes.</w:t>
      </w:r>
    </w:p>
    <w:p w:rsidR="003738C0" w:rsidRPr="000051B6" w:rsidRDefault="003738C0" w:rsidP="003738C0">
      <w:pPr>
        <w:pStyle w:val="PwCNormal"/>
        <w:numPr>
          <w:ilvl w:val="0"/>
          <w:numId w:val="0"/>
        </w:numPr>
        <w:rPr>
          <w:rFonts w:eastAsiaTheme="minorHAnsi"/>
          <w:snapToGrid/>
        </w:rPr>
      </w:pPr>
      <w:r w:rsidRPr="000051B6">
        <w:rPr>
          <w:color w:val="A32020" w:themeColor="text2"/>
        </w:rPr>
        <w:t>Activity data:</w:t>
      </w:r>
      <w:r w:rsidRPr="000051B6">
        <w:rPr>
          <w:color w:val="C00000"/>
        </w:rPr>
        <w:t xml:space="preserve"> </w:t>
      </w:r>
      <w:r w:rsidRPr="000051B6">
        <w:rPr>
          <w:rFonts w:eastAsiaTheme="minorHAnsi"/>
          <w:snapToGrid/>
        </w:rPr>
        <w:t xml:space="preserve">This includes the encounter level data (such as patient ID, encounter ID, date of birth etc.) and transfer information identifying the patient’s pathway through the hospital via transfers between </w:t>
      </w:r>
      <w:r w:rsidRPr="000051B6">
        <w:rPr>
          <w:rFonts w:eastAsiaTheme="minorHAnsi"/>
          <w:snapToGrid/>
        </w:rPr>
        <w:lastRenderedPageBreak/>
        <w:t>areas such as operating rooms and wards.</w:t>
      </w:r>
      <w:r>
        <w:rPr>
          <w:rFonts w:eastAsiaTheme="minorHAnsi"/>
          <w:snapToGrid/>
        </w:rPr>
        <w:t xml:space="preserve"> Participants were given the option to user their own data or use an external source being HCP or PHDB for the encounter date item number 4.</w:t>
      </w:r>
    </w:p>
    <w:p w:rsidR="003738C0" w:rsidRPr="000051B6" w:rsidRDefault="003738C0" w:rsidP="003738C0">
      <w:pPr>
        <w:pStyle w:val="PwCNormal"/>
        <w:numPr>
          <w:ilvl w:val="0"/>
          <w:numId w:val="0"/>
        </w:numPr>
      </w:pPr>
      <w:r w:rsidRPr="000051B6">
        <w:rPr>
          <w:color w:val="A32020" w:themeColor="text2"/>
        </w:rPr>
        <w:t>Allocation data:</w:t>
      </w:r>
      <w:r w:rsidRPr="000051B6">
        <w:rPr>
          <w:color w:val="C00000"/>
        </w:rPr>
        <w:t xml:space="preserve"> </w:t>
      </w:r>
      <w:r w:rsidRPr="000051B6">
        <w:rPr>
          <w:rFonts w:eastAsiaTheme="minorHAnsi"/>
          <w:snapToGrid/>
        </w:rPr>
        <w:t xml:space="preserve">This includes data used to allocate overhead cost centres to patient care areas (such as allocation of Finance or IT department costs to wards and other patient care areas). </w:t>
      </w:r>
      <w:r w:rsidRPr="000051B6">
        <w:t xml:space="preserve">Typical examples of data used for allocation include FTE counts, number of computers etc. Where no allocation data was submitted, overhead costs were allocated to patient care areas based on their share of total expenses. </w:t>
      </w:r>
    </w:p>
    <w:p w:rsidR="003738C0" w:rsidRPr="000051B6" w:rsidRDefault="003738C0" w:rsidP="003738C0">
      <w:pPr>
        <w:pStyle w:val="PwCNormal"/>
        <w:numPr>
          <w:ilvl w:val="0"/>
          <w:numId w:val="0"/>
        </w:numPr>
      </w:pPr>
      <w:r w:rsidRPr="000051B6">
        <w:rPr>
          <w:color w:val="A32020" w:themeColor="text2"/>
        </w:rPr>
        <w:t>Feeder data:</w:t>
      </w:r>
      <w:r w:rsidRPr="000051B6">
        <w:rPr>
          <w:color w:val="C00000"/>
        </w:rPr>
        <w:t xml:space="preserve"> </w:t>
      </w:r>
      <w:r w:rsidRPr="000051B6">
        <w:rPr>
          <w:rFonts w:eastAsiaTheme="minorHAnsi"/>
          <w:snapToGrid/>
        </w:rPr>
        <w:t xml:space="preserve">This includes data that identifies patient consumption of hospital products or services within a patient care area. For example, a prosthesis feeder might list the prosthetic items received by a patient and the cost of each. This feeder data was used to allocate costs in the general ledger as it identified how much of the prosthesis products each encounter consumed. Using this data source to allocate costs </w:t>
      </w:r>
      <w:r w:rsidRPr="000051B6">
        <w:t xml:space="preserve">increased the accuracy of the cost allocation. </w:t>
      </w:r>
      <w:r>
        <w:t xml:space="preserve"> </w:t>
      </w:r>
      <w:r>
        <w:rPr>
          <w:rFonts w:eastAsiaTheme="minorHAnsi"/>
          <w:snapToGrid/>
        </w:rPr>
        <w:t xml:space="preserve">Participants were given the option to user their own data or use an external source being HCP or PHDB for the date items number 7,8,9.  </w:t>
      </w:r>
      <w:r w:rsidRPr="000051B6">
        <w:t xml:space="preserve">Where no feeder data was submitted, patient care area costs were allocated using service weights. </w:t>
      </w:r>
    </w:p>
    <w:p w:rsidR="003738C0" w:rsidRPr="000051B6" w:rsidRDefault="003738C0" w:rsidP="003738C0">
      <w:pPr>
        <w:pStyle w:val="Heading3"/>
        <w:numPr>
          <w:ilvl w:val="0"/>
          <w:numId w:val="0"/>
        </w:numPr>
        <w:ind w:left="720" w:hanging="720"/>
      </w:pPr>
      <w:r w:rsidRPr="000051B6">
        <w:t>Allocation of patient care area costs to encounters</w:t>
      </w:r>
    </w:p>
    <w:p w:rsidR="003738C0" w:rsidRPr="000051B6" w:rsidRDefault="003738C0" w:rsidP="003738C0">
      <w:pPr>
        <w:pStyle w:val="PwCNormal"/>
        <w:numPr>
          <w:ilvl w:val="0"/>
          <w:numId w:val="0"/>
        </w:numPr>
        <w:spacing w:after="120"/>
      </w:pPr>
      <w:r w:rsidRPr="000051B6">
        <w:t>After overheads were allocated, patient care areas were allocated to encounters. Each patient care area provides a different product or service to patients and therefore the cost allocation methodology was different for each cost bucket.</w:t>
      </w:r>
    </w:p>
    <w:p w:rsidR="003738C0" w:rsidRPr="000051B6" w:rsidRDefault="003738C0" w:rsidP="003738C0">
      <w:pPr>
        <w:pStyle w:val="PwCNormal"/>
        <w:numPr>
          <w:ilvl w:val="0"/>
          <w:numId w:val="0"/>
        </w:numPr>
        <w:spacing w:after="120"/>
      </w:pPr>
      <w:r w:rsidRPr="000051B6">
        <w:t>A list of allocation methods for the Round 18 collection is provided below:</w:t>
      </w:r>
    </w:p>
    <w:p w:rsidR="003738C0" w:rsidRPr="000051B6" w:rsidRDefault="003738C0" w:rsidP="007F64A3">
      <w:pPr>
        <w:pStyle w:val="ListParagraph"/>
        <w:numPr>
          <w:ilvl w:val="0"/>
          <w:numId w:val="31"/>
        </w:numPr>
        <w:spacing w:after="240"/>
        <w:contextualSpacing w:val="0"/>
      </w:pPr>
      <w:r w:rsidRPr="007F64A3">
        <w:rPr>
          <w:rStyle w:val="Emphasis"/>
        </w:rPr>
        <w:t>Ward Nursing costs</w:t>
      </w:r>
      <w:r w:rsidRPr="000051B6">
        <w:t xml:space="preserve"> – allocated using fractional bed days. The ‘fractional bed days’ value is derived from the patient transfer file which details the time and date in which patients were transferred in and out of wards.</w:t>
      </w:r>
    </w:p>
    <w:p w:rsidR="003738C0" w:rsidRPr="000051B6" w:rsidRDefault="003738C0" w:rsidP="007F64A3">
      <w:pPr>
        <w:pStyle w:val="ListParagraph"/>
        <w:numPr>
          <w:ilvl w:val="0"/>
          <w:numId w:val="31"/>
        </w:numPr>
        <w:spacing w:after="240"/>
        <w:contextualSpacing w:val="0"/>
      </w:pPr>
      <w:r w:rsidRPr="007F64A3">
        <w:rPr>
          <w:rStyle w:val="Emphasis"/>
        </w:rPr>
        <w:t>Prostheses costs</w:t>
      </w:r>
      <w:r w:rsidRPr="000051B6">
        <w:t xml:space="preserve"> – allocated using a prosthesis listing. This identifies the direct cost of the prosthesis used by a patient during their encounter. If no prosthetics listing was provided by the hospital, and no information was made available from PHDB or HCP, these costs were allocated using service weights.</w:t>
      </w:r>
    </w:p>
    <w:p w:rsidR="003738C0" w:rsidRPr="000051B6" w:rsidRDefault="003738C0" w:rsidP="007F64A3">
      <w:pPr>
        <w:pStyle w:val="ListParagraph"/>
        <w:numPr>
          <w:ilvl w:val="0"/>
          <w:numId w:val="31"/>
        </w:numPr>
        <w:spacing w:after="240"/>
        <w:contextualSpacing w:val="0"/>
      </w:pPr>
      <w:r w:rsidRPr="007F64A3">
        <w:rPr>
          <w:rStyle w:val="Emphasis"/>
        </w:rPr>
        <w:t>Operating room</w:t>
      </w:r>
      <w:r w:rsidRPr="000051B6">
        <w:t xml:space="preserve"> – allocated using theatre minutes, provided directly from a feeder system. If no operating room data was provided, and no information was made available from PHDB or HCP, these costs were allocated using service weights.</w:t>
      </w:r>
    </w:p>
    <w:p w:rsidR="003738C0" w:rsidRPr="000051B6" w:rsidRDefault="003738C0" w:rsidP="007F64A3">
      <w:pPr>
        <w:pStyle w:val="ListParagraph"/>
        <w:numPr>
          <w:ilvl w:val="0"/>
          <w:numId w:val="31"/>
        </w:numPr>
        <w:spacing w:after="240"/>
        <w:contextualSpacing w:val="0"/>
      </w:pPr>
      <w:r w:rsidRPr="007F64A3">
        <w:rPr>
          <w:rStyle w:val="Emphasis"/>
        </w:rPr>
        <w:t>Critical care</w:t>
      </w:r>
      <w:r w:rsidRPr="000051B6">
        <w:t xml:space="preserve"> – allocated using Intensive Care Unit or Critical Care minutes (ICU or CC minutes), provided directly from a feeder system or patient transfer records. If no critical care data was provided, and no information was made available from PHDB or HCP, these costs were allocated using service weights.</w:t>
      </w:r>
    </w:p>
    <w:p w:rsidR="003738C0" w:rsidRPr="000051B6" w:rsidRDefault="003738C0" w:rsidP="007F64A3">
      <w:pPr>
        <w:pStyle w:val="ListParagraph"/>
        <w:numPr>
          <w:ilvl w:val="0"/>
          <w:numId w:val="31"/>
        </w:numPr>
        <w:spacing w:after="240"/>
        <w:contextualSpacing w:val="0"/>
      </w:pPr>
      <w:r w:rsidRPr="007F64A3">
        <w:rPr>
          <w:rStyle w:val="Emphasis"/>
        </w:rPr>
        <w:t>All other patient care areas</w:t>
      </w:r>
      <w:r w:rsidRPr="000051B6">
        <w:t>: service weights were used to allocate costs.</w:t>
      </w:r>
    </w:p>
    <w:p w:rsidR="003738C0" w:rsidRPr="000051B6" w:rsidRDefault="003738C0" w:rsidP="003738C0">
      <w:pPr>
        <w:pStyle w:val="Heading3"/>
        <w:numPr>
          <w:ilvl w:val="0"/>
          <w:numId w:val="0"/>
        </w:numPr>
        <w:ind w:left="720" w:hanging="720"/>
      </w:pPr>
      <w:r w:rsidRPr="000051B6">
        <w:t xml:space="preserve">Cost bucket or cost components </w:t>
      </w:r>
    </w:p>
    <w:p w:rsidR="003738C0" w:rsidRPr="000051B6" w:rsidRDefault="003738C0" w:rsidP="003738C0">
      <w:pPr>
        <w:pStyle w:val="PwCNormal"/>
        <w:numPr>
          <w:ilvl w:val="0"/>
          <w:numId w:val="0"/>
        </w:numPr>
      </w:pPr>
      <w:r w:rsidRPr="000051B6">
        <w:t>In the NHCDC, the cost of an episode of acute admitted care is reported by allocating patient level costs to a set of pre-defined cost buckets/cost components. The cost buckets are listed as follows:</w:t>
      </w:r>
    </w:p>
    <w:p w:rsidR="003738C0" w:rsidRPr="000051B6" w:rsidRDefault="003738C0" w:rsidP="00C71B05">
      <w:pPr>
        <w:pStyle w:val="ChapterNumberedList1"/>
        <w:numPr>
          <w:ilvl w:val="7"/>
          <w:numId w:val="36"/>
        </w:numPr>
        <w:contextualSpacing/>
      </w:pPr>
      <w:r w:rsidRPr="000051B6">
        <w:t>Ward Medical</w:t>
      </w:r>
    </w:p>
    <w:p w:rsidR="003738C0" w:rsidRPr="000051B6" w:rsidRDefault="003738C0" w:rsidP="003738C0">
      <w:pPr>
        <w:pStyle w:val="ChapterNumberedList1"/>
        <w:contextualSpacing/>
      </w:pPr>
      <w:r w:rsidRPr="000051B6">
        <w:t>Ward Nursing</w:t>
      </w:r>
    </w:p>
    <w:p w:rsidR="003738C0" w:rsidRPr="000051B6" w:rsidRDefault="003738C0" w:rsidP="003738C0">
      <w:pPr>
        <w:pStyle w:val="ChapterNumberedList1"/>
        <w:contextualSpacing/>
      </w:pPr>
      <w:r w:rsidRPr="000051B6">
        <w:t>Non-clinical Salaries</w:t>
      </w:r>
    </w:p>
    <w:p w:rsidR="003738C0" w:rsidRPr="000051B6" w:rsidRDefault="003738C0" w:rsidP="003738C0">
      <w:pPr>
        <w:pStyle w:val="ChapterNumberedList1"/>
        <w:contextualSpacing/>
      </w:pPr>
      <w:r w:rsidRPr="000051B6">
        <w:t>Pathology</w:t>
      </w:r>
    </w:p>
    <w:p w:rsidR="003738C0" w:rsidRPr="000051B6" w:rsidRDefault="003738C0" w:rsidP="003738C0">
      <w:pPr>
        <w:pStyle w:val="ChapterNumberedList1"/>
        <w:contextualSpacing/>
      </w:pPr>
      <w:r w:rsidRPr="000051B6">
        <w:t>Imaging</w:t>
      </w:r>
    </w:p>
    <w:p w:rsidR="003738C0" w:rsidRPr="000051B6" w:rsidRDefault="003738C0" w:rsidP="003738C0">
      <w:pPr>
        <w:pStyle w:val="ChapterNumberedList1"/>
        <w:contextualSpacing/>
      </w:pPr>
      <w:r w:rsidRPr="000051B6">
        <w:t>Allied Health</w:t>
      </w:r>
    </w:p>
    <w:p w:rsidR="003738C0" w:rsidRPr="000051B6" w:rsidRDefault="003738C0" w:rsidP="003738C0">
      <w:pPr>
        <w:pStyle w:val="ChapterNumberedList1"/>
        <w:contextualSpacing/>
      </w:pPr>
      <w:r w:rsidRPr="000051B6">
        <w:t>Pharmacy</w:t>
      </w:r>
    </w:p>
    <w:p w:rsidR="003738C0" w:rsidRPr="000051B6" w:rsidRDefault="003738C0" w:rsidP="003738C0">
      <w:pPr>
        <w:pStyle w:val="ChapterNumberedList1"/>
        <w:contextualSpacing/>
      </w:pPr>
      <w:r w:rsidRPr="000051B6">
        <w:t>Critical Care</w:t>
      </w:r>
    </w:p>
    <w:p w:rsidR="003738C0" w:rsidRPr="000051B6" w:rsidRDefault="003738C0" w:rsidP="003738C0">
      <w:pPr>
        <w:pStyle w:val="ChapterNumberedList1"/>
        <w:contextualSpacing/>
      </w:pPr>
      <w:r w:rsidRPr="000051B6">
        <w:t>Operating Rooms</w:t>
      </w:r>
    </w:p>
    <w:p w:rsidR="003738C0" w:rsidRPr="000051B6" w:rsidRDefault="003738C0" w:rsidP="003738C0">
      <w:pPr>
        <w:pStyle w:val="ChapterNumberedList1"/>
        <w:contextualSpacing/>
      </w:pPr>
      <w:r w:rsidRPr="000051B6">
        <w:t>Supplies</w:t>
      </w:r>
    </w:p>
    <w:p w:rsidR="003738C0" w:rsidRPr="000051B6" w:rsidRDefault="003738C0" w:rsidP="003738C0">
      <w:pPr>
        <w:pStyle w:val="ChapterNumberedList1"/>
        <w:contextualSpacing/>
      </w:pPr>
      <w:r w:rsidRPr="000051B6">
        <w:t>Specialist Procedure Suites</w:t>
      </w:r>
    </w:p>
    <w:p w:rsidR="003738C0" w:rsidRPr="000051B6" w:rsidRDefault="003738C0" w:rsidP="003738C0">
      <w:pPr>
        <w:pStyle w:val="ChapterNumberedList1"/>
        <w:contextualSpacing/>
      </w:pPr>
      <w:r w:rsidRPr="000051B6">
        <w:t>On-costs</w:t>
      </w:r>
    </w:p>
    <w:p w:rsidR="003738C0" w:rsidRPr="000051B6" w:rsidRDefault="003738C0" w:rsidP="003738C0">
      <w:pPr>
        <w:pStyle w:val="ChapterNumberedList1"/>
        <w:contextualSpacing/>
      </w:pPr>
      <w:r w:rsidRPr="000051B6">
        <w:t>Prostheses</w:t>
      </w:r>
    </w:p>
    <w:p w:rsidR="003738C0" w:rsidRPr="000051B6" w:rsidRDefault="003738C0" w:rsidP="003738C0">
      <w:pPr>
        <w:pStyle w:val="ChapterNumberedList1"/>
        <w:contextualSpacing/>
      </w:pPr>
      <w:r w:rsidRPr="000051B6">
        <w:t>Hotel</w:t>
      </w:r>
    </w:p>
    <w:p w:rsidR="003738C0" w:rsidRPr="000051B6" w:rsidRDefault="003738C0" w:rsidP="007F64A3">
      <w:pPr>
        <w:pStyle w:val="ChapterNumberedList1"/>
      </w:pPr>
      <w:r w:rsidRPr="000051B6">
        <w:t>Depreciation</w:t>
      </w:r>
    </w:p>
    <w:p w:rsidR="003738C0" w:rsidRPr="000051B6" w:rsidRDefault="003738C0" w:rsidP="003738C0">
      <w:pPr>
        <w:pStyle w:val="ChapterNumberedList1"/>
        <w:numPr>
          <w:ilvl w:val="0"/>
          <w:numId w:val="0"/>
        </w:numPr>
        <w:contextualSpacing/>
      </w:pPr>
      <w:r w:rsidRPr="000051B6">
        <w:t>Please note that Emergency Department cost bucket was excluded for the private sector NHCDC cost buckets as this collection is for acute admitted only.</w:t>
      </w:r>
    </w:p>
    <w:p w:rsidR="003738C0" w:rsidRPr="000051B6" w:rsidRDefault="003738C0" w:rsidP="003738C0">
      <w:pPr>
        <w:pStyle w:val="PwCNormal"/>
        <w:numPr>
          <w:ilvl w:val="0"/>
          <w:numId w:val="0"/>
        </w:numPr>
        <w:spacing w:before="240"/>
      </w:pPr>
      <w:r w:rsidRPr="000051B6">
        <w:lastRenderedPageBreak/>
        <w:t xml:space="preserve">Once each of the cost buckets were calculated for an individual patient, the patient’s total cost of care was derived as the sum of the above components. A description of the cost buckets are provided in </w:t>
      </w:r>
      <w:r w:rsidRPr="000051B6">
        <w:fldChar w:fldCharType="begin"/>
      </w:r>
      <w:r w:rsidRPr="000051B6">
        <w:instrText xml:space="preserve"> REF _Ref430247171 \h  \* MERGEFORMAT </w:instrText>
      </w:r>
      <w:r w:rsidRPr="000051B6">
        <w:fldChar w:fldCharType="separate"/>
      </w:r>
      <w:r w:rsidR="00E75057" w:rsidRPr="00E75057">
        <w:t>Appendix E: Cost weight tables by AR-DRG</w:t>
      </w:r>
      <w:r w:rsidRPr="000051B6">
        <w:fldChar w:fldCharType="end"/>
      </w:r>
      <w:r w:rsidRPr="000051B6">
        <w:t>.</w:t>
      </w:r>
    </w:p>
    <w:p w:rsidR="003738C0" w:rsidRPr="000051B6" w:rsidRDefault="003738C0" w:rsidP="003738C0">
      <w:pPr>
        <w:pStyle w:val="Heading3"/>
        <w:numPr>
          <w:ilvl w:val="0"/>
          <w:numId w:val="0"/>
        </w:numPr>
        <w:ind w:left="720" w:hanging="720"/>
      </w:pPr>
      <w:r w:rsidRPr="000051B6">
        <w:t>AR-DRG grouping</w:t>
      </w:r>
    </w:p>
    <w:p w:rsidR="003738C0" w:rsidRPr="000051B6" w:rsidRDefault="003738C0" w:rsidP="007F64A3">
      <w:pPr>
        <w:pStyle w:val="PwCNormal"/>
        <w:numPr>
          <w:ilvl w:val="0"/>
          <w:numId w:val="0"/>
        </w:numPr>
      </w:pPr>
      <w:r w:rsidRPr="000051B6">
        <w:t>24 hospitals submitted activity data using prior version to AR-DRG v6.0x.  Therefore these hospitals were regrouped using</w:t>
      </w:r>
      <w:r>
        <w:t xml:space="preserve"> </w:t>
      </w:r>
      <w:r w:rsidRPr="000051B6">
        <w:t xml:space="preserve">grouping software to AR-DRG version 6.0x. </w:t>
      </w:r>
    </w:p>
    <w:p w:rsidR="003738C0" w:rsidRPr="000051B6" w:rsidRDefault="003738C0" w:rsidP="003738C0">
      <w:pPr>
        <w:pStyle w:val="Heading3"/>
        <w:numPr>
          <w:ilvl w:val="0"/>
          <w:numId w:val="0"/>
        </w:numPr>
        <w:ind w:left="720" w:hanging="720"/>
      </w:pPr>
      <w:r w:rsidRPr="000051B6">
        <w:t>Service weights</w:t>
      </w:r>
    </w:p>
    <w:p w:rsidR="003738C0" w:rsidRPr="000051B6" w:rsidRDefault="003738C0" w:rsidP="003738C0">
      <w:pPr>
        <w:pStyle w:val="PwCNormal"/>
        <w:numPr>
          <w:ilvl w:val="0"/>
          <w:numId w:val="0"/>
        </w:numPr>
      </w:pPr>
      <w:r w:rsidRPr="000051B6">
        <w:t>The 2012-13 service weights were used in Round 18, which are derived from Round 17 public sector NHCDC.</w:t>
      </w:r>
    </w:p>
    <w:p w:rsidR="003738C0" w:rsidRPr="000051B6" w:rsidRDefault="003738C0" w:rsidP="003738C0">
      <w:pPr>
        <w:pStyle w:val="Heading3"/>
        <w:numPr>
          <w:ilvl w:val="0"/>
          <w:numId w:val="0"/>
        </w:numPr>
        <w:ind w:left="720" w:hanging="720"/>
      </w:pPr>
      <w:r w:rsidRPr="000051B6">
        <w:t xml:space="preserve">Cost weights </w:t>
      </w:r>
    </w:p>
    <w:p w:rsidR="003738C0" w:rsidRPr="000051B6" w:rsidRDefault="003738C0" w:rsidP="003738C0">
      <w:pPr>
        <w:pStyle w:val="BodyText"/>
      </w:pPr>
      <w:r w:rsidRPr="000051B6">
        <w:t>A “cost weight” for a selected AR-DRG is calculated as the average cost for that DRG, expressed as a weight relative to the overall average cost across all AR-DRGs. The national cost weight across all AR-DRGs is equal to 1.00, with higher cost AR-DRGs having a cost weight higher than 1.00.  The weight is an indicator of the complexity of the care of the patient and thus the resourcing intensity required.   This is often referred to as casemix of a patient or hospital.</w:t>
      </w:r>
    </w:p>
    <w:p w:rsidR="003738C0" w:rsidRPr="000051B6" w:rsidRDefault="003738C0" w:rsidP="003738C0">
      <w:pPr>
        <w:pStyle w:val="Heading3"/>
        <w:numPr>
          <w:ilvl w:val="0"/>
          <w:numId w:val="0"/>
        </w:numPr>
        <w:ind w:left="720" w:hanging="720"/>
      </w:pPr>
      <w:r w:rsidRPr="000051B6">
        <w:t>Costing standards</w:t>
      </w:r>
    </w:p>
    <w:p w:rsidR="003738C0" w:rsidRPr="000051B6" w:rsidRDefault="003738C0" w:rsidP="003738C0">
      <w:pPr>
        <w:pStyle w:val="PwCNormal"/>
        <w:numPr>
          <w:ilvl w:val="0"/>
          <w:numId w:val="0"/>
        </w:numPr>
      </w:pPr>
      <w:r w:rsidRPr="000051B6">
        <w:t>Costing was performed in compliance with AHPCS version 3.1.</w:t>
      </w:r>
    </w:p>
    <w:p w:rsidR="003738C0" w:rsidRPr="00C16833" w:rsidRDefault="003738C0" w:rsidP="007F64A3">
      <w:pPr>
        <w:autoSpaceDE w:val="0"/>
        <w:autoSpaceDN w:val="0"/>
        <w:adjustRightInd w:val="0"/>
        <w:spacing w:after="240"/>
        <w:rPr>
          <w:b/>
          <w:i/>
          <w:color w:val="A32020" w:themeColor="text2"/>
          <w:sz w:val="32"/>
          <w:szCs w:val="32"/>
        </w:rPr>
      </w:pPr>
      <w:bookmarkStart w:id="204" w:name="_Toc353908539"/>
      <w:bookmarkStart w:id="205" w:name="_Toc353911024"/>
      <w:bookmarkStart w:id="206" w:name="_Toc353908540"/>
      <w:bookmarkStart w:id="207" w:name="_Toc353911025"/>
      <w:bookmarkStart w:id="208" w:name="_Toc353908592"/>
      <w:bookmarkStart w:id="209" w:name="_Toc353911077"/>
      <w:bookmarkStart w:id="210" w:name="_Toc353908691"/>
      <w:bookmarkStart w:id="211" w:name="_Toc353911176"/>
      <w:bookmarkStart w:id="212" w:name="_Toc353908692"/>
      <w:bookmarkStart w:id="213" w:name="_Toc353911177"/>
      <w:bookmarkStart w:id="214" w:name="_Toc353908693"/>
      <w:bookmarkStart w:id="215" w:name="_Toc353911178"/>
      <w:bookmarkStart w:id="216" w:name="_Toc353908694"/>
      <w:bookmarkStart w:id="217" w:name="_Toc353911179"/>
      <w:bookmarkStart w:id="218" w:name="_Ref353927377"/>
      <w:bookmarkStart w:id="219" w:name="_Ref353990582"/>
      <w:bookmarkStart w:id="220" w:name="_Ref432602284"/>
      <w:bookmarkStart w:id="221" w:name="_Ref432602294"/>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C16833">
        <w:rPr>
          <w:b/>
          <w:i/>
          <w:color w:val="A32020" w:themeColor="text2"/>
          <w:sz w:val="32"/>
          <w:szCs w:val="32"/>
        </w:rPr>
        <w:t>Analysis and reporting</w:t>
      </w:r>
      <w:bookmarkEnd w:id="218"/>
      <w:bookmarkEnd w:id="219"/>
      <w:bookmarkEnd w:id="220"/>
      <w:bookmarkEnd w:id="221"/>
    </w:p>
    <w:p w:rsidR="003738C0" w:rsidRPr="000051B6" w:rsidRDefault="003738C0" w:rsidP="003738C0">
      <w:pPr>
        <w:pStyle w:val="PwCNormal"/>
        <w:numPr>
          <w:ilvl w:val="0"/>
          <w:numId w:val="0"/>
        </w:numPr>
      </w:pPr>
      <w:r w:rsidRPr="000051B6">
        <w:t>The costing dataset was constructed from the combined hospital costed outputs. The following adjustments were applied to the dataset:</w:t>
      </w:r>
    </w:p>
    <w:p w:rsidR="003738C0" w:rsidRPr="000051B6" w:rsidRDefault="003738C0" w:rsidP="003738C0">
      <w:pPr>
        <w:pStyle w:val="Heading3"/>
        <w:numPr>
          <w:ilvl w:val="0"/>
          <w:numId w:val="0"/>
        </w:numPr>
        <w:ind w:left="720" w:hanging="720"/>
      </w:pPr>
      <w:bookmarkStart w:id="222" w:name="_Ref433796181"/>
      <w:r w:rsidRPr="000051B6">
        <w:t>Neonate adjustment</w:t>
      </w:r>
      <w:bookmarkEnd w:id="222"/>
    </w:p>
    <w:p w:rsidR="003738C0" w:rsidRPr="000051B6" w:rsidRDefault="003738C0" w:rsidP="003738C0">
      <w:pPr>
        <w:pStyle w:val="BodyText"/>
      </w:pPr>
      <w:r w:rsidRPr="000051B6">
        <w:t xml:space="preserve">The costs for newborn infants with zero qualified days, in respect of care type 7 (newborn care), and neonate AR-DRGs were allocated to the delivery AR-DRGs of mothers at the same hospital. </w:t>
      </w:r>
    </w:p>
    <w:p w:rsidR="003738C0" w:rsidRPr="000051B6" w:rsidRDefault="003738C0" w:rsidP="003738C0">
      <w:pPr>
        <w:pStyle w:val="BodyText"/>
      </w:pPr>
      <w:r w:rsidRPr="000051B6">
        <w:t>The definition of unqualified days is provided in the National Health Data Dictionary</w:t>
      </w:r>
      <w:r w:rsidRPr="000051B6">
        <w:rPr>
          <w:rStyle w:val="FootnoteReference"/>
        </w:rPr>
        <w:footnoteReference w:id="16"/>
      </w:r>
      <w:r w:rsidRPr="000051B6">
        <w:t>: “unqualified days” relates to the first 9 days of a newborn’s life, unless the newborn is a second or subsequent live born infant or it requires intensive care. This adjustment has been performed consistent with Round 17 private NHCDC.</w:t>
      </w:r>
    </w:p>
    <w:p w:rsidR="003738C0" w:rsidRPr="000051B6" w:rsidRDefault="003738C0" w:rsidP="003738C0">
      <w:pPr>
        <w:pStyle w:val="Heading3"/>
        <w:numPr>
          <w:ilvl w:val="0"/>
          <w:numId w:val="0"/>
        </w:numPr>
        <w:ind w:left="720" w:hanging="720"/>
      </w:pPr>
      <w:r w:rsidRPr="000051B6">
        <w:t>Population adjustment process</w:t>
      </w:r>
    </w:p>
    <w:p w:rsidR="003738C0" w:rsidRPr="000051B6" w:rsidRDefault="003738C0" w:rsidP="003738C0">
      <w:pPr>
        <w:pStyle w:val="Minorheading2"/>
        <w:keepLines w:val="0"/>
        <w:spacing w:before="0" w:after="240"/>
        <w:rPr>
          <w:rFonts w:ascii="Georgia" w:hAnsi="Georgia"/>
          <w:b w:val="0"/>
          <w:color w:val="auto"/>
          <w:szCs w:val="20"/>
        </w:rPr>
      </w:pPr>
      <w:r w:rsidRPr="000051B6">
        <w:rPr>
          <w:rFonts w:ascii="Georgia" w:hAnsi="Georgia"/>
          <w:b w:val="0"/>
          <w:color w:val="auto"/>
          <w:szCs w:val="20"/>
        </w:rPr>
        <w:t xml:space="preserve">To ensure the results reflect the full range of Australia’s private hospitals, an estimation process is adopted to create representative national costing and activity figures from sample data. The estimation process produces ‘population’ data by estimating weights, on the basis of acute admitted separations, that are applied to the sample data so that the acute admitted separations equal the total population figures. </w:t>
      </w:r>
    </w:p>
    <w:p w:rsidR="003738C0" w:rsidRPr="000051B6" w:rsidRDefault="003738C0" w:rsidP="003738C0">
      <w:pPr>
        <w:pStyle w:val="Minorheading2"/>
        <w:keepLines w:val="0"/>
        <w:spacing w:before="0" w:after="240"/>
        <w:rPr>
          <w:rFonts w:ascii="Georgia" w:hAnsi="Georgia"/>
          <w:b w:val="0"/>
          <w:color w:val="auto"/>
          <w:szCs w:val="20"/>
        </w:rPr>
      </w:pPr>
      <w:r w:rsidRPr="000051B6">
        <w:rPr>
          <w:rFonts w:ascii="Georgia" w:hAnsi="Georgia"/>
          <w:b w:val="0"/>
          <w:color w:val="auto"/>
          <w:szCs w:val="20"/>
        </w:rPr>
        <w:t xml:space="preserve">The methodology adopted for Round 18 is the same as that adopted in Round 17. As part of consultations with the private hospital sector it was agreed that a market-based approach would be adopted to weight the sample so that the weighted separations and costs of the larger participants did not exceed their actual market share based on separation counts. </w:t>
      </w:r>
    </w:p>
    <w:p w:rsidR="003738C0" w:rsidRPr="000051B6" w:rsidRDefault="003738C0" w:rsidP="003738C0">
      <w:pPr>
        <w:pStyle w:val="Minorheading2"/>
        <w:keepNext w:val="0"/>
        <w:keepLines w:val="0"/>
        <w:spacing w:after="240"/>
        <w:rPr>
          <w:rFonts w:ascii="Georgia" w:hAnsi="Georgia"/>
          <w:b w:val="0"/>
          <w:color w:val="auto"/>
          <w:szCs w:val="20"/>
        </w:rPr>
      </w:pPr>
      <w:r w:rsidRPr="000051B6">
        <w:rPr>
          <w:rFonts w:ascii="Georgia" w:hAnsi="Georgia"/>
          <w:b w:val="0"/>
          <w:color w:val="auto"/>
          <w:szCs w:val="20"/>
        </w:rPr>
        <w:t xml:space="preserve">The total population was determined as the number of acute separations in 2013-14 obtained from the PHDB. All private acute hospitals in Australia (excluding private day hospital facilities) with more than 200 acute admitted separations during the financial year were included. An issue with the PHDB file was that a number of hospitals missed a monthly PHDB submission (see </w:t>
      </w:r>
      <w:r w:rsidRPr="000051B6">
        <w:rPr>
          <w:rFonts w:ascii="Georgia" w:hAnsi="Georgia"/>
          <w:b w:val="0"/>
          <w:color w:val="auto"/>
          <w:szCs w:val="20"/>
        </w:rPr>
        <w:fldChar w:fldCharType="begin"/>
      </w:r>
      <w:r w:rsidRPr="000051B6">
        <w:rPr>
          <w:rFonts w:ascii="Georgia" w:hAnsi="Georgia"/>
          <w:b w:val="0"/>
          <w:color w:val="auto"/>
          <w:szCs w:val="20"/>
        </w:rPr>
        <w:instrText xml:space="preserve"> REF _Ref430242964 \h  \* MERGEFORMAT </w:instrText>
      </w:r>
      <w:r w:rsidRPr="000051B6">
        <w:rPr>
          <w:rFonts w:ascii="Georgia" w:hAnsi="Georgia"/>
          <w:b w:val="0"/>
          <w:color w:val="auto"/>
          <w:szCs w:val="20"/>
        </w:rPr>
      </w:r>
      <w:r w:rsidRPr="000051B6">
        <w:rPr>
          <w:rFonts w:ascii="Georgia" w:hAnsi="Georgia"/>
          <w:b w:val="0"/>
          <w:color w:val="auto"/>
          <w:szCs w:val="20"/>
        </w:rPr>
        <w:fldChar w:fldCharType="separate"/>
      </w:r>
      <w:r w:rsidR="00E75057" w:rsidRPr="00E75057">
        <w:rPr>
          <w:rFonts w:ascii="Georgia" w:hAnsi="Georgia"/>
          <w:b w:val="0"/>
          <w:color w:val="auto"/>
          <w:szCs w:val="20"/>
        </w:rPr>
        <w:t>Appendix B: PHDB and HCP data quality issues for Round 18</w:t>
      </w:r>
      <w:r w:rsidRPr="000051B6">
        <w:rPr>
          <w:rFonts w:ascii="Georgia" w:hAnsi="Georgia"/>
          <w:b w:val="0"/>
          <w:color w:val="auto"/>
          <w:szCs w:val="20"/>
        </w:rPr>
        <w:fldChar w:fldCharType="end"/>
      </w:r>
      <w:r w:rsidRPr="000051B6">
        <w:rPr>
          <w:rFonts w:ascii="Georgia" w:hAnsi="Georgia"/>
          <w:b w:val="0"/>
          <w:color w:val="auto"/>
          <w:szCs w:val="20"/>
        </w:rPr>
        <w:t xml:space="preserve"> for further details). This means that the PHDB was not complete and unsuitable for estimating the population without some form of adjustment for the missing data. Our approach to adjust for missing data was:</w:t>
      </w:r>
    </w:p>
    <w:p w:rsidR="003738C0" w:rsidRPr="000051B6" w:rsidRDefault="003738C0" w:rsidP="00C71B05">
      <w:pPr>
        <w:pStyle w:val="ChapterNumberedList1"/>
        <w:numPr>
          <w:ilvl w:val="7"/>
          <w:numId w:val="37"/>
        </w:numPr>
      </w:pPr>
      <w:r w:rsidRPr="000051B6">
        <w:t>If a hospital participated in Round 18, then the number of separations was based on the number of costed acute admitted separations;</w:t>
      </w:r>
    </w:p>
    <w:p w:rsidR="003738C0" w:rsidRPr="000051B6" w:rsidRDefault="003738C0" w:rsidP="003738C0">
      <w:pPr>
        <w:pStyle w:val="ChapterNumberedList1"/>
      </w:pPr>
      <w:r w:rsidRPr="000051B6">
        <w:lastRenderedPageBreak/>
        <w:t>If a hospital did not participate in the NHCDC, then the number of separations was based on the PHDB. If one of these hospitals missed a monthly PHDB submission, then an annualised estimate at hospital level was taken based on analysis of the average number of separations from the other monthly submissions.</w:t>
      </w:r>
    </w:p>
    <w:p w:rsidR="003738C0" w:rsidRPr="000051B6" w:rsidRDefault="003738C0" w:rsidP="003738C0">
      <w:pPr>
        <w:pStyle w:val="Minorheading2"/>
        <w:keepNext w:val="0"/>
        <w:keepLines w:val="0"/>
        <w:rPr>
          <w:rFonts w:ascii="Georgia" w:hAnsi="Georgia"/>
          <w:b w:val="0"/>
          <w:color w:val="auto"/>
          <w:szCs w:val="20"/>
          <w:highlight w:val="yellow"/>
        </w:rPr>
      </w:pPr>
      <w:r w:rsidRPr="000051B6">
        <w:rPr>
          <w:rFonts w:ascii="Georgia" w:hAnsi="Georgia"/>
          <w:b w:val="0"/>
          <w:color w:val="auto"/>
          <w:szCs w:val="20"/>
        </w:rPr>
        <w:t>The number of hospitals in the popul</w:t>
      </w:r>
      <w:r w:rsidR="007F64A3">
        <w:rPr>
          <w:rFonts w:ascii="Georgia" w:hAnsi="Georgia"/>
          <w:b w:val="0"/>
          <w:color w:val="auto"/>
          <w:szCs w:val="20"/>
        </w:rPr>
        <w:t>ation file for Round 18 is 235.</w:t>
      </w:r>
    </w:p>
    <w:p w:rsidR="00174029" w:rsidRPr="000051B6" w:rsidRDefault="00235556" w:rsidP="00A5049B">
      <w:pPr>
        <w:pStyle w:val="Heading1"/>
        <w:numPr>
          <w:ilvl w:val="0"/>
          <w:numId w:val="0"/>
        </w:numPr>
        <w:spacing w:after="240"/>
        <w:rPr>
          <w:rFonts w:asciiTheme="majorHAnsi" w:hAnsiTheme="majorHAnsi"/>
        </w:rPr>
      </w:pPr>
      <w:bookmarkStart w:id="223" w:name="_Toc356830901"/>
      <w:bookmarkStart w:id="224" w:name="_Toc401133776"/>
      <w:bookmarkStart w:id="225" w:name="_Toc401133810"/>
      <w:bookmarkStart w:id="226" w:name="_Toc430010946"/>
      <w:bookmarkStart w:id="227" w:name="_Toc435611234"/>
      <w:r w:rsidRPr="000051B6">
        <w:rPr>
          <w:rFonts w:asciiTheme="majorHAnsi" w:hAnsiTheme="majorHAnsi"/>
        </w:rPr>
        <w:t xml:space="preserve">Appendix </w:t>
      </w:r>
      <w:r w:rsidR="00A37EFB" w:rsidRPr="000051B6">
        <w:rPr>
          <w:rFonts w:asciiTheme="majorHAnsi" w:hAnsiTheme="majorHAnsi"/>
        </w:rPr>
        <w:t>D</w:t>
      </w:r>
      <w:r w:rsidRPr="000051B6">
        <w:rPr>
          <w:rFonts w:asciiTheme="majorHAnsi" w:hAnsiTheme="majorHAnsi"/>
        </w:rPr>
        <w:t xml:space="preserve">: </w:t>
      </w:r>
      <w:r w:rsidR="00174029" w:rsidRPr="000051B6">
        <w:rPr>
          <w:rFonts w:asciiTheme="majorHAnsi" w:hAnsiTheme="majorHAnsi"/>
        </w:rPr>
        <w:t>Standard error range, Round 1</w:t>
      </w:r>
      <w:r w:rsidR="00C37ECB" w:rsidRPr="000051B6">
        <w:rPr>
          <w:rFonts w:asciiTheme="majorHAnsi" w:hAnsiTheme="majorHAnsi"/>
        </w:rPr>
        <w:t>8</w:t>
      </w:r>
      <w:r w:rsidR="00174029" w:rsidRPr="000051B6">
        <w:rPr>
          <w:rFonts w:asciiTheme="majorHAnsi" w:hAnsiTheme="majorHAnsi"/>
        </w:rPr>
        <w:t xml:space="preserve"> </w:t>
      </w:r>
      <w:r w:rsidR="006B2A3B" w:rsidRPr="000051B6">
        <w:rPr>
          <w:rFonts w:asciiTheme="majorHAnsi" w:hAnsiTheme="majorHAnsi"/>
        </w:rPr>
        <w:t>p</w:t>
      </w:r>
      <w:r w:rsidR="00174029" w:rsidRPr="000051B6">
        <w:rPr>
          <w:rFonts w:asciiTheme="majorHAnsi" w:hAnsiTheme="majorHAnsi"/>
        </w:rPr>
        <w:t xml:space="preserve">rivate </w:t>
      </w:r>
      <w:r w:rsidR="0031569D" w:rsidRPr="000051B6">
        <w:rPr>
          <w:rFonts w:asciiTheme="majorHAnsi" w:hAnsiTheme="majorHAnsi"/>
        </w:rPr>
        <w:t>s</w:t>
      </w:r>
      <w:r w:rsidR="002D317E" w:rsidRPr="000051B6">
        <w:rPr>
          <w:rFonts w:asciiTheme="majorHAnsi" w:hAnsiTheme="majorHAnsi"/>
        </w:rPr>
        <w:t>ector</w:t>
      </w:r>
      <w:bookmarkEnd w:id="223"/>
      <w:bookmarkEnd w:id="224"/>
      <w:bookmarkEnd w:id="225"/>
      <w:bookmarkEnd w:id="226"/>
      <w:bookmarkEnd w:id="227"/>
    </w:p>
    <w:p w:rsidR="00D85D0C" w:rsidRPr="000051B6" w:rsidRDefault="0093329D" w:rsidP="00C37ECB">
      <w:pPr>
        <w:pStyle w:val="PwCNormal"/>
        <w:numPr>
          <w:ilvl w:val="0"/>
          <w:numId w:val="0"/>
        </w:numPr>
      </w:pPr>
      <w:r w:rsidRPr="000051B6">
        <w:t xml:space="preserve">Standard errors, reported against </w:t>
      </w:r>
      <w:r w:rsidR="00D85D0C" w:rsidRPr="000051B6">
        <w:t>AR-</w:t>
      </w:r>
      <w:r w:rsidRPr="000051B6">
        <w:t>DRG cost weights in</w:t>
      </w:r>
      <w:r w:rsidR="00D97803" w:rsidRPr="000051B6">
        <w:t xml:space="preserve">cluded in section </w:t>
      </w:r>
      <w:r w:rsidR="00D97803" w:rsidRPr="000051B6">
        <w:fldChar w:fldCharType="begin"/>
      </w:r>
      <w:r w:rsidR="00D97803" w:rsidRPr="000051B6">
        <w:instrText xml:space="preserve"> REF _Ref432971289 \w \h </w:instrText>
      </w:r>
      <w:r w:rsidR="00D97803" w:rsidRPr="000051B6">
        <w:fldChar w:fldCharType="separate"/>
      </w:r>
      <w:r w:rsidR="00E75057">
        <w:t>4.3</w:t>
      </w:r>
      <w:r w:rsidR="00D97803" w:rsidRPr="000051B6">
        <w:fldChar w:fldCharType="end"/>
      </w:r>
      <w:r w:rsidR="00D97803" w:rsidRPr="000051B6">
        <w:t xml:space="preserve"> </w:t>
      </w:r>
      <w:r w:rsidR="00D97803" w:rsidRPr="000051B6">
        <w:fldChar w:fldCharType="begin"/>
      </w:r>
      <w:r w:rsidR="00D97803" w:rsidRPr="000051B6">
        <w:instrText xml:space="preserve"> REF _Ref432971296 \h </w:instrText>
      </w:r>
      <w:r w:rsidR="00D97803" w:rsidRPr="000051B6">
        <w:fldChar w:fldCharType="separate"/>
      </w:r>
      <w:r w:rsidR="00E75057" w:rsidRPr="000051B6">
        <w:t xml:space="preserve">AR-DRG top 20 </w:t>
      </w:r>
      <w:r w:rsidR="00D97803" w:rsidRPr="000051B6">
        <w:fldChar w:fldCharType="end"/>
      </w:r>
      <w:r w:rsidR="00C71B05">
        <w:t xml:space="preserve">and </w:t>
      </w:r>
      <w:r w:rsidR="00C71B05">
        <w:fldChar w:fldCharType="begin"/>
      </w:r>
      <w:r w:rsidR="00C71B05">
        <w:instrText xml:space="preserve"> REF _Ref433984344 \h </w:instrText>
      </w:r>
      <w:r w:rsidR="00C71B05">
        <w:fldChar w:fldCharType="separate"/>
      </w:r>
      <w:r w:rsidR="00E75057" w:rsidRPr="000051B6">
        <w:rPr>
          <w:rFonts w:asciiTheme="majorHAnsi" w:hAnsiTheme="majorHAnsi"/>
        </w:rPr>
        <w:t>Appendix E: Cost weight tables by AR-DRG</w:t>
      </w:r>
      <w:r w:rsidR="00C71B05">
        <w:fldChar w:fldCharType="end"/>
      </w:r>
      <w:r w:rsidRPr="000051B6">
        <w:t xml:space="preserve">, </w:t>
      </w:r>
      <w:r w:rsidR="00D85D0C" w:rsidRPr="000051B6">
        <w:t xml:space="preserve">give an indication of the </w:t>
      </w:r>
      <w:r w:rsidRPr="000051B6">
        <w:t>reliability of cost weights</w:t>
      </w:r>
      <w:r w:rsidR="00D85D0C" w:rsidRPr="000051B6">
        <w:t xml:space="preserve">. A large standard error indicates a high level of variation in the underlying sample </w:t>
      </w:r>
      <w:r w:rsidR="00366751" w:rsidRPr="000051B6">
        <w:t xml:space="preserve">data </w:t>
      </w:r>
      <w:r w:rsidR="00D85D0C" w:rsidRPr="000051B6">
        <w:t xml:space="preserve">for that particular AR-DRG, and therefore the </w:t>
      </w:r>
      <w:r w:rsidR="00366751" w:rsidRPr="000051B6">
        <w:t xml:space="preserve">cost weight presented is a less reliable estimate of the </w:t>
      </w:r>
      <w:r w:rsidR="00D85D0C" w:rsidRPr="000051B6">
        <w:t>true underlying cost of a separation in that AR-DRG.</w:t>
      </w:r>
    </w:p>
    <w:p w:rsidR="0093329D" w:rsidRPr="000051B6" w:rsidRDefault="0093329D" w:rsidP="00C37ECB">
      <w:pPr>
        <w:pStyle w:val="PwCNormal"/>
        <w:numPr>
          <w:ilvl w:val="0"/>
          <w:numId w:val="0"/>
        </w:numPr>
      </w:pPr>
      <w:r w:rsidRPr="000051B6">
        <w:t>The following table summarise</w:t>
      </w:r>
      <w:r w:rsidR="00366751" w:rsidRPr="000051B6">
        <w:t>s</w:t>
      </w:r>
      <w:r w:rsidRPr="000051B6">
        <w:t xml:space="preserve"> the reliability of </w:t>
      </w:r>
      <w:r w:rsidR="00366751" w:rsidRPr="000051B6">
        <w:t>AR-</w:t>
      </w:r>
      <w:r w:rsidRPr="000051B6">
        <w:t>DRG cost weights by grouping the standard errors into a number of ranges.</w:t>
      </w:r>
      <w:r w:rsidR="00366751" w:rsidRPr="000051B6">
        <w:t xml:space="preserve"> </w:t>
      </w:r>
      <w:r w:rsidRPr="000051B6">
        <w:t xml:space="preserve">Numbers of </w:t>
      </w:r>
      <w:r w:rsidR="00366751" w:rsidRPr="000051B6">
        <w:t>AR-</w:t>
      </w:r>
      <w:r w:rsidRPr="000051B6">
        <w:t>DRGs and separations falling into standard error ranges provide insight into the global impact of estimation error on cost weights.</w:t>
      </w:r>
    </w:p>
    <w:p w:rsidR="00B65E56" w:rsidRPr="000051B6" w:rsidRDefault="0093329D" w:rsidP="00A5049B">
      <w:pPr>
        <w:pStyle w:val="Tablesheadings"/>
        <w:spacing w:after="240"/>
        <w:rPr>
          <w:lang w:val="en-AU"/>
        </w:rPr>
      </w:pPr>
      <w:bookmarkStart w:id="228" w:name="_Toc432078952"/>
      <w:bookmarkStart w:id="229" w:name="_Toc435610620"/>
      <w:r w:rsidRPr="000051B6">
        <w:rPr>
          <w:lang w:val="en-AU"/>
        </w:rPr>
        <w:t xml:space="preserve">Table </w:t>
      </w:r>
      <w:r w:rsidR="00D97803" w:rsidRPr="000051B6">
        <w:rPr>
          <w:lang w:val="en-AU"/>
        </w:rPr>
        <w:t>1</w:t>
      </w:r>
      <w:r w:rsidR="00855476" w:rsidRPr="000051B6">
        <w:rPr>
          <w:lang w:val="en-AU"/>
        </w:rPr>
        <w:t>5</w:t>
      </w:r>
      <w:r w:rsidR="006B2A3B" w:rsidRPr="000051B6">
        <w:rPr>
          <w:lang w:val="en-AU"/>
        </w:rPr>
        <w:tab/>
        <w:t xml:space="preserve">Number of </w:t>
      </w:r>
      <w:r w:rsidR="00366751" w:rsidRPr="000051B6">
        <w:rPr>
          <w:lang w:val="en-AU"/>
        </w:rPr>
        <w:t>AR-</w:t>
      </w:r>
      <w:r w:rsidR="006B2A3B" w:rsidRPr="000051B6">
        <w:rPr>
          <w:lang w:val="en-AU"/>
        </w:rPr>
        <w:t>DRGs by standard e</w:t>
      </w:r>
      <w:r w:rsidRPr="000051B6">
        <w:rPr>
          <w:lang w:val="en-AU"/>
        </w:rPr>
        <w:t>rror range</w:t>
      </w:r>
      <w:bookmarkEnd w:id="228"/>
      <w:bookmarkEnd w:id="229"/>
    </w:p>
    <w:p w:rsidR="00366751" w:rsidRPr="000051B6" w:rsidRDefault="00366751" w:rsidP="00A5049B">
      <w:pPr>
        <w:pStyle w:val="Tablesheadings"/>
        <w:tabs>
          <w:tab w:val="clear" w:pos="1418"/>
          <w:tab w:val="left" w:pos="1134"/>
        </w:tabs>
        <w:spacing w:after="240"/>
        <w:rPr>
          <w:rFonts w:ascii="Georgia" w:hAnsi="Georgia"/>
          <w:highlight w:val="yellow"/>
          <w:lang w:val="en-AU"/>
        </w:rPr>
      </w:pPr>
    </w:p>
    <w:tbl>
      <w:tblPr>
        <w:tblW w:w="7360" w:type="dxa"/>
        <w:tblLook w:val="04A0" w:firstRow="1" w:lastRow="0" w:firstColumn="1" w:lastColumn="0" w:noHBand="0" w:noVBand="1"/>
        <w:tblCaption w:val="Table 15 Number of AR-DRGs by standard error range"/>
        <w:tblDescription w:val="Table 15 shows the number of AR-DRGs by standard error range. The columns are standard error range, number of AR-DRGs, separations, percentage of AR-DRGs, and percentage of total separations. There is one row for each standard error range and a total row at the bottom."/>
      </w:tblPr>
      <w:tblGrid>
        <w:gridCol w:w="1640"/>
        <w:gridCol w:w="1180"/>
        <w:gridCol w:w="1380"/>
        <w:gridCol w:w="1520"/>
        <w:gridCol w:w="1640"/>
      </w:tblGrid>
      <w:tr w:rsidR="002D4081" w:rsidRPr="002D4081" w:rsidTr="002D4081">
        <w:trPr>
          <w:trHeight w:val="924"/>
        </w:trPr>
        <w:tc>
          <w:tcPr>
            <w:tcW w:w="1640" w:type="dxa"/>
            <w:tcBorders>
              <w:top w:val="single" w:sz="4" w:space="0" w:color="A32020"/>
              <w:left w:val="nil"/>
              <w:bottom w:val="single" w:sz="8" w:space="0" w:color="A32020"/>
              <w:right w:val="nil"/>
            </w:tcBorders>
            <w:shd w:val="clear" w:color="auto" w:fill="auto"/>
            <w:hideMark/>
          </w:tcPr>
          <w:p w:rsidR="002D4081" w:rsidRPr="002D4081" w:rsidRDefault="002D4081" w:rsidP="002D4081">
            <w:pPr>
              <w:rPr>
                <w:b/>
                <w:bCs/>
                <w:snapToGrid/>
                <w:color w:val="A32020"/>
                <w:sz w:val="18"/>
                <w:szCs w:val="18"/>
                <w:lang w:eastAsia="en-AU"/>
              </w:rPr>
            </w:pPr>
            <w:r w:rsidRPr="002D4081">
              <w:rPr>
                <w:b/>
                <w:bCs/>
                <w:snapToGrid/>
                <w:color w:val="A32020"/>
                <w:sz w:val="18"/>
                <w:szCs w:val="18"/>
                <w:lang w:eastAsia="en-AU"/>
              </w:rPr>
              <w:t>Standard error range</w:t>
            </w:r>
          </w:p>
        </w:tc>
        <w:tc>
          <w:tcPr>
            <w:tcW w:w="1180" w:type="dxa"/>
            <w:tcBorders>
              <w:top w:val="single" w:sz="4" w:space="0" w:color="A32020"/>
              <w:left w:val="nil"/>
              <w:bottom w:val="single" w:sz="8" w:space="0" w:color="A32020"/>
              <w:right w:val="nil"/>
            </w:tcBorders>
            <w:shd w:val="clear" w:color="auto" w:fill="auto"/>
            <w:hideMark/>
          </w:tcPr>
          <w:p w:rsidR="002D4081" w:rsidRPr="002D4081" w:rsidRDefault="002D4081" w:rsidP="002D4081">
            <w:pPr>
              <w:jc w:val="right"/>
              <w:rPr>
                <w:b/>
                <w:bCs/>
                <w:snapToGrid/>
                <w:color w:val="A32020"/>
                <w:sz w:val="18"/>
                <w:szCs w:val="18"/>
                <w:lang w:eastAsia="en-AU"/>
              </w:rPr>
            </w:pPr>
            <w:r w:rsidRPr="002D4081">
              <w:rPr>
                <w:b/>
                <w:bCs/>
                <w:snapToGrid/>
                <w:color w:val="A32020"/>
                <w:sz w:val="18"/>
                <w:szCs w:val="18"/>
                <w:lang w:eastAsia="en-AU"/>
              </w:rPr>
              <w:t xml:space="preserve">Number of </w:t>
            </w:r>
            <w:r w:rsidR="00BB7496">
              <w:rPr>
                <w:b/>
                <w:bCs/>
                <w:snapToGrid/>
                <w:color w:val="A32020"/>
                <w:sz w:val="18"/>
                <w:szCs w:val="18"/>
                <w:lang w:eastAsia="en-AU"/>
              </w:rPr>
              <w:t>AR-</w:t>
            </w:r>
            <w:r w:rsidRPr="002D4081">
              <w:rPr>
                <w:b/>
                <w:bCs/>
                <w:snapToGrid/>
                <w:color w:val="A32020"/>
                <w:sz w:val="18"/>
                <w:szCs w:val="18"/>
                <w:lang w:eastAsia="en-AU"/>
              </w:rPr>
              <w:t>DRGs</w:t>
            </w:r>
          </w:p>
        </w:tc>
        <w:tc>
          <w:tcPr>
            <w:tcW w:w="1380" w:type="dxa"/>
            <w:tcBorders>
              <w:top w:val="single" w:sz="4" w:space="0" w:color="A32020"/>
              <w:left w:val="nil"/>
              <w:bottom w:val="single" w:sz="8" w:space="0" w:color="A32020"/>
              <w:right w:val="nil"/>
            </w:tcBorders>
            <w:shd w:val="clear" w:color="auto" w:fill="auto"/>
            <w:hideMark/>
          </w:tcPr>
          <w:p w:rsidR="002D4081" w:rsidRPr="002D4081" w:rsidRDefault="002D4081" w:rsidP="002D4081">
            <w:pPr>
              <w:jc w:val="right"/>
              <w:rPr>
                <w:b/>
                <w:bCs/>
                <w:snapToGrid/>
                <w:color w:val="A32020"/>
                <w:sz w:val="18"/>
                <w:szCs w:val="18"/>
                <w:lang w:eastAsia="en-AU"/>
              </w:rPr>
            </w:pPr>
            <w:r w:rsidRPr="002D4081">
              <w:rPr>
                <w:b/>
                <w:bCs/>
                <w:snapToGrid/>
                <w:color w:val="A32020"/>
                <w:sz w:val="18"/>
                <w:szCs w:val="18"/>
                <w:lang w:eastAsia="en-AU"/>
              </w:rPr>
              <w:t>Separations</w:t>
            </w:r>
          </w:p>
        </w:tc>
        <w:tc>
          <w:tcPr>
            <w:tcW w:w="1520" w:type="dxa"/>
            <w:tcBorders>
              <w:top w:val="single" w:sz="4" w:space="0" w:color="A32020"/>
              <w:left w:val="nil"/>
              <w:bottom w:val="single" w:sz="8" w:space="0" w:color="A32020"/>
              <w:right w:val="nil"/>
            </w:tcBorders>
            <w:shd w:val="clear" w:color="auto" w:fill="auto"/>
            <w:hideMark/>
          </w:tcPr>
          <w:p w:rsidR="002D4081" w:rsidRPr="002D4081" w:rsidRDefault="002D4081" w:rsidP="002D4081">
            <w:pPr>
              <w:jc w:val="right"/>
              <w:rPr>
                <w:b/>
                <w:bCs/>
                <w:snapToGrid/>
                <w:color w:val="A32020"/>
                <w:sz w:val="18"/>
                <w:szCs w:val="18"/>
                <w:lang w:eastAsia="en-AU"/>
              </w:rPr>
            </w:pPr>
            <w:r w:rsidRPr="002D4081">
              <w:rPr>
                <w:b/>
                <w:bCs/>
                <w:snapToGrid/>
                <w:color w:val="A32020"/>
                <w:sz w:val="18"/>
                <w:szCs w:val="18"/>
                <w:lang w:eastAsia="en-AU"/>
              </w:rPr>
              <w:t>Percentage of DRGs (%)</w:t>
            </w:r>
          </w:p>
        </w:tc>
        <w:tc>
          <w:tcPr>
            <w:tcW w:w="1640" w:type="dxa"/>
            <w:tcBorders>
              <w:top w:val="single" w:sz="4" w:space="0" w:color="A32020"/>
              <w:left w:val="nil"/>
              <w:bottom w:val="single" w:sz="8" w:space="0" w:color="A32020"/>
              <w:right w:val="nil"/>
            </w:tcBorders>
            <w:shd w:val="clear" w:color="auto" w:fill="auto"/>
            <w:hideMark/>
          </w:tcPr>
          <w:p w:rsidR="002D4081" w:rsidRPr="002D4081" w:rsidRDefault="002D4081" w:rsidP="002D4081">
            <w:pPr>
              <w:jc w:val="right"/>
              <w:rPr>
                <w:b/>
                <w:bCs/>
                <w:snapToGrid/>
                <w:color w:val="A32020"/>
                <w:sz w:val="18"/>
                <w:szCs w:val="18"/>
                <w:lang w:eastAsia="en-AU"/>
              </w:rPr>
            </w:pPr>
            <w:r w:rsidRPr="002D4081">
              <w:rPr>
                <w:b/>
                <w:bCs/>
                <w:snapToGrid/>
                <w:color w:val="A32020"/>
                <w:sz w:val="18"/>
                <w:szCs w:val="18"/>
                <w:lang w:eastAsia="en-AU"/>
              </w:rPr>
              <w:t>Percentage of total separations (%)</w:t>
            </w:r>
          </w:p>
        </w:tc>
      </w:tr>
      <w:tr w:rsidR="002D4081" w:rsidRPr="002D4081" w:rsidTr="002D4081">
        <w:trPr>
          <w:trHeight w:val="318"/>
        </w:trPr>
        <w:tc>
          <w:tcPr>
            <w:tcW w:w="1640" w:type="dxa"/>
            <w:tcBorders>
              <w:top w:val="nil"/>
              <w:left w:val="nil"/>
              <w:bottom w:val="nil"/>
              <w:right w:val="nil"/>
            </w:tcBorders>
            <w:shd w:val="clear" w:color="auto" w:fill="auto"/>
            <w:noWrap/>
            <w:hideMark/>
          </w:tcPr>
          <w:p w:rsidR="002D4081" w:rsidRPr="002D4081" w:rsidRDefault="002D4081" w:rsidP="002D4081">
            <w:pPr>
              <w:rPr>
                <w:snapToGrid/>
                <w:color w:val="000000"/>
                <w:sz w:val="18"/>
                <w:szCs w:val="18"/>
                <w:lang w:eastAsia="en-AU"/>
              </w:rPr>
            </w:pPr>
            <w:r w:rsidRPr="002D4081">
              <w:rPr>
                <w:snapToGrid/>
                <w:color w:val="000000"/>
                <w:sz w:val="18"/>
                <w:szCs w:val="18"/>
                <w:lang w:eastAsia="en-AU"/>
              </w:rPr>
              <w:t>0.000 - 0.039</w:t>
            </w:r>
          </w:p>
        </w:tc>
        <w:tc>
          <w:tcPr>
            <w:tcW w:w="1180" w:type="dxa"/>
            <w:tcBorders>
              <w:top w:val="nil"/>
              <w:left w:val="nil"/>
              <w:bottom w:val="nil"/>
              <w:right w:val="nil"/>
            </w:tcBorders>
            <w:shd w:val="clear" w:color="auto" w:fill="auto"/>
            <w:noWrap/>
            <w:hideMark/>
          </w:tcPr>
          <w:p w:rsidR="002D4081" w:rsidRPr="002D4081" w:rsidRDefault="002D4081" w:rsidP="002D4081">
            <w:pPr>
              <w:jc w:val="right"/>
              <w:rPr>
                <w:snapToGrid/>
                <w:color w:val="000000"/>
                <w:sz w:val="18"/>
                <w:szCs w:val="18"/>
                <w:lang w:eastAsia="en-AU"/>
              </w:rPr>
            </w:pPr>
            <w:r w:rsidRPr="002D4081">
              <w:rPr>
                <w:snapToGrid/>
                <w:color w:val="000000"/>
                <w:sz w:val="18"/>
                <w:szCs w:val="18"/>
                <w:lang w:eastAsia="en-AU"/>
              </w:rPr>
              <w:t>226</w:t>
            </w:r>
          </w:p>
        </w:tc>
        <w:tc>
          <w:tcPr>
            <w:tcW w:w="1380" w:type="dxa"/>
            <w:tcBorders>
              <w:top w:val="nil"/>
              <w:left w:val="nil"/>
              <w:bottom w:val="nil"/>
              <w:right w:val="nil"/>
            </w:tcBorders>
            <w:shd w:val="clear" w:color="auto" w:fill="auto"/>
            <w:noWrap/>
            <w:hideMark/>
          </w:tcPr>
          <w:p w:rsidR="002D4081" w:rsidRPr="002D4081" w:rsidRDefault="002D4081" w:rsidP="002D4081">
            <w:pPr>
              <w:jc w:val="right"/>
              <w:rPr>
                <w:snapToGrid/>
                <w:color w:val="000000"/>
                <w:sz w:val="18"/>
                <w:szCs w:val="18"/>
                <w:lang w:eastAsia="en-AU"/>
              </w:rPr>
            </w:pPr>
            <w:r w:rsidRPr="002D4081">
              <w:rPr>
                <w:snapToGrid/>
                <w:color w:val="000000"/>
                <w:sz w:val="18"/>
                <w:szCs w:val="18"/>
                <w:lang w:eastAsia="en-AU"/>
              </w:rPr>
              <w:t>2,509,596</w:t>
            </w:r>
          </w:p>
        </w:tc>
        <w:tc>
          <w:tcPr>
            <w:tcW w:w="1520" w:type="dxa"/>
            <w:tcBorders>
              <w:top w:val="nil"/>
              <w:left w:val="nil"/>
              <w:bottom w:val="nil"/>
              <w:right w:val="nil"/>
            </w:tcBorders>
            <w:shd w:val="clear" w:color="auto" w:fill="auto"/>
            <w:noWrap/>
            <w:hideMark/>
          </w:tcPr>
          <w:p w:rsidR="002D4081" w:rsidRPr="002D4081" w:rsidRDefault="002D4081" w:rsidP="002D4081">
            <w:pPr>
              <w:jc w:val="right"/>
              <w:rPr>
                <w:snapToGrid/>
                <w:color w:val="000000"/>
                <w:sz w:val="18"/>
                <w:szCs w:val="18"/>
                <w:lang w:eastAsia="en-AU"/>
              </w:rPr>
            </w:pPr>
            <w:r w:rsidRPr="002D4081">
              <w:rPr>
                <w:snapToGrid/>
                <w:color w:val="000000"/>
                <w:sz w:val="18"/>
                <w:szCs w:val="18"/>
                <w:lang w:eastAsia="en-AU"/>
              </w:rPr>
              <w:t>33%</w:t>
            </w:r>
          </w:p>
        </w:tc>
        <w:tc>
          <w:tcPr>
            <w:tcW w:w="1640" w:type="dxa"/>
            <w:tcBorders>
              <w:top w:val="nil"/>
              <w:left w:val="nil"/>
              <w:bottom w:val="nil"/>
              <w:right w:val="nil"/>
            </w:tcBorders>
            <w:shd w:val="clear" w:color="auto" w:fill="auto"/>
            <w:noWrap/>
            <w:hideMark/>
          </w:tcPr>
          <w:p w:rsidR="002D4081" w:rsidRPr="002D4081" w:rsidRDefault="002D4081" w:rsidP="002D4081">
            <w:pPr>
              <w:jc w:val="right"/>
              <w:rPr>
                <w:snapToGrid/>
                <w:color w:val="000000"/>
                <w:sz w:val="18"/>
                <w:szCs w:val="18"/>
                <w:lang w:eastAsia="en-AU"/>
              </w:rPr>
            </w:pPr>
            <w:r w:rsidRPr="002D4081">
              <w:rPr>
                <w:snapToGrid/>
                <w:color w:val="000000"/>
                <w:sz w:val="18"/>
                <w:szCs w:val="18"/>
                <w:lang w:eastAsia="en-AU"/>
              </w:rPr>
              <w:t>89%</w:t>
            </w:r>
          </w:p>
        </w:tc>
      </w:tr>
      <w:tr w:rsidR="002D4081" w:rsidRPr="002D4081" w:rsidTr="002D4081">
        <w:trPr>
          <w:trHeight w:val="318"/>
        </w:trPr>
        <w:tc>
          <w:tcPr>
            <w:tcW w:w="1640" w:type="dxa"/>
            <w:tcBorders>
              <w:top w:val="nil"/>
              <w:left w:val="nil"/>
              <w:bottom w:val="nil"/>
              <w:right w:val="nil"/>
            </w:tcBorders>
            <w:shd w:val="clear" w:color="auto" w:fill="auto"/>
            <w:noWrap/>
            <w:hideMark/>
          </w:tcPr>
          <w:p w:rsidR="002D4081" w:rsidRPr="002D4081" w:rsidRDefault="002D4081" w:rsidP="002D4081">
            <w:pPr>
              <w:rPr>
                <w:snapToGrid/>
                <w:color w:val="000000"/>
                <w:sz w:val="18"/>
                <w:szCs w:val="18"/>
                <w:lang w:eastAsia="en-AU"/>
              </w:rPr>
            </w:pPr>
            <w:r w:rsidRPr="002D4081">
              <w:rPr>
                <w:snapToGrid/>
                <w:color w:val="000000"/>
                <w:sz w:val="18"/>
                <w:szCs w:val="18"/>
                <w:lang w:eastAsia="en-AU"/>
              </w:rPr>
              <w:t>0.040 - 0.099</w:t>
            </w:r>
          </w:p>
        </w:tc>
        <w:tc>
          <w:tcPr>
            <w:tcW w:w="1180" w:type="dxa"/>
            <w:tcBorders>
              <w:top w:val="nil"/>
              <w:left w:val="nil"/>
              <w:bottom w:val="nil"/>
              <w:right w:val="nil"/>
            </w:tcBorders>
            <w:shd w:val="clear" w:color="auto" w:fill="auto"/>
            <w:noWrap/>
            <w:hideMark/>
          </w:tcPr>
          <w:p w:rsidR="002D4081" w:rsidRPr="002D4081" w:rsidRDefault="002D4081" w:rsidP="002D4081">
            <w:pPr>
              <w:jc w:val="right"/>
              <w:rPr>
                <w:snapToGrid/>
                <w:color w:val="000000"/>
                <w:sz w:val="18"/>
                <w:szCs w:val="18"/>
                <w:lang w:eastAsia="en-AU"/>
              </w:rPr>
            </w:pPr>
            <w:r w:rsidRPr="002D4081">
              <w:rPr>
                <w:snapToGrid/>
                <w:color w:val="000000"/>
                <w:sz w:val="18"/>
                <w:szCs w:val="18"/>
                <w:lang w:eastAsia="en-AU"/>
              </w:rPr>
              <w:t>146</w:t>
            </w:r>
          </w:p>
        </w:tc>
        <w:tc>
          <w:tcPr>
            <w:tcW w:w="1380" w:type="dxa"/>
            <w:tcBorders>
              <w:top w:val="nil"/>
              <w:left w:val="nil"/>
              <w:bottom w:val="nil"/>
              <w:right w:val="nil"/>
            </w:tcBorders>
            <w:shd w:val="clear" w:color="auto" w:fill="auto"/>
            <w:noWrap/>
            <w:hideMark/>
          </w:tcPr>
          <w:p w:rsidR="002D4081" w:rsidRPr="002D4081" w:rsidRDefault="002D4081" w:rsidP="002D4081">
            <w:pPr>
              <w:jc w:val="right"/>
              <w:rPr>
                <w:snapToGrid/>
                <w:color w:val="000000"/>
                <w:sz w:val="18"/>
                <w:szCs w:val="18"/>
                <w:lang w:eastAsia="en-AU"/>
              </w:rPr>
            </w:pPr>
            <w:r w:rsidRPr="002D4081">
              <w:rPr>
                <w:snapToGrid/>
                <w:color w:val="000000"/>
                <w:sz w:val="18"/>
                <w:szCs w:val="18"/>
                <w:lang w:eastAsia="en-AU"/>
              </w:rPr>
              <w:t>199,448</w:t>
            </w:r>
          </w:p>
        </w:tc>
        <w:tc>
          <w:tcPr>
            <w:tcW w:w="1520" w:type="dxa"/>
            <w:tcBorders>
              <w:top w:val="nil"/>
              <w:left w:val="nil"/>
              <w:bottom w:val="nil"/>
              <w:right w:val="nil"/>
            </w:tcBorders>
            <w:shd w:val="clear" w:color="auto" w:fill="auto"/>
            <w:noWrap/>
            <w:hideMark/>
          </w:tcPr>
          <w:p w:rsidR="002D4081" w:rsidRPr="002D4081" w:rsidRDefault="002D4081" w:rsidP="002D4081">
            <w:pPr>
              <w:jc w:val="right"/>
              <w:rPr>
                <w:snapToGrid/>
                <w:color w:val="000000"/>
                <w:sz w:val="18"/>
                <w:szCs w:val="18"/>
                <w:lang w:eastAsia="en-AU"/>
              </w:rPr>
            </w:pPr>
            <w:r w:rsidRPr="002D4081">
              <w:rPr>
                <w:snapToGrid/>
                <w:color w:val="000000"/>
                <w:sz w:val="18"/>
                <w:szCs w:val="18"/>
                <w:lang w:eastAsia="en-AU"/>
              </w:rPr>
              <w:t>21%</w:t>
            </w:r>
          </w:p>
        </w:tc>
        <w:tc>
          <w:tcPr>
            <w:tcW w:w="1640" w:type="dxa"/>
            <w:tcBorders>
              <w:top w:val="nil"/>
              <w:left w:val="nil"/>
              <w:bottom w:val="nil"/>
              <w:right w:val="nil"/>
            </w:tcBorders>
            <w:shd w:val="clear" w:color="auto" w:fill="auto"/>
            <w:noWrap/>
            <w:hideMark/>
          </w:tcPr>
          <w:p w:rsidR="002D4081" w:rsidRPr="002D4081" w:rsidRDefault="002D4081" w:rsidP="002D4081">
            <w:pPr>
              <w:jc w:val="right"/>
              <w:rPr>
                <w:snapToGrid/>
                <w:color w:val="000000"/>
                <w:sz w:val="18"/>
                <w:szCs w:val="18"/>
                <w:lang w:eastAsia="en-AU"/>
              </w:rPr>
            </w:pPr>
            <w:r w:rsidRPr="002D4081">
              <w:rPr>
                <w:snapToGrid/>
                <w:color w:val="000000"/>
                <w:sz w:val="18"/>
                <w:szCs w:val="18"/>
                <w:lang w:eastAsia="en-AU"/>
              </w:rPr>
              <w:t>7%</w:t>
            </w:r>
          </w:p>
        </w:tc>
      </w:tr>
      <w:tr w:rsidR="002D4081" w:rsidRPr="002D4081" w:rsidTr="002D4081">
        <w:trPr>
          <w:trHeight w:val="318"/>
        </w:trPr>
        <w:tc>
          <w:tcPr>
            <w:tcW w:w="1640" w:type="dxa"/>
            <w:tcBorders>
              <w:top w:val="nil"/>
              <w:left w:val="nil"/>
              <w:bottom w:val="nil"/>
              <w:right w:val="nil"/>
            </w:tcBorders>
            <w:shd w:val="clear" w:color="auto" w:fill="auto"/>
            <w:noWrap/>
            <w:hideMark/>
          </w:tcPr>
          <w:p w:rsidR="002D4081" w:rsidRPr="002D4081" w:rsidRDefault="002D4081" w:rsidP="002D4081">
            <w:pPr>
              <w:rPr>
                <w:snapToGrid/>
                <w:color w:val="000000"/>
                <w:sz w:val="18"/>
                <w:szCs w:val="18"/>
                <w:lang w:eastAsia="en-AU"/>
              </w:rPr>
            </w:pPr>
            <w:r w:rsidRPr="002D4081">
              <w:rPr>
                <w:snapToGrid/>
                <w:color w:val="000000"/>
                <w:sz w:val="18"/>
                <w:szCs w:val="18"/>
                <w:lang w:eastAsia="en-AU"/>
              </w:rPr>
              <w:t>0.100 - 0.149</w:t>
            </w:r>
          </w:p>
        </w:tc>
        <w:tc>
          <w:tcPr>
            <w:tcW w:w="1180" w:type="dxa"/>
            <w:tcBorders>
              <w:top w:val="nil"/>
              <w:left w:val="nil"/>
              <w:bottom w:val="nil"/>
              <w:right w:val="nil"/>
            </w:tcBorders>
            <w:shd w:val="clear" w:color="auto" w:fill="auto"/>
            <w:noWrap/>
            <w:hideMark/>
          </w:tcPr>
          <w:p w:rsidR="002D4081" w:rsidRPr="002D4081" w:rsidRDefault="002D4081" w:rsidP="002D4081">
            <w:pPr>
              <w:jc w:val="right"/>
              <w:rPr>
                <w:snapToGrid/>
                <w:color w:val="000000"/>
                <w:sz w:val="18"/>
                <w:szCs w:val="18"/>
                <w:lang w:eastAsia="en-AU"/>
              </w:rPr>
            </w:pPr>
            <w:r w:rsidRPr="002D4081">
              <w:rPr>
                <w:snapToGrid/>
                <w:color w:val="000000"/>
                <w:sz w:val="18"/>
                <w:szCs w:val="18"/>
                <w:lang w:eastAsia="en-AU"/>
              </w:rPr>
              <w:t>77</w:t>
            </w:r>
          </w:p>
        </w:tc>
        <w:tc>
          <w:tcPr>
            <w:tcW w:w="1380" w:type="dxa"/>
            <w:tcBorders>
              <w:top w:val="nil"/>
              <w:left w:val="nil"/>
              <w:bottom w:val="nil"/>
              <w:right w:val="nil"/>
            </w:tcBorders>
            <w:shd w:val="clear" w:color="auto" w:fill="auto"/>
            <w:noWrap/>
            <w:hideMark/>
          </w:tcPr>
          <w:p w:rsidR="002D4081" w:rsidRPr="002D4081" w:rsidRDefault="002D4081" w:rsidP="002D4081">
            <w:pPr>
              <w:jc w:val="right"/>
              <w:rPr>
                <w:snapToGrid/>
                <w:color w:val="000000"/>
                <w:sz w:val="18"/>
                <w:szCs w:val="18"/>
                <w:lang w:eastAsia="en-AU"/>
              </w:rPr>
            </w:pPr>
            <w:r w:rsidRPr="002D4081">
              <w:rPr>
                <w:snapToGrid/>
                <w:color w:val="000000"/>
                <w:sz w:val="18"/>
                <w:szCs w:val="18"/>
                <w:lang w:eastAsia="en-AU"/>
              </w:rPr>
              <w:t>50,545</w:t>
            </w:r>
          </w:p>
        </w:tc>
        <w:tc>
          <w:tcPr>
            <w:tcW w:w="1520" w:type="dxa"/>
            <w:tcBorders>
              <w:top w:val="nil"/>
              <w:left w:val="nil"/>
              <w:bottom w:val="nil"/>
              <w:right w:val="nil"/>
            </w:tcBorders>
            <w:shd w:val="clear" w:color="auto" w:fill="auto"/>
            <w:noWrap/>
            <w:hideMark/>
          </w:tcPr>
          <w:p w:rsidR="002D4081" w:rsidRPr="002D4081" w:rsidRDefault="002D4081" w:rsidP="002D4081">
            <w:pPr>
              <w:jc w:val="right"/>
              <w:rPr>
                <w:snapToGrid/>
                <w:color w:val="000000"/>
                <w:sz w:val="18"/>
                <w:szCs w:val="18"/>
                <w:lang w:eastAsia="en-AU"/>
              </w:rPr>
            </w:pPr>
            <w:r w:rsidRPr="002D4081">
              <w:rPr>
                <w:snapToGrid/>
                <w:color w:val="000000"/>
                <w:sz w:val="18"/>
                <w:szCs w:val="18"/>
                <w:lang w:eastAsia="en-AU"/>
              </w:rPr>
              <w:t>11%</w:t>
            </w:r>
          </w:p>
        </w:tc>
        <w:tc>
          <w:tcPr>
            <w:tcW w:w="1640" w:type="dxa"/>
            <w:tcBorders>
              <w:top w:val="nil"/>
              <w:left w:val="nil"/>
              <w:bottom w:val="nil"/>
              <w:right w:val="nil"/>
            </w:tcBorders>
            <w:shd w:val="clear" w:color="auto" w:fill="auto"/>
            <w:noWrap/>
            <w:hideMark/>
          </w:tcPr>
          <w:p w:rsidR="002D4081" w:rsidRPr="002D4081" w:rsidRDefault="002D4081" w:rsidP="002D4081">
            <w:pPr>
              <w:jc w:val="right"/>
              <w:rPr>
                <w:snapToGrid/>
                <w:color w:val="000000"/>
                <w:sz w:val="18"/>
                <w:szCs w:val="18"/>
                <w:lang w:eastAsia="en-AU"/>
              </w:rPr>
            </w:pPr>
            <w:r w:rsidRPr="002D4081">
              <w:rPr>
                <w:snapToGrid/>
                <w:color w:val="000000"/>
                <w:sz w:val="18"/>
                <w:szCs w:val="18"/>
                <w:lang w:eastAsia="en-AU"/>
              </w:rPr>
              <w:t>2%</w:t>
            </w:r>
          </w:p>
        </w:tc>
      </w:tr>
      <w:tr w:rsidR="002D4081" w:rsidRPr="002D4081" w:rsidTr="002D4081">
        <w:trPr>
          <w:trHeight w:val="318"/>
        </w:trPr>
        <w:tc>
          <w:tcPr>
            <w:tcW w:w="1640" w:type="dxa"/>
            <w:tcBorders>
              <w:top w:val="nil"/>
              <w:left w:val="nil"/>
              <w:bottom w:val="nil"/>
              <w:right w:val="nil"/>
            </w:tcBorders>
            <w:shd w:val="clear" w:color="auto" w:fill="auto"/>
            <w:noWrap/>
            <w:hideMark/>
          </w:tcPr>
          <w:p w:rsidR="002D4081" w:rsidRPr="002D4081" w:rsidRDefault="002D4081" w:rsidP="002D4081">
            <w:pPr>
              <w:rPr>
                <w:snapToGrid/>
                <w:color w:val="000000"/>
                <w:sz w:val="18"/>
                <w:szCs w:val="18"/>
                <w:lang w:eastAsia="en-AU"/>
              </w:rPr>
            </w:pPr>
            <w:r w:rsidRPr="002D4081">
              <w:rPr>
                <w:snapToGrid/>
                <w:color w:val="000000"/>
                <w:sz w:val="18"/>
                <w:szCs w:val="18"/>
                <w:lang w:eastAsia="en-AU"/>
              </w:rPr>
              <w:t>0.150 - 0.199</w:t>
            </w:r>
          </w:p>
        </w:tc>
        <w:tc>
          <w:tcPr>
            <w:tcW w:w="1180" w:type="dxa"/>
            <w:tcBorders>
              <w:top w:val="nil"/>
              <w:left w:val="nil"/>
              <w:bottom w:val="nil"/>
              <w:right w:val="nil"/>
            </w:tcBorders>
            <w:shd w:val="clear" w:color="auto" w:fill="auto"/>
            <w:noWrap/>
            <w:hideMark/>
          </w:tcPr>
          <w:p w:rsidR="002D4081" w:rsidRPr="002D4081" w:rsidRDefault="002D4081" w:rsidP="002D4081">
            <w:pPr>
              <w:jc w:val="right"/>
              <w:rPr>
                <w:snapToGrid/>
                <w:color w:val="000000"/>
                <w:sz w:val="18"/>
                <w:szCs w:val="18"/>
                <w:lang w:eastAsia="en-AU"/>
              </w:rPr>
            </w:pPr>
            <w:r w:rsidRPr="002D4081">
              <w:rPr>
                <w:snapToGrid/>
                <w:color w:val="000000"/>
                <w:sz w:val="18"/>
                <w:szCs w:val="18"/>
                <w:lang w:eastAsia="en-AU"/>
              </w:rPr>
              <w:t>53</w:t>
            </w:r>
          </w:p>
        </w:tc>
        <w:tc>
          <w:tcPr>
            <w:tcW w:w="1380" w:type="dxa"/>
            <w:tcBorders>
              <w:top w:val="nil"/>
              <w:left w:val="nil"/>
              <w:bottom w:val="nil"/>
              <w:right w:val="nil"/>
            </w:tcBorders>
            <w:shd w:val="clear" w:color="auto" w:fill="auto"/>
            <w:noWrap/>
            <w:hideMark/>
          </w:tcPr>
          <w:p w:rsidR="002D4081" w:rsidRPr="002D4081" w:rsidRDefault="002D4081" w:rsidP="002D4081">
            <w:pPr>
              <w:jc w:val="right"/>
              <w:rPr>
                <w:snapToGrid/>
                <w:color w:val="000000"/>
                <w:sz w:val="18"/>
                <w:szCs w:val="18"/>
                <w:lang w:eastAsia="en-AU"/>
              </w:rPr>
            </w:pPr>
            <w:r w:rsidRPr="002D4081">
              <w:rPr>
                <w:snapToGrid/>
                <w:color w:val="000000"/>
                <w:sz w:val="18"/>
                <w:szCs w:val="18"/>
                <w:lang w:eastAsia="en-AU"/>
              </w:rPr>
              <w:t>29,426</w:t>
            </w:r>
          </w:p>
        </w:tc>
        <w:tc>
          <w:tcPr>
            <w:tcW w:w="1520" w:type="dxa"/>
            <w:tcBorders>
              <w:top w:val="nil"/>
              <w:left w:val="nil"/>
              <w:bottom w:val="nil"/>
              <w:right w:val="nil"/>
            </w:tcBorders>
            <w:shd w:val="clear" w:color="auto" w:fill="auto"/>
            <w:noWrap/>
            <w:hideMark/>
          </w:tcPr>
          <w:p w:rsidR="002D4081" w:rsidRPr="002D4081" w:rsidRDefault="002D4081" w:rsidP="002D4081">
            <w:pPr>
              <w:jc w:val="right"/>
              <w:rPr>
                <w:snapToGrid/>
                <w:color w:val="000000"/>
                <w:sz w:val="18"/>
                <w:szCs w:val="18"/>
                <w:lang w:eastAsia="en-AU"/>
              </w:rPr>
            </w:pPr>
            <w:r w:rsidRPr="002D4081">
              <w:rPr>
                <w:snapToGrid/>
                <w:color w:val="000000"/>
                <w:sz w:val="18"/>
                <w:szCs w:val="18"/>
                <w:lang w:eastAsia="en-AU"/>
              </w:rPr>
              <w:t>8%</w:t>
            </w:r>
          </w:p>
        </w:tc>
        <w:tc>
          <w:tcPr>
            <w:tcW w:w="1640" w:type="dxa"/>
            <w:tcBorders>
              <w:top w:val="nil"/>
              <w:left w:val="nil"/>
              <w:bottom w:val="nil"/>
              <w:right w:val="nil"/>
            </w:tcBorders>
            <w:shd w:val="clear" w:color="auto" w:fill="auto"/>
            <w:noWrap/>
            <w:hideMark/>
          </w:tcPr>
          <w:p w:rsidR="002D4081" w:rsidRPr="002D4081" w:rsidRDefault="002D4081" w:rsidP="002D4081">
            <w:pPr>
              <w:jc w:val="right"/>
              <w:rPr>
                <w:snapToGrid/>
                <w:color w:val="000000"/>
                <w:sz w:val="18"/>
                <w:szCs w:val="18"/>
                <w:lang w:eastAsia="en-AU"/>
              </w:rPr>
            </w:pPr>
            <w:r w:rsidRPr="002D4081">
              <w:rPr>
                <w:snapToGrid/>
                <w:color w:val="000000"/>
                <w:sz w:val="18"/>
                <w:szCs w:val="18"/>
                <w:lang w:eastAsia="en-AU"/>
              </w:rPr>
              <w:t>1%</w:t>
            </w:r>
          </w:p>
        </w:tc>
      </w:tr>
      <w:tr w:rsidR="002D4081" w:rsidRPr="002D4081" w:rsidTr="002D4081">
        <w:trPr>
          <w:trHeight w:val="318"/>
        </w:trPr>
        <w:tc>
          <w:tcPr>
            <w:tcW w:w="1640" w:type="dxa"/>
            <w:tcBorders>
              <w:top w:val="nil"/>
              <w:left w:val="nil"/>
              <w:bottom w:val="nil"/>
              <w:right w:val="nil"/>
            </w:tcBorders>
            <w:shd w:val="clear" w:color="auto" w:fill="auto"/>
            <w:noWrap/>
            <w:hideMark/>
          </w:tcPr>
          <w:p w:rsidR="002D4081" w:rsidRPr="002D4081" w:rsidRDefault="002D4081" w:rsidP="002D4081">
            <w:pPr>
              <w:rPr>
                <w:snapToGrid/>
                <w:color w:val="000000"/>
                <w:sz w:val="18"/>
                <w:szCs w:val="18"/>
                <w:lang w:eastAsia="en-AU"/>
              </w:rPr>
            </w:pPr>
            <w:r w:rsidRPr="002D4081">
              <w:rPr>
                <w:snapToGrid/>
                <w:color w:val="000000"/>
                <w:sz w:val="18"/>
                <w:szCs w:val="18"/>
                <w:lang w:eastAsia="en-AU"/>
              </w:rPr>
              <w:t>0.200 - 0.399</w:t>
            </w:r>
          </w:p>
        </w:tc>
        <w:tc>
          <w:tcPr>
            <w:tcW w:w="1180" w:type="dxa"/>
            <w:tcBorders>
              <w:top w:val="nil"/>
              <w:left w:val="nil"/>
              <w:bottom w:val="nil"/>
              <w:right w:val="nil"/>
            </w:tcBorders>
            <w:shd w:val="clear" w:color="auto" w:fill="auto"/>
            <w:noWrap/>
            <w:hideMark/>
          </w:tcPr>
          <w:p w:rsidR="002D4081" w:rsidRPr="002D4081" w:rsidRDefault="002D4081" w:rsidP="002D4081">
            <w:pPr>
              <w:jc w:val="right"/>
              <w:rPr>
                <w:snapToGrid/>
                <w:color w:val="000000"/>
                <w:sz w:val="18"/>
                <w:szCs w:val="18"/>
                <w:lang w:eastAsia="en-AU"/>
              </w:rPr>
            </w:pPr>
            <w:r w:rsidRPr="002D4081">
              <w:rPr>
                <w:snapToGrid/>
                <w:color w:val="000000"/>
                <w:sz w:val="18"/>
                <w:szCs w:val="18"/>
                <w:lang w:eastAsia="en-AU"/>
              </w:rPr>
              <w:t>95</w:t>
            </w:r>
          </w:p>
        </w:tc>
        <w:tc>
          <w:tcPr>
            <w:tcW w:w="1380" w:type="dxa"/>
            <w:tcBorders>
              <w:top w:val="nil"/>
              <w:left w:val="nil"/>
              <w:bottom w:val="nil"/>
              <w:right w:val="nil"/>
            </w:tcBorders>
            <w:shd w:val="clear" w:color="auto" w:fill="auto"/>
            <w:noWrap/>
            <w:hideMark/>
          </w:tcPr>
          <w:p w:rsidR="002D4081" w:rsidRPr="002D4081" w:rsidRDefault="002D4081" w:rsidP="002D4081">
            <w:pPr>
              <w:jc w:val="right"/>
              <w:rPr>
                <w:snapToGrid/>
                <w:color w:val="000000"/>
                <w:sz w:val="18"/>
                <w:szCs w:val="18"/>
                <w:lang w:eastAsia="en-AU"/>
              </w:rPr>
            </w:pPr>
            <w:r w:rsidRPr="002D4081">
              <w:rPr>
                <w:snapToGrid/>
                <w:color w:val="000000"/>
                <w:sz w:val="18"/>
                <w:szCs w:val="18"/>
                <w:lang w:eastAsia="en-AU"/>
              </w:rPr>
              <w:t>27,797</w:t>
            </w:r>
          </w:p>
        </w:tc>
        <w:tc>
          <w:tcPr>
            <w:tcW w:w="1520" w:type="dxa"/>
            <w:tcBorders>
              <w:top w:val="nil"/>
              <w:left w:val="nil"/>
              <w:bottom w:val="nil"/>
              <w:right w:val="nil"/>
            </w:tcBorders>
            <w:shd w:val="clear" w:color="auto" w:fill="auto"/>
            <w:noWrap/>
            <w:hideMark/>
          </w:tcPr>
          <w:p w:rsidR="002D4081" w:rsidRPr="002D4081" w:rsidRDefault="002D4081" w:rsidP="002D4081">
            <w:pPr>
              <w:jc w:val="right"/>
              <w:rPr>
                <w:snapToGrid/>
                <w:color w:val="000000"/>
                <w:sz w:val="18"/>
                <w:szCs w:val="18"/>
                <w:lang w:eastAsia="en-AU"/>
              </w:rPr>
            </w:pPr>
            <w:r w:rsidRPr="002D4081">
              <w:rPr>
                <w:snapToGrid/>
                <w:color w:val="000000"/>
                <w:sz w:val="18"/>
                <w:szCs w:val="18"/>
                <w:lang w:eastAsia="en-AU"/>
              </w:rPr>
              <w:t>14%</w:t>
            </w:r>
          </w:p>
        </w:tc>
        <w:tc>
          <w:tcPr>
            <w:tcW w:w="1640" w:type="dxa"/>
            <w:tcBorders>
              <w:top w:val="nil"/>
              <w:left w:val="nil"/>
              <w:bottom w:val="nil"/>
              <w:right w:val="nil"/>
            </w:tcBorders>
            <w:shd w:val="clear" w:color="auto" w:fill="auto"/>
            <w:noWrap/>
            <w:hideMark/>
          </w:tcPr>
          <w:p w:rsidR="002D4081" w:rsidRPr="002D4081" w:rsidRDefault="002D4081" w:rsidP="002D4081">
            <w:pPr>
              <w:jc w:val="right"/>
              <w:rPr>
                <w:snapToGrid/>
                <w:color w:val="000000"/>
                <w:sz w:val="18"/>
                <w:szCs w:val="18"/>
                <w:lang w:eastAsia="en-AU"/>
              </w:rPr>
            </w:pPr>
            <w:r w:rsidRPr="002D4081">
              <w:rPr>
                <w:snapToGrid/>
                <w:color w:val="000000"/>
                <w:sz w:val="18"/>
                <w:szCs w:val="18"/>
                <w:lang w:eastAsia="en-AU"/>
              </w:rPr>
              <w:t>1%</w:t>
            </w:r>
          </w:p>
        </w:tc>
      </w:tr>
      <w:tr w:rsidR="002D4081" w:rsidRPr="002D4081" w:rsidTr="002D4081">
        <w:trPr>
          <w:trHeight w:val="318"/>
        </w:trPr>
        <w:tc>
          <w:tcPr>
            <w:tcW w:w="1640" w:type="dxa"/>
            <w:tcBorders>
              <w:top w:val="nil"/>
              <w:left w:val="nil"/>
              <w:bottom w:val="nil"/>
              <w:right w:val="nil"/>
            </w:tcBorders>
            <w:shd w:val="clear" w:color="auto" w:fill="auto"/>
            <w:noWrap/>
            <w:hideMark/>
          </w:tcPr>
          <w:p w:rsidR="002D4081" w:rsidRPr="002D4081" w:rsidRDefault="002D4081" w:rsidP="002D4081">
            <w:pPr>
              <w:rPr>
                <w:snapToGrid/>
                <w:color w:val="000000"/>
                <w:sz w:val="18"/>
                <w:szCs w:val="18"/>
                <w:lang w:eastAsia="en-AU"/>
              </w:rPr>
            </w:pPr>
            <w:r w:rsidRPr="002D4081">
              <w:rPr>
                <w:snapToGrid/>
                <w:color w:val="000000"/>
                <w:sz w:val="18"/>
                <w:szCs w:val="18"/>
                <w:lang w:eastAsia="en-AU"/>
              </w:rPr>
              <w:t xml:space="preserve">0.400 + </w:t>
            </w:r>
          </w:p>
        </w:tc>
        <w:tc>
          <w:tcPr>
            <w:tcW w:w="1180" w:type="dxa"/>
            <w:tcBorders>
              <w:top w:val="nil"/>
              <w:left w:val="nil"/>
              <w:bottom w:val="nil"/>
              <w:right w:val="nil"/>
            </w:tcBorders>
            <w:shd w:val="clear" w:color="auto" w:fill="auto"/>
            <w:noWrap/>
            <w:hideMark/>
          </w:tcPr>
          <w:p w:rsidR="002D4081" w:rsidRPr="002D4081" w:rsidRDefault="002D4081" w:rsidP="002D4081">
            <w:pPr>
              <w:jc w:val="right"/>
              <w:rPr>
                <w:snapToGrid/>
                <w:color w:val="000000"/>
                <w:sz w:val="18"/>
                <w:szCs w:val="18"/>
                <w:lang w:eastAsia="en-AU"/>
              </w:rPr>
            </w:pPr>
            <w:r w:rsidRPr="002D4081">
              <w:rPr>
                <w:snapToGrid/>
                <w:color w:val="000000"/>
                <w:sz w:val="18"/>
                <w:szCs w:val="18"/>
                <w:lang w:eastAsia="en-AU"/>
              </w:rPr>
              <w:t>88</w:t>
            </w:r>
          </w:p>
        </w:tc>
        <w:tc>
          <w:tcPr>
            <w:tcW w:w="1380" w:type="dxa"/>
            <w:tcBorders>
              <w:top w:val="nil"/>
              <w:left w:val="nil"/>
              <w:bottom w:val="nil"/>
              <w:right w:val="nil"/>
            </w:tcBorders>
            <w:shd w:val="clear" w:color="auto" w:fill="auto"/>
            <w:noWrap/>
            <w:hideMark/>
          </w:tcPr>
          <w:p w:rsidR="002D4081" w:rsidRPr="002D4081" w:rsidRDefault="002D4081" w:rsidP="002D4081">
            <w:pPr>
              <w:jc w:val="right"/>
              <w:rPr>
                <w:snapToGrid/>
                <w:color w:val="000000"/>
                <w:sz w:val="18"/>
                <w:szCs w:val="18"/>
                <w:lang w:eastAsia="en-AU"/>
              </w:rPr>
            </w:pPr>
            <w:r w:rsidRPr="002D4081">
              <w:rPr>
                <w:snapToGrid/>
                <w:color w:val="000000"/>
                <w:sz w:val="18"/>
                <w:szCs w:val="18"/>
                <w:lang w:eastAsia="en-AU"/>
              </w:rPr>
              <w:t>11,107</w:t>
            </w:r>
          </w:p>
        </w:tc>
        <w:tc>
          <w:tcPr>
            <w:tcW w:w="1520" w:type="dxa"/>
            <w:tcBorders>
              <w:top w:val="nil"/>
              <w:left w:val="nil"/>
              <w:bottom w:val="nil"/>
              <w:right w:val="nil"/>
            </w:tcBorders>
            <w:shd w:val="clear" w:color="auto" w:fill="auto"/>
            <w:noWrap/>
            <w:hideMark/>
          </w:tcPr>
          <w:p w:rsidR="002D4081" w:rsidRPr="002D4081" w:rsidRDefault="002D4081" w:rsidP="002D4081">
            <w:pPr>
              <w:jc w:val="right"/>
              <w:rPr>
                <w:snapToGrid/>
                <w:color w:val="000000"/>
                <w:sz w:val="18"/>
                <w:szCs w:val="18"/>
                <w:lang w:eastAsia="en-AU"/>
              </w:rPr>
            </w:pPr>
            <w:r w:rsidRPr="002D4081">
              <w:rPr>
                <w:snapToGrid/>
                <w:color w:val="000000"/>
                <w:sz w:val="18"/>
                <w:szCs w:val="18"/>
                <w:lang w:eastAsia="en-AU"/>
              </w:rPr>
              <w:t>13%</w:t>
            </w:r>
          </w:p>
        </w:tc>
        <w:tc>
          <w:tcPr>
            <w:tcW w:w="1640" w:type="dxa"/>
            <w:tcBorders>
              <w:top w:val="nil"/>
              <w:left w:val="nil"/>
              <w:bottom w:val="nil"/>
              <w:right w:val="nil"/>
            </w:tcBorders>
            <w:shd w:val="clear" w:color="auto" w:fill="auto"/>
            <w:noWrap/>
            <w:hideMark/>
          </w:tcPr>
          <w:p w:rsidR="002D4081" w:rsidRPr="002D4081" w:rsidRDefault="002D4081" w:rsidP="002D4081">
            <w:pPr>
              <w:jc w:val="right"/>
              <w:rPr>
                <w:snapToGrid/>
                <w:color w:val="000000"/>
                <w:sz w:val="18"/>
                <w:szCs w:val="18"/>
                <w:lang w:eastAsia="en-AU"/>
              </w:rPr>
            </w:pPr>
            <w:r w:rsidRPr="002D4081">
              <w:rPr>
                <w:snapToGrid/>
                <w:color w:val="000000"/>
                <w:sz w:val="18"/>
                <w:szCs w:val="18"/>
                <w:lang w:eastAsia="en-AU"/>
              </w:rPr>
              <w:t>0%</w:t>
            </w:r>
          </w:p>
        </w:tc>
      </w:tr>
      <w:tr w:rsidR="002D4081" w:rsidRPr="002D4081" w:rsidTr="002D4081">
        <w:trPr>
          <w:trHeight w:val="318"/>
        </w:trPr>
        <w:tc>
          <w:tcPr>
            <w:tcW w:w="1640" w:type="dxa"/>
            <w:tcBorders>
              <w:top w:val="single" w:sz="4" w:space="0" w:color="A32020"/>
              <w:left w:val="nil"/>
              <w:bottom w:val="single" w:sz="8" w:space="0" w:color="A32020"/>
              <w:right w:val="nil"/>
            </w:tcBorders>
            <w:shd w:val="clear" w:color="auto" w:fill="auto"/>
            <w:noWrap/>
            <w:hideMark/>
          </w:tcPr>
          <w:p w:rsidR="002D4081" w:rsidRPr="002D4081" w:rsidRDefault="002D4081" w:rsidP="002D4081">
            <w:pPr>
              <w:rPr>
                <w:b/>
                <w:bCs/>
                <w:snapToGrid/>
                <w:color w:val="000000"/>
                <w:sz w:val="18"/>
                <w:szCs w:val="18"/>
                <w:lang w:eastAsia="en-AU"/>
              </w:rPr>
            </w:pPr>
            <w:r w:rsidRPr="002D4081">
              <w:rPr>
                <w:b/>
                <w:bCs/>
                <w:snapToGrid/>
                <w:color w:val="000000"/>
                <w:sz w:val="18"/>
                <w:szCs w:val="18"/>
                <w:lang w:eastAsia="en-AU"/>
              </w:rPr>
              <w:t>Total*</w:t>
            </w:r>
          </w:p>
        </w:tc>
        <w:tc>
          <w:tcPr>
            <w:tcW w:w="1180" w:type="dxa"/>
            <w:tcBorders>
              <w:top w:val="single" w:sz="4" w:space="0" w:color="A32020"/>
              <w:left w:val="nil"/>
              <w:bottom w:val="single" w:sz="8" w:space="0" w:color="A32020"/>
              <w:right w:val="nil"/>
            </w:tcBorders>
            <w:shd w:val="clear" w:color="auto" w:fill="auto"/>
            <w:noWrap/>
            <w:hideMark/>
          </w:tcPr>
          <w:p w:rsidR="002D4081" w:rsidRPr="002D4081" w:rsidRDefault="002D4081" w:rsidP="002D4081">
            <w:pPr>
              <w:jc w:val="right"/>
              <w:rPr>
                <w:b/>
                <w:bCs/>
                <w:snapToGrid/>
                <w:color w:val="000000"/>
                <w:sz w:val="18"/>
                <w:szCs w:val="18"/>
                <w:lang w:eastAsia="en-AU"/>
              </w:rPr>
            </w:pPr>
            <w:r w:rsidRPr="002D4081">
              <w:rPr>
                <w:b/>
                <w:bCs/>
                <w:snapToGrid/>
                <w:color w:val="000000"/>
                <w:sz w:val="18"/>
                <w:szCs w:val="18"/>
                <w:lang w:eastAsia="en-AU"/>
              </w:rPr>
              <w:t>685</w:t>
            </w:r>
          </w:p>
        </w:tc>
        <w:tc>
          <w:tcPr>
            <w:tcW w:w="1380" w:type="dxa"/>
            <w:tcBorders>
              <w:top w:val="single" w:sz="4" w:space="0" w:color="A32020"/>
              <w:left w:val="nil"/>
              <w:bottom w:val="single" w:sz="8" w:space="0" w:color="A32020"/>
              <w:right w:val="nil"/>
            </w:tcBorders>
            <w:shd w:val="clear" w:color="auto" w:fill="auto"/>
            <w:noWrap/>
            <w:hideMark/>
          </w:tcPr>
          <w:p w:rsidR="002D4081" w:rsidRPr="002D4081" w:rsidRDefault="002D4081" w:rsidP="002D4081">
            <w:pPr>
              <w:jc w:val="right"/>
              <w:rPr>
                <w:b/>
                <w:bCs/>
                <w:snapToGrid/>
                <w:color w:val="000000"/>
                <w:sz w:val="18"/>
                <w:szCs w:val="18"/>
                <w:lang w:eastAsia="en-AU"/>
              </w:rPr>
            </w:pPr>
            <w:r w:rsidRPr="002D4081">
              <w:rPr>
                <w:b/>
                <w:bCs/>
                <w:snapToGrid/>
                <w:color w:val="000000"/>
                <w:sz w:val="18"/>
                <w:szCs w:val="18"/>
                <w:lang w:eastAsia="en-AU"/>
              </w:rPr>
              <w:t>2,827,919*</w:t>
            </w:r>
          </w:p>
        </w:tc>
        <w:tc>
          <w:tcPr>
            <w:tcW w:w="1520" w:type="dxa"/>
            <w:tcBorders>
              <w:top w:val="single" w:sz="4" w:space="0" w:color="A32020"/>
              <w:left w:val="nil"/>
              <w:bottom w:val="single" w:sz="8" w:space="0" w:color="A32020"/>
              <w:right w:val="nil"/>
            </w:tcBorders>
            <w:shd w:val="clear" w:color="auto" w:fill="auto"/>
            <w:noWrap/>
            <w:hideMark/>
          </w:tcPr>
          <w:p w:rsidR="002D4081" w:rsidRPr="002D4081" w:rsidRDefault="002D4081" w:rsidP="002D4081">
            <w:pPr>
              <w:jc w:val="right"/>
              <w:rPr>
                <w:b/>
                <w:bCs/>
                <w:snapToGrid/>
                <w:color w:val="000000"/>
                <w:sz w:val="18"/>
                <w:szCs w:val="18"/>
                <w:lang w:eastAsia="en-AU"/>
              </w:rPr>
            </w:pPr>
            <w:r w:rsidRPr="002D4081">
              <w:rPr>
                <w:b/>
                <w:bCs/>
                <w:snapToGrid/>
                <w:color w:val="000000"/>
                <w:sz w:val="18"/>
                <w:szCs w:val="18"/>
                <w:lang w:eastAsia="en-AU"/>
              </w:rPr>
              <w:t>100%</w:t>
            </w:r>
          </w:p>
        </w:tc>
        <w:tc>
          <w:tcPr>
            <w:tcW w:w="1640" w:type="dxa"/>
            <w:tcBorders>
              <w:top w:val="single" w:sz="4" w:space="0" w:color="A32020"/>
              <w:left w:val="nil"/>
              <w:bottom w:val="single" w:sz="8" w:space="0" w:color="A32020"/>
              <w:right w:val="nil"/>
            </w:tcBorders>
            <w:shd w:val="clear" w:color="auto" w:fill="auto"/>
            <w:noWrap/>
            <w:hideMark/>
          </w:tcPr>
          <w:p w:rsidR="002D4081" w:rsidRPr="002D4081" w:rsidRDefault="002D4081" w:rsidP="002D4081">
            <w:pPr>
              <w:jc w:val="right"/>
              <w:rPr>
                <w:b/>
                <w:bCs/>
                <w:snapToGrid/>
                <w:color w:val="000000"/>
                <w:sz w:val="18"/>
                <w:szCs w:val="18"/>
                <w:lang w:eastAsia="en-AU"/>
              </w:rPr>
            </w:pPr>
            <w:r w:rsidRPr="002D4081">
              <w:rPr>
                <w:b/>
                <w:bCs/>
                <w:snapToGrid/>
                <w:color w:val="000000"/>
                <w:sz w:val="18"/>
                <w:szCs w:val="18"/>
                <w:lang w:eastAsia="en-AU"/>
              </w:rPr>
              <w:t>100%</w:t>
            </w:r>
          </w:p>
        </w:tc>
      </w:tr>
    </w:tbl>
    <w:p w:rsidR="002D4081" w:rsidRDefault="002D4081" w:rsidP="00A5049B">
      <w:pPr>
        <w:pStyle w:val="PwCNormal"/>
        <w:numPr>
          <w:ilvl w:val="0"/>
          <w:numId w:val="0"/>
        </w:numPr>
      </w:pPr>
      <w:r w:rsidRPr="002D4081">
        <w:t>* The standard error for some DRGs cannot be estimated due to low separation counts in the sample.</w:t>
      </w:r>
    </w:p>
    <w:p w:rsidR="002A55A1" w:rsidRPr="000051B6" w:rsidRDefault="0093329D" w:rsidP="00A5049B">
      <w:pPr>
        <w:pStyle w:val="PwCNormal"/>
        <w:numPr>
          <w:ilvl w:val="0"/>
          <w:numId w:val="0"/>
        </w:numPr>
        <w:rPr>
          <w:highlight w:val="yellow"/>
        </w:rPr>
      </w:pPr>
      <w:r w:rsidRPr="000051B6">
        <w:t xml:space="preserve">The results above show that </w:t>
      </w:r>
      <w:r w:rsidR="00FF4AD0" w:rsidRPr="000051B6">
        <w:t>54</w:t>
      </w:r>
      <w:r w:rsidRPr="000051B6">
        <w:t>% (</w:t>
      </w:r>
      <w:r w:rsidR="00FF4AD0" w:rsidRPr="000051B6">
        <w:t>33</w:t>
      </w:r>
      <w:r w:rsidRPr="000051B6">
        <w:t xml:space="preserve">% + </w:t>
      </w:r>
      <w:r w:rsidR="00FF4AD0" w:rsidRPr="000051B6">
        <w:t>21</w:t>
      </w:r>
      <w:r w:rsidRPr="000051B6">
        <w:t xml:space="preserve">%) of </w:t>
      </w:r>
      <w:r w:rsidR="00366751" w:rsidRPr="000051B6">
        <w:t>AR-</w:t>
      </w:r>
      <w:r w:rsidRPr="000051B6">
        <w:t xml:space="preserve">DRGs have cost weight estimates with a standard error range of less than 0.1. </w:t>
      </w:r>
      <w:r w:rsidR="00B03803" w:rsidRPr="000051B6">
        <w:t xml:space="preserve">Around </w:t>
      </w:r>
      <w:r w:rsidRPr="000051B6">
        <w:t>9</w:t>
      </w:r>
      <w:r w:rsidR="00B03803" w:rsidRPr="000051B6">
        <w:t>6</w:t>
      </w:r>
      <w:r w:rsidRPr="000051B6">
        <w:t xml:space="preserve">% </w:t>
      </w:r>
      <w:r w:rsidR="00B03803" w:rsidRPr="000051B6">
        <w:t xml:space="preserve">(89% + 7%) </w:t>
      </w:r>
      <w:r w:rsidRPr="000051B6">
        <w:t xml:space="preserve">of separations are within the subset of </w:t>
      </w:r>
      <w:r w:rsidR="00592C6B" w:rsidRPr="000051B6">
        <w:t>AR-</w:t>
      </w:r>
      <w:r w:rsidRPr="000051B6">
        <w:t>DRGs that have standard error</w:t>
      </w:r>
      <w:r w:rsidR="00FF4AD0" w:rsidRPr="000051B6">
        <w:t xml:space="preserve"> less than 0.1</w:t>
      </w:r>
      <w:r w:rsidRPr="000051B6">
        <w:t>.</w:t>
      </w:r>
    </w:p>
    <w:p w:rsidR="002A55A1" w:rsidRPr="000051B6" w:rsidRDefault="002A55A1" w:rsidP="002A55A1">
      <w:pPr>
        <w:pStyle w:val="BodyText"/>
        <w:rPr>
          <w:highlight w:val="yellow"/>
        </w:rPr>
        <w:sectPr w:rsidR="002A55A1" w:rsidRPr="000051B6" w:rsidSect="00B31BBC">
          <w:headerReference w:type="first" r:id="rId44"/>
          <w:type w:val="oddPage"/>
          <w:pgSz w:w="11907" w:h="16840" w:code="9"/>
          <w:pgMar w:top="1021" w:right="1134" w:bottom="1021" w:left="1418" w:header="567" w:footer="567" w:gutter="0"/>
          <w:cols w:space="227"/>
          <w:titlePg/>
          <w:docGrid w:linePitch="360"/>
        </w:sectPr>
      </w:pPr>
    </w:p>
    <w:p w:rsidR="00CE4910" w:rsidRPr="000051B6" w:rsidRDefault="0026421E" w:rsidP="0026421E">
      <w:pPr>
        <w:pStyle w:val="Heading1"/>
        <w:numPr>
          <w:ilvl w:val="0"/>
          <w:numId w:val="0"/>
        </w:numPr>
        <w:rPr>
          <w:rFonts w:asciiTheme="majorHAnsi" w:hAnsiTheme="majorHAnsi"/>
        </w:rPr>
      </w:pPr>
      <w:bookmarkStart w:id="230" w:name="_Toc356830903"/>
      <w:bookmarkStart w:id="231" w:name="_Toc401133778"/>
      <w:bookmarkStart w:id="232" w:name="_Toc401133812"/>
      <w:bookmarkStart w:id="233" w:name="_Ref404551388"/>
      <w:bookmarkStart w:id="234" w:name="_Toc430010948"/>
      <w:bookmarkStart w:id="235" w:name="_Ref430247171"/>
      <w:bookmarkStart w:id="236" w:name="_Ref430338461"/>
      <w:bookmarkStart w:id="237" w:name="_Ref430338462"/>
      <w:bookmarkStart w:id="238" w:name="_Ref430348620"/>
      <w:bookmarkStart w:id="239" w:name="_Ref430348632"/>
      <w:bookmarkStart w:id="240" w:name="_Ref430348640"/>
      <w:bookmarkStart w:id="241" w:name="_Ref431563279"/>
      <w:bookmarkStart w:id="242" w:name="_Ref433984344"/>
      <w:bookmarkStart w:id="243" w:name="_Toc435611235"/>
      <w:bookmarkStart w:id="244" w:name="CVs"/>
      <w:r w:rsidRPr="000051B6">
        <w:rPr>
          <w:rFonts w:asciiTheme="majorHAnsi" w:hAnsiTheme="majorHAnsi"/>
        </w:rPr>
        <w:lastRenderedPageBreak/>
        <w:t xml:space="preserve">Appendix </w:t>
      </w:r>
      <w:r w:rsidR="00A37EFB" w:rsidRPr="000051B6">
        <w:rPr>
          <w:rFonts w:asciiTheme="majorHAnsi" w:hAnsiTheme="majorHAnsi"/>
        </w:rPr>
        <w:t>E</w:t>
      </w:r>
      <w:r w:rsidR="00FC6FCE" w:rsidRPr="000051B6">
        <w:rPr>
          <w:rFonts w:asciiTheme="majorHAnsi" w:hAnsiTheme="majorHAnsi"/>
        </w:rPr>
        <w:t xml:space="preserve">: </w:t>
      </w:r>
      <w:r w:rsidR="00172A8C" w:rsidRPr="000051B6">
        <w:rPr>
          <w:rFonts w:asciiTheme="majorHAnsi" w:hAnsiTheme="majorHAnsi"/>
        </w:rPr>
        <w:t xml:space="preserve">Cost weight tables by </w:t>
      </w:r>
      <w:r w:rsidR="006226CD" w:rsidRPr="000051B6">
        <w:rPr>
          <w:rFonts w:asciiTheme="majorHAnsi" w:hAnsiTheme="majorHAnsi"/>
        </w:rPr>
        <w:t>AR-</w:t>
      </w:r>
      <w:r w:rsidR="00172A8C" w:rsidRPr="000051B6">
        <w:rPr>
          <w:rFonts w:asciiTheme="majorHAnsi" w:hAnsiTheme="majorHAnsi"/>
        </w:rPr>
        <w:t>DRG</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bookmarkEnd w:id="244"/>
    <w:p w:rsidR="00BA3E74" w:rsidRPr="000051B6" w:rsidRDefault="0030106F" w:rsidP="00A1178A">
      <w:pPr>
        <w:pStyle w:val="PwCNormal"/>
        <w:numPr>
          <w:ilvl w:val="0"/>
          <w:numId w:val="0"/>
        </w:numPr>
        <w:spacing w:after="2040"/>
        <w:jc w:val="center"/>
      </w:pPr>
      <w:r w:rsidRPr="000051B6">
        <w:t>Intentionally left blank</w:t>
      </w:r>
    </w:p>
    <w:p w:rsidR="00272B0A" w:rsidRPr="000051B6" w:rsidRDefault="00272B0A">
      <w:pPr>
        <w:rPr>
          <w:highlight w:val="yellow"/>
        </w:rPr>
        <w:sectPr w:rsidR="00272B0A" w:rsidRPr="000051B6" w:rsidSect="00B31BBC">
          <w:headerReference w:type="default" r:id="rId45"/>
          <w:headerReference w:type="first" r:id="rId46"/>
          <w:pgSz w:w="16840" w:h="11907" w:orient="landscape" w:code="9"/>
          <w:pgMar w:top="1418" w:right="1021" w:bottom="1134" w:left="1021" w:header="567" w:footer="567" w:gutter="0"/>
          <w:cols w:space="227"/>
          <w:titlePg/>
          <w:docGrid w:linePitch="360"/>
        </w:sectPr>
      </w:pPr>
    </w:p>
    <w:p w:rsidR="00151F93" w:rsidRPr="000051B6" w:rsidRDefault="00D635C6" w:rsidP="00CC4585">
      <w:pPr>
        <w:pStyle w:val="Heading5"/>
        <w:numPr>
          <w:ilvl w:val="0"/>
          <w:numId w:val="0"/>
        </w:numPr>
        <w:spacing w:after="0"/>
        <w:ind w:left="1008" w:hanging="1008"/>
      </w:pPr>
      <w:r w:rsidRPr="000051B6">
        <w:lastRenderedPageBreak/>
        <w:t>Round 18</w:t>
      </w:r>
      <w:r w:rsidR="00151F93" w:rsidRPr="000051B6">
        <w:t xml:space="preserve"> (201</w:t>
      </w:r>
      <w:r w:rsidRPr="000051B6">
        <w:t>3</w:t>
      </w:r>
      <w:r w:rsidR="00151F93" w:rsidRPr="000051B6">
        <w:t>-1</w:t>
      </w:r>
      <w:r w:rsidRPr="000051B6">
        <w:t>4</w:t>
      </w:r>
      <w:r w:rsidR="00151F93" w:rsidRPr="000051B6">
        <w:t xml:space="preserve">) </w:t>
      </w:r>
      <w:r w:rsidR="00917A32" w:rsidRPr="000051B6">
        <w:t xml:space="preserve">national consolidation cost weight tables </w:t>
      </w:r>
    </w:p>
    <w:p w:rsidR="00151F93" w:rsidRPr="000051B6" w:rsidRDefault="00D635C6" w:rsidP="00A5049B">
      <w:pPr>
        <w:pStyle w:val="Heading6"/>
        <w:numPr>
          <w:ilvl w:val="0"/>
          <w:numId w:val="0"/>
        </w:numPr>
        <w:spacing w:after="240"/>
        <w:ind w:left="1151" w:hanging="1151"/>
      </w:pPr>
      <w:r w:rsidRPr="000051B6">
        <w:t>L</w:t>
      </w:r>
      <w:r w:rsidR="00151F93" w:rsidRPr="000051B6">
        <w:t xml:space="preserve">ist of </w:t>
      </w:r>
      <w:r w:rsidR="006B2A3B" w:rsidRPr="000051B6">
        <w:t>c</w:t>
      </w:r>
      <w:r w:rsidR="00151F93" w:rsidRPr="000051B6">
        <w:t xml:space="preserve">aveats and </w:t>
      </w:r>
      <w:r w:rsidR="006B2A3B" w:rsidRPr="000051B6">
        <w:t>n</w:t>
      </w:r>
      <w:r w:rsidR="00151F93" w:rsidRPr="000051B6">
        <w:t>otes for the Round 1</w:t>
      </w:r>
      <w:r w:rsidRPr="000051B6">
        <w:t>8</w:t>
      </w:r>
      <w:r w:rsidR="00151F93" w:rsidRPr="000051B6">
        <w:t xml:space="preserve"> National Hospital Cost Data Collection (NHCDC) </w:t>
      </w:r>
      <w:r w:rsidR="006B2A3B" w:rsidRPr="000051B6">
        <w:t>p</w:t>
      </w:r>
      <w:r w:rsidR="00151F93" w:rsidRPr="000051B6">
        <w:t xml:space="preserve">rivate </w:t>
      </w:r>
      <w:r w:rsidR="006B2A3B" w:rsidRPr="000051B6">
        <w:t>c</w:t>
      </w:r>
      <w:r w:rsidR="00151F93" w:rsidRPr="000051B6">
        <w:t xml:space="preserve">ost </w:t>
      </w:r>
      <w:r w:rsidR="006B2A3B" w:rsidRPr="000051B6">
        <w:t>w</w:t>
      </w:r>
      <w:r w:rsidR="00151F93" w:rsidRPr="000051B6">
        <w:t xml:space="preserve">eight </w:t>
      </w:r>
      <w:r w:rsidR="006B2A3B" w:rsidRPr="000051B6">
        <w:t>t</w:t>
      </w:r>
      <w:r w:rsidR="00151F93" w:rsidRPr="000051B6">
        <w:t xml:space="preserve">ables </w:t>
      </w:r>
    </w:p>
    <w:p w:rsidR="00151F93" w:rsidRPr="000051B6" w:rsidRDefault="00CC4585" w:rsidP="00CC4585">
      <w:pPr>
        <w:pStyle w:val="Heading6"/>
        <w:numPr>
          <w:ilvl w:val="0"/>
          <w:numId w:val="0"/>
        </w:numPr>
        <w:spacing w:before="0" w:after="0"/>
        <w:ind w:left="1152" w:hanging="1152"/>
      </w:pPr>
      <w:r w:rsidRPr="000051B6">
        <w:t>P</w:t>
      </w:r>
      <w:r w:rsidR="00A5049B">
        <w:t>rivate NHCDC</w:t>
      </w:r>
    </w:p>
    <w:p w:rsidR="00151F93" w:rsidRPr="000051B6" w:rsidRDefault="001762A0" w:rsidP="00C71B05">
      <w:pPr>
        <w:pStyle w:val="ListParagraph"/>
        <w:numPr>
          <w:ilvl w:val="0"/>
          <w:numId w:val="30"/>
        </w:numPr>
      </w:pPr>
      <w:r w:rsidRPr="000051B6">
        <w:t>For the NHCDC p</w:t>
      </w:r>
      <w:r w:rsidR="00151F93" w:rsidRPr="000051B6">
        <w:t xml:space="preserve">rivate </w:t>
      </w:r>
      <w:r w:rsidR="0031569D" w:rsidRPr="000051B6">
        <w:t>s</w:t>
      </w:r>
      <w:r w:rsidR="002D317E" w:rsidRPr="000051B6">
        <w:t>ector</w:t>
      </w:r>
      <w:r w:rsidR="00A5049B">
        <w:t xml:space="preserve"> data note:</w:t>
      </w:r>
      <w:r w:rsidR="00A5049B">
        <w:tab/>
      </w:r>
    </w:p>
    <w:p w:rsidR="00917A32" w:rsidRPr="000051B6" w:rsidRDefault="006D49A5" w:rsidP="00A5049B">
      <w:pPr>
        <w:pStyle w:val="ListParagraph"/>
        <w:numPr>
          <w:ilvl w:val="1"/>
          <w:numId w:val="30"/>
        </w:numPr>
        <w:spacing w:after="240"/>
        <w:contextualSpacing w:val="0"/>
      </w:pPr>
      <w:r w:rsidRPr="000051B6">
        <w:t>T</w:t>
      </w:r>
      <w:r w:rsidR="00151F93" w:rsidRPr="000051B6">
        <w:t>he Private Hospitals Data Bureau</w:t>
      </w:r>
      <w:r w:rsidR="00917A32" w:rsidRPr="000051B6">
        <w:t xml:space="preserve"> (PHDB)</w:t>
      </w:r>
      <w:r w:rsidR="00151F93" w:rsidRPr="000051B6">
        <w:t xml:space="preserve"> data may have been supplied inconsistently by some pri</w:t>
      </w:r>
      <w:r w:rsidR="00A5049B">
        <w:t xml:space="preserve">vate hospitals and as a result </w:t>
      </w:r>
      <w:r w:rsidR="00151F93" w:rsidRPr="000051B6">
        <w:t>national definitions such as care type ma</w:t>
      </w:r>
      <w:r w:rsidR="00A5049B">
        <w:t>y not be recorded consistently;</w:t>
      </w:r>
    </w:p>
    <w:p w:rsidR="00917A32" w:rsidRPr="000051B6" w:rsidRDefault="006D49A5" w:rsidP="00A5049B">
      <w:pPr>
        <w:pStyle w:val="ListParagraph"/>
        <w:numPr>
          <w:ilvl w:val="1"/>
          <w:numId w:val="30"/>
        </w:numPr>
        <w:spacing w:after="240"/>
        <w:contextualSpacing w:val="0"/>
      </w:pPr>
      <w:r w:rsidRPr="000051B6">
        <w:t>H</w:t>
      </w:r>
      <w:r w:rsidR="00151F93" w:rsidRPr="000051B6">
        <w:t xml:space="preserve">ospitals may not have provided the general ledger data in the requested format; this may result in some inappropriate allocation </w:t>
      </w:r>
      <w:r w:rsidR="00151F93" w:rsidRPr="000051B6">
        <w:tab/>
        <w:t>of costs i.e. large direct costs such as pharmacy included in overhead cost centres in</w:t>
      </w:r>
      <w:r w:rsidR="00A5049B">
        <w:t>stead of pharmacy cost centres;</w:t>
      </w:r>
    </w:p>
    <w:p w:rsidR="00917A32" w:rsidRPr="000051B6" w:rsidRDefault="006D49A5" w:rsidP="00A5049B">
      <w:pPr>
        <w:pStyle w:val="ListParagraph"/>
        <w:numPr>
          <w:ilvl w:val="1"/>
          <w:numId w:val="30"/>
        </w:numPr>
        <w:spacing w:after="240"/>
        <w:contextualSpacing w:val="0"/>
      </w:pPr>
      <w:r w:rsidRPr="000051B6">
        <w:t xml:space="preserve">A </w:t>
      </w:r>
      <w:r w:rsidR="00151F93" w:rsidRPr="000051B6">
        <w:t>mixture of patient costing and cost modelling approaches have been adopted for Round 1</w:t>
      </w:r>
      <w:r w:rsidRPr="000051B6">
        <w:t>8</w:t>
      </w:r>
      <w:r w:rsidR="00151F93" w:rsidRPr="000051B6">
        <w:t xml:space="preserve">. </w:t>
      </w:r>
      <w:r w:rsidR="00C71B05">
        <w:t xml:space="preserve">Refer to </w:t>
      </w:r>
      <w:r w:rsidR="00C71B05">
        <w:fldChar w:fldCharType="begin"/>
      </w:r>
      <w:r w:rsidR="00C71B05">
        <w:instrText xml:space="preserve"> REF _Ref433966171 \h </w:instrText>
      </w:r>
      <w:r w:rsidR="00C71B05">
        <w:fldChar w:fldCharType="separate"/>
      </w:r>
      <w:r w:rsidR="00E75057" w:rsidRPr="000051B6">
        <w:rPr>
          <w:rFonts w:asciiTheme="majorHAnsi" w:hAnsiTheme="majorHAnsi"/>
        </w:rPr>
        <w:t xml:space="preserve">Appendix C: </w:t>
      </w:r>
      <w:r w:rsidR="00E75057">
        <w:rPr>
          <w:rFonts w:asciiTheme="majorHAnsi" w:hAnsiTheme="majorHAnsi"/>
        </w:rPr>
        <w:t>Detailed methodology</w:t>
      </w:r>
      <w:r w:rsidR="00C71B05">
        <w:fldChar w:fldCharType="end"/>
      </w:r>
      <w:r w:rsidR="00C71B05">
        <w:t xml:space="preserve"> </w:t>
      </w:r>
      <w:r w:rsidR="00151F93" w:rsidRPr="000051B6">
        <w:t>which describes the costing alloca</w:t>
      </w:r>
      <w:r w:rsidR="00A5049B">
        <w:t>tion processes and methodology;</w:t>
      </w:r>
    </w:p>
    <w:p w:rsidR="00151F93" w:rsidRPr="000051B6" w:rsidRDefault="006D49A5" w:rsidP="00A5049B">
      <w:pPr>
        <w:pStyle w:val="ListParagraph"/>
        <w:numPr>
          <w:ilvl w:val="1"/>
          <w:numId w:val="30"/>
        </w:numPr>
        <w:spacing w:after="240"/>
        <w:contextualSpacing w:val="0"/>
      </w:pPr>
      <w:r w:rsidRPr="000051B6">
        <w:t>T</w:t>
      </w:r>
      <w:r w:rsidR="00151F93" w:rsidRPr="000051B6">
        <w:t>he version 6.0x service weights have gaps - these weights did not have a weight f</w:t>
      </w:r>
      <w:r w:rsidR="00A5049B">
        <w:t xml:space="preserve">or Specialist Procedure Suites. </w:t>
      </w:r>
      <w:r w:rsidR="00151F93" w:rsidRPr="000051B6">
        <w:t>The service weights fo</w:t>
      </w:r>
      <w:r w:rsidR="00A5049B">
        <w:t>r Operating Rooms were adopted.</w:t>
      </w:r>
    </w:p>
    <w:p w:rsidR="00151F93" w:rsidRPr="000051B6" w:rsidRDefault="006B2A3B" w:rsidP="00CC4585">
      <w:pPr>
        <w:pStyle w:val="Heading6"/>
        <w:numPr>
          <w:ilvl w:val="0"/>
          <w:numId w:val="0"/>
        </w:numPr>
        <w:spacing w:before="0" w:after="0"/>
        <w:ind w:left="1152" w:hanging="1152"/>
      </w:pPr>
      <w:r w:rsidRPr="000051B6">
        <w:t>Confidentiality r</w:t>
      </w:r>
      <w:r w:rsidR="00A5049B">
        <w:t>ules</w:t>
      </w:r>
      <w:r w:rsidR="00A5049B">
        <w:tab/>
      </w:r>
    </w:p>
    <w:p w:rsidR="00151F93" w:rsidRPr="000051B6" w:rsidRDefault="00151F93" w:rsidP="00CC4585">
      <w:r w:rsidRPr="000051B6">
        <w:t>To protec</w:t>
      </w:r>
      <w:r w:rsidR="00A5049B">
        <w:t>t the patient confidentiality:</w:t>
      </w:r>
    </w:p>
    <w:p w:rsidR="00CC4585" w:rsidRPr="000051B6" w:rsidRDefault="006D49A5" w:rsidP="00C71B05">
      <w:pPr>
        <w:pStyle w:val="ListParagraph"/>
        <w:numPr>
          <w:ilvl w:val="0"/>
          <w:numId w:val="38"/>
        </w:numPr>
      </w:pPr>
      <w:r w:rsidRPr="000051B6">
        <w:t>AR-</w:t>
      </w:r>
      <w:r w:rsidR="00151F93" w:rsidRPr="000051B6">
        <w:t>DRGs with less than 5 separations are marked '*****' in the cost weight table; and</w:t>
      </w:r>
    </w:p>
    <w:p w:rsidR="00592C6B" w:rsidRPr="000051B6" w:rsidRDefault="00C12962" w:rsidP="00C71B05">
      <w:pPr>
        <w:pStyle w:val="ListParagraph"/>
        <w:numPr>
          <w:ilvl w:val="0"/>
          <w:numId w:val="38"/>
        </w:numPr>
      </w:pPr>
      <w:r w:rsidRPr="000051B6">
        <w:t>If the number of contributing hospitals for a particular AR-DRG is less than three, the figures for this cost weight have been replaced by dashes (-----).</w:t>
      </w:r>
    </w:p>
    <w:p w:rsidR="00151F93" w:rsidRPr="000051B6" w:rsidRDefault="00C12962" w:rsidP="0062602B">
      <w:pPr>
        <w:pStyle w:val="ListParagraph"/>
        <w:numPr>
          <w:ilvl w:val="0"/>
          <w:numId w:val="38"/>
        </w:numPr>
      </w:pPr>
      <w:r w:rsidRPr="000051B6">
        <w:t xml:space="preserve">The column that showed the number of hospitals associated with an AR-DRG in the Round 17 table has been removed this decision was based on feedback received from the </w:t>
      </w:r>
      <w:r w:rsidR="0031569D" w:rsidRPr="000051B6">
        <w:t>s</w:t>
      </w:r>
      <w:r w:rsidR="002D317E" w:rsidRPr="000051B6">
        <w:t>ector</w:t>
      </w:r>
      <w:r w:rsidRPr="000051B6">
        <w:t xml:space="preserve"> in relation to hospitals being identifiable.</w:t>
      </w:r>
    </w:p>
    <w:p w:rsidR="00151F93" w:rsidRPr="000051B6" w:rsidRDefault="006B2A3B" w:rsidP="0062602B">
      <w:pPr>
        <w:pStyle w:val="Heading6"/>
        <w:numPr>
          <w:ilvl w:val="0"/>
          <w:numId w:val="0"/>
        </w:numPr>
        <w:ind w:left="1152" w:hanging="1152"/>
      </w:pPr>
      <w:r w:rsidRPr="000051B6">
        <w:t>Introductory n</w:t>
      </w:r>
      <w:r w:rsidR="00151F93" w:rsidRPr="000051B6">
        <w:t xml:space="preserve">otes to </w:t>
      </w:r>
      <w:r w:rsidRPr="000051B6">
        <w:t>c</w:t>
      </w:r>
      <w:r w:rsidR="00151F93" w:rsidRPr="000051B6">
        <w:t xml:space="preserve">ost </w:t>
      </w:r>
      <w:r w:rsidRPr="000051B6">
        <w:t>w</w:t>
      </w:r>
      <w:r w:rsidR="00A5049B">
        <w:t>eights</w:t>
      </w:r>
    </w:p>
    <w:p w:rsidR="00151F93" w:rsidRPr="000051B6" w:rsidRDefault="00151F93" w:rsidP="00CC4585">
      <w:r w:rsidRPr="000051B6">
        <w:t>These notes provide assistance in interpreting the cost weight tables th</w:t>
      </w:r>
      <w:r w:rsidR="00A5049B">
        <w:t>at follow.</w:t>
      </w:r>
    </w:p>
    <w:p w:rsidR="00151F93" w:rsidRPr="000051B6" w:rsidRDefault="00151F93" w:rsidP="00CC4585">
      <w:r w:rsidRPr="000051B6">
        <w:t>For further information</w:t>
      </w:r>
      <w:r w:rsidR="006D49A5" w:rsidRPr="000051B6">
        <w:t xml:space="preserve"> see </w:t>
      </w:r>
      <w:r w:rsidRPr="000051B6">
        <w:t>NHCDC terms can be found in the Australian Hospital Patient Costing Standards (</w:t>
      </w:r>
      <w:r w:rsidR="00CC4585" w:rsidRPr="000051B6">
        <w:t>v3.1</w:t>
      </w:r>
      <w:r w:rsidRPr="000051B6">
        <w:t>), which is found at</w:t>
      </w:r>
      <w:r w:rsidR="00CC4585" w:rsidRPr="000051B6">
        <w:t>:</w:t>
      </w:r>
    </w:p>
    <w:p w:rsidR="006D49A5" w:rsidRPr="000051B6" w:rsidRDefault="00F50712" w:rsidP="00CC4585">
      <w:pPr>
        <w:rPr>
          <w:b/>
          <w:highlight w:val="yellow"/>
        </w:rPr>
      </w:pPr>
      <w:r>
        <w:t>(</w:t>
      </w:r>
      <w:hyperlink r:id="rId47" w:history="1">
        <w:r w:rsidR="00CC4585" w:rsidRPr="000051B6">
          <w:rPr>
            <w:rStyle w:val="Hyperlink"/>
          </w:rPr>
          <w:t>http://www.ihpa.gov.au/internet/ihpa/publishing.nsf/Content/aust-costing-standards-2014-html</w:t>
        </w:r>
      </w:hyperlink>
      <w:r>
        <w:t>).</w:t>
      </w:r>
      <w:r w:rsidR="006D49A5" w:rsidRPr="000051B6">
        <w:rPr>
          <w:b/>
          <w:highlight w:val="yellow"/>
        </w:rPr>
        <w:br w:type="page"/>
      </w:r>
    </w:p>
    <w:p w:rsidR="00151F93" w:rsidRPr="000051B6" w:rsidRDefault="0062602B" w:rsidP="0062602B">
      <w:pPr>
        <w:pStyle w:val="Heading6"/>
        <w:numPr>
          <w:ilvl w:val="0"/>
          <w:numId w:val="0"/>
        </w:numPr>
        <w:ind w:left="1152" w:hanging="1152"/>
      </w:pPr>
      <w:r>
        <w:lastRenderedPageBreak/>
        <w:t>Additional notes</w:t>
      </w:r>
    </w:p>
    <w:p w:rsidR="00563ABC" w:rsidRDefault="00151F93" w:rsidP="00A5049B">
      <w:pPr>
        <w:spacing w:after="240"/>
      </w:pPr>
      <w:r w:rsidRPr="000051B6">
        <w:t>The sample separations submitted to the NHCDC have been population adjusted in all tables and cost weights except where noted</w:t>
      </w:r>
      <w:r w:rsidR="00563ABC">
        <w:t>.</w:t>
      </w:r>
      <w:r w:rsidR="00917A32" w:rsidRPr="000051B6">
        <w:t xml:space="preserve"> </w:t>
      </w:r>
    </w:p>
    <w:p w:rsidR="006D49A5" w:rsidRPr="000051B6" w:rsidRDefault="00151F93" w:rsidP="00A5049B">
      <w:pPr>
        <w:spacing w:after="240"/>
      </w:pPr>
      <w:r w:rsidRPr="000051B6">
        <w:t>Hospitals with less than 200 acute separations or classed as same day facilities were excluded from both sample and population hos</w:t>
      </w:r>
      <w:r w:rsidR="00A5049B">
        <w:t>pitals.</w:t>
      </w:r>
    </w:p>
    <w:p w:rsidR="00151F93" w:rsidRPr="000051B6" w:rsidRDefault="00151F93" w:rsidP="00A5049B">
      <w:pPr>
        <w:spacing w:after="240"/>
      </w:pPr>
      <w:r w:rsidRPr="000051B6">
        <w:t xml:space="preserve">Slight differences may occur between figures in the </w:t>
      </w:r>
      <w:r w:rsidR="006D49A5" w:rsidRPr="000051B6">
        <w:t>tables displayed in the Round 18</w:t>
      </w:r>
      <w:r w:rsidRPr="000051B6">
        <w:t xml:space="preserve"> Cost Report and figures displayed in the attached Cost </w:t>
      </w:r>
      <w:r w:rsidR="0062602B">
        <w:t>Weight reports due to rounding.</w:t>
      </w:r>
    </w:p>
    <w:p w:rsidR="00151F93" w:rsidRPr="000051B6" w:rsidRDefault="006B2A3B" w:rsidP="0062602B">
      <w:pPr>
        <w:pStyle w:val="Heading6"/>
        <w:numPr>
          <w:ilvl w:val="0"/>
          <w:numId w:val="0"/>
        </w:numPr>
        <w:ind w:left="1152" w:hanging="1152"/>
      </w:pPr>
      <w:r w:rsidRPr="000051B6">
        <w:t>Cost w</w:t>
      </w:r>
      <w:r w:rsidR="00151F93" w:rsidRPr="000051B6">
        <w:t xml:space="preserve">eight </w:t>
      </w:r>
      <w:r w:rsidRPr="000051B6">
        <w:t>t</w:t>
      </w:r>
      <w:r w:rsidR="00151F93" w:rsidRPr="000051B6">
        <w:t xml:space="preserve">able </w:t>
      </w:r>
      <w:r w:rsidRPr="000051B6">
        <w:t>c</w:t>
      </w:r>
      <w:r w:rsidR="00151F93" w:rsidRPr="000051B6">
        <w:t>olumns</w:t>
      </w:r>
    </w:p>
    <w:p w:rsidR="00151F93" w:rsidRPr="000051B6" w:rsidRDefault="00151F93" w:rsidP="00A5049B">
      <w:pPr>
        <w:spacing w:after="240"/>
      </w:pPr>
      <w:r w:rsidRPr="000051B6">
        <w:t xml:space="preserve">The following is a brief explanation of each of the ‘cost bucket’ columns displayed in the </w:t>
      </w:r>
      <w:r w:rsidR="00FF2B72" w:rsidRPr="000051B6">
        <w:t>c</w:t>
      </w:r>
      <w:r w:rsidRPr="000051B6">
        <w:t xml:space="preserve">ost </w:t>
      </w:r>
      <w:r w:rsidR="00FF2B72" w:rsidRPr="000051B6">
        <w:t>w</w:t>
      </w:r>
      <w:r w:rsidRPr="000051B6">
        <w:t xml:space="preserve">eight </w:t>
      </w:r>
      <w:r w:rsidR="00FF2B72" w:rsidRPr="000051B6">
        <w:t>table</w:t>
      </w:r>
      <w:r w:rsidR="00A5049B">
        <w:t>.</w:t>
      </w:r>
    </w:p>
    <w:p w:rsidR="00151F93" w:rsidRPr="000051B6" w:rsidRDefault="00151F93" w:rsidP="00A5049B">
      <w:pPr>
        <w:spacing w:after="240"/>
      </w:pPr>
      <w:r w:rsidRPr="000051B6">
        <w:rPr>
          <w:b/>
        </w:rPr>
        <w:t xml:space="preserve">AR-DRG: </w:t>
      </w:r>
      <w:r w:rsidRPr="000051B6">
        <w:t>AR-DRGs or Australian Refined Diagnosis Related Groups is a patient classification scheme that provides a clinically meaningful way of relating the number and types of patients treated in a hospital to the resour</w:t>
      </w:r>
      <w:r w:rsidR="00A5049B">
        <w:t>ces required by the hospital.</w:t>
      </w:r>
    </w:p>
    <w:p w:rsidR="00151F93" w:rsidRPr="000051B6" w:rsidRDefault="006B2A3B" w:rsidP="00A5049B">
      <w:pPr>
        <w:spacing w:after="240"/>
      </w:pPr>
      <w:r w:rsidRPr="000051B6">
        <w:rPr>
          <w:b/>
        </w:rPr>
        <w:t>AR-DRG d</w:t>
      </w:r>
      <w:r w:rsidR="00151F93" w:rsidRPr="000051B6">
        <w:rPr>
          <w:b/>
        </w:rPr>
        <w:t xml:space="preserve">escription: </w:t>
      </w:r>
      <w:r w:rsidR="00151F93" w:rsidRPr="000051B6">
        <w:t>Descript</w:t>
      </w:r>
      <w:r w:rsidR="00A5049B">
        <w:t>ive text for the AR-DRG code.</w:t>
      </w:r>
    </w:p>
    <w:p w:rsidR="00F45636" w:rsidRPr="000051B6" w:rsidRDefault="00F45636" w:rsidP="00A5049B">
      <w:pPr>
        <w:spacing w:after="240"/>
      </w:pPr>
      <w:r w:rsidRPr="000051B6">
        <w:rPr>
          <w:b/>
        </w:rPr>
        <w:t xml:space="preserve">Number of </w:t>
      </w:r>
      <w:r w:rsidR="004E52DF">
        <w:rPr>
          <w:b/>
        </w:rPr>
        <w:t>population-adjusted separations</w:t>
      </w:r>
      <w:r w:rsidRPr="000051B6">
        <w:rPr>
          <w:b/>
        </w:rPr>
        <w:t>:</w:t>
      </w:r>
      <w:r w:rsidRPr="000051B6">
        <w:t xml:space="preserve"> </w:t>
      </w:r>
      <w:r w:rsidR="004E52DF">
        <w:t>This is a measure of the volume of separations in the whole population (i.e. the number of separations in the Round 18 sample, adjusted using the weights to reflect the whole population).  A separation is termed to be one complete episode of acute admitted care for a given patient.</w:t>
      </w:r>
    </w:p>
    <w:p w:rsidR="00151F93" w:rsidRPr="000051B6" w:rsidRDefault="006B2A3B" w:rsidP="00A5049B">
      <w:pPr>
        <w:spacing w:after="240"/>
      </w:pPr>
      <w:r w:rsidRPr="000051B6">
        <w:rPr>
          <w:b/>
        </w:rPr>
        <w:t>Number of d</w:t>
      </w:r>
      <w:r w:rsidR="006D49A5" w:rsidRPr="000051B6">
        <w:rPr>
          <w:b/>
        </w:rPr>
        <w:t xml:space="preserve">ays: </w:t>
      </w:r>
      <w:r w:rsidR="006D49A5" w:rsidRPr="000051B6">
        <w:t xml:space="preserve">Number of Days is the sum of lengths of stay of the separations for a given </w:t>
      </w:r>
      <w:r w:rsidR="00F45636" w:rsidRPr="000051B6">
        <w:t>AR-</w:t>
      </w:r>
      <w:r w:rsidR="006D49A5" w:rsidRPr="000051B6">
        <w:t>DRG. Length of stay was calculated as the difference between Admission Date and Separation Date, subject to a minimum of 1 day. In other national reporting, length of stay is adjusted to remove leave days, however this adjustment was not applied in this report because most hospitals did not supply leave days.</w:t>
      </w:r>
      <w:r w:rsidR="00FF2B72" w:rsidRPr="000051B6">
        <w:t xml:space="preserve"> Number of days are population-adjusted.</w:t>
      </w:r>
    </w:p>
    <w:p w:rsidR="00F45636" w:rsidRPr="000051B6" w:rsidRDefault="00F45636" w:rsidP="00A5049B">
      <w:pPr>
        <w:spacing w:after="240"/>
      </w:pPr>
      <w:r w:rsidRPr="000051B6">
        <w:rPr>
          <w:b/>
        </w:rPr>
        <w:t>ALo</w:t>
      </w:r>
      <w:r w:rsidR="00151F93" w:rsidRPr="000051B6">
        <w:rPr>
          <w:b/>
        </w:rPr>
        <w:t>S</w:t>
      </w:r>
      <w:r w:rsidRPr="000051B6">
        <w:rPr>
          <w:b/>
        </w:rPr>
        <w:t xml:space="preserve"> (days)</w:t>
      </w:r>
      <w:r w:rsidR="00151F93" w:rsidRPr="000051B6">
        <w:rPr>
          <w:b/>
        </w:rPr>
        <w:t xml:space="preserve">: </w:t>
      </w:r>
      <w:r w:rsidRPr="000051B6">
        <w:t>The ALo</w:t>
      </w:r>
      <w:r w:rsidR="00151F93" w:rsidRPr="000051B6">
        <w:t>S is calculated by dividing the number of days by the number of separations for each DRG.</w:t>
      </w:r>
    </w:p>
    <w:p w:rsidR="00F45636" w:rsidRPr="000051B6" w:rsidRDefault="00F45636" w:rsidP="00A5049B">
      <w:pPr>
        <w:spacing w:after="240"/>
      </w:pPr>
      <w:r w:rsidRPr="000051B6">
        <w:rPr>
          <w:b/>
        </w:rPr>
        <w:t>Percentage of same day seps incl. in A</w:t>
      </w:r>
      <w:r w:rsidR="00B03803" w:rsidRPr="000051B6">
        <w:rPr>
          <w:b/>
        </w:rPr>
        <w:t>L</w:t>
      </w:r>
      <w:r w:rsidRPr="000051B6">
        <w:rPr>
          <w:b/>
        </w:rPr>
        <w:t xml:space="preserve">oS: </w:t>
      </w:r>
      <w:r w:rsidRPr="000051B6">
        <w:t>This shows of the total A</w:t>
      </w:r>
      <w:r w:rsidR="00917A32" w:rsidRPr="000051B6">
        <w:t>L</w:t>
      </w:r>
      <w:r w:rsidRPr="000051B6">
        <w:t>oS the percentage of separations that were classified as same day patients.</w:t>
      </w:r>
    </w:p>
    <w:p w:rsidR="00151F93" w:rsidRPr="000051B6" w:rsidRDefault="00151F93" w:rsidP="00A5049B">
      <w:pPr>
        <w:spacing w:after="240"/>
      </w:pPr>
      <w:r w:rsidRPr="000051B6">
        <w:rPr>
          <w:b/>
        </w:rPr>
        <w:t xml:space="preserve">Cost </w:t>
      </w:r>
      <w:r w:rsidR="006B2A3B" w:rsidRPr="000051B6">
        <w:rPr>
          <w:b/>
        </w:rPr>
        <w:t>w</w:t>
      </w:r>
      <w:r w:rsidRPr="000051B6">
        <w:rPr>
          <w:b/>
        </w:rPr>
        <w:t>eight</w:t>
      </w:r>
      <w:r w:rsidR="00B03803" w:rsidRPr="000051B6">
        <w:rPr>
          <w:b/>
        </w:rPr>
        <w:t xml:space="preserve"> (total)</w:t>
      </w:r>
      <w:r w:rsidRPr="000051B6">
        <w:rPr>
          <w:b/>
        </w:rPr>
        <w:t xml:space="preserve">: </w:t>
      </w:r>
      <w:r w:rsidRPr="000051B6">
        <w:t>The average cost across all AR</w:t>
      </w:r>
      <w:r w:rsidR="00FF2B72" w:rsidRPr="000051B6">
        <w:t>-</w:t>
      </w:r>
      <w:r w:rsidRPr="000051B6">
        <w:t xml:space="preserve">DRGs for the total cost is chosen as the denominator for the costs weights, and given a weight of 1. A cost weight of an AR-DRG is calculated as the average total cost for that AR-DRG divided by the </w:t>
      </w:r>
      <w:r w:rsidR="00A5049B">
        <w:t>average cost across all DRGs.</w:t>
      </w:r>
    </w:p>
    <w:p w:rsidR="00151F93" w:rsidRPr="000051B6" w:rsidRDefault="00A5049B" w:rsidP="00A5049B">
      <w:pPr>
        <w:spacing w:after="240"/>
      </w:pPr>
      <w:r>
        <w:tab/>
        <w:t>Example for AR-DRG = "XXX"</w:t>
      </w:r>
    </w:p>
    <w:p w:rsidR="00151F93" w:rsidRPr="000051B6" w:rsidRDefault="00151F93" w:rsidP="00CC4585">
      <w:pPr>
        <w:rPr>
          <w:i/>
        </w:rPr>
      </w:pPr>
      <w:r w:rsidRPr="000051B6">
        <w:rPr>
          <w:i/>
        </w:rPr>
        <w:tab/>
        <w:t>Avera</w:t>
      </w:r>
      <w:r w:rsidR="00A5049B">
        <w:rPr>
          <w:i/>
        </w:rPr>
        <w:t xml:space="preserve">ge Cost across All DRGs = $80 </w:t>
      </w:r>
    </w:p>
    <w:p w:rsidR="00151F93" w:rsidRPr="000051B6" w:rsidRDefault="00151F93" w:rsidP="00CC4585">
      <w:pPr>
        <w:rPr>
          <w:i/>
        </w:rPr>
      </w:pPr>
      <w:r w:rsidRPr="000051B6">
        <w:rPr>
          <w:i/>
        </w:rPr>
        <w:tab/>
        <w:t>Total A</w:t>
      </w:r>
      <w:r w:rsidR="00A5049B">
        <w:rPr>
          <w:i/>
        </w:rPr>
        <w:t>verage Cost for DRG:XXX = $100</w:t>
      </w:r>
    </w:p>
    <w:p w:rsidR="00A5049B" w:rsidRDefault="00151F93" w:rsidP="00A5049B">
      <w:pPr>
        <w:spacing w:after="240"/>
        <w:rPr>
          <w:i/>
        </w:rPr>
      </w:pPr>
      <w:r w:rsidRPr="000051B6">
        <w:rPr>
          <w:i/>
        </w:rPr>
        <w:tab/>
        <w:t>"XXX" Total Cost Weight = $100/$80 = 1.25</w:t>
      </w:r>
      <w:r w:rsidR="00A5049B">
        <w:rPr>
          <w:i/>
        </w:rPr>
        <w:br w:type="page"/>
      </w:r>
    </w:p>
    <w:p w:rsidR="00151F93" w:rsidRPr="000051B6" w:rsidRDefault="00151F93" w:rsidP="00A5049B">
      <w:pPr>
        <w:spacing w:after="240"/>
      </w:pPr>
      <w:r w:rsidRPr="000051B6">
        <w:rPr>
          <w:b/>
        </w:rPr>
        <w:lastRenderedPageBreak/>
        <w:t xml:space="preserve">Cost </w:t>
      </w:r>
      <w:r w:rsidR="006B2A3B" w:rsidRPr="000051B6">
        <w:rPr>
          <w:b/>
        </w:rPr>
        <w:t>w</w:t>
      </w:r>
      <w:r w:rsidRPr="000051B6">
        <w:rPr>
          <w:b/>
        </w:rPr>
        <w:t xml:space="preserve">eight (specific cost bucket): </w:t>
      </w:r>
      <w:r w:rsidRPr="000051B6">
        <w:t>A cost weight for an AR-DRG for a specific cost bucket is calculated as the average cost for that AR-DRG and relevant cost bucket, divided by the average</w:t>
      </w:r>
      <w:r w:rsidR="00A5049B">
        <w:t xml:space="preserve"> total cost across all DRGs.</w:t>
      </w:r>
    </w:p>
    <w:p w:rsidR="00F45636" w:rsidRPr="000051B6" w:rsidRDefault="00151F93" w:rsidP="00CC4585">
      <w:r w:rsidRPr="000051B6">
        <w:tab/>
        <w:t xml:space="preserve">Example for </w:t>
      </w:r>
      <w:r w:rsidR="00F45636" w:rsidRPr="000051B6">
        <w:t>Critical Care:</w:t>
      </w:r>
    </w:p>
    <w:p w:rsidR="00151F93" w:rsidRPr="000051B6" w:rsidRDefault="00A5049B" w:rsidP="00A5049B">
      <w:pPr>
        <w:spacing w:after="240"/>
        <w:ind w:firstLine="720"/>
      </w:pPr>
      <w:r>
        <w:t>AR-DRG = "XXX"</w:t>
      </w:r>
    </w:p>
    <w:p w:rsidR="00151F93" w:rsidRPr="000051B6" w:rsidRDefault="00151F93" w:rsidP="00CC4585">
      <w:pPr>
        <w:rPr>
          <w:i/>
        </w:rPr>
      </w:pPr>
      <w:r w:rsidRPr="000051B6">
        <w:rPr>
          <w:i/>
        </w:rPr>
        <w:tab/>
        <w:t xml:space="preserve">Average Cost across </w:t>
      </w:r>
      <w:r w:rsidR="00A5049B">
        <w:rPr>
          <w:i/>
        </w:rPr>
        <w:t xml:space="preserve">All DRGs = $80 </w:t>
      </w:r>
    </w:p>
    <w:p w:rsidR="00151F93" w:rsidRPr="000051B6" w:rsidRDefault="00151F93" w:rsidP="00CC4585">
      <w:pPr>
        <w:rPr>
          <w:i/>
        </w:rPr>
      </w:pPr>
      <w:r w:rsidRPr="000051B6">
        <w:rPr>
          <w:i/>
        </w:rPr>
        <w:tab/>
        <w:t>Total A</w:t>
      </w:r>
      <w:r w:rsidR="00A5049B">
        <w:rPr>
          <w:i/>
        </w:rPr>
        <w:t>verage Cost for DRG:XXX = $100</w:t>
      </w:r>
    </w:p>
    <w:p w:rsidR="00151F93" w:rsidRPr="000051B6" w:rsidRDefault="00151F93" w:rsidP="00CC4585">
      <w:pPr>
        <w:rPr>
          <w:i/>
        </w:rPr>
      </w:pPr>
      <w:r w:rsidRPr="000051B6">
        <w:rPr>
          <w:i/>
        </w:rPr>
        <w:tab/>
        <w:t>Critical Care Av</w:t>
      </w:r>
      <w:r w:rsidR="00A5049B">
        <w:rPr>
          <w:i/>
        </w:rPr>
        <w:t xml:space="preserve">erage Cost for DRG: XXX = $40 </w:t>
      </w:r>
    </w:p>
    <w:p w:rsidR="00151F93" w:rsidRPr="000051B6" w:rsidRDefault="00151F93" w:rsidP="00A5049B">
      <w:pPr>
        <w:spacing w:after="240"/>
      </w:pPr>
      <w:r w:rsidRPr="000051B6">
        <w:rPr>
          <w:i/>
        </w:rPr>
        <w:tab/>
        <w:t>"XXX" Critical Care Cost Weight = $40/$80 = 0.5</w:t>
      </w:r>
    </w:p>
    <w:p w:rsidR="00151F93" w:rsidRPr="000051B6" w:rsidRDefault="00CC4585" w:rsidP="00A5049B">
      <w:pPr>
        <w:pStyle w:val="Heading6"/>
        <w:numPr>
          <w:ilvl w:val="0"/>
          <w:numId w:val="0"/>
        </w:numPr>
        <w:spacing w:after="240"/>
        <w:ind w:left="1151" w:hanging="1151"/>
      </w:pPr>
      <w:r w:rsidRPr="000051B6">
        <w:t>C</w:t>
      </w:r>
      <w:r w:rsidR="00151F93" w:rsidRPr="000051B6">
        <w:t>ost-bucket specifi</w:t>
      </w:r>
      <w:r w:rsidR="0062602B">
        <w:t>c cost weights are shown for:</w:t>
      </w:r>
    </w:p>
    <w:p w:rsidR="00151F93" w:rsidRPr="000051B6" w:rsidRDefault="00151F93" w:rsidP="00CC4585">
      <w:pPr>
        <w:rPr>
          <w:b/>
        </w:rPr>
      </w:pPr>
      <w:r w:rsidRPr="000051B6">
        <w:tab/>
      </w:r>
      <w:r w:rsidRPr="000051B6">
        <w:rPr>
          <w:b/>
        </w:rPr>
        <w:t>Oper</w:t>
      </w:r>
      <w:r w:rsidR="00F45636" w:rsidRPr="000051B6">
        <w:rPr>
          <w:b/>
        </w:rPr>
        <w:t>ating</w:t>
      </w:r>
      <w:r w:rsidRPr="000051B6">
        <w:rPr>
          <w:b/>
        </w:rPr>
        <w:t xml:space="preserve"> room and Spec</w:t>
      </w:r>
      <w:r w:rsidR="00F45636" w:rsidRPr="000051B6">
        <w:rPr>
          <w:b/>
        </w:rPr>
        <w:t>ialised</w:t>
      </w:r>
      <w:r w:rsidRPr="000051B6">
        <w:rPr>
          <w:b/>
        </w:rPr>
        <w:t xml:space="preserve"> Proc</w:t>
      </w:r>
      <w:r w:rsidR="00F45636" w:rsidRPr="000051B6">
        <w:rPr>
          <w:b/>
        </w:rPr>
        <w:t>edure</w:t>
      </w:r>
      <w:r w:rsidR="00A5049B">
        <w:rPr>
          <w:b/>
        </w:rPr>
        <w:t xml:space="preserve"> Suites</w:t>
      </w:r>
    </w:p>
    <w:p w:rsidR="00767974" w:rsidRPr="000051B6" w:rsidRDefault="00151F93" w:rsidP="00A5049B">
      <w:pPr>
        <w:spacing w:after="240"/>
        <w:ind w:left="709"/>
      </w:pPr>
      <w:r w:rsidRPr="000051B6">
        <w:tab/>
        <w:t xml:space="preserve">It displays the cost weight for the combined costs, per </w:t>
      </w:r>
      <w:r w:rsidR="00FF2B72" w:rsidRPr="000051B6">
        <w:t>AR-</w:t>
      </w:r>
      <w:r w:rsidRPr="000051B6">
        <w:t xml:space="preserve">DRG, of Operating room </w:t>
      </w:r>
      <w:r w:rsidR="00F45636" w:rsidRPr="000051B6">
        <w:t xml:space="preserve">and Specialist Procedure Suites. </w:t>
      </w:r>
    </w:p>
    <w:p w:rsidR="00F45636" w:rsidRPr="000051B6" w:rsidRDefault="00F45636" w:rsidP="00CC4585">
      <w:pPr>
        <w:ind w:left="709"/>
      </w:pPr>
      <w:r w:rsidRPr="000051B6">
        <w:t>The AHPCS v3.1 definition of this cost bucket is</w:t>
      </w:r>
      <w:r w:rsidR="00767974" w:rsidRPr="000051B6">
        <w:t xml:space="preserve">: </w:t>
      </w:r>
      <w:r w:rsidR="00CC4585" w:rsidRPr="000051B6">
        <w:t>Standard GL 4C.002 page 40</w:t>
      </w:r>
      <w:r w:rsidRPr="000051B6">
        <w:t>:</w:t>
      </w:r>
    </w:p>
    <w:p w:rsidR="00CC4585" w:rsidRPr="000051B6" w:rsidRDefault="00CC4585" w:rsidP="00A5049B">
      <w:pPr>
        <w:spacing w:after="240"/>
        <w:ind w:left="1440"/>
      </w:pPr>
      <w:r w:rsidRPr="000051B6">
        <w:rPr>
          <w:b/>
          <w:i/>
        </w:rPr>
        <w:t>Operating room</w:t>
      </w:r>
      <w:r w:rsidRPr="000051B6">
        <w:t>: a designated area of a hospital where significant surgical procedures are carried out under surgical conditions under the supervision of qualified medical practitioner.  The operating room must be quipped to deliver general anaesthesia and conform to the College of Anaesthetists and the faculty of Intensive Care standards.</w:t>
      </w:r>
    </w:p>
    <w:p w:rsidR="00151F93" w:rsidRPr="000051B6" w:rsidRDefault="00CC4585" w:rsidP="00A5049B">
      <w:pPr>
        <w:spacing w:after="240"/>
        <w:ind w:left="1440"/>
      </w:pPr>
      <w:r w:rsidRPr="000051B6">
        <w:rPr>
          <w:b/>
          <w:i/>
        </w:rPr>
        <w:t>Specialised Procedure Suite</w:t>
      </w:r>
      <w:r w:rsidRPr="000051B6">
        <w:t>: a designated area of the hospital where surgical and non-surgical procedures are performed by an appropriately qualified clinician (including medical scientists).</w:t>
      </w:r>
      <w:r w:rsidR="00A5049B">
        <w:tab/>
      </w:r>
    </w:p>
    <w:p w:rsidR="00CC4585" w:rsidRPr="000051B6" w:rsidRDefault="00151F93" w:rsidP="00CC4585">
      <w:pPr>
        <w:ind w:firstLine="720"/>
      </w:pPr>
      <w:r w:rsidRPr="000051B6">
        <w:rPr>
          <w:b/>
        </w:rPr>
        <w:t xml:space="preserve">Critical Care: </w:t>
      </w:r>
      <w:r w:rsidRPr="000051B6">
        <w:tab/>
      </w:r>
    </w:p>
    <w:p w:rsidR="00767974" w:rsidRPr="000051B6" w:rsidRDefault="00767974" w:rsidP="00CC4585">
      <w:pPr>
        <w:ind w:firstLine="720"/>
      </w:pPr>
      <w:r w:rsidRPr="000051B6">
        <w:t>The AHPCS v 3.1 definition of this cost bucket is: Standard GL 4A.002 page 38.</w:t>
      </w:r>
    </w:p>
    <w:p w:rsidR="00767974" w:rsidRPr="000051B6" w:rsidRDefault="00767974" w:rsidP="00767974">
      <w:pPr>
        <w:ind w:left="1440"/>
      </w:pPr>
      <w:r w:rsidRPr="000051B6">
        <w:rPr>
          <w:b/>
          <w:i/>
        </w:rPr>
        <w:t>Critical Care Unit</w:t>
      </w:r>
      <w:r w:rsidRPr="000051B6">
        <w:t xml:space="preserve">: separate and self-contained area of a hospital dedicated to the management of patients with life-threatening illnesses, injuries and complications, and monitoring of potentially life-threatening conditions. It provides special expertise and facilities for support of vital functions and uses the skills of medical, nursing and other personnel experienced in the management of these problems. (College of Intensive Care Medicine). </w:t>
      </w:r>
    </w:p>
    <w:p w:rsidR="00767974" w:rsidRPr="000051B6" w:rsidRDefault="00767974" w:rsidP="00767974">
      <w:pPr>
        <w:ind w:left="709"/>
      </w:pPr>
      <w:r w:rsidRPr="000051B6">
        <w:tab/>
        <w:t>Please note that for costing purposes the Standard GL 4A.002 defines the following units as critical care:</w:t>
      </w:r>
    </w:p>
    <w:p w:rsidR="00767974" w:rsidRPr="000051B6" w:rsidRDefault="00767974" w:rsidP="00C71B05">
      <w:pPr>
        <w:pStyle w:val="ListParagraph"/>
        <w:numPr>
          <w:ilvl w:val="0"/>
          <w:numId w:val="39"/>
        </w:numPr>
      </w:pPr>
      <w:r w:rsidRPr="000051B6">
        <w:t>Intensive Care,</w:t>
      </w:r>
    </w:p>
    <w:p w:rsidR="00767974" w:rsidRPr="000051B6" w:rsidRDefault="00767974" w:rsidP="00C71B05">
      <w:pPr>
        <w:pStyle w:val="ListParagraph"/>
        <w:numPr>
          <w:ilvl w:val="0"/>
          <w:numId w:val="39"/>
        </w:numPr>
      </w:pPr>
      <w:r w:rsidRPr="000051B6">
        <w:t>Coronary Care,</w:t>
      </w:r>
    </w:p>
    <w:p w:rsidR="00767974" w:rsidRPr="000051B6" w:rsidRDefault="00767974" w:rsidP="00C71B05">
      <w:pPr>
        <w:pStyle w:val="ListParagraph"/>
        <w:numPr>
          <w:ilvl w:val="0"/>
          <w:numId w:val="39"/>
        </w:numPr>
      </w:pPr>
      <w:r w:rsidRPr="000051B6">
        <w:t>Cardiothoracic Intensive Care,</w:t>
      </w:r>
    </w:p>
    <w:p w:rsidR="00767974" w:rsidRPr="000051B6" w:rsidRDefault="00767974" w:rsidP="00C71B05">
      <w:pPr>
        <w:pStyle w:val="ListParagraph"/>
        <w:numPr>
          <w:ilvl w:val="0"/>
          <w:numId w:val="39"/>
        </w:numPr>
      </w:pPr>
      <w:r w:rsidRPr="000051B6">
        <w:t>Psychiatric Intensive Care,</w:t>
      </w:r>
    </w:p>
    <w:p w:rsidR="00767974" w:rsidRPr="000051B6" w:rsidRDefault="00767974" w:rsidP="00A5049B">
      <w:pPr>
        <w:pStyle w:val="ListParagraph"/>
        <w:numPr>
          <w:ilvl w:val="0"/>
          <w:numId w:val="39"/>
        </w:numPr>
        <w:spacing w:after="240"/>
      </w:pPr>
      <w:r w:rsidRPr="000051B6">
        <w:t>Paediatric Intensive and Neonatal Intensive Care.</w:t>
      </w:r>
    </w:p>
    <w:p w:rsidR="002B551B" w:rsidRPr="000051B6" w:rsidRDefault="00767974" w:rsidP="00A5049B">
      <w:pPr>
        <w:spacing w:after="240"/>
        <w:ind w:left="709"/>
      </w:pPr>
      <w:r w:rsidRPr="000051B6">
        <w:t xml:space="preserve">High Dependency, special care nurseries and other close observation units wither located within general wards or stand alone will be costed as </w:t>
      </w:r>
      <w:r w:rsidR="002B551B" w:rsidRPr="000051B6">
        <w:t>g</w:t>
      </w:r>
      <w:r w:rsidRPr="000051B6">
        <w:t>eneral wards.</w:t>
      </w:r>
    </w:p>
    <w:p w:rsidR="00767974" w:rsidRPr="000051B6" w:rsidRDefault="00151F93" w:rsidP="002B551B">
      <w:pPr>
        <w:pStyle w:val="PwCNormal"/>
        <w:numPr>
          <w:ilvl w:val="0"/>
          <w:numId w:val="0"/>
        </w:numPr>
        <w:spacing w:after="0"/>
        <w:ind w:firstLine="709"/>
        <w:rPr>
          <w:b/>
        </w:rPr>
      </w:pPr>
      <w:r w:rsidRPr="000051B6">
        <w:rPr>
          <w:b/>
        </w:rPr>
        <w:t>Prostheses:</w:t>
      </w:r>
    </w:p>
    <w:p w:rsidR="00BE4C49" w:rsidRPr="000051B6" w:rsidRDefault="00BE4C49" w:rsidP="00BE4C49">
      <w:pPr>
        <w:ind w:firstLine="720"/>
      </w:pPr>
      <w:r w:rsidRPr="000051B6">
        <w:t xml:space="preserve">The AHPCS v 3.1 definition of this cost bucket is </w:t>
      </w:r>
      <w:r w:rsidR="00382F8A" w:rsidRPr="000051B6">
        <w:t>(</w:t>
      </w:r>
      <w:r w:rsidRPr="000051B6">
        <w:t xml:space="preserve">page </w:t>
      </w:r>
      <w:r w:rsidR="00382F8A" w:rsidRPr="000051B6">
        <w:t>87):</w:t>
      </w:r>
    </w:p>
    <w:p w:rsidR="00151F93" w:rsidRPr="000051B6" w:rsidRDefault="00382F8A" w:rsidP="00A5049B">
      <w:pPr>
        <w:spacing w:after="240"/>
        <w:ind w:left="709"/>
      </w:pPr>
      <w:r w:rsidRPr="000051B6">
        <w:lastRenderedPageBreak/>
        <w:t>The term ‘Prostheses,’ includes surgically implanted prostheses, human tissue and other medical devices. Implanted prostheses include cardiac pacemakers and defibrillators, cardiac stents, hip and knee replacements and intraocular lenses, as well as human tissues such as human heart valves, corneas, bones (part and whole) and muscle tissue.</w:t>
      </w:r>
    </w:p>
    <w:p w:rsidR="00151F93" w:rsidRPr="000051B6" w:rsidRDefault="00151F93" w:rsidP="00A5049B">
      <w:pPr>
        <w:spacing w:after="240"/>
        <w:ind w:firstLine="720"/>
      </w:pPr>
      <w:r w:rsidRPr="000051B6">
        <w:rPr>
          <w:b/>
        </w:rPr>
        <w:t>Miscellaneous</w:t>
      </w:r>
      <w:r w:rsidRPr="000051B6">
        <w:t>: This column reports the cost weight for the combined costs of all other cost buckets</w:t>
      </w:r>
      <w:r w:rsidR="00382F8A" w:rsidRPr="000051B6">
        <w:t xml:space="preserve"> (AHPSC v.3.1 pages 84-90)</w:t>
      </w:r>
      <w:r w:rsidR="00A5049B">
        <w:t>:</w:t>
      </w:r>
    </w:p>
    <w:p w:rsidR="00151F93" w:rsidRPr="000051B6" w:rsidRDefault="00151F93" w:rsidP="00382F8A">
      <w:pPr>
        <w:ind w:left="1440"/>
      </w:pPr>
      <w:r w:rsidRPr="000051B6">
        <w:rPr>
          <w:b/>
        </w:rPr>
        <w:t>Ward Medical</w:t>
      </w:r>
      <w:r w:rsidRPr="000051B6">
        <w:t xml:space="preserve">: Also known as Medical Clinical Services, this bucket includes the salaries and wages of all medical officers </w:t>
      </w:r>
      <w:r w:rsidR="00A5049B">
        <w:t>including sessional payments.</w:t>
      </w:r>
    </w:p>
    <w:p w:rsidR="00151F93" w:rsidRPr="000051B6" w:rsidRDefault="00151F93" w:rsidP="00382F8A">
      <w:pPr>
        <w:ind w:left="1440"/>
      </w:pPr>
      <w:r w:rsidRPr="000051B6">
        <w:rPr>
          <w:b/>
        </w:rPr>
        <w:t>Ward Nursing:</w:t>
      </w:r>
      <w:r w:rsidRPr="000051B6">
        <w:t xml:space="preserve"> This bucket includes Nursing salaries and wages reporte</w:t>
      </w:r>
      <w:r w:rsidR="00A5049B">
        <w:t>d in Clinical Service areas.</w:t>
      </w:r>
    </w:p>
    <w:p w:rsidR="00151F93" w:rsidRPr="000051B6" w:rsidRDefault="00151F93" w:rsidP="00382F8A">
      <w:pPr>
        <w:ind w:left="1440"/>
      </w:pPr>
      <w:r w:rsidRPr="000051B6">
        <w:rPr>
          <w:b/>
        </w:rPr>
        <w:t>Non-clinical Salaries:</w:t>
      </w:r>
      <w:r w:rsidRPr="000051B6">
        <w:t xml:space="preserve"> This cost bucket includes all other costs of service provision f</w:t>
      </w:r>
      <w:r w:rsidR="00A5049B">
        <w:t>or each inpatient separation.</w:t>
      </w:r>
    </w:p>
    <w:p w:rsidR="00151F93" w:rsidRPr="000051B6" w:rsidRDefault="00151F93" w:rsidP="00382F8A">
      <w:pPr>
        <w:ind w:left="1440"/>
      </w:pPr>
      <w:r w:rsidRPr="000051B6">
        <w:rPr>
          <w:b/>
        </w:rPr>
        <w:t>Pathology:</w:t>
      </w:r>
      <w:r w:rsidRPr="000051B6">
        <w:t xml:space="preserve"> This contains the costs recorded from diagnostic clinical laboratory tests for the diagnosis and treatment of patie</w:t>
      </w:r>
      <w:r w:rsidR="00A5049B">
        <w:t>nts and associated salaries.</w:t>
      </w:r>
    </w:p>
    <w:p w:rsidR="00151F93" w:rsidRPr="000051B6" w:rsidRDefault="00151F93" w:rsidP="00382F8A">
      <w:pPr>
        <w:ind w:left="1440"/>
      </w:pPr>
      <w:r w:rsidRPr="000051B6">
        <w:rPr>
          <w:b/>
        </w:rPr>
        <w:t>Imaging:</w:t>
      </w:r>
      <w:r w:rsidRPr="000051B6">
        <w:t xml:space="preserve"> This contains the costs for diagnostic and therapeutic images produced under the direction of a qualified radiographer or suitably qualified technician and reported by a medical practitioner (radiolog</w:t>
      </w:r>
      <w:r w:rsidR="00A5049B">
        <w:t>ist) and associated salaries.</w:t>
      </w:r>
    </w:p>
    <w:p w:rsidR="00151F93" w:rsidRPr="000051B6" w:rsidRDefault="00151F93" w:rsidP="00382F8A">
      <w:pPr>
        <w:ind w:left="1440"/>
      </w:pPr>
      <w:r w:rsidRPr="000051B6">
        <w:rPr>
          <w:b/>
        </w:rPr>
        <w:t>Allied Health:</w:t>
      </w:r>
      <w:r w:rsidRPr="000051B6">
        <w:t xml:space="preserve"> Includes clinical services that are delivered by qualified Allied Health professionals who have direct patient contact in areas like audiology, physiotherapy, podiatry etc.</w:t>
      </w:r>
    </w:p>
    <w:p w:rsidR="00151F93" w:rsidRPr="000051B6" w:rsidRDefault="00151F93" w:rsidP="00382F8A">
      <w:pPr>
        <w:ind w:left="1440"/>
      </w:pPr>
      <w:r w:rsidRPr="000051B6">
        <w:rPr>
          <w:b/>
        </w:rPr>
        <w:t>Pharmacy:</w:t>
      </w:r>
      <w:r w:rsidRPr="000051B6">
        <w:t xml:space="preserve"> Covers the area of the hospital responsible for the provision of pharmaceuticals. This includes the purch</w:t>
      </w:r>
      <w:r w:rsidR="00382F8A" w:rsidRPr="000051B6">
        <w:t xml:space="preserve">ase, production, distribution, </w:t>
      </w:r>
      <w:r w:rsidRPr="000051B6">
        <w:t xml:space="preserve">supply and storage of drug products </w:t>
      </w:r>
      <w:r w:rsidR="00A5049B">
        <w:t>and clinical pharmacy services.</w:t>
      </w:r>
    </w:p>
    <w:p w:rsidR="00151F93" w:rsidRPr="000051B6" w:rsidRDefault="00151F93" w:rsidP="00382F8A">
      <w:pPr>
        <w:ind w:left="1440"/>
      </w:pPr>
      <w:r w:rsidRPr="000051B6">
        <w:rPr>
          <w:b/>
        </w:rPr>
        <w:t>Supplies:</w:t>
      </w:r>
      <w:r w:rsidRPr="000051B6">
        <w:t xml:space="preserve"> ‘Supplies’ is an abbreviation for the Supplies and Ward Overheads cost bucket. It includes costs for goods and services, medical and surgical supplies, ward and clinical department overheads. In other words, it includes all costs attributed to a ward that are not include</w:t>
      </w:r>
      <w:r w:rsidR="00A5049B">
        <w:t>d in any other cost buckets.</w:t>
      </w:r>
    </w:p>
    <w:p w:rsidR="00151F93" w:rsidRPr="000051B6" w:rsidRDefault="00151F93" w:rsidP="00382F8A">
      <w:pPr>
        <w:ind w:left="1440"/>
      </w:pPr>
      <w:r w:rsidRPr="000051B6">
        <w:rPr>
          <w:b/>
        </w:rPr>
        <w:t>On-costs:</w:t>
      </w:r>
      <w:r w:rsidRPr="000051B6">
        <w:t xml:space="preserve"> Includes superannuation, termination payments, workers compensation, long ser</w:t>
      </w:r>
      <w:r w:rsidR="00A5049B">
        <w:t>vice leave etc.</w:t>
      </w:r>
    </w:p>
    <w:p w:rsidR="00151F93" w:rsidRPr="000051B6" w:rsidRDefault="00151F93" w:rsidP="00382F8A">
      <w:pPr>
        <w:ind w:left="1440"/>
      </w:pPr>
      <w:r w:rsidRPr="000051B6">
        <w:rPr>
          <w:b/>
        </w:rPr>
        <w:t>Hotel:</w:t>
      </w:r>
      <w:r w:rsidRPr="000051B6">
        <w:t xml:space="preserve"> Includes such items as food service, linen, grocery suppli</w:t>
      </w:r>
      <w:r w:rsidR="00A5049B">
        <w:t>es and recorded as overheads.</w:t>
      </w:r>
    </w:p>
    <w:p w:rsidR="00151F93" w:rsidRPr="000051B6" w:rsidRDefault="00151F93" w:rsidP="00A5049B">
      <w:pPr>
        <w:spacing w:after="240"/>
        <w:ind w:left="1440"/>
      </w:pPr>
      <w:r w:rsidRPr="000051B6">
        <w:rPr>
          <w:b/>
        </w:rPr>
        <w:t>Depreciation:</w:t>
      </w:r>
      <w:r w:rsidRPr="000051B6">
        <w:t xml:space="preserve"> Includes depreciation for items that are durable, able to support production for an appreciable period of time and purchased</w:t>
      </w:r>
      <w:r w:rsidR="00A5049B">
        <w:t xml:space="preserve"> outright or donated.</w:t>
      </w:r>
    </w:p>
    <w:p w:rsidR="00151F93" w:rsidRPr="000051B6" w:rsidRDefault="00151F93" w:rsidP="00A5049B">
      <w:pPr>
        <w:spacing w:after="480"/>
      </w:pPr>
      <w:r w:rsidRPr="000051B6">
        <w:rPr>
          <w:b/>
        </w:rPr>
        <w:t>Standard Error</w:t>
      </w:r>
      <w:r w:rsidR="00382F8A" w:rsidRPr="000051B6">
        <w:rPr>
          <w:b/>
        </w:rPr>
        <w:t xml:space="preserve"> (total cost weight)</w:t>
      </w:r>
      <w:r w:rsidRPr="000051B6">
        <w:rPr>
          <w:b/>
        </w:rPr>
        <w:t>:</w:t>
      </w:r>
      <w:r w:rsidRPr="000051B6">
        <w:t xml:space="preserve"> Standard errors indicate the reliability of cost weights in terms of variation in costs and vari</w:t>
      </w:r>
      <w:r w:rsidR="00A5049B">
        <w:t xml:space="preserve">ation from the sample design. </w:t>
      </w:r>
      <w:r w:rsidR="00A5049B">
        <w:tab/>
      </w:r>
    </w:p>
    <w:p w:rsidR="00151F93" w:rsidRPr="000051B6" w:rsidRDefault="00382F8A" w:rsidP="00CC4585">
      <w:r w:rsidRPr="000051B6">
        <w:t>For a</w:t>
      </w:r>
      <w:r w:rsidR="00151F93" w:rsidRPr="000051B6">
        <w:t xml:space="preserve">ny additional information can be accessed at the IHPA </w:t>
      </w:r>
      <w:r w:rsidR="00A5049B">
        <w:t>website:</w:t>
      </w:r>
    </w:p>
    <w:p w:rsidR="00FC1080" w:rsidRPr="000051B6" w:rsidRDefault="00F50712">
      <w:pPr>
        <w:rPr>
          <w:rStyle w:val="Hyperlink"/>
          <w:rFonts w:asciiTheme="majorHAnsi" w:hAnsiTheme="majorHAnsi"/>
          <w:b/>
          <w:bCs/>
          <w:u w:val="none"/>
        </w:rPr>
      </w:pPr>
      <w:r>
        <w:t>(</w:t>
      </w:r>
      <w:hyperlink r:id="rId48" w:history="1">
        <w:r w:rsidR="00151F93" w:rsidRPr="000051B6">
          <w:rPr>
            <w:rStyle w:val="Hyperlink"/>
          </w:rPr>
          <w:t>www.ihpa.gov.au</w:t>
        </w:r>
      </w:hyperlink>
      <w:bookmarkStart w:id="245" w:name="_Toc432078953"/>
      <w:r w:rsidRPr="00F50712">
        <w:rPr>
          <w:rStyle w:val="Hyperlink"/>
          <w:color w:val="auto"/>
        </w:rPr>
        <w:t>)</w:t>
      </w:r>
      <w:r w:rsidR="00FC1080" w:rsidRPr="000051B6">
        <w:rPr>
          <w:rStyle w:val="Hyperlink"/>
          <w:u w:val="none"/>
        </w:rPr>
        <w:br w:type="page"/>
      </w:r>
    </w:p>
    <w:p w:rsidR="00D97803" w:rsidRPr="000051B6" w:rsidRDefault="00D97803" w:rsidP="00855476">
      <w:pPr>
        <w:pStyle w:val="Tablesheadings"/>
        <w:rPr>
          <w:lang w:val="en-AU"/>
        </w:rPr>
      </w:pPr>
      <w:bookmarkStart w:id="246" w:name="_Toc435610621"/>
      <w:bookmarkEnd w:id="245"/>
      <w:r w:rsidRPr="000051B6">
        <w:rPr>
          <w:lang w:val="en-AU"/>
        </w:rPr>
        <w:lastRenderedPageBreak/>
        <w:t>Table</w:t>
      </w:r>
      <w:r w:rsidR="00F772F3" w:rsidRPr="000051B6">
        <w:rPr>
          <w:lang w:val="en-AU"/>
        </w:rPr>
        <w:t xml:space="preserve"> 1</w:t>
      </w:r>
      <w:r w:rsidR="00855476" w:rsidRPr="000051B6">
        <w:rPr>
          <w:lang w:val="en-AU"/>
        </w:rPr>
        <w:t>6</w:t>
      </w:r>
      <w:r w:rsidRPr="000051B6">
        <w:rPr>
          <w:lang w:val="en-AU"/>
        </w:rPr>
        <w:tab/>
        <w:t>Round 18 (2013-14) national consolidation cost weight tables</w:t>
      </w:r>
      <w:bookmarkEnd w:id="246"/>
    </w:p>
    <w:p w:rsidR="002D4081" w:rsidRDefault="002D4081">
      <w:bookmarkStart w:id="247" w:name="RANGE!A1:O179"/>
      <w:bookmarkEnd w:id="247"/>
    </w:p>
    <w:tbl>
      <w:tblPr>
        <w:tblW w:w="5000" w:type="pct"/>
        <w:tblLook w:val="04A0" w:firstRow="1" w:lastRow="0" w:firstColumn="1" w:lastColumn="0" w:noHBand="0" w:noVBand="1"/>
        <w:tblCaption w:val="Table 16 Round 18 (2013-14) national consolidation cost weight tables"/>
        <w:tblDescription w:val="Table 16 contains the Round 18 (2013-14) national consolidation cost weights. There are columns for the AR-DRG, its description, the number of separations, the number of days, average length of stay, percentage of sameday separations, then cost weight columns for the total, Operating room &amp; special procedure suites, critical care, prosthesis, miscellaneous and the standard error of the total cost weight. There is one row for each DRG and they are sorted alphabetically."/>
      </w:tblPr>
      <w:tblGrid>
        <w:gridCol w:w="733"/>
        <w:gridCol w:w="5399"/>
        <w:gridCol w:w="939"/>
        <w:gridCol w:w="877"/>
        <w:gridCol w:w="661"/>
        <w:gridCol w:w="991"/>
        <w:gridCol w:w="718"/>
        <w:gridCol w:w="823"/>
        <w:gridCol w:w="802"/>
        <w:gridCol w:w="949"/>
        <w:gridCol w:w="1208"/>
        <w:gridCol w:w="914"/>
      </w:tblGrid>
      <w:tr w:rsidR="004F6034" w:rsidRPr="004F6034" w:rsidTr="00BB7496">
        <w:trPr>
          <w:trHeight w:val="636"/>
          <w:tblHeader/>
        </w:trPr>
        <w:tc>
          <w:tcPr>
            <w:tcW w:w="245" w:type="pct"/>
            <w:tcBorders>
              <w:top w:val="single" w:sz="4" w:space="0" w:color="A32020"/>
              <w:left w:val="single" w:sz="4" w:space="0" w:color="A32020"/>
              <w:bottom w:val="single" w:sz="4" w:space="0" w:color="A32020"/>
              <w:right w:val="single" w:sz="4" w:space="0" w:color="A32020"/>
            </w:tcBorders>
            <w:shd w:val="clear" w:color="auto" w:fill="auto"/>
            <w:hideMark/>
          </w:tcPr>
          <w:p w:rsidR="004F6034" w:rsidRPr="004F6034" w:rsidRDefault="004F6034" w:rsidP="00715CC3">
            <w:pPr>
              <w:rPr>
                <w:b/>
                <w:bCs/>
                <w:snapToGrid/>
                <w:color w:val="A32020"/>
                <w:sz w:val="12"/>
                <w:szCs w:val="12"/>
                <w:lang w:eastAsia="en-AU"/>
              </w:rPr>
            </w:pPr>
            <w:r w:rsidRPr="004F6034">
              <w:rPr>
                <w:b/>
                <w:bCs/>
                <w:snapToGrid/>
                <w:color w:val="A32020"/>
                <w:sz w:val="12"/>
                <w:szCs w:val="12"/>
                <w:lang w:eastAsia="en-AU"/>
              </w:rPr>
              <w:t>AR-DRG</w:t>
            </w:r>
          </w:p>
        </w:tc>
        <w:tc>
          <w:tcPr>
            <w:tcW w:w="1799" w:type="pct"/>
            <w:tcBorders>
              <w:top w:val="single" w:sz="4" w:space="0" w:color="A32020"/>
              <w:left w:val="single" w:sz="4" w:space="0" w:color="A32020"/>
              <w:bottom w:val="single" w:sz="4" w:space="0" w:color="A32020"/>
              <w:right w:val="single" w:sz="4" w:space="0" w:color="A32020"/>
            </w:tcBorders>
            <w:shd w:val="clear" w:color="auto" w:fill="auto"/>
            <w:hideMark/>
          </w:tcPr>
          <w:p w:rsidR="004F6034" w:rsidRPr="004F6034" w:rsidRDefault="004F6034" w:rsidP="004F6034">
            <w:pPr>
              <w:rPr>
                <w:b/>
                <w:bCs/>
                <w:snapToGrid/>
                <w:color w:val="A32020"/>
                <w:sz w:val="12"/>
                <w:szCs w:val="12"/>
                <w:lang w:eastAsia="en-AU"/>
              </w:rPr>
            </w:pPr>
            <w:r w:rsidRPr="004F6034">
              <w:rPr>
                <w:b/>
                <w:bCs/>
                <w:snapToGrid/>
                <w:color w:val="A32020"/>
                <w:sz w:val="12"/>
                <w:szCs w:val="12"/>
                <w:lang w:eastAsia="en-AU"/>
              </w:rPr>
              <w:t>AR-DRG description</w:t>
            </w:r>
          </w:p>
        </w:tc>
        <w:tc>
          <w:tcPr>
            <w:tcW w:w="303" w:type="pct"/>
            <w:tcBorders>
              <w:top w:val="single" w:sz="4" w:space="0" w:color="A32020"/>
              <w:left w:val="single" w:sz="4" w:space="0" w:color="A32020"/>
              <w:bottom w:val="single" w:sz="4" w:space="0" w:color="A32020"/>
            </w:tcBorders>
            <w:shd w:val="clear" w:color="auto" w:fill="auto"/>
            <w:hideMark/>
          </w:tcPr>
          <w:p w:rsidR="004F6034" w:rsidRPr="004F6034" w:rsidRDefault="004F6034" w:rsidP="004F6034">
            <w:pPr>
              <w:jc w:val="right"/>
              <w:rPr>
                <w:b/>
                <w:bCs/>
                <w:snapToGrid/>
                <w:color w:val="A32020"/>
                <w:sz w:val="12"/>
                <w:szCs w:val="12"/>
                <w:lang w:eastAsia="en-AU"/>
              </w:rPr>
            </w:pPr>
            <w:r w:rsidRPr="004F6034">
              <w:rPr>
                <w:b/>
                <w:bCs/>
                <w:snapToGrid/>
                <w:color w:val="A32020"/>
                <w:sz w:val="12"/>
                <w:szCs w:val="12"/>
                <w:lang w:eastAsia="en-AU"/>
              </w:rPr>
              <w:t xml:space="preserve">Number of </w:t>
            </w:r>
            <w:r w:rsidR="00BB7496">
              <w:rPr>
                <w:b/>
                <w:bCs/>
                <w:snapToGrid/>
                <w:color w:val="A32020"/>
                <w:sz w:val="12"/>
                <w:szCs w:val="12"/>
                <w:lang w:eastAsia="en-AU"/>
              </w:rPr>
              <w:t xml:space="preserve">population-adjusted </w:t>
            </w:r>
            <w:r w:rsidRPr="004F6034">
              <w:rPr>
                <w:b/>
                <w:bCs/>
                <w:snapToGrid/>
                <w:color w:val="A32020"/>
                <w:sz w:val="12"/>
                <w:szCs w:val="12"/>
                <w:lang w:eastAsia="en-AU"/>
              </w:rPr>
              <w:t>seps</w:t>
            </w:r>
          </w:p>
        </w:tc>
        <w:tc>
          <w:tcPr>
            <w:tcW w:w="293" w:type="pct"/>
            <w:tcBorders>
              <w:top w:val="single" w:sz="4" w:space="0" w:color="A32020"/>
              <w:bottom w:val="single" w:sz="4" w:space="0" w:color="A32020"/>
            </w:tcBorders>
            <w:shd w:val="clear" w:color="auto" w:fill="auto"/>
            <w:hideMark/>
          </w:tcPr>
          <w:p w:rsidR="004F6034" w:rsidRPr="004F6034" w:rsidRDefault="004F6034" w:rsidP="004F6034">
            <w:pPr>
              <w:jc w:val="right"/>
              <w:rPr>
                <w:b/>
                <w:bCs/>
                <w:snapToGrid/>
                <w:color w:val="A32020"/>
                <w:sz w:val="12"/>
                <w:szCs w:val="12"/>
                <w:lang w:eastAsia="en-AU"/>
              </w:rPr>
            </w:pPr>
            <w:r w:rsidRPr="004F6034">
              <w:rPr>
                <w:b/>
                <w:bCs/>
                <w:snapToGrid/>
                <w:color w:val="A32020"/>
                <w:sz w:val="12"/>
                <w:szCs w:val="12"/>
                <w:lang w:eastAsia="en-AU"/>
              </w:rPr>
              <w:t>Number of days</w:t>
            </w:r>
          </w:p>
        </w:tc>
        <w:tc>
          <w:tcPr>
            <w:tcW w:w="221" w:type="pct"/>
            <w:tcBorders>
              <w:top w:val="single" w:sz="4" w:space="0" w:color="A32020"/>
              <w:bottom w:val="single" w:sz="4" w:space="0" w:color="A32020"/>
            </w:tcBorders>
            <w:shd w:val="clear" w:color="auto" w:fill="auto"/>
            <w:hideMark/>
          </w:tcPr>
          <w:p w:rsidR="004F6034" w:rsidRPr="004F6034" w:rsidRDefault="004F6034" w:rsidP="004F6034">
            <w:pPr>
              <w:jc w:val="right"/>
              <w:rPr>
                <w:b/>
                <w:bCs/>
                <w:snapToGrid/>
                <w:color w:val="A32020"/>
                <w:sz w:val="12"/>
                <w:szCs w:val="12"/>
                <w:lang w:eastAsia="en-AU"/>
              </w:rPr>
            </w:pPr>
            <w:r w:rsidRPr="004F6034">
              <w:rPr>
                <w:b/>
                <w:bCs/>
                <w:snapToGrid/>
                <w:color w:val="A32020"/>
                <w:sz w:val="12"/>
                <w:szCs w:val="12"/>
                <w:lang w:eastAsia="en-AU"/>
              </w:rPr>
              <w:t>ALoS (days)</w:t>
            </w:r>
          </w:p>
        </w:tc>
        <w:tc>
          <w:tcPr>
            <w:tcW w:w="331" w:type="pct"/>
            <w:tcBorders>
              <w:top w:val="single" w:sz="4" w:space="0" w:color="A32020"/>
              <w:bottom w:val="single" w:sz="4" w:space="0" w:color="A32020"/>
              <w:right w:val="single" w:sz="4" w:space="0" w:color="A32020"/>
            </w:tcBorders>
            <w:shd w:val="clear" w:color="auto" w:fill="auto"/>
            <w:hideMark/>
          </w:tcPr>
          <w:p w:rsidR="004F6034" w:rsidRPr="004F6034" w:rsidRDefault="004F6034" w:rsidP="004F6034">
            <w:pPr>
              <w:jc w:val="right"/>
              <w:rPr>
                <w:b/>
                <w:bCs/>
                <w:snapToGrid/>
                <w:color w:val="A32020"/>
                <w:sz w:val="12"/>
                <w:szCs w:val="12"/>
                <w:lang w:eastAsia="en-AU"/>
              </w:rPr>
            </w:pPr>
            <w:r w:rsidRPr="004F6034">
              <w:rPr>
                <w:b/>
                <w:bCs/>
                <w:snapToGrid/>
                <w:color w:val="A32020"/>
                <w:sz w:val="12"/>
                <w:szCs w:val="12"/>
                <w:lang w:eastAsia="en-AU"/>
              </w:rPr>
              <w:t>Percentage of sameday seps</w:t>
            </w:r>
          </w:p>
        </w:tc>
        <w:tc>
          <w:tcPr>
            <w:tcW w:w="240" w:type="pct"/>
            <w:tcBorders>
              <w:top w:val="single" w:sz="4" w:space="0" w:color="A32020"/>
              <w:left w:val="single" w:sz="4" w:space="0" w:color="A32020"/>
              <w:bottom w:val="single" w:sz="4" w:space="0" w:color="A32020"/>
            </w:tcBorders>
            <w:shd w:val="clear" w:color="auto" w:fill="auto"/>
            <w:hideMark/>
          </w:tcPr>
          <w:p w:rsidR="004F6034" w:rsidRPr="004F6034" w:rsidRDefault="004F6034" w:rsidP="004F6034">
            <w:pPr>
              <w:jc w:val="right"/>
              <w:rPr>
                <w:b/>
                <w:bCs/>
                <w:snapToGrid/>
                <w:color w:val="A32020"/>
                <w:sz w:val="12"/>
                <w:szCs w:val="12"/>
                <w:lang w:eastAsia="en-AU"/>
              </w:rPr>
            </w:pPr>
            <w:r w:rsidRPr="004F6034">
              <w:rPr>
                <w:b/>
                <w:bCs/>
                <w:snapToGrid/>
                <w:color w:val="A32020"/>
                <w:sz w:val="12"/>
                <w:szCs w:val="12"/>
                <w:lang w:eastAsia="en-AU"/>
              </w:rPr>
              <w:t>Total (a)</w:t>
            </w:r>
          </w:p>
        </w:tc>
        <w:tc>
          <w:tcPr>
            <w:tcW w:w="275" w:type="pct"/>
            <w:tcBorders>
              <w:top w:val="single" w:sz="4" w:space="0" w:color="A32020"/>
              <w:bottom w:val="single" w:sz="4" w:space="0" w:color="A32020"/>
            </w:tcBorders>
            <w:shd w:val="clear" w:color="auto" w:fill="auto"/>
            <w:hideMark/>
          </w:tcPr>
          <w:p w:rsidR="004F6034" w:rsidRPr="004F6034" w:rsidRDefault="004F6034" w:rsidP="004F6034">
            <w:pPr>
              <w:jc w:val="right"/>
              <w:rPr>
                <w:b/>
                <w:bCs/>
                <w:snapToGrid/>
                <w:color w:val="A32020"/>
                <w:sz w:val="12"/>
                <w:szCs w:val="12"/>
                <w:lang w:eastAsia="en-AU"/>
              </w:rPr>
            </w:pPr>
            <w:r w:rsidRPr="004F6034">
              <w:rPr>
                <w:b/>
                <w:bCs/>
                <w:snapToGrid/>
                <w:color w:val="A32020"/>
                <w:sz w:val="12"/>
                <w:szCs w:val="12"/>
                <w:lang w:eastAsia="en-AU"/>
              </w:rPr>
              <w:t>OR &amp; SPS cost weight</w:t>
            </w:r>
          </w:p>
        </w:tc>
        <w:tc>
          <w:tcPr>
            <w:tcW w:w="268" w:type="pct"/>
            <w:tcBorders>
              <w:top w:val="single" w:sz="4" w:space="0" w:color="A32020"/>
              <w:bottom w:val="single" w:sz="4" w:space="0" w:color="A32020"/>
            </w:tcBorders>
            <w:shd w:val="clear" w:color="auto" w:fill="auto"/>
            <w:hideMark/>
          </w:tcPr>
          <w:p w:rsidR="004F6034" w:rsidRPr="004F6034" w:rsidRDefault="004F6034" w:rsidP="004F6034">
            <w:pPr>
              <w:jc w:val="right"/>
              <w:rPr>
                <w:b/>
                <w:bCs/>
                <w:snapToGrid/>
                <w:color w:val="A32020"/>
                <w:sz w:val="12"/>
                <w:szCs w:val="12"/>
                <w:lang w:eastAsia="en-AU"/>
              </w:rPr>
            </w:pPr>
            <w:r w:rsidRPr="004F6034">
              <w:rPr>
                <w:b/>
                <w:bCs/>
                <w:snapToGrid/>
                <w:color w:val="A32020"/>
                <w:sz w:val="12"/>
                <w:szCs w:val="12"/>
                <w:lang w:eastAsia="en-AU"/>
              </w:rPr>
              <w:t>Critical care cost weight</w:t>
            </w:r>
          </w:p>
        </w:tc>
        <w:tc>
          <w:tcPr>
            <w:tcW w:w="317" w:type="pct"/>
            <w:tcBorders>
              <w:top w:val="single" w:sz="4" w:space="0" w:color="A32020"/>
              <w:bottom w:val="single" w:sz="4" w:space="0" w:color="A32020"/>
            </w:tcBorders>
            <w:shd w:val="clear" w:color="auto" w:fill="auto"/>
            <w:hideMark/>
          </w:tcPr>
          <w:p w:rsidR="004F6034" w:rsidRPr="004F6034" w:rsidRDefault="004F6034" w:rsidP="004F6034">
            <w:pPr>
              <w:jc w:val="right"/>
              <w:rPr>
                <w:b/>
                <w:bCs/>
                <w:snapToGrid/>
                <w:color w:val="A32020"/>
                <w:sz w:val="12"/>
                <w:szCs w:val="12"/>
                <w:lang w:eastAsia="en-AU"/>
              </w:rPr>
            </w:pPr>
            <w:r w:rsidRPr="004F6034">
              <w:rPr>
                <w:b/>
                <w:bCs/>
                <w:snapToGrid/>
                <w:color w:val="A32020"/>
                <w:sz w:val="12"/>
                <w:szCs w:val="12"/>
                <w:lang w:eastAsia="en-AU"/>
              </w:rPr>
              <w:t>Prosthesis cost weight</w:t>
            </w:r>
          </w:p>
        </w:tc>
        <w:tc>
          <w:tcPr>
            <w:tcW w:w="403" w:type="pct"/>
            <w:tcBorders>
              <w:top w:val="single" w:sz="4" w:space="0" w:color="A32020"/>
              <w:bottom w:val="single" w:sz="4" w:space="0" w:color="A32020"/>
              <w:right w:val="single" w:sz="4" w:space="0" w:color="A32020"/>
            </w:tcBorders>
            <w:shd w:val="clear" w:color="auto" w:fill="auto"/>
            <w:hideMark/>
          </w:tcPr>
          <w:p w:rsidR="004F6034" w:rsidRPr="004F6034" w:rsidRDefault="004F6034" w:rsidP="004F6034">
            <w:pPr>
              <w:jc w:val="right"/>
              <w:rPr>
                <w:b/>
                <w:bCs/>
                <w:snapToGrid/>
                <w:color w:val="A32020"/>
                <w:sz w:val="12"/>
                <w:szCs w:val="12"/>
                <w:lang w:eastAsia="en-AU"/>
              </w:rPr>
            </w:pPr>
            <w:r w:rsidRPr="004F6034">
              <w:rPr>
                <w:b/>
                <w:bCs/>
                <w:snapToGrid/>
                <w:color w:val="A32020"/>
                <w:sz w:val="12"/>
                <w:szCs w:val="12"/>
                <w:lang w:eastAsia="en-AU"/>
              </w:rPr>
              <w:t>Miscellaneous cost weight</w:t>
            </w:r>
          </w:p>
        </w:tc>
        <w:tc>
          <w:tcPr>
            <w:tcW w:w="305" w:type="pct"/>
            <w:tcBorders>
              <w:top w:val="single" w:sz="4" w:space="0" w:color="A32020"/>
              <w:left w:val="single" w:sz="4" w:space="0" w:color="A32020"/>
              <w:bottom w:val="single" w:sz="4" w:space="0" w:color="A32020"/>
              <w:right w:val="single" w:sz="4" w:space="0" w:color="A32020"/>
            </w:tcBorders>
            <w:shd w:val="clear" w:color="auto" w:fill="auto"/>
            <w:hideMark/>
          </w:tcPr>
          <w:p w:rsidR="004F6034" w:rsidRPr="004F6034" w:rsidRDefault="004F6034" w:rsidP="004F6034">
            <w:pPr>
              <w:jc w:val="right"/>
              <w:rPr>
                <w:b/>
                <w:bCs/>
                <w:snapToGrid/>
                <w:color w:val="A32020"/>
                <w:sz w:val="12"/>
                <w:szCs w:val="12"/>
                <w:lang w:eastAsia="en-AU"/>
              </w:rPr>
            </w:pPr>
            <w:r w:rsidRPr="004F6034">
              <w:rPr>
                <w:b/>
                <w:bCs/>
                <w:snapToGrid/>
                <w:color w:val="A32020"/>
                <w:sz w:val="12"/>
                <w:szCs w:val="12"/>
                <w:lang w:eastAsia="en-AU"/>
              </w:rPr>
              <w:t>Standard Error (Total Cost Weight)</w:t>
            </w:r>
          </w:p>
        </w:tc>
      </w:tr>
      <w:tr w:rsidR="004F6034" w:rsidRPr="004F6034" w:rsidTr="00BB7496">
        <w:trPr>
          <w:trHeight w:val="228"/>
        </w:trPr>
        <w:tc>
          <w:tcPr>
            <w:tcW w:w="245" w:type="pct"/>
            <w:tcBorders>
              <w:top w:val="single" w:sz="4" w:space="0" w:color="A32020"/>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801A</w:t>
            </w:r>
          </w:p>
        </w:tc>
        <w:tc>
          <w:tcPr>
            <w:tcW w:w="1799" w:type="pct"/>
            <w:tcBorders>
              <w:top w:val="single" w:sz="4" w:space="0" w:color="A32020"/>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OR Procedures Unrelated to Principal Diagnosis W Catastrophic CC</w:t>
            </w:r>
          </w:p>
        </w:tc>
        <w:tc>
          <w:tcPr>
            <w:tcW w:w="303" w:type="pct"/>
            <w:tcBorders>
              <w:top w:val="single" w:sz="4" w:space="0" w:color="A32020"/>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1,044</w:t>
            </w:r>
          </w:p>
        </w:tc>
        <w:tc>
          <w:tcPr>
            <w:tcW w:w="293" w:type="pct"/>
            <w:tcBorders>
              <w:top w:val="single" w:sz="4" w:space="0" w:color="A32020"/>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17,168</w:t>
            </w:r>
          </w:p>
        </w:tc>
        <w:tc>
          <w:tcPr>
            <w:tcW w:w="221" w:type="pct"/>
            <w:tcBorders>
              <w:top w:val="single" w:sz="4" w:space="0" w:color="A32020"/>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16.44</w:t>
            </w:r>
          </w:p>
        </w:tc>
        <w:tc>
          <w:tcPr>
            <w:tcW w:w="331" w:type="pct"/>
            <w:tcBorders>
              <w:top w:val="single" w:sz="4" w:space="0" w:color="A32020"/>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13.7%</w:t>
            </w:r>
          </w:p>
        </w:tc>
        <w:tc>
          <w:tcPr>
            <w:tcW w:w="240" w:type="pct"/>
            <w:tcBorders>
              <w:top w:val="single" w:sz="4" w:space="0" w:color="A32020"/>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5.9291</w:t>
            </w:r>
          </w:p>
        </w:tc>
        <w:tc>
          <w:tcPr>
            <w:tcW w:w="275" w:type="pct"/>
            <w:tcBorders>
              <w:top w:val="single" w:sz="4" w:space="0" w:color="A32020"/>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0.5334</w:t>
            </w:r>
          </w:p>
        </w:tc>
        <w:tc>
          <w:tcPr>
            <w:tcW w:w="268" w:type="pct"/>
            <w:tcBorders>
              <w:top w:val="single" w:sz="4" w:space="0" w:color="A32020"/>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0.7070</w:t>
            </w:r>
          </w:p>
        </w:tc>
        <w:tc>
          <w:tcPr>
            <w:tcW w:w="317" w:type="pct"/>
            <w:tcBorders>
              <w:top w:val="single" w:sz="4" w:space="0" w:color="A32020"/>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0.9555</w:t>
            </w:r>
          </w:p>
        </w:tc>
        <w:tc>
          <w:tcPr>
            <w:tcW w:w="403" w:type="pct"/>
            <w:tcBorders>
              <w:top w:val="single" w:sz="4" w:space="0" w:color="A32020"/>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3.7331</w:t>
            </w:r>
          </w:p>
        </w:tc>
        <w:tc>
          <w:tcPr>
            <w:tcW w:w="305" w:type="pct"/>
            <w:tcBorders>
              <w:top w:val="single" w:sz="4" w:space="0" w:color="A32020"/>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0.27</w:t>
            </w:r>
          </w:p>
        </w:tc>
      </w:tr>
      <w:tr w:rsidR="004F6034" w:rsidRPr="004F6034" w:rsidTr="00BB7496">
        <w:trPr>
          <w:trHeight w:val="228"/>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801B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OR Procedures Unrelated to Principal Diagnosis W Severe or Moderate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1,315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7,085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2.2632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0.4369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0.1575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0.4859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1.1829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w:t>
            </w:r>
          </w:p>
        </w:tc>
      </w:tr>
      <w:tr w:rsidR="004F6034" w:rsidRPr="004F6034" w:rsidTr="00BB7496">
        <w:trPr>
          <w:trHeight w:val="228"/>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801C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OR Procedures Unrelated to Principal Diagnosis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12,469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27,857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1.3716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0.3899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0.1098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0.3729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0.4989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28"/>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960Z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Ungroupable</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8,831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15,375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68.6%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0.8259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0.2476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0.0112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0.0542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0.5129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40"/>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961Z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Unacceptable Principal Diagnosis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963Z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Neonatal Diagnosis Not Consistent W Age/Weight</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A01Z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Liver Transplant</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A03Z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Lung or Heart/Lung Transplant</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A05Z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Heart Transplant</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A06A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Tracheostomy W Ventilation &gt;95 hours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10,780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52.29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45.1562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2.1186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21.0809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7.0954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14.8614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A06B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Trach W Vent &gt;95 hours W/O Cat CC or Trach/Vent &gt;95 hours W Cat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735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20,877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28.42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22.6132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1.4559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9.5576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3.0294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8.5702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A06C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Ventilation &gt;95 hours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14.60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17.8946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1.5579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9.2200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2.7781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4.3386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A06D</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Tracheostomy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780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11.98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12.5200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1.4688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6.8222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1.0325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3.1964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A07Z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Allogeneic Bone Marrow Transplant</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A08A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Autologous Bone Marrow Transplant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2,911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25.84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7.9078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0.1032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0.3638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0.1231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7.3176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A08B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Autologous Bone Marrow Transplant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547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7.16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2.7470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0.4071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0.0679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2.2715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A09A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Renal Transplant W Pancreas Transplant or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A09B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Renal Transplant W/O Pancreas Transplant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A10Z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Insertion of Ventricular Assist Devices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A11A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Insertion of Implantable Spinal Infusion Device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34.39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17.6101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0.8422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2.5653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3.9916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10.2111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A11B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Insertion of Implantable Spinal Infusion Device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8.9278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0.5235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0.0079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6.1478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2.2486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A12Z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Insertion of Neurostimulator Device</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2,665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7,727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10.7557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0.5622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0.0774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8.1528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1.9632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A40Z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ECMO</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B01A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Ventricular Shunt Revision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9.64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3.5509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0.6340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0.3041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0.6901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1.9227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B01B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Ventricular Shunt Revision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2.2850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0.5145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0.1069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0.7588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0.9048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B02A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Cranial Procedures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735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11,904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16.19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8.0322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1.1938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1.5583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1.3697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3.9104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B02B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Cranial Procedures W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774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7,037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9.09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5.3125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1.0764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0.7816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1.2480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2.2066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B02C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Cranial Procedures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2,162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14,335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6.63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4.2724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0.9713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0.5867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1.0282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1.6862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B03A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Spinal Procedures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2,931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8.67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5.5636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1.0725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0.5774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1.5453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2.3684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B03B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Spinal Procedures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2,922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9,463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3.4793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0.7623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0.0999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1.5333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1.0838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B04A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Extracranial Vascular Procedures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1,193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9.72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4.8165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1.0248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0.9044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0.5409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2.3464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B04B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Extracranial Vascular Procedures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1,056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3,897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2.6883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0.8334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0.4527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0.4114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0.9908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B05Z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Carpal Tunnel Release</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15,370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15,693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93.5%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0.3177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0.2148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0.0999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B06A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Procs for Cerebral Palsy, Muscular Dystrophy, Neuropathy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1,545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5.52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2.7655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0.5111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0.1757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0.5601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1.5186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B06B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Procs for Cerebral Palsy, Muscular Dystrophy, Neuropathy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4,596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5,407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64.3%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0.6589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0.3592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0.0072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0.0409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0.2517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B07A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Peripheral and Cranial Nerve and Other Nervous System Procedures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1,024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11.02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4.0016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0.5949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0.7120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2.5947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B07B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Peripheral and Cranial Nerve and Other Nervous System Procedures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1,566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2,277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54.5%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0.7771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0.4257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0.0476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0.2952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lastRenderedPageBreak/>
              <w:t>B40Z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Plasmapheresis W Neurological Disease, Sameday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0.3741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0.3741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B41Z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Telemetric EEG Monitoring</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B42A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Nervous System Diagnosis W Ventilator Support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11.61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7.6535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0.4619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1.9847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1.5567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3.6502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B42B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Nervous System Diagnosis W Ventilator Support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9.05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4.0413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0.0562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2.1456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0.0165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1.8231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B60A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Acute Paraplegia/Quadriplegia W or W/O OR Procs W Cat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25.21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16.6122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1.7857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3.3759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3.3311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8.1194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B60B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Acute Paraplegia/Quadriplegia W or W/O OR Procs W/O Cat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8.08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2.7644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0.2999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0.2637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0.5686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1.6322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B61A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Spinal Cord Conditions W or W/O OR Procedures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1,282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10.81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5.8939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0.6604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0.5082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1.6607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3.0646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B61B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Spinal Cord Conditions W or W/O OR Procedures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1,550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3.0223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0.5097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0.1188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1.1744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1.2194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B62Z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Apheresis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B63Z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Dementia and Other Chronic Disturbances of Cerebral Function</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1,442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19,127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13.26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2.6520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0.0070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0.0424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2.5938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B64A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Delirium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6,192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18.05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3.5233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0.0142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0.0863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3.4216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B64B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Delirium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1,392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11,246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8.08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1.6342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0.0390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1.5868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B65Z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Cerebral Palsy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96.9%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0.2824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0.1005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0.0090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0.1730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B66A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Nervous System Neoplasm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1,107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14,074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12.71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2.6213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0.0240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0.0504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2.5455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B66B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Nervous System Neoplasm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809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4,953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6.12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1.3261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0.0341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0.0093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1.2805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B67A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Degenerative Nervous System Disorders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7,685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13.49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2.8394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0.0392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0.0451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0.0292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2.7259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B67B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Degenerative Nervous System Disorders W Moderate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2,868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6.33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1.3269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0.0183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0.0173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0.0121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1.2792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B67C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Degenerative Nervous System Disorders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3,867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7,526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72.7%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0.3318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0.0075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0.0079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0.0062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0.3103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B68A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Multiple Sclerosis and Cerebellar Ataxia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1,324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9.86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3.2414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0.0271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0.1938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3.0199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B68B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Multiple Sclerosis and Cerebellar Ataxia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7,566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8,556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95.3%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0.2662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0.2620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B69A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TIA and Precerebral Occlusion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3,278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7.34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1.5322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0.0863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1.4311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B69B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TIA and Precerebral Occlusion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1,605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4,921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0.6648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0.0323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0.0551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0.5690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B70A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Stroke and Other Cerebrovascular Disorders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797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13,838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17.35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3.9498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0.0308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0.1545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0.0405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3.7240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B70B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Stroke and Other Cerebrovascular Disorders W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963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9,621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9.99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2.0205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0.1010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1.9080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B70C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Stroke and Other Cerebrovascular Disorders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1,551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8,041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5.19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1.1989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0.0315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0.0680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1.0972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B70D</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Stroke and Other Cerebrovascular Disorders, Died or Transferred &lt;5 Days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731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0.5244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0.0415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0.4813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B71A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Cranial and Peripheral Nerve Disorders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890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4,660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1.1633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0.0177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0.0594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1.0829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B71B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Cranial and Peripheral Nerve Disorders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8,810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13,279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85.0%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0.2385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0.0301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0.0094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0.1938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B72A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Nervous System Infection Except Viral Meningitis W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1,969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18.90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4.6840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0.0657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0.6702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0.1498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3.7984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B72B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Nervous System Infection Except Viral Meningitis W/O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1,992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1.1712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0.0346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0.0356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1.0923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B73Z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Viral Meningitis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998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5.45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1.2036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0.0225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0.0361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1.1421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B74A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Nontraumatic Stupor and Coma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779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6.36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1.4497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0.2171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0.0178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1.2095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B74B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Nontraumatic Stupor and Coma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548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0.4131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0.0717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0.0186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0.3202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B75Z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Febrile Convulsions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0.2576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0.2576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B76A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Seizure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3,423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9.11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1.9008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0.1555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0.0353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1.6999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B76B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Seizure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1,136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3,542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0.7368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0.0137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0.0734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0.6453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B77Z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Headache</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3,452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9,678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0.5821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0.0409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0.0202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0.5177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B78A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Intracranial Injury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2,753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13.81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3.0245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0.0318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0.2010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2.7865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B78B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Intracranial Injury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1,988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5.93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1.1829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0.0260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1.1553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B79A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Skull Fractures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8.47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1.0857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0.0258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1.0598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lastRenderedPageBreak/>
              <w:t>B79B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Skull Fractures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4.27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0.9083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0.0197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0.1598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0.7288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B80Z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Head Injury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426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1,755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0.7591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0.0095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0.7441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B81A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Disorders of the Nervous System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1,100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12,961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2.2985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0.0259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0.0736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2.1964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B81B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Disorders of the Nervous System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3,384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11,627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0.7417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0.0660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0.0197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0.6454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B82A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Chronic and Unspecified Paraplegia/Quadriplegia W or W/O OR Procs W Cat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2,932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18.90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6.4959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0.4068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0.8257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0.4891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4.7743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B82B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Chronic and Unspecified Paraplegia/Quadriplegia W or W/O OR Procs W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1,604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9.71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2.2545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0.1924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0.1105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0.1461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1.8055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B82C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Chronic and Unspecified Paraplegia/Quadriplegia W or W/O OR Pr W/O Cat/Sev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2,664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4.95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1.5611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0.2403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0.0868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0.2576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0.9764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C01Z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Procedures for Penetrating Eye Injury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69.6%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1.0459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0.4390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0.0248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0.2514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0.3307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C02Z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Enucleations and Orbital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1.2133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0.5875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0.0202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0.1693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0.4362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C03Z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Retinal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11,452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11,765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83.7%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0.3075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0.1842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0.0239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0.0991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C04Z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Corneal, Scleral and Conjunctival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1.7831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0.6464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0.7218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0.4104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C05Z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Dacryocystorhinostomy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988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1,016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54.2%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0.7662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0.4167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0.0960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0.2502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C10Z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Strabismus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867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869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86.8%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0.6162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0.4204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0.1942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C11Z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Eyelid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5,612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5,943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77.3%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0.5946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0.4096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0.1793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C12Z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Corneal, Scleral and Conjunctival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2,269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2,293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91.9%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0.5017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0.3225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0.0372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0.1418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C13Z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Lacrimal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96.5%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0.2445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0.1473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0.0950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C14Z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Eye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1,215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1,248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96.2%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0.3066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0.1949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0.1110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C15A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Glaucoma and Complex Cataract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1.0422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0.4859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0.1036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0.4505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C15B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Glaucoma and Complex Cataract Procedures, Sameday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777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777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0.5881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0.3493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0.0881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0.1507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C16Z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Lens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51,801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52,120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91.7%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0.5233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0.1980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0.1964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0.1276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C60A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Acute and Major Eye Infections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731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9.62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2.1416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0.0173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0.1334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1.9908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C60B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Acute and Major Eye Infections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0.9997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0.0141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0.9820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C61A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Neurological and Vascular Disorders of the Eye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5.05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1.2943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0.0945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1.1922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C61B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Neurological and Vascular Disorders of the Eye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594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0.3982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0.0272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0.3691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C62Z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Hyphema and Medically Managed Trauma to the Eye</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910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0.8350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0.0122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0.8190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C63Z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Disorders of the Eye</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1,984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74.3%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0.3691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0.0528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0.0124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0.0179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0.2860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D01Z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Cochlear Implant</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560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825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11.4333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0.7106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0.0410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8.7283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1.9534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D02A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Head and Neck Procedures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1,245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6.55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4.9306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1.4109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1.0442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0.4976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1.9779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D02B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Head and Neck Procedures W Malignancy or Moderate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861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2.2046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0.8729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0.2556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0.2292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0.8469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D02C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Head and Neck Procedures W/O Malignancy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1,466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1.1196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0.5528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0.0676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0.1132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0.3860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D03Z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Surgical Repair for Cleft Lip or Palate Diagnosis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1.6799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0.7862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0.1871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0.0225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0.6841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D04A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Maxillo Surgery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541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2.3984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0.9027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0.2054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0.6077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0.6826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D04B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Maxillo Surgery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3,918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5,490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47.2%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1.4637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0.6167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0.0601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0.3709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0.4160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D05Z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Parotid Gland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856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1,749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1.6239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0.9275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0.0533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0.0795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0.5637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D06Z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Sinus and Complex Middle Ear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13,345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14,417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0.8573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0.4946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0.0172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0.0356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0.3099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D10Z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Nasal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15,463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16,033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0.7006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0.4171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0.0211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0.2544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D11Z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Tonsillectomy and/or Adenoidectomy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24,232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24,930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0.4561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0.2252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0.0077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0.2197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D12Z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Ear, Nose, Mouth and Throat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9,698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10,862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63.3%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0.7076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0.3743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0.0150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0.0823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0.2358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D13Z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Myringotomy W Tube Insertion</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10,880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10,930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98.6%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0.2346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0.1314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0.0228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0.0803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D14Z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Mouth and Salivary Gland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5,721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6,180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79.4%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0.5499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0.3207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0.0212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0.0262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0.1818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lastRenderedPageBreak/>
              <w:t>D15Z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Mastoid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711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978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1.7723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1.0013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0.0245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0.2148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0.5316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D40Z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Dental Extractions and Restorations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64,140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64,448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97.9%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0.3939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0.2804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0.1105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D60A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Ear, Nose, Mouth and Throat Malignancy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2,717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12.86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3.1159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0.0877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0.1024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0.0574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2.8685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D60B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Ear, Nose, Mouth and Throat Malignancy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748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1,816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0.6966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0.1293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0.0298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0.0127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0.5248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D61Z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Dysequilibrium</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3,944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14,435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0.7826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0.0133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0.0663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0.0234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0.6796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D62Z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Epistaxis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861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1,745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0.4090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0.0635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0.0073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0.3282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D63Z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Otitis Media and URI</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4,685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12,196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0.5523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0.0395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0.0460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0.0075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0.4592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D64Z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Laryngotracheitis and Epiglottitis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0.6031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0.1417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0.4575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D65Z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Nasal Trauma and Deformity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1,206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1,569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85.8%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0.3115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0.1152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0.1859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D66A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Ear, Nose, Mouth and Throat Diagnoses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1,118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0.7758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0.0930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0.0606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0.6209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D66B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Ear, Nose, Mouth and Throat Diagnoses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7,530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8,510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0.2279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0.0793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0.1439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D67A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Oral and Dental Disorders Except Extractions and Restorations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639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2,844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1.0078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0.0801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0.0305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0.0258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0.8714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D67B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Oral and Dental Disorders Except Extractions and Restorations, Sameday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1,999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1,999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0.2359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0.1583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0.0757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E01A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Chest Procedures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1,246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16,458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13.21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6.6021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0.9394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1.5908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0.7657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3.3062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E01B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Chest Procedures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1,864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12,702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6.81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3.6994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0.7542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0.6232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0.6081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1.7139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E02A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Respiratory System OR Procedures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3,987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15.25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5.3528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0.6963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0.7316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0.4556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3.4694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E02B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Respiratory System OR Procedures W Severe or Moderate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1,613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1.9730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0.4821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0.2303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0.2316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1.0290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E02C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Respiratory System OR Procedures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7,446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8,727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0.6390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0.2419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0.0485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0.0311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0.3175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E40A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Respiratory System Diagnosis W Ventilator Support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1,372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17.79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10.6947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0.0522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5.4970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0.7399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4.4056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E40B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Respiratory System Diagnosis W Ventilator Support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8.38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5.8664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0.0200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3.4565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0.1937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2.1962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E41Z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Respiratory System Diagnosis W Non-Invasive Ventilation</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6,076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14.80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6.0473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0.0334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2.7094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0.0794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3.2251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E42A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Bronchoscopy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4,559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15.33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4.1645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0.3519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0.2380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0.0317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3.5429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E42B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Bronchoscopy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1,489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9,782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6.57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1.8060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0.2485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0.0441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0.0851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1.4283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E42C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Bronchoscopy, Sameday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3,345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3,345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0.2342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0.1493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0.0808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E60A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Cystic Fibrosis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8.38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2.6778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0.0481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0.0068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2.5230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E60B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Cystic Fibrosis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7.57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2.0088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0.0321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0.0257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0.0204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1.9306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E61A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Pulmonary Embolism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2,929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11.05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2.8300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0.0176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0.4353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0.0806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2.2965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E61B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Pulmonary Embolism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1,831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9,990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5.46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1.3284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0.2126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0.0096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1.0978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E62A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Respiratory Infections/Inflammations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3,656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43,591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11.92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2.7206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0.0171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0.2938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0.0261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2.3837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E62B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Respiratory Infections/Inflammations W Severe or Moderate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4,842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35,388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7.31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1.5357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0.1077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0.0060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1.4165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E62C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Respiratory Infections/Inflammations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4,360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20,284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4.65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0.9196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0.0308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0.0066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0.8797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E63Z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Sleep Apnoea</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45,269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45,701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0.1724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0.0437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0.1280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E64A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Pulmonary Oedema and Respiratory Failure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1,477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11.28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2.5402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0.0536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0.6004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0.0125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1.8737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E64B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Pulmonary Oedema and Respiratory Failure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1,259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1.3957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0.0207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0.3305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1.0430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E65A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Chronic Obstructive Airways Disease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1,807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23,707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13.12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2.8703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0.0153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0.4354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0.0419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2.3777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E65B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Chronic Obstructive Airways Disease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7,275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54,486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7.49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1.4328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0.0792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0.0237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1.3211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E66A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Chest Trauma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2,665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15.18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3.2508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0.0092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0.3902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2.8500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E66B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Chest Trauma W Severe or Moderate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3,723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8.19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1.7684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0.0111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0.1092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0.0128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1.6353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E66C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Chest Trauma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1,665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6.67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1.2054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0.0534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1.1448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E67A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Respiratory Signs and Symptoms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789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5,228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6.62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1.6676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0.0509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0.2727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0.0267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1.3172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lastRenderedPageBreak/>
              <w:t>E67B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Respiratory Signs and Symptoms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3,546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6,869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0.5011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0.0845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0.0605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0.0165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0.3396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E68A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Pneumothorax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1,054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8.41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2.0059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0.0295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0.3898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1.5764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E68B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Pneumothorax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0.5920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0.0917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0.0065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0.4894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E69A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Bronchitis and Asthma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1,195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7,924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6.63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1.3235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0.0132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0.1123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0.0070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1.1909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E69B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Bronchitis and Asthma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2,700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8,267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0.5910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0.0298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0.5582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E70A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Whooping Cough and Acute Bronchiolitis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850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5.14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1.8679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0.0170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0.2336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0.0782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1.5391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E70B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Whooping Cough and Acute Bronchiolitis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889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0.6468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0.6421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E71A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Respiratory Neoplasms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1,315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15,441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2.5596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0.0265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0.0629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0.0248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2.4454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E71B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Respiratory Neoplasms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4,057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19,508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1.0838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0.0284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0.0113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0.0138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1.0303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E72Z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Respiratory Problems Arising from Neonatal Period</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0.9312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0.0159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0.9153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E73A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Pleural Effusion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3,239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9.94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2.1672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0.0561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0.2096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0.0078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1.8938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E73B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Pleural Effusion W Severe or Moderate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550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3,282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5.96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1.2917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0.0502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0.1046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1.1334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E73C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Pleural Effusion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688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1,837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0.5571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0.0455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0.0296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0.4770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E74A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Interstitial Lung Disease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2,452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13.09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3.0271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0.0111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0.3782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2.6356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E74B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Interstitial Lung Disease W Severe or Moderate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2,547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8.62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1.7246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0.0151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0.0587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1.6504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E74C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Interstitial Lung Disease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2,216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5.14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1.0267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0.0156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0.0293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0.9813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E75A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Respiratory System Diagnosis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717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8,299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11.58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2.4424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0.0127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0.1790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0.0148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2.2359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E75B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Respiratory System Diagnosis W Severe or Moderate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1,971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12,893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6.54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1.3468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0.0753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0.0096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1.2509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E75C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Respiratory System Diagnosis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2,242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8,526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0.7476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0.0321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0.7041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E76Z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Respiratory Tuberculosis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F01A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Implantation or Replacement of AICD, Total System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2,942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8.68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28.4124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0.9523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1.7806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19.8013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5.8782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F01B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Implantation or Replacement of AICD, Total System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2,302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5,209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22.4461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0.5759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0.2968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17.8956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3.6777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F02Z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AICD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503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6.3671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0.5634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0.7360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3.6362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1.4315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F03A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Cardiac Valve Proc W CPB Pump W Invasive Cardiac Investigation W Cat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7,611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19.04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16.1107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2.3714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3.9015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4.1533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5.6845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F03B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Cardiac Valve Proc W CPB Pump W Invasive Cardiac Investigation W/O Cat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2,333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10.75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11.4152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2.0157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2.4299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3.5158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3.4538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F04A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Cardiac Valve Proc W CPB Pump W/O Invasive Cardiac Inves W Cat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2,014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27,084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13.45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12.8550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1.9550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3.2030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3.4596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4.2374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F04B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Cardiac Valve Proc W CPB Pump W/O Invasive Cardiac Inves W/O Cat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1,133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10,632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9.38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9.1188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1.5964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2.0120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2.5887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2.9218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F05A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Coronary Bypass W Invasive Cardiac Investigation W Reoperation or W Cat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696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11,104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15.95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12.8032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2.1207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4.3150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1.8078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4.5597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F05B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Coronary Bypass W Invasive Cardiac Investigation W/O Reoperation W/O Cat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476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5,627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11.83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9.2852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1.8384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2.8730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1.1413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3.4324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F06A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Coronary Bypass W/O Invasive Cardiac Inves W Reoperation or W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2,178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23,763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10.91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8.6912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1.6807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2.8280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1.2094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2.9731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F06B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Coronary Bypass W/O Invasive Cardiac Inves W/O Reoperation W/O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612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5,365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8.77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6.8287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1.5328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1.9700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0.8421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2.4838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F07A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Cardiothoracic/Vascular Procedures W CPB Pump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2,818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10.8777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2.1161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3.2320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1.7649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3.7646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F07B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Cardiothoracic/Vascular Procedures W CPB Pump W Severe or Moderate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1,148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9.56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9.7534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1.8330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2.7083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1.9138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3.2984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F07C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Cardiothoracic/Vascular Procedures W CPB Pump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682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7.61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7.2916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1.7611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1.9067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1.0235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2.6002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F08A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Reconstruct Vascular Procedures W/O CPB Pump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805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11,280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8.7858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1.7024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1.2700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2.3604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3.4530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F08B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Reconstruct Vascular Procedures W/O CPB Pump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2,072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12,194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5.5098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1.1223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0.4406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2.2436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1.7032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F09A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Cardiothoracic Procedures W/O CPB Pump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1,431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11.65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6.3702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0.8470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1.7985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0.7440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2.9808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F09B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Cardiothoracic Procedures W/O CPB Pump W Severe or Moderate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668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5.16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3.7306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0.7289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0.8437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0.7546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1.4035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F09C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Cardiothoracic Procedures W/O CPB Pump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544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2.3139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0.6453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0.3105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0.5530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0.8051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F10A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Interventional Coronary Procedures W AMI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3,749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9.67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7.0259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0.5773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2.1525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1.8470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2.4490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lastRenderedPageBreak/>
              <w:t>F10B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Interventional Coronary Procedures W AMI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2,893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10,557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4.1098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0.4879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0.8916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1.6420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1.0883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F11A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Amputation for Circ System Except Upper Limb and Toe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2,200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31.93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8.6350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1.0437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1.2080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0.8799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5.5034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F11B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Amputation for Circ System Except Upper Limb and Toe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904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20.84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6.0474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0.7352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0.5670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0.4433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4.3019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F12A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Implantation or Replacement of Pacemaker, Total System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653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8,485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10.6543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0.6050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1.8575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4.7505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3.4413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F12B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Implantation or Replacement of Pacemaker, Total System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6,844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19,750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7.0845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0.4848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0.4719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4.6665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1.4613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F13A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Upper Limb and Toe Amputation for Circulatory Sys Disorders W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2,312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14.80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4.5633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0.6332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0.1819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0.5075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3.2407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F13B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Upper Limb and Toe Amputation for Circulatory Sys Disorders W/O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1,068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6.17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1.9032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0.3876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0.0192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0.2535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1.2429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F14A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Vascular Procs Except Major Reconstruction W/O CPB Pump W Cat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874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8,443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9.66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4.6010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0.7628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0.5660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1.0142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2.2580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F14B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Vascular Procs Except Major Reconstruction W/O CPB Pump W Sev or Mod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2,178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5,965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2.0566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0.5391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0.0958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0.6405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0.7811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F14C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Vascular Procs Except Major Reconstruction W/O CPB Pump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7,125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10,850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1.6487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0.4711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0.0361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0.6190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0.5225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F15A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Interventional Coronary Procs W/O AMI W Stent Implantation W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1,964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7,131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4.3376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0.5307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0.9188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1.7244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1.1636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F15B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Interventional Coronary Procs W/O AMI W Stent Implantation W/O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8,558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14,932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3.1605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0.4775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0.3753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1.5863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0.7213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F16A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Interventional Coronary Procedures W/O AMI W/O Stent Implantation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637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2.5392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0.4553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0.7726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0.5107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0.8006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F16B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Interventional Coronary Procedures W/O AMI W/O Stent Implantation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683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1.6719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0.4456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0.2802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0.4576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0.4885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F17A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Insertion or Replacement of Pacemaker Generator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823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6.41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6.6876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0.3507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0.3034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4.0529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1.9806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F17B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Insertion or Replacement of Pacemaker Generator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2,103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2,678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5.4001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0.3423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0.0539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4.0814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0.9224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F18A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Pacemaker Procedures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717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6.22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5.9652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0.5445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1.4992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1.9610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1.9606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F18B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Pacemaker Procedures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1.9850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0.4795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0.1921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0.7044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0.6090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F19Z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Trans-Vascular Percutaneous Cardiac Intervention</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998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4.3876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0.5386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0.3905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2.3357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1.1227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F20Z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Vein Ligation and Stripping</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8,973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10,452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0.8149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0.4837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0.0203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0.3069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F21A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Circulatory System OR Procedures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2,892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23.23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5.1867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0.4952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0.4949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0.2655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3.9312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F21B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Circulatory System OR Procedures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649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4,048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6.23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1.9520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0.4476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0.0657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0.1870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1.2517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F40A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Circulatory System Diagnosis W Ventilator Support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18.75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9.4685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0.4018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4.5330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0.3226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4.2111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F40B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Circulatory System Diagnosis W Ventilator Support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F41A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Circulatory Disorders W AMI W Invasive Cardiac Inves Proc W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550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4,281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7.79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3.5462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0.2760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1.5751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0.0605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1.6345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F41B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Circulatory Disorders W AMI W Invasive Cardiac Inves Proc W/O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1,934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7,025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1.8512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0.2559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0.7945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0.0540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0.7467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F42A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Circulatory Disorders W/O AMI W Invasive Cardiac Inves Proc W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2,544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14,186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5.58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2.8216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0.4941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0.9226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0.1076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1.2974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F42B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Circulatory Disorders W/O AMI W Invasive Cardiac Inves Proc W/O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23,080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44,122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1.2625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0.4287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0.2890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0.0692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0.4756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F42C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Circulatory Disorders W/O AMI W Invasive Cardiac Inves Proc, Sameday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19,377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19,377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0.5214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0.3086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0.0181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0.0460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0.1486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F43Z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Circulatory System Diagnosis W Non-Invasive Ventilation</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1,738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15.24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6.2218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0.0691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3.1114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0.0603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2.9809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F60A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Circulatory Disorders W AMI W/O Invasive Cardiac Inves Proc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4,065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10.95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2.8156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0.0113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0.7953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2.0075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F60B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Circulatory Disorders W AMI W/O Invasive Cardiac Inves Pr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1,540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7,389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1.4223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0.5347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0.8687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F61A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Infective Endocarditis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2,132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28.14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6.3303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0.2428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0.6402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0.1886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5.2587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F61B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Infective Endocarditis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2,131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9.66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2.0045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0.1108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0.1163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0.0404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1.7370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F62A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Heart Failure and Shock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3,444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46,832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13.60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3.2319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0.0201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0.6711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0.0447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2.4959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F62B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Heart Failure and Shock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7,517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52,503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6.98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1.6344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0.0142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0.3425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1.2740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F63A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Venous Thrombosis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3,264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8.21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1.7319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0.0241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0.1028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0.0144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1.5907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F63B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Venous Thrombosis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1,187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4,915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0.7950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0.0154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0.0314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0.7470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F64A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Skin Ulcers in Circulatory Disorders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4,487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15.84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3.0891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0.0593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0.0416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2.8982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F64B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Skin Ulcers in Circulatory Disorders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659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4,337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6.58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1.2351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0.0527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0.0235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0.0252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1.1337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lastRenderedPageBreak/>
              <w:t>F65A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Peripheral Vascular Disorders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3,194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8.20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1.9596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0.0886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0.1628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0.0787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1.6295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F65B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Peripheral Vascular Disorders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3,573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6,279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0.5181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0.1352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0.0165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0.0320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0.3344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F66A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Coronary Atherosclerosis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3,847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7.38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1.9143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0.0301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0.5556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0.0202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1.3085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F66B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Coronary Atherosclerosis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2,292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5,130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0.5373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0.0260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0.1322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0.3764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F67A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Hypertension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2,065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7.46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1.4186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0.0355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0.1089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1.2707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F67B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Hypertension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1,731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6,335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0.7200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0.0245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0.0793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0.0068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0.6093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F68A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Congenital Heart Disease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72.7%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0.7413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0.2789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0.4623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F68B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Congenital Heart Disease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89.0%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0.4412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0.2007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0.0466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0.1938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F69A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Valvular Disorders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3,402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7.81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1.6772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0.0353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0.2631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0.0384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1.3403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F69B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Valvular Disorders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2,325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4,525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0.5974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0.0793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0.1249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0.0532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0.3400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F72A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Unstable Angina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2,811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6.71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1.8072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0.0072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0.5770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1.2223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F72B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Unstable Angina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1,483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3,855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0.7721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0.2924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0.4689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F73A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Syncope and Collapse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1,746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14,497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8.30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1.7698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0.0112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0.2270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0.0229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1.5086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F73B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Syncope and Collapse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4,989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15,636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0.9453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0.0407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0.1299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0.1863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0.5884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F74Z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Chest Pain</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12,680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24,394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0.5114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0.0155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0.1691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0.3252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F75A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Circulatory System Diagnoses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615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6,979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11.35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2.9069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0.0455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0.4578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0.0452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2.3585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F75B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Circulatory System Diagnoses W Severe or Moderate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1,740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8,110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4.66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1.2375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0.0537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0.2357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0.0183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0.9298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F75C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Circulatory System Diagnoses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2,408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4,883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49.1%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0.6034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0.0897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0.1164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0.0365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0.3608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F76A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Arrhythmia, Cardiac Arrest and Conduction Disorders W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2,373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17,831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7.51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2.2081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0.0364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0.7581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0.0066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1.4071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F76B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Arrhythmia, Cardiac Arrest and Conduction Disorders W/O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16,787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31,341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50.4%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0.6079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0.0797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0.1915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0.3266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G01A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Rectal Resection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1,538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23,561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15.32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7.7397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1.6464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1.2924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0.9725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3.8284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G01B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Rectal Resection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2,679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20,213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7.54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4.2636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1.3369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0.2866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0.7245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1.9156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G02A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Small and Large Bowel Procedures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2,980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45,300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15.20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7.0250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1.1954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1.3581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0.6743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3.7973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G02B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Small and Large Bowel Procedures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5,988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34,208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2.7754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0.8043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0.1957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0.3824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1.3930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G03A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Stomach, Oesophageal and Duodenal Procedure W Malignancy or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739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11,006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14.90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8.7973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1.5508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1.9771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1.0593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4.2100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G03B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Stomach, Oesophageal and Duodenal Procedures W/O Malignancy W Sev or Mod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2,294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2.5321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0.8117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0.3081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0.3341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1.0782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G03C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Stomach, Oesophageal and Duodenal Procedures W/O Malignancy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2,791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6,439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1.6167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0.6908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0.0472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0.2090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0.6698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G04A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Peritoneal Adhesiolysis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512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7,160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13.98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5.9834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0.9630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1.0031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0.4538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3.5636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G04B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Peritoneal Adhesiolysis W Severe or Moderate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1,108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7,082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6.39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2.9722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0.7973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0.2434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0.3996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1.5319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G04C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Peritoneal Adhesiolysis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4,152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11,793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1.5866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0.5727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0.0327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0.2776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0.7036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G05A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Minor Small and Large Bowel Procedures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657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11.41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4.3665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0.7034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0.6162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0.4724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2.5744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G05B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Minor Small and Large Bowel Procedures W Severe or Moderate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1,231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6.09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2.1945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0.5811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0.0847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0.1414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1.3872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G05C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Minor Small and Large Bowel Procedures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620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2,581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1.5535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0.5038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0.0065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0.1409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0.9022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G06Z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Pyloromyotomy Procedure</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G07A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Appendicectomy W Malignancy or Peritonitis or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1,305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4,424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1.3997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0.4616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0.0805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0.0499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0.8076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G07B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Appendicectomy W/O Malignancy or Peritonitis W/O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4,709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8,829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0.9473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0.3983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0.0585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0.4857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G10A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Hernia Procedures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2,200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7,568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1.9076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0.5436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0.1450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0.3305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0.8885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G10B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Hernia Procedures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34,931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44,466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0.9535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0.3934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0.2185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0.3361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G11Z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Anal and Stomal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30,287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38,648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69.2%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0.4646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0.2282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0.0282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0.2059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G12A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Digestive System OR Procedures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4,426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14.90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4.8440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0.5828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0.5426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0.2701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3.4485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lastRenderedPageBreak/>
              <w:t>G12B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Digestive System OR Procedures W Severe or Moderate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2,688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1.6891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0.3888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0.1026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0.1157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1.0819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G12C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Digestive System OR Procedures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1,622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4,342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1.0823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0.3604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0.0540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0.0696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0.5983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G46A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Complex Gastroscopy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5,192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12.68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3.6714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0.3156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0.3101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0.2368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2.8088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G46B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Complex Gastroscopy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7,733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24,359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1.0260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0.2411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0.0338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0.0401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0.7109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G46C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Complex Gastroscopy, Sameday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79,456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79,456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0.2888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0.2003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0.0841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G47A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Gastroscopy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6,038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13.51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3.4782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0.1942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0.3926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0.0545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2.8368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G47B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Gastroscopy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5,058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18,888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0.9918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0.1548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0.0585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0.0154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0.7631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G47C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Gastroscopy, Sameday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62,687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62,702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0.1681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0.1033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0.0645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G48A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Colonoscopy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985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7,441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7.56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2.1440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0.3510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0.1171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0.0363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1.6397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G48B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Colonoscopy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7,356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16,560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0.7676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0.2228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0.0134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0.5212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G48C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Colonoscopy, Sameday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110,153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110,154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0.2253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0.1472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0.0732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G60A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Digestive Malignancy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1,235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13,867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11.22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2.5899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0.0395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0.0990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0.0583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2.3931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G60B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Digestive Malignancy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4,991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17,374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0.8636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0.0560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0.0096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0.0414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0.7566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G61A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GI Haemorrhage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472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3,975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8.41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1.8473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0.0174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0.1296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0.0328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1.6675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G61B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GI Haemorrhage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1,355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3,529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0.5104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0.0117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0.0285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0.4691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G62Z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Complicated Peptic Ulcer</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0.8299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0.0544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0.1150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0.0254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0.6350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G63Z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Uncomplicated Peptic Ulcer</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0.6814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0.0386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0.1027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0.5388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G64A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Inflammatory Bowel Disease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1,585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6.73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1.9645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0.0200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0.0289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0.0098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1.9057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G64B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Inflammatory Bowel Disease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4,909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6,179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89.9%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0.4044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0.0062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0.3965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G65A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GI Obstruction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974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8,703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8.93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2.0240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0.0226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0.1218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0.0359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1.8437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G65B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GI Obstruction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2,617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9,648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0.7186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0.0078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0.0144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0.6945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G66Z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Abdominal Pain or Mesenteric Adenitis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7,310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18,280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0.4928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0.0119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0.0133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0.4660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G67A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Oesophagitis and Gastroenteritis W Cat/Sev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2,127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16,735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7.87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1.6210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0.1037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0.0121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1.4999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G67B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Oesophagitis and Gastroenteritis W/O Cat/Sev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5,849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17,022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0.5577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0.0061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0.0279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0.5221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G70A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Digestive System Diagnoses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3,955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23,652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5.98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1.2818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0.0174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0.0638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0.0159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1.1847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G70B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Digestive System Diagnoses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15,166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39,067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0.5082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0.0337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0.0148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0.0090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0.4508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H01A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Pancreas, Liver and Shunt Procedures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553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8,073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14.59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8.4122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1.6398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1.6522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1.2279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3.8922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H01B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Pancreas, Liver and Shunt Procedures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3,656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6.26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4.1529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1.0543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0.6580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0.7010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1.7395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H02A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Biliary Tract Procedures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2,757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14.77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6.0794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0.9377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0.5850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0.7297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3.8268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H02B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Biliary Tract Procedures W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693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7.25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3.2677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0.7952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0.2319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0.4537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1.7869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H02C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Biliary Tract Procedures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933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1.9568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0.6223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0.1163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0.2275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0.9907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H05A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Hepatobiliary Diagnostic Procedures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717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19.16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5.7198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0.8462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0.6459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0.7672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3.4605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H05B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Hepatobiliary Diagnostic Procedures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1,025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1.0298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0.4435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0.0259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0.0926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0.4678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H06A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Hepatobiliary and Pancreas OR Procedures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1,497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11.89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5.0953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0.3855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0.5058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1.0969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3.1071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H06B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Hepatobiliary and Pancreas OR Procedures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599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1,500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2.2738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0.3378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1.0697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0.8575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H07A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Open Cholecystectomy W Closed CDE or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1,509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12.46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6.1813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1.0393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1.3104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0.6342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3.1975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H07B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Open Cholecystectomy W/O Closed CDE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1,944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5.08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2.4033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0.8287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0.1270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0.2532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1.1945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H08A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Laparoscopic Cholecystectomy W Closed CDE or W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2,608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11,887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2.2813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0.7100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0.2057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0.2365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1.1291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H08B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Laparoscopic Cholecystectomy W/O Closed CDE W/O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17,690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27,553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1.1306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0.5073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0.1675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0.4476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H40A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Endoscopic Procedures for Bleeding Oesophageal Varices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2.6290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0.2900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0.2205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0.0562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2.0623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lastRenderedPageBreak/>
              <w:t>H40B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Endoscopic Procedures for Bleeding Oesophageal Varices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1.8702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0.2723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0.4971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0.9808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H43A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ERCP Procedures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4,574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8.60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2.9621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0.3155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0.2716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0.4020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1.9730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H43B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ERCP Procedures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2,580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5,572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0.8770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0.2638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0.0067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0.1327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0.4737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H60A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Cirrhosis and Alcoholic Hepatitis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2,427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14.45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3.2347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0.1441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0.3121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0.0129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2.7655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H60B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Cirrhosis and Alcoholic Hepatitis W Severe or Moderate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1,474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0.6253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0.0616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0.0111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0.5421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H60C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Cirrhosis and Alcoholic Hepatitis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88.5%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0.2549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0.0738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0.0365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0.1366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H61A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Malignancy of Hepatobiliary System, Pancreas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710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8,349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2.6290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0.0516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0.0678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0.0387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2.4708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H61B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Malignancy of Hepatobiliary System, Pancreas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3,084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12,018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0.9320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0.0586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0.0098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0.0374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0.8262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H62A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Disorders of Pancreas Except for Malignancy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3,053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2.7011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0.0316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0.6747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0.0878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1.9070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H62B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Disorders of Pancreas Except for Malignancy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1,605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4,938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0.6399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0.0275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0.0205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0.0212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0.5706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H63A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Disorders of Liver Except Malig, Cirrhosis, Alcoholic Hepatitis W Cat/Sev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498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4,336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8.71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1.9091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0.0696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0.1087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0.0410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1.6898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H63B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Disorders of Liver Excep Malig, Cirrhosis, Alcoholic Hepatitis W/O Cat/Sev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1,854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3,547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0.4159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0.0777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0.0114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0.3251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H64A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Disorders of the Biliary Tract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764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4,809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6.29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1.3731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0.0263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0.1219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0.0126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1.2123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H64B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Disorders of the Biliary Tract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1,607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3,767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0.4504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0.0303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0.0196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0.3978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I01A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Bilateral/Multiple Major Joint Proc of Lower Extremity W Revision or W Cat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6,843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18.76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13.1055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1.4581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0.8227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5.5395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5.2852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I01B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Bilateral/Multiple Major Joint Pr of Lower Extremity W/O Revision W/O Cat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1,986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14,405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7.25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7.5993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0.9494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0.1907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4.2890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2.1703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I02A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Microvascular Tissue Transfer or (Skin Graft W Cat or Sev CC), Excluding Hand</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6,914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23.16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9.0953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1.8139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0.5991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1.3755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5.3068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I02B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Skin Graft W/O Catastrophic or Severe CC, Excluding Hand</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639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2,205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1.8521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0.6091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0.0431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0.3070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0.8928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I03A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Hip Replacement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1,422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18,485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7.9642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0.8168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0.5578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3.3741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3.2155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I03B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Hip Replacement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18,869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110,848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6.3091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0.6875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0.0605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3.7389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1.8223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I04A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Knee Replacement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5,045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40,805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8.09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6.2992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0.7734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0.2444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3.1154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2.1660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I04B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Knee Replacement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23,462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132,923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5.67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5.2817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0.6892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0.0378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2.9120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1.6426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I05A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Joint Replacement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4,502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9.30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8.3600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1.0507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0.4212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4.3147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2.5734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I05B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Joint Replacement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3,095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12,333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5.8181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0.8348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0.0686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3.4979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1.4168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I06Z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Spinal Fusion W Deformity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822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7,957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9.68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14.7223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1.9147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0.9409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8.4107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3.4561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I07Z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Amputation</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1,691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21.84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6.0610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0.9240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0.6309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0.2271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4.2791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I08A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Hip and Femur Procedures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985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18,896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19.19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6.8021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0.7411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0.6049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1.2531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4.2029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I08B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Hip and Femur Procedures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5,674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26,904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4.74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2.4360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0.6449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0.0365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0.5399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1.2147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I09A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Spinal Fusion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1,226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15,755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12.85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13.2426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1.5788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1.2288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6.2692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4.1658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I09B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Spinal Fusion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9,554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59,163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6.19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7.9198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1.1644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0.2869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4.3548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2.1136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I10A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Back and Neck Procedures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2,036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14,643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7.19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3.2912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0.8951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0.2510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0.4842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1.6609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I10B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Back and Neck Procedures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15,780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53,340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1.9298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0.6333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0.0299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0.4082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0.8584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I11Z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Limb Lengthening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4.4135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0.8639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0.0073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2.0428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1.4995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I12A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Infect/Inflam of Bone and Joint W Misc Musculoskeletal Procs W Cat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7,140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22.13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5.8936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0.6282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0.4371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0.4640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4.3643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I12B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Infect/Inflam of Bone and Joint W Misc Musculoskeletal Procs W Sev or Mod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681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7,256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10.66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3.0676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0.5132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0.0627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0.3315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2.1603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I12C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Infect/Inflam of Bone and Joint W Misc Musculoskeletal Procs W/O Sev or Mod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2,547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9,277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1.4722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0.4304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0.2281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0.8029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I13A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Humerus, Tibia, Fibula and Ankle Procedures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1,260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9,883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7.84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3.9793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0.8239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0.1034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1.1928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1.8593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I13B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Humerus, Tibia, Fibula and Ankle Procedures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12,975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28,297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1.6907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0.5516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0.5126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0.6234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I15Z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Cranio-Facial Surgery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865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6.2717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0.9019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0.5881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3.0299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1.7517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I16Z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Shoulder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34,497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42,332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1.2835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0.5334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0.3438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0.4012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lastRenderedPageBreak/>
              <w:t>I17A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Maxillo-Facial Surgery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2.7398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0.6718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0.1146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0.8680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1.0854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I17B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Maxillo-Facial Surgery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1.7115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0.6123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0.0648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0.5388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0.4956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I18Z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Knee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56,143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62,774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82.0%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0.4783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0.2843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0.0166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0.1759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I19A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Elbow or Forearm Procedures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2,715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6.28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3.4067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0.6506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0.1089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1.0133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1.6339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I19B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Elbow or Forearm Procedures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6,911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9,911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1.6599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0.5207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0.6602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0.4768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I20Z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Foot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13,322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21,528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1.2451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0.4355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0.3665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0.4410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I21Z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Local Excision and Removal of Internal Fixation Devices of Hip and Femur</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567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885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0.9379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0.4259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0.0934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0.4103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I23Z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Local Excision and Removal of Internal Fixation Devices Excl Hip and Femur</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10,639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12,454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73.1%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0.5624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0.2938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0.0743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0.1910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I24Z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Arthroscopy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2,912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3,345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0.6503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0.3640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0.0520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0.2332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I25A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Bone and Joint Diagnostic Procedures Including Biopsy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1,191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8.18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2.3591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0.1821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0.0219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0.0231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2.1321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I25B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Bone and Joint Diagnostic Procedures Including Biopsy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901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0.8867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0.1773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0.0067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0.0432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0.6596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I27A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Soft Tissue Procedures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562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3,590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6.38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2.4355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0.5120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0.3218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0.1691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1.4327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I27B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Soft Tissue Procedures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8,288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12,681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0.8102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0.3598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0.1038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0.3423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I28A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Musculoskeletal Procedures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2,292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8.43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3.3748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0.5505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0.2227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0.6373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1.9643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I28B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Musculoskeletal Procedures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3,770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5,938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1.4985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0.4489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0.0148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0.5681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0.4667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I29Z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Knee Reconstruction or Revision</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10,295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12,105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1.5159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0.6176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0.4485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0.4485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I30Z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Hand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27,230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29,443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70.2%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0.6779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0.3588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0.1120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0.2055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I31A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Hip Revision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6,983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21.51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12.5901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1.5089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1.3569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4.4959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5.2284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I31B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Hip Revision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1,860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15,467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8.32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6.7603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0.9773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0.3035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3.2510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2.2284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I32A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Knee Revision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4,465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19.56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11.0536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1.1427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0.4784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4.8401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4.5924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I32B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Knee Revision W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3,722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10.59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8.3181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0.2876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4.1727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2.8571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I32C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Knee Revision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1,554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10,355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6.66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6.1336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0.8773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0.1097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3.3048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1.8418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I60Z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Femoral Shaft Fractures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606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11.02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2.2809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0.0412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0.0452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2.1916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I61A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Distal Femoral Fractures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24.69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4.0507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0.0255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0.3714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3.6537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I61B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Distal Femoral Fractures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507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7.57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1.3769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0.0211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1.3558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I63A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Sprains, Strains and Dislocations of Hip, Pelvis and Thigh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1,131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9.40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1.6147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0.0327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0.0469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1.5343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I63B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Sprains, Strains and Dislocations of Hip, Pelvis and Thigh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1,328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0.5995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0.0446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0.5547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I64A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Osteomyelitis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2,963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18.14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3.6589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0.0769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0.0748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0.1326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3.3747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I64B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Osteomyelitis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2,296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1.1538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0.0427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0.0623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1.0379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I65A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Musculoskeletal Malignant Neoplasms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545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8,968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16.45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3.4722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0.0341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0.0342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0.0661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3.3378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I65B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Musculoskeletal Malignant Neoplasms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1,810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12,480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6.90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1.5631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0.0302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0.0146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1.5131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I66A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Inflammatory Musculoskeletal Disorders W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3,548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12.21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3.5524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0.0634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0.3287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0.0547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3.1056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I66B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Inflammatory Musculoskeletal Disorders W/O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8,911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12,146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91.5%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0.2854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0.0147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0.2664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I67A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Septic Arthritis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768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10.88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2.5988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0.1936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0.2447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0.1003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2.0602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I67B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Septic Arthritis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1,350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1.1252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0.0446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0.0216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0.0571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1.0019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I68A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Non-surgical Spinal Disorders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3,826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40,121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2.0157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0.0354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0.0526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0.0062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1.9214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I68B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Non-surgical Spinal Disorders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9,694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42,403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0.8617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0.0542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0.0185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0.0070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0.7821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I68C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Non-surgical Spinal Disorders, Sameday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24,426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24,426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0.2217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0.1359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0.0844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I69A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Bone Diseases and Arthropathies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508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5,768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11.34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2.1229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0.0251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0.0620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2.0250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I69B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Bone Diseases and Arthropathies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4,429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11,363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59.1%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0.5065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0.0465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0.0143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0.4405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lastRenderedPageBreak/>
              <w:t>I71A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Musculotendinous Disorders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4,045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10.72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1.9847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0.0308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0.0235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1.9296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I71B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Musculotendinous Disorders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4,926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11,624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49.6%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0.4769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0.0738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0.0143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0.3803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I72A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Specific Musculotendinous Disorders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2,190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9.77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2.5340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0.0335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0.1905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0.2865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2.0235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I72B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Specific Musculotendinous Disorders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2,580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6,815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0.5287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0.0718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0.0184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0.4334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I73A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Aftercare of Musculoskeletal Implants/Prostheses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2,231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13.67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2.8355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0.0851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0.3692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0.1548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2.2264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I73B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Aftercare of Musculoskeletal Implants/Prostheses W/O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1,887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6,638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0.6742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0.0752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0.0198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0.5750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I74Z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Injury to Forearm, Wrist, Hand or Foot</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2,635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52,326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19.85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0.6358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0.1037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0.5196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I75A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Injury to Shoulder, Arm, Elbow, Knee, Leg or Ankle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1,134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13,805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12.18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2.2692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0.0272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0.0466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2.1900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I75B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Injury to Shoulder, Arm, Elbow, Knee, Leg or Ankle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2,534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9,956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0.7464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0.0369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0.0110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0.0096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0.6889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I76A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Musculoskeletal Disorders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2,855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14.80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2.7996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0.0689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0.1750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2.5521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I76B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Musculoskeletal Disorders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1,449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3,535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59.5%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0.4904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0.0761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0.3959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I77A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Fractures of Pelvis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697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10,399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14.92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2.9289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0.0648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0.0172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2.8434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I77B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Fractures of Pelvis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827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7,137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8.63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1.5354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0.0152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1.5195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I78A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Fractures of Neck of Femur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4,030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13.65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2.2855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0.0071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0.0130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2.2654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I78B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Fractures of Neck of Femur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1,750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5.47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0.9106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0.0160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0.0218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0.8685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I79A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Pathological Fracture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2,890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17.98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3.7827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0.0332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0.1178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3.6276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I79B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Pathological Fracture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1,303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12,291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9.43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1.7325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0.0121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1.7013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J01A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Microvas Tiss Transf for Skin, Subcutaneous Tiss &amp; Breast Disd W Cat/Sev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1,332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12.79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8.7467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3.4794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1.0091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0.7144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3.5437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J01B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Microvas Tiss Transf for Skin, Subcutaneous Tiss &amp; Breast Disd W/O Cat/Sev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1,922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8.17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5.8629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2.4572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0.4301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0.4931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2.4825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J06A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Procedures for Malignant Breast Conditions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10,486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28,505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1.5399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0.6649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0.0194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0.1137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0.7419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J06B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Procedures for Non-Malignant Breast Conditions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11,237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20,410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1.4165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0.7484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0.0112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0.1563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0.5006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J07A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Minor Procedures for Malignant Breast Conditions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2,853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3,227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64.6%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0.6102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0.3485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0.0125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0.2440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J07B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Minor Procedures for Non-Malignant Breast Conditions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5,098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5,283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86.9%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0.4814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0.3172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0.1590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J08A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Skin Graft and/or Debridement Procedures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1,696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11,294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6.66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2.0328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0.5062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0.0902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0.0405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1.3959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J08B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Skin Graft and/or Debridement Procedures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22,813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30,090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70.3%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0.5870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0.3511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0.2306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J09Z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Perianal and Pilonidal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1,453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2,149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0.5700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0.2881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0.2774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J10Z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Skin, Subcutaneous Tissue and Breast Plastic OR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18,802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23,439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73.2%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0.6384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0.4105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0.2151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J11Z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Skin, Subcutaneous Tissue and Breast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36,975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40,627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89.7%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0.3484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0.2183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0.1225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J12A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Lower Limb Procs W Ulcer/Cellulitis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5,614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21.98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5.2920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0.4822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0.1556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0.3506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4.3037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J12B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Lower Limb Procs W Ulcer/Cellulitis W/O Cat CC W Skin Graft/Flap Repair</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5,230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11.57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2.6137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0.3073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0.0430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2.2589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J12C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Lower Limb Procs W Ulcer/Cellulitis W/O Cat CC W/O Skin Graft/Flap Repair</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3,965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9.01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2.1140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0.2480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0.0351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0.1015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1.7294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J13A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Lower Limb Procs W/O Ulcer/Cellulitis W Cat CC or W (Skin Graft and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5,112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11.53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2.6738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0.4236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0.1025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2.1373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J13B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Lower Limb Procs W/O Ulcer/Cellulitis W/O Cat CC W/O (Skin Graft and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5,127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17,448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0.9443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0.2945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0.6363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J14Z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Breast Reconstructions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710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4,645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6.55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3.8421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1.4139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0.1172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0.5373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1.7736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J60A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Skin Ulcers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3,646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18.15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3.3474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0.0360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0.0672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0.0457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3.1984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J60B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Skin Ulcers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817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9,306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11.39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2.1151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0.0230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0.0201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2.0320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J60C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Skin Ulcers, Sameday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0.0296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0.0184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J62A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Malignant Breast Disorders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1,805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7,583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4.20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1.0761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0.0216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0.0116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0.0073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1.0355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J62B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Malignant Breast Disorders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1,639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2,119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0.4636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0.0344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0.0115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0.4160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J63A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Non-Malignant Breast Disorders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505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5.55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1.2453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0.1284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0.0341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1.0746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lastRenderedPageBreak/>
              <w:t>J63B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Non-Malignant Breast Disorders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1,748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69.4%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0.4604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0.1469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0.0150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0.0138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0.2846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J64A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Cellulitis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2,242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25,776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11.50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2.3599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0.0442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0.1182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0.0327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2.1648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J64B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Cellulitis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7,089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36,968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0.9891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0.0389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0.0122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0.0128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0.9252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J65A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Trauma to the Skin, Subcutaneous Tissue and Breast W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499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5,364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10.76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2.0709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0.0232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0.0401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2.0060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J65B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Trauma to the Skin, Subcutaneous Tissue and Breast W/O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1,424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5,467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0.7570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0.0502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0.0158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0.6894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J67A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Minor Skin Disorders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1,094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4,497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0.9525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0.1060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0.0339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0.0261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0.7865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J67B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Minor Skin Disorders, Sameday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3,918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3,927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0.2147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0.1284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0.0858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J68A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Skin Disorders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1,985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10.55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2.5066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0.0126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0.1170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0.0267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2.3503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J68B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Skin Disorders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2,453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5.02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1.0823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0.0171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0.0214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1.0408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J68C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Skin Disorders, Sameday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0.0859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0.0197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0.0661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J69A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Skin Malignancy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2,463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16.21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3.5160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0.0814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0.0348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3.3977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J69B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Skin Malignancy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2,316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6.96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1.5846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0.0395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0.0729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1.4709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J69C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Skin Malignancy, Sameday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0.1851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0.0890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0.0959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K01A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OR Procedures for Diabetic Complications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4,904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32.05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8.9891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0.8856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0.5399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0.6542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6.9095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K01B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OR Procedures for Diabetic Complications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7,201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13.75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3.6045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0.4645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0.0540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0.2948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2.7912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K02A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Pituitary Procedures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1,147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8.07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4.4179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1.0126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0.8290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0.6720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1.9042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K02B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Pituitary Procedures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909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3.8683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0.8552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0.7824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0.7944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1.4363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K03Z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Adrenal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1,111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2.4960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0.8680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0.2759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0.2529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1.0992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K04A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Procedures for Obesity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3,066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10,510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3.1809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0.7849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0.2746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1.0984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1.0230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K04B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Procedures for Obesity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11,643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26,771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2.3748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0.6138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0.0552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1.0046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0.7013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K05A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Parathyroid Procedures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2.3172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0.8675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0.2358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0.1092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1.1048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K05B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Parathyroid Procedures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2,310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3,141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1.0186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0.5247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0.0374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0.0525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0.4039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K06A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Thyroid Procedures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599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1,732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2.4328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1.1005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0.2830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0.1280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0.9213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K06B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Thyroid Procedures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5,468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8,718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1.3625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0.7303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0.0598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0.0738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0.4986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K07Z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Obesity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2,679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10,396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2.0921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1.0538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0.0477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0.0915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0.8992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K08Z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Thyroglossal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0.8920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0.4847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0.0385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0.0226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0.3461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K09A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Endocrine, Nutritional and Metabolic OR Procedures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652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14.24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5.2272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0.7490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0.4688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0.6460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3.3634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K09B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Endocrine, Nutritional and Metabolic OR Procs W Severe or Moderate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7.12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2.6193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0.4968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0.2931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0.4165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1.4130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K09C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Endocrine, Nutritional and Metabolic OR Procedures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1.3570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0.4562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0.0388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0.2625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0.5995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K40A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Endoscopic or Investigative Proc for Metabolic Disorders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1,701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16.31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4.0465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0.1954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0.3070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0.0921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3.4520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K40B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Endoscopic or Investigative Proc for Metabolic Disorders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854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3,117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1.0781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0.1948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0.0296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0.0175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0.8363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K40C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Endoscopic or Investigative Procedure for Metabolic Disorders, Sameday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6,846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6,846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0.2511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0.1602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0.0884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K60A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Diabetes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5,611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10.76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2.5379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0.0094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0.2812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0.0655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2.1818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K60B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Diabetes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1,953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8,374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4.29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1.5128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0.0099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0.0797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0.5436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0.8796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K61Z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Severe Nutritional Disturbance</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1,804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11.80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2.4933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0.0067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0.2235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2.2607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K62A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Miscellaneous Metabolic Disorders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1,758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14,724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8.38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1.8539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0.0117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0.1780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0.0142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1.6500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K62B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Miscellaneous Metabolic Disorders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9,042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15,741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74.1%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0.4014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0.0241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0.0162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0.0404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0.3206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K63A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Inborn Errors of Metabolism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1.7932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0.2017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0.3927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1.1899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K63B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Inborn Errors of Metabolism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79.4%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0.3759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0.0116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0.0552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0.3060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K64A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Endocrine Disorders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2,753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2.1339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0.0167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0.1574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1.9582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lastRenderedPageBreak/>
              <w:t>K64B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Endocrine Disorders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1,471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3,668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0.5064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0.0218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0.0477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0.0111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0.4257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L02A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Operative Insertion of Peritoneal Catheter for Dialysis W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6.94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3.6595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0.5369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1.0494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0.3189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1.7543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L02B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Operative Insertion of Peritoneal Catheter for Dialysis W/O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0.9604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0.4210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0.0379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0.0963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0.4052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L03A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Kidney, Ureter and Major Bladder Procedures for Neoplasm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548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7,515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13.71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7.6355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1.7858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1.7206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0.7387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3.3905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L03B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Kidney, Ureter and Major Bladder Procedures for Neoplasm W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3,932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7.51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4.4626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1.3245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0.5569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0.5527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2.0284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L03C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Kidney, Ureter and Major Bladder Procedures for Neoplasm W/O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1,741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7,888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2.8449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1.0890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0.2061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0.3502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1.1996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L04A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Kidney, Ureter &amp; Major Bladder Procedures for Non-Neoplasm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460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4,415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9.60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4.1085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0.7352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0.5429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0.4201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2.4103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L04B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Kidney, Ureter and Major Bladder Procedures for Non-Neoplasm W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676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2,984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2.4138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0.6642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0.1254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0.4327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1.1915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L04C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Kidney, Ureter &amp; Major Bladder Procedures for Non-Neoplasm W/O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10,187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17,001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1.1651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0.4940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0.0153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0.2118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0.4440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L05A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Transurethral Prostatectomy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3,426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7.72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2.4450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0.5426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0.1938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0.0305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1.6781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L05B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Transurethral Prostatectomy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2,859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7,660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1.0477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0.4245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0.0172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0.6035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L06A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Minor Bladder Procedures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2,708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6.95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2.6863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0.5153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0.2442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0.2708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1.6561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L06B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Minor Bladder Procedures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2,775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5,110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1.0263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0.3113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0.0063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0.2635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0.4452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L07A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Transurethral Procedures Except Prostatectomy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2,069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6,162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1.0777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0.3233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0.0508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0.0618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0.6419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L07B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Transurethral Procedures Except Prostatectomy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14,856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18,485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0.5579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0.2819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0.0259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0.2474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L08A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Urethral Procedures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730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0.9976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0.3312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0.0420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0.0493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0.5752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L08B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Urethral Procedures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2,122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2,953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0.5815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0.2841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0.2868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L09A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Procedures for Kidney and Urinary Tract Disorders W Cat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2,051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18.44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7.2853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1.0508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1.2204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0.5368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4.4773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L09B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Procedures for Kidney and Urinary Tract Disorders W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422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1.7020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0.5032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0.0832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0.3412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0.7744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L09C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Procedures for Kidney and Urinary Tract Disorders W/O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1,201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1,877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1.5190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0.4258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0.0309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0.6164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0.4460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L40Z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Ureteroscopy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956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1,447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0.6380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0.2734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0.0460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0.3161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L41Z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Cystourethroscopy, Sameday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32,477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32,479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0.1991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0.1258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0.0681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L42Z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ESW Lithotripsy for Urinary Stones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2,280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2,365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84.0%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0.5421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0.3652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0.0070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0.1687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L60A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Renal Failure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825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11,406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13.83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3.5210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0.0545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0.5519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0.0726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2.8420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L60B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Renal Failure W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936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6,826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7.29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1.6011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0.0247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0.1385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0.0193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1.4186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L60C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Renal Failure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5,315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5.11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1.0238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0.0225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0.0678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0.0071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0.9265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L61Z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Haemodialysis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93,520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93,524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0.0624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0.0062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0.0562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L62A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Kidney and Urinary Tract Neoplasms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622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5,577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8.97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2.0638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0.0426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0.0195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0.0429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1.9587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L62B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Kidney and Urinary Tract Neoplasms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1,294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2,917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0.5617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0.0820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0.0185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0.4531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L63A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Kidney and Urinary Tract Infections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2,638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27,719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10.51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2.0978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0.0162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0.1120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0.0318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1.9378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L63B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Kidney and Urinary Tract Infections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6,791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30,026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0.8364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0.0149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0.0198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0.7973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L64Z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Urinary Stones and Obstruction</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5,236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9,571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0.5608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0.1276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0.0216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0.0530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0.3585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L65A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Kidney and Urinary Tract Signs and Symptoms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750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5,721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7.63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1.6398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0.0472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0.1082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1.4794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L65B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Kidney and Urinary Tract Signs and Symptoms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4,676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10,499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0.4626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0.0551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0.0073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0.3944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L66Z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Urethral Stricture</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808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1,198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0.4083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0.1238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0.0063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0.2735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L67A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Kidney and Urinary Tract Diagnoses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900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5,406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6.01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1.4598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0.0684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0.0889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0.0299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1.2726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L67B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Kidney and Urinary Tract Diagnoses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11,450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15,739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65.0%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0.2618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0.0479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0.0072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0.2027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L68Z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Peritoneal Dialysis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M01A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Male Pelvic Procedures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775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3,890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5.02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3.9650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1.7163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0.4389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0.2849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1.5249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M01B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Male Pelvic Procedures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4,969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14,991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2.8677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1.5277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0.0626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0.2432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1.0344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lastRenderedPageBreak/>
              <w:t>M02A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Transurethral Prostatectomy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1,017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6,583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6.47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2.0243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0.5235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0.1335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0.0733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1.2941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M02B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Transurethral Prostatectomy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11,517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28,148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1.0116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0.4215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0.0127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0.5742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M03Z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Penis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2,190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3,004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1.4693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0.3956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0.6769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0.3916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M04Z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Testes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6,297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7,051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67.2%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0.5645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0.3351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0.2164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M05Z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Circumcision</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5,519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5,594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94.0%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0.3413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0.2259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0.1147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M06A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Male Reproductive System OR Procedures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735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1.3208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0.3259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0.0405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0.2693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0.6851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M06B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Male Reproductive System OR Procedures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3,332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3,663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74.0%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1.0245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0.2719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0.4607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0.2908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M40Z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Cystourethroscopy, Sameday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6,805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6,805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0.1946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0.1326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0.0590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M60A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Malignancy, Male Reproductive System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626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5,875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9.39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2.1491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0.0948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0.0238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0.0227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2.0077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M60B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Malignancy, Male Reproductive System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8,593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10,073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90.8%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0.2570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0.1073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0.1443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M61Z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Benign Prostatic Hypertrophy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1,258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1,761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79.6%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0.3033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0.1045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0.0144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0.1742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M62Z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Inflammation of the Male Reproductive System</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1,125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3,596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0.6630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0.0634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0.0176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0.0143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0.5678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M63Z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Sterilisation, Male</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6,266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6,280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99.1%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0.2920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0.2114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0.0798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M64Z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Male Reproductive System Diagnoses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1,281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1,706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81.1%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0.3196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0.1224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0.0224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0.0073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0.1675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N01Z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Pelvic Evisceration and Radical Vulvectomy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2,546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6.12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2.8561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0.9482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0.1816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0.1376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1.5886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N04A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Hysterectomy for Non-Malignancy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1,432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6,706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4.68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2.3723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0.9249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0.1280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0.1484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1.1710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N04B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Hysterectomy for Non-Malignancy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13,126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41,940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1.6456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0.7346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0.0893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0.8130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N05A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Oophorectomies and Complex Fallopian Tube Procs for Non-Malig W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1,267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2.3088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0.8024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0.1894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0.1333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1.1836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N05B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Oophorectomies &amp; Complex Fallopian Tube Procs for Non-Malig W/O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4,380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6,879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1.0432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0.5451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0.0063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0.0520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0.4397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N06A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Female Reproductive System Reconstructive Procs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1,029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4,242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1.9935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0.6117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0.0788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0.3184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0.9847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N06B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Female Reproductive System Reconstructive Procs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9,648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22,712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1.3091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0.4481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0.2591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0.5981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N07Z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Uterine and Adnexa Procedures for Non-Malignancy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35,090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38,912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81.2%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0.5332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0.3221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0.0256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0.1817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N08Z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Endoscopic and Laparoscopic Procedures for Female Reproductive System</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8,519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9,850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67.0%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0.6968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0.4074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0.0518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0.2348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N09Z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Conisation, Vagina, Cervix and Vulva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12,718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14,264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91.9%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0.3482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0.2082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0.1371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N10Z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Diagnostic Curettage or Diagnostic Hysteroscopy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19,242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19,547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97.4%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0.2940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0.1912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0.1011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N11Z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Female Reproductive System OR Procedures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6,917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7,919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96.6%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0.2390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0.0736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0.0068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0.0171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0.1415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N12A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Uterine and Adnexa Procedures for Malignancy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4,052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9.86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4.5213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1.0981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0.5846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0.3603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2.4782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N12B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Uterine and Adnexa Procedures for Malignancy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2,126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7,825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1.9348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0.7508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0.0931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0.1042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0.9867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N60A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Malignancy, Female Reproductive System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2,020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9.77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2.3682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0.0350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0.0125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2.2706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N60B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Malignancy, Female Reproductive System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1,327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4,462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0.9070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0.0401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0.0205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0.0195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0.8268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N61Z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Infections, Female Reproductive System</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777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0.6927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0.0347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0.0172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0.0168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0.6240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N62Z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Menstrual and Other Female Reproductive System Disorders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6,359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7,928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84.1%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0.2475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0.0939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0.0063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0.1417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O01A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Caesarean Delivery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1,440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12,825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8.90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3.3744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0.5760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0.1498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0.0909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2.5577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O01B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Caesarean Delivery W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5,708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33,506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2.2031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0.4908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0.0262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0.0583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1.6277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O01C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Caesarean Delivery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28,325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137,181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1.7727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0.4428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0.0269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1.2927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O02A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Vaginal Delivery W OR Procedure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1,479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5.50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2.1529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0.3801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0.1146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1.6570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O02B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Vaginal Delivery W OR Procedure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833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3,708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1.5050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0.2072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0.0077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1.2880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O03A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Ectopic Pregnancy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1.2631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0.6273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0.0681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0.0224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0.5454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O03B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Ectopic Pregnancy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500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651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0.7368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0.4124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0.0117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0.3099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O04A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Postpartum and Post Abortion W OR Procedure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1.5155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0.4291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0.0855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0.0372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0.9638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lastRenderedPageBreak/>
              <w:t>O04B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Postpartum and Post Abortion W OR Procedure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701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1,033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73.2%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0.4791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0.2134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0.0142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0.2515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O05Z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Abortion W OR Procedure</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8,979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9,202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92.9%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0.2900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0.1736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0.1146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O60A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Vaginal Delivery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4,128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21,288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5.16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1.5088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0.0978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0.0213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1.3892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O60B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Vaginal Delivery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33,057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135,469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1.1430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0.0632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1.0713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O60C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Vaginal Delivery Single Uncomplicated W/O Other Condition</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5,070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18,100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0.8945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0.0441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0.8454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O61Z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Postpartum and Post Abortion W/O OR Procedure</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2,597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7,766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0.6441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0.0133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0.0119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0.6178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O63Z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Abortion W/O OR Procedure</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0.2641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0.2532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O64A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False Labour Before 37 Weeks or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1,858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4,930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0.4827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0.4801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O64B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False Labour After 37 Weeks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720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759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61.2%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0.0880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0.0873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O66A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Antenatal and Other Obstetric Admission</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6,383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17,839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0.6198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0.0296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0.0066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0.5819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O66B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Antenatal and Other Obstetric Admission, Sameday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4,005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4,005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0.0475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0.0061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0.0411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P01Z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Neonate, Died or Transferred &lt;5 Days of Admission W Significant OR Procedure</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P02Z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Cardiothoracic/Vascular Procedures for Neonates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P03Z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Neonate, AdmWt 1000-1499 g W Significant OR Procedure</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P04Z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Neonate, AdmWt 1500-1999 g W Significant OR Procedure</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950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41.61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19.5685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0.2643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5.7669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13.5370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P05Z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Neonate, AdmWt 2000-2499 g W Significant OR Procedure</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693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26.57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13.3706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0.2647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5.7796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0.0220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7.3043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P06A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Neonate, AdmWt &gt;2499 g W Significant OR Procedure W Multi Major Problems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18.92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10.5870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0.5528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4.6218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0.1464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5.2660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P06B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Neonate, AdmWt &gt;2499 g W Significant OR Procedure W/O Multi Major Problems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8.16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4.4525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0.2237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1.9843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2.2445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P60A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Neonate, Died or Transferred &lt;5 Days of Adm, W/O Significant OR Proc, Newborn</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642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1,093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47.8%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0.2411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0.0360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0.2051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P60B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Neonate, Died or Transf &lt;5 Days of Adm, W/O Significant OR Proc, Not Newborn</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0.7652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0.4038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0.3614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P61Z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Neonate, AdmWt &lt;750 g</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P62Z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Neonate, AdmWt 750-999 g</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1,494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53.01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35.7096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0.1239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26.4913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9.0943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P63Z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Neonate, AdmWt 1000-1249 g W/O Significant OR Procedure</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33.22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8.8192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1.3903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7.4289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P64Z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Neonate, AdmWt 1250-1499 g W/O Significant OR Procedure</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4,349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28.37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7.5110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1.2540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6.2554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P65A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Neonate, AdmWt 1500-1999 g W/O Significant OR Proc W Multi Major Problems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28.78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9.7480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0.3146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9.4335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P65B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Neonate, AdmWt 1500-1999 g W/O Significant OR Procedure W Major Problem</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5,621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26.61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8.4643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1.5366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6.9261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P65C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Neonate, AdmWt 1500-1999 g W/O Significant OR Procedure W Other Problem</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7,235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23.99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6.6475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0.8938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5.7525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P65D</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Neonate, AdmWt 1500-1999 g W/O Significant OR Procedure W/O Problem</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7,251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19.49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4.6765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0.6766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3.9999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P66A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Neonate, AdmWt 2000-2499 g W/O Significant OR Proc W Multi Major Problems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512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15.45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5.7520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1.0037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4.7483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P66B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Neonate, AdmWt 2000-2499 g W/O Significant OR Procedure W Major Problem</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4,623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16.37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5.1844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1.0534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4.1310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P66C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Neonate, AdmWt 2000-2499 g W/O Significant OR Procedure W Other Problem</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1,529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19,461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12.73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3.3646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0.5468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2.8174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P66D</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Neonate, AdmWt 2000-2499 g W/O Significant OR Procedure W/O Problem</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783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4,307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5.50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1.1863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0.1992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0.9863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P67A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Neonate, AdmWt &gt;2499 g W/O Significant OR Procedure W Multi Major Problems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1,353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9.92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3.0695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0.0112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0.8160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2.2423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P67B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Neonate, AdmWt &gt;2499 g W/O Significant OR Procedure W Major Problem</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8,325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7.12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1.8922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0.2892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1.6028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P67C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Neonate, AdmWt &gt;2499 g W/O Significant OR Procedure W Other Problem</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5,708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33,216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1.2599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0.1590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1.1005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P67D</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Neonate, AdmWt &gt;2499 g W/O Significant OR Procedure W/O Problem</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26,081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104,297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0.3530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0.0139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0.3386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Q01Z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Splenectomy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918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6.95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5.2400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0.8228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1.2888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2.1279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Q02A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OR Procedure of Blood and Blood Forming Organs W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3,544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8.81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3.0602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0.4167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0.2329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0.3125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2.0982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Q02B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OR Procedure of Blood and Blood Forming Organs W/O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1,596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3,034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0.8980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0.3317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0.0496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0.1149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0.4018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Q60A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Reticuloendothelial and Immunity Disorders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1,636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8,024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4.90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46.4%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1.3618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0.0242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0.0571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0.0213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1.2592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lastRenderedPageBreak/>
              <w:t>Q60B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Reticuloendothelial and Immunity Disorders W/O Cat or Sev CC W Malignancy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1,891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3,123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81.9%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0.2714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0.2644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Q60C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Reticuloendothelial and Immunity Disorders W/O Cat or Sev CC W/O Malignancy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9,740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12,453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89.7%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0.1885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0.0189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0.1661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Q61A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Red Blood Cell Disorders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2,739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15,728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1.3102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0.0745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0.0954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0.0115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1.1288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Q61B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Red Blood Cell Disorders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27,193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35,313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79.5%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0.2723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0.0734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0.1923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Q62Z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Coagulation Disorders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2,298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5,088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74.0%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0.4055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0.0180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0.0178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0.3680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R01A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Lymphoma and Leukaemia W Major OR Procedures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2,353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14.62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7.8352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0.9538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0.9193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0.8619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5.1002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R01B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Lymphoma and Leukaemia W Major OR Procedures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1,290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1.7740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0.5028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0.1616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0.1495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0.9601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R02A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Neoplastic Disorders W Major OR Procedures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1,184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12.64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6.0643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1.3937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0.8991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0.5593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3.2122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R02B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Neoplastic Disorders W Major OR Procedures W Severe or Moderate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1,611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6.45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3.0600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0.9286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0.3096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0.2660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1.5558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R02C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Neoplastic Disorders W Major OR Procedures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1,535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6,533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4.26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2.0968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0.7417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0.1930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0.1494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1.0127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R03A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Lymphoma and Leukaemia W Other OR Procedures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5,226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20.18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6.6672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0.4594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0.3675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0.5279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5.3124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R03B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Lymphoma and Leukaemia W Other OR Procedures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1,415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2,825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56.6%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0.8940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0.2782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0.0269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0.0562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0.5326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R04A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Neoplastic Disorders W Other OR Procedures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1,898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1.6826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0.4224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0.1034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0.2128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0.9440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R04B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Neoplastic Disorders W Other OR Procedures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3,739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6,365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1.1320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0.3852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0.0771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0.2852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0.3846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R60A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Acute Leukaemia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5,989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19.97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6.4817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0.0848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0.3022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0.0953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5.9993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R60B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Acute Leukaemia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2,340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4,964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81.3%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0.4492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0.0157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0.0063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0.4258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R61A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Lymphoma and Non-Acute Leukaemia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894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17,424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19.50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5.3953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0.0831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0.3690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0.0496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4.8935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R61B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Lymphoma and Non-Acute Leukaemia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6,464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28,634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1.3785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0.0245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0.0121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1.3330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R61C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Lymphoma and Non-Acute Leukaemia, Sameday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16,212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16,215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0.1449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0.0163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0.1283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R62A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Neoplastic Disorders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773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5,790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7.49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1.5914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0.0661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0.0473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0.0183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1.4597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R62B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Neoplastic Disorders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744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1,729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62.8%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0.5536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0.1081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0.0123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0.4290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R63Z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Chemotherapy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240,396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242,821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99.6%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0.1978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0.0124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0.1805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R64Z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Radiotherapy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S60Z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HIV, Sameday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0.1008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0.0200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0.0808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S65A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HIV-Related Diseases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499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23.16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9.0583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0.1299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0.9287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0.0916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7.9081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S65B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HIV-Related Diseases W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9.93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3.2092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0.0400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3.1691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S65C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HIV-Related Diseases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4.20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1.0906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0.0145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1.0761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T01A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OR Procedures for Infectious and Parasitic Diseases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685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16,825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24.55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8.3845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0.7626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1.0644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0.5759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5.9816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T01B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OR Procedures for Infectious and Parasitic Diseases W Severe or Moderate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744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7,986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10.74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2.9133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0.4285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0.2042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0.1373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2.1432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T01C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OR Procedures for Infectious and Parasitic Diseases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1,349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7,185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1.5265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0.3330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0.0268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0.1361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1.0306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T40Z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Infectious and Parasitic Diseases W Ventilator Support</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18.69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9.7295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0.1321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3.9989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0.4420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5.1566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T60A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Septicaemia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17,273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14.74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3.8281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0.0641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0.6207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0.0611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3.0821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T60B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Septicaemia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1,825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13,455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7.37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1.6399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0.0315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0.0997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0.0270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1.4816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T61A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Postoperative and Post-Traumatic Infections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757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7,536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9.95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2.0201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0.0565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0.0598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0.0401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1.8636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T61B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Postoperative and Post-Traumatic Infections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2,544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13,094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5.15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0.9613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0.0294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0.0242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0.0305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0.8772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T62A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Fever of Unknown Origin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1,335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7,277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5.45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1.2189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0.0131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0.0312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1.1704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T62B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Fever of Unknown Origin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1,275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3,754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0.6244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0.0098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0.0095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0.6038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T63Z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Viral Illness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1,728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5,469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0.6938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0.0495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0.6300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T64A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Infectious and Parasitic Diseases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2,119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16.19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3.8690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0.0454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0.2385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0.2400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3.3451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T64B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Infectious and Parasitic Diseases W Severe or Moderate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1,528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7.85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1.7158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0.0353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0.0257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0.1137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1.5412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lastRenderedPageBreak/>
              <w:t>T64C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Infectious and Parasitic Diseases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1,136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0.7701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0.0431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0.0171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0.0401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0.6698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U40Z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Mental Health Treatment, Sameday, W ECT</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0.0716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0.0296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0.0421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U60Z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Mental Health Treatment, Sameday, W/O ECT</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36,465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36,508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0.0482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0.0474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U61A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Schizophrenia Disorders W Mental Health Legal Status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U61B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Schizophrenia Disorders W/O Mental Health Legal Status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6,327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19.64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2.5095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0.0131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0.0242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2.4722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U62A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Paranoia &amp; Acute Psych Disorder W Cat/Sev CC or W Mental Health Legal Status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20.89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3.6754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3.6743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U62B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Paranoia &amp; Acute Psych Disorder W/O Cat/Sev CC W/O Mental Health Legal Status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757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11.46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1.4819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0.0089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1.4730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U63A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Affective Disorders Age &gt;69 or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665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15,199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22.84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3.8940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0.0474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0.0132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3.8310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U63B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Major Affective Disorders Age &lt;70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2,726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53,778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19.73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2.6153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0.0229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0.0141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2.5757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U64Z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Affective and Somatoform Disorders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753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12,641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16.79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2.3013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0.0184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0.0174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0.0257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2.2399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U65Z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Anxiety Disorders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1,335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7,300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5.47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0.8745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0.0263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0.0193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0.8288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U66Z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Eating and Obsessive-Compulsive Disorders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626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15,776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25.22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4.3833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4.3804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U67Z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Personality Disorders and Acute Reactions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1,304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24,993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19.16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2.4971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0.0493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0.2103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2.2320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U68Z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Childhood Mental Disorders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8.19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1.1224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1.1211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V60A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Alcohol Intoxication and Withdrawal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10.71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1.1872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0.0098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1.1758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V60B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Alcohol Intoxication and Withdrawal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720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50.1%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0.4725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0.4697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V61Z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Drug Intoxication and Withdrawal</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1,121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75.1%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1.1886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0.0078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0.0180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1.1582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V62A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Alcohol Use Disorder and Dependence</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1,063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19,922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18.74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2.0796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2.0770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V62B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Alcohol Use Disorder and Dependence, Sameday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5,316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5,316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0.0263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0.0263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V63Z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Opioid Use Disorder and Dependence</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1,343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18.82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1.8413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1.8378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V64Z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Drug Use Disorder and Dependence</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2,941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5,832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93.3%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0.6178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0.6178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W01Z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Ventilation or Cranial Procedures for Multiple Significant Trauma</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W02A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Hip, Femur &amp; Limb Pr for Mult Signif Trauma, Incl Implantation W Cat/Sev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801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18.03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9.3730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1.3603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0.4603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2.1030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5.4494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W02B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Hip, Femur &amp; Limb Pr for Mult Signif Trauma, Incl Implantation W/O Cat/Sev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14.21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6.7260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0.9994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0.4485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2.1050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3.1730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W03Z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Abdominal Procedures for Multiple Significant Trauma</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W04A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OR Procs for Multiple Significant Trauma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32.10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9.4545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1.2196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0.0821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0.1291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8.0237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W04B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OR Procs for Multiple Significant Trauma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7.91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4.1317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0.9516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0.8753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2.1147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W60Z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Multiple Trauma, Died or Transferred to Another Acute Care Facility &lt;5 Days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1.1466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0.1389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0.4745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0.5332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W61A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Multiple Trauma W/O Significant Procedures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861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15.37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3.7679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0.0264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0.1529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3.5862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W61B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Multiple Trauma W/O Significant Procedures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654</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10.17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1.8448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0.0180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0.0756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1.7511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X02A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Microvascular Tiss Transfer or (Skin Graft W Cat/Sev CC) for Injuries to Hand</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816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1.5067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0.7493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0.1243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0.6231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X02B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Skin Graft for Injuries to Hand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968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1,277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56.8%</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0.5966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0.3222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0.0098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0.2637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X04A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Procedures for Injuries to Lower Limb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2,046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8.24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2.8264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0.4603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0.0940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0.3979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1.8743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X04B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Procedures for Injuries to Lower Limb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1,014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2,126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0.9334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0.3286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0.1601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0.4423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X05A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Procedures for Injuries to Hand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806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1.1612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0.3676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0.0142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0.0324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0.7470</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X05B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Procedures for Injuries to Hand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2,604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3,043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61.9%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0.5023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0.2742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0.0237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0.2035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X06A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Procedures for Other Injuries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1,282</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10,040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7.83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2.9297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0.5134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0.3166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0.3888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1.7109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X06B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Procedures for Other Injuries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6,814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12,821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33.4%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1.0547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0.3828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0.0191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0.2188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0.4339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X07A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Skin Graft for Injuries Ex Hand W Microvascular Tiss Tfr or W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393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5,577</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14.18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3.7874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0.5720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0.0836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0.2090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2.9228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X07B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Skin Graft for Injuries Ex Hand W/O Microvascular Tiss Tfr W/O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641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3,835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5.99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1.6960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0.4161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0.0130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0.0263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1.2406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lastRenderedPageBreak/>
              <w:t>X40Z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Injuries, Poisoning and Toxic Effects of Drugs W Ventilator Support</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X60A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Injuries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1,171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11,655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9.95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1.9553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0.0328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0.0245</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1.8932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X60B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Injuries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2,784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10,556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3.79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0.7090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0.0335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0.0126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0.6616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X61Z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Allergic Reactions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360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751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0.5257</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0.0101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0.1538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0.3602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X62A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Poisoning/Toxic Effects of Drugs and Other Substances W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1,508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8.43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1.9820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0.0122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0.5161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1.4525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X62B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Poisoning/Toxic Effects of Drugs and Other Substances W/O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383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861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0.4262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0.0062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0.0664</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0.3533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X63A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Sequelae of Treatment W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843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5,792</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6.87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1.6734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0.0721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0.2162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0.0522</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1.3329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X63B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Sequelae of Treatment W/O Catastrophic or Severe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4,825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11,661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2.42</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0.5626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0.0861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0.0257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0.0360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0.4148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X64A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Injury, Poisoning and Toxic Effect Diagnosis W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575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9.96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2.0499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0.0398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0.0289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0.1803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1.8009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X64B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Injury, Poisoning and Toxic Effect Diagnosis W/O Cat or 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221</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516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0.4450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0.0130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0.0147</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0.4173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Y01Z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Ventilation for Burns and Severe Full Thickness Burns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Y02A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Burns W Skin Graft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229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11.84</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8.6%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4.0778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0.4894</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3.5877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0.89</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Y02B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Burns W Skin Graft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28.9%</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0.9509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0.3132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0.0523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0.5815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Y03Z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OR Procedures for Other Burns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2.68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58.1%</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0.6241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0.2253</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0.0143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0.0017</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0.3829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Y60Z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Burns, Transferred to Another Acute Care Facility &lt;5 Days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Y61Z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Severe Burns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Y62A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Burns W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401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11.51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2.4813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0.0305</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0.0328</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0.0051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2.4129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Y62B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Burns W/O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3.03</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19.4%</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0.3859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0.0232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0.0202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0.3422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Z01A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OR Procedures W Diagnoses of Other Contacts W Health Services W Cat/Sev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1,360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3,519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66.6%</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1.3223</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0.2910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0.0980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0.3288</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0.6046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Z01B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OR Procedures W Diagnoses of Other Contacts W Health Services W/O Cat/Sev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6,907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10,845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1.57</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58.5%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0.9710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0.3071</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0.0819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0.2536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0.3285</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Z40Z</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Endoscopy W Diagnoses of Other Contacts W Health Services, Sameday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77,557</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77,568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0.1941</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0.1268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0.0004</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0.0669</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Z60A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Rehabilitation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1,740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28,493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16.38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2.9958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0.0022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2.9907</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Z60B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Rehabilitation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5,660</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60,063</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10.61</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2.0150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0.0002</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0.0011</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2.0131</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Z60C</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Rehabilitation, Sameday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14,839</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14,839</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0.1342</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0.1342</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Z61A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Signs and Symptoms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3,573</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16,258</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4.55</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1.0179</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0.0279</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0.0356</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0.0036</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0.9508</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Z61B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Signs and Symptoms, Sameday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2,826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2,831</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0.2540</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0.1480</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0.0011</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0.0035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0.1014</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Z63A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Surgical Follow Up and Medical Care W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345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4,690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13.59</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2.5126</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0.0098</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0.1339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0.0013</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2.3676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0.16</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Z63B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Surgical Follow Up and Medical Care W/O Catastrophic CC</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2,054</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9,610</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4.68</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9.2%</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0.8255</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0.0126</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0.0339</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0.0045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0.7746</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0.04</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Z64A</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Factors Influencing Health Status</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5,136</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11,076</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2.16</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0.7804</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0.1382</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0.0330</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0.1179</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0.4913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w:t>
            </w:r>
          </w:p>
        </w:tc>
      </w:tr>
      <w:tr w:rsidR="004F6034" w:rsidRPr="004F6034" w:rsidTr="00BB7496">
        <w:trPr>
          <w:trHeight w:val="204"/>
        </w:trPr>
        <w:tc>
          <w:tcPr>
            <w:tcW w:w="24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Z64B</w:t>
            </w:r>
          </w:p>
        </w:tc>
        <w:tc>
          <w:tcPr>
            <w:tcW w:w="1799"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Other Factors Influencing Health Status, Sameday</w:t>
            </w:r>
          </w:p>
        </w:tc>
        <w:tc>
          <w:tcPr>
            <w:tcW w:w="303"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77,415</w:t>
            </w:r>
          </w:p>
        </w:tc>
        <w:tc>
          <w:tcPr>
            <w:tcW w:w="29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77,415</w:t>
            </w:r>
          </w:p>
        </w:tc>
        <w:tc>
          <w:tcPr>
            <w:tcW w:w="22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w:t>
            </w:r>
          </w:p>
        </w:tc>
        <w:tc>
          <w:tcPr>
            <w:tcW w:w="331"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100.0%</w:t>
            </w:r>
          </w:p>
        </w:tc>
        <w:tc>
          <w:tcPr>
            <w:tcW w:w="240" w:type="pct"/>
            <w:tcBorders>
              <w:top w:val="nil"/>
              <w:left w:val="single" w:sz="4" w:space="0" w:color="A32020"/>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0.1568</w:t>
            </w:r>
          </w:p>
        </w:tc>
        <w:tc>
          <w:tcPr>
            <w:tcW w:w="275"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0.0587</w:t>
            </w:r>
          </w:p>
        </w:tc>
        <w:tc>
          <w:tcPr>
            <w:tcW w:w="268"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0.0003</w:t>
            </w:r>
          </w:p>
        </w:tc>
        <w:tc>
          <w:tcPr>
            <w:tcW w:w="317"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0.0245</w:t>
            </w:r>
          </w:p>
        </w:tc>
        <w:tc>
          <w:tcPr>
            <w:tcW w:w="403" w:type="pct"/>
            <w:tcBorders>
              <w:top w:val="nil"/>
              <w:left w:val="nil"/>
              <w:bottom w:val="single" w:sz="4" w:space="0" w:color="D9D9D9"/>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0.0733</w:t>
            </w:r>
          </w:p>
        </w:tc>
        <w:tc>
          <w:tcPr>
            <w:tcW w:w="305" w:type="pct"/>
            <w:tcBorders>
              <w:top w:val="nil"/>
              <w:left w:val="single" w:sz="4" w:space="0" w:color="A32020"/>
              <w:bottom w:val="single" w:sz="4" w:space="0" w:color="D9D9D9"/>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w:t>
            </w:r>
          </w:p>
        </w:tc>
      </w:tr>
      <w:tr w:rsidR="004F6034" w:rsidRPr="004F6034" w:rsidTr="00BB7496">
        <w:trPr>
          <w:trHeight w:val="204"/>
        </w:trPr>
        <w:tc>
          <w:tcPr>
            <w:tcW w:w="245" w:type="pct"/>
            <w:tcBorders>
              <w:top w:val="nil"/>
              <w:left w:val="single" w:sz="4" w:space="0" w:color="A32020"/>
              <w:bottom w:val="single" w:sz="4" w:space="0" w:color="A32020"/>
              <w:right w:val="single" w:sz="4" w:space="0" w:color="A32020"/>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Z65Z</w:t>
            </w:r>
          </w:p>
        </w:tc>
        <w:tc>
          <w:tcPr>
            <w:tcW w:w="1799" w:type="pct"/>
            <w:tcBorders>
              <w:top w:val="nil"/>
              <w:left w:val="single" w:sz="4" w:space="0" w:color="A32020"/>
              <w:bottom w:val="nil"/>
              <w:right w:val="nil"/>
            </w:tcBorders>
            <w:shd w:val="clear" w:color="auto" w:fill="auto"/>
            <w:noWrap/>
            <w:vAlign w:val="bottom"/>
            <w:hideMark/>
          </w:tcPr>
          <w:p w:rsidR="004F6034" w:rsidRPr="004F6034" w:rsidRDefault="004F6034" w:rsidP="004F6034">
            <w:pPr>
              <w:rPr>
                <w:snapToGrid/>
                <w:color w:val="000000"/>
                <w:sz w:val="12"/>
                <w:szCs w:val="12"/>
                <w:lang w:eastAsia="en-AU"/>
              </w:rPr>
            </w:pPr>
            <w:r w:rsidRPr="004F6034">
              <w:rPr>
                <w:snapToGrid/>
                <w:color w:val="000000"/>
                <w:sz w:val="12"/>
                <w:szCs w:val="12"/>
                <w:lang w:eastAsia="en-AU"/>
              </w:rPr>
              <w:t>Congenital Anomalies and Problems Arising from Neonatal Period</w:t>
            </w:r>
          </w:p>
        </w:tc>
        <w:tc>
          <w:tcPr>
            <w:tcW w:w="303" w:type="pct"/>
            <w:tcBorders>
              <w:top w:val="nil"/>
              <w:left w:val="single" w:sz="4" w:space="0" w:color="A32020"/>
              <w:bottom w:val="nil"/>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18</w:t>
            </w:r>
          </w:p>
        </w:tc>
        <w:tc>
          <w:tcPr>
            <w:tcW w:w="293" w:type="pct"/>
            <w:tcBorders>
              <w:top w:val="nil"/>
              <w:left w:val="nil"/>
              <w:bottom w:val="nil"/>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24</w:t>
            </w:r>
          </w:p>
        </w:tc>
        <w:tc>
          <w:tcPr>
            <w:tcW w:w="221" w:type="pct"/>
            <w:tcBorders>
              <w:top w:val="nil"/>
              <w:left w:val="nil"/>
              <w:bottom w:val="nil"/>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1.35</w:t>
            </w:r>
          </w:p>
        </w:tc>
        <w:tc>
          <w:tcPr>
            <w:tcW w:w="331" w:type="pct"/>
            <w:tcBorders>
              <w:top w:val="nil"/>
              <w:left w:val="nil"/>
              <w:bottom w:val="nil"/>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27.4%</w:t>
            </w:r>
          </w:p>
        </w:tc>
        <w:tc>
          <w:tcPr>
            <w:tcW w:w="240" w:type="pct"/>
            <w:tcBorders>
              <w:top w:val="nil"/>
              <w:left w:val="single" w:sz="4" w:space="0" w:color="A32020"/>
              <w:bottom w:val="nil"/>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0.5164</w:t>
            </w:r>
          </w:p>
        </w:tc>
        <w:tc>
          <w:tcPr>
            <w:tcW w:w="275" w:type="pct"/>
            <w:tcBorders>
              <w:top w:val="nil"/>
              <w:left w:val="nil"/>
              <w:bottom w:val="nil"/>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0.0589</w:t>
            </w:r>
          </w:p>
        </w:tc>
        <w:tc>
          <w:tcPr>
            <w:tcW w:w="268" w:type="pct"/>
            <w:tcBorders>
              <w:top w:val="nil"/>
              <w:left w:val="nil"/>
              <w:bottom w:val="nil"/>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317" w:type="pct"/>
            <w:tcBorders>
              <w:top w:val="nil"/>
              <w:left w:val="nil"/>
              <w:bottom w:val="nil"/>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0.0000</w:t>
            </w:r>
          </w:p>
        </w:tc>
        <w:tc>
          <w:tcPr>
            <w:tcW w:w="403" w:type="pct"/>
            <w:tcBorders>
              <w:top w:val="nil"/>
              <w:left w:val="nil"/>
              <w:bottom w:val="nil"/>
              <w:right w:val="nil"/>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0.4575</w:t>
            </w:r>
          </w:p>
        </w:tc>
        <w:tc>
          <w:tcPr>
            <w:tcW w:w="305" w:type="pct"/>
            <w:tcBorders>
              <w:top w:val="nil"/>
              <w:left w:val="single" w:sz="4" w:space="0" w:color="A32020"/>
              <w:bottom w:val="nil"/>
              <w:right w:val="single" w:sz="4" w:space="0" w:color="A32020"/>
            </w:tcBorders>
            <w:shd w:val="clear" w:color="auto" w:fill="auto"/>
            <w:noWrap/>
            <w:vAlign w:val="bottom"/>
            <w:hideMark/>
          </w:tcPr>
          <w:p w:rsidR="004F6034" w:rsidRPr="004F6034" w:rsidRDefault="004F6034" w:rsidP="004F6034">
            <w:pPr>
              <w:jc w:val="right"/>
              <w:rPr>
                <w:snapToGrid/>
                <w:color w:val="000000"/>
                <w:sz w:val="12"/>
                <w:szCs w:val="12"/>
                <w:lang w:eastAsia="en-AU"/>
              </w:rPr>
            </w:pPr>
            <w:r w:rsidRPr="004F6034">
              <w:rPr>
                <w:snapToGrid/>
                <w:color w:val="000000"/>
                <w:sz w:val="12"/>
                <w:szCs w:val="12"/>
                <w:lang w:eastAsia="en-AU"/>
              </w:rPr>
              <w:t>0.10</w:t>
            </w:r>
          </w:p>
        </w:tc>
      </w:tr>
      <w:tr w:rsidR="004F6034" w:rsidRPr="004F6034" w:rsidTr="00BB7496">
        <w:trPr>
          <w:trHeight w:val="216"/>
        </w:trPr>
        <w:tc>
          <w:tcPr>
            <w:tcW w:w="245" w:type="pct"/>
            <w:tcBorders>
              <w:top w:val="single" w:sz="4" w:space="0" w:color="A32020"/>
              <w:left w:val="single" w:sz="4" w:space="0" w:color="A32020"/>
              <w:bottom w:val="single" w:sz="8" w:space="0" w:color="A32020"/>
              <w:right w:val="nil"/>
            </w:tcBorders>
            <w:shd w:val="clear" w:color="auto" w:fill="auto"/>
            <w:noWrap/>
            <w:vAlign w:val="bottom"/>
            <w:hideMark/>
          </w:tcPr>
          <w:p w:rsidR="004F6034" w:rsidRPr="004F6034" w:rsidRDefault="004F6034" w:rsidP="004F6034">
            <w:pPr>
              <w:rPr>
                <w:b/>
                <w:bCs/>
                <w:snapToGrid/>
                <w:color w:val="000000"/>
                <w:sz w:val="12"/>
                <w:szCs w:val="12"/>
                <w:lang w:eastAsia="en-AU"/>
              </w:rPr>
            </w:pPr>
            <w:r w:rsidRPr="004F6034">
              <w:rPr>
                <w:b/>
                <w:bCs/>
                <w:snapToGrid/>
                <w:color w:val="000000"/>
                <w:sz w:val="12"/>
                <w:szCs w:val="12"/>
                <w:lang w:eastAsia="en-AU"/>
              </w:rPr>
              <w:t>Total</w:t>
            </w:r>
          </w:p>
        </w:tc>
        <w:tc>
          <w:tcPr>
            <w:tcW w:w="1799" w:type="pct"/>
            <w:tcBorders>
              <w:top w:val="single" w:sz="4" w:space="0" w:color="A32020"/>
              <w:left w:val="nil"/>
              <w:bottom w:val="single" w:sz="8" w:space="0" w:color="A32020"/>
              <w:right w:val="nil"/>
            </w:tcBorders>
            <w:shd w:val="clear" w:color="auto" w:fill="auto"/>
            <w:noWrap/>
            <w:vAlign w:val="bottom"/>
            <w:hideMark/>
          </w:tcPr>
          <w:p w:rsidR="004F6034" w:rsidRPr="004F6034" w:rsidRDefault="004F6034" w:rsidP="004F6034">
            <w:pPr>
              <w:rPr>
                <w:b/>
                <w:bCs/>
                <w:snapToGrid/>
                <w:color w:val="000000"/>
                <w:sz w:val="12"/>
                <w:szCs w:val="12"/>
                <w:lang w:eastAsia="en-AU"/>
              </w:rPr>
            </w:pPr>
            <w:r w:rsidRPr="004F6034">
              <w:rPr>
                <w:b/>
                <w:bCs/>
                <w:snapToGrid/>
                <w:color w:val="000000"/>
                <w:sz w:val="12"/>
                <w:szCs w:val="12"/>
                <w:lang w:eastAsia="en-AU"/>
              </w:rPr>
              <w:t xml:space="preserve"> </w:t>
            </w:r>
          </w:p>
        </w:tc>
        <w:tc>
          <w:tcPr>
            <w:tcW w:w="303" w:type="pct"/>
            <w:tcBorders>
              <w:top w:val="single" w:sz="4" w:space="0" w:color="A32020"/>
              <w:left w:val="single" w:sz="4" w:space="0" w:color="A32020"/>
              <w:bottom w:val="single" w:sz="8" w:space="0" w:color="A32020"/>
              <w:right w:val="nil"/>
            </w:tcBorders>
            <w:shd w:val="clear" w:color="auto" w:fill="auto"/>
            <w:noWrap/>
            <w:vAlign w:val="bottom"/>
            <w:hideMark/>
          </w:tcPr>
          <w:p w:rsidR="004F6034" w:rsidRPr="004F6034" w:rsidRDefault="004F6034" w:rsidP="004F6034">
            <w:pPr>
              <w:jc w:val="right"/>
              <w:rPr>
                <w:b/>
                <w:bCs/>
                <w:snapToGrid/>
                <w:color w:val="000000"/>
                <w:sz w:val="12"/>
                <w:szCs w:val="12"/>
                <w:lang w:eastAsia="en-AU"/>
              </w:rPr>
            </w:pPr>
            <w:r w:rsidRPr="004F6034">
              <w:rPr>
                <w:b/>
                <w:bCs/>
                <w:snapToGrid/>
                <w:color w:val="000000"/>
                <w:sz w:val="12"/>
                <w:szCs w:val="12"/>
                <w:lang w:eastAsia="en-AU"/>
              </w:rPr>
              <w:t>2,827,996</w:t>
            </w:r>
          </w:p>
        </w:tc>
        <w:tc>
          <w:tcPr>
            <w:tcW w:w="293" w:type="pct"/>
            <w:tcBorders>
              <w:top w:val="single" w:sz="4" w:space="0" w:color="A32020"/>
              <w:left w:val="nil"/>
              <w:bottom w:val="single" w:sz="8" w:space="0" w:color="A32020"/>
              <w:right w:val="nil"/>
            </w:tcBorders>
            <w:shd w:val="clear" w:color="auto" w:fill="auto"/>
            <w:noWrap/>
            <w:vAlign w:val="bottom"/>
            <w:hideMark/>
          </w:tcPr>
          <w:p w:rsidR="004F6034" w:rsidRPr="004F6034" w:rsidRDefault="004F6034" w:rsidP="004F6034">
            <w:pPr>
              <w:jc w:val="right"/>
              <w:rPr>
                <w:b/>
                <w:bCs/>
                <w:snapToGrid/>
                <w:color w:val="000000"/>
                <w:sz w:val="12"/>
                <w:szCs w:val="12"/>
                <w:lang w:eastAsia="en-AU"/>
              </w:rPr>
            </w:pPr>
            <w:r w:rsidRPr="004F6034">
              <w:rPr>
                <w:b/>
                <w:bCs/>
                <w:snapToGrid/>
                <w:color w:val="000000"/>
                <w:sz w:val="12"/>
                <w:szCs w:val="12"/>
                <w:lang w:eastAsia="en-AU"/>
              </w:rPr>
              <w:t>6,821,124</w:t>
            </w:r>
          </w:p>
        </w:tc>
        <w:tc>
          <w:tcPr>
            <w:tcW w:w="221" w:type="pct"/>
            <w:tcBorders>
              <w:top w:val="single" w:sz="4" w:space="0" w:color="A32020"/>
              <w:left w:val="nil"/>
              <w:bottom w:val="single" w:sz="8" w:space="0" w:color="A32020"/>
              <w:right w:val="nil"/>
            </w:tcBorders>
            <w:shd w:val="clear" w:color="auto" w:fill="auto"/>
            <w:noWrap/>
            <w:vAlign w:val="bottom"/>
            <w:hideMark/>
          </w:tcPr>
          <w:p w:rsidR="004F6034" w:rsidRPr="004F6034" w:rsidRDefault="004F6034" w:rsidP="004F6034">
            <w:pPr>
              <w:jc w:val="right"/>
              <w:rPr>
                <w:b/>
                <w:bCs/>
                <w:snapToGrid/>
                <w:color w:val="000000"/>
                <w:sz w:val="12"/>
                <w:szCs w:val="12"/>
                <w:lang w:eastAsia="en-AU"/>
              </w:rPr>
            </w:pPr>
            <w:r w:rsidRPr="004F6034">
              <w:rPr>
                <w:b/>
                <w:bCs/>
                <w:snapToGrid/>
                <w:color w:val="000000"/>
                <w:sz w:val="12"/>
                <w:szCs w:val="12"/>
                <w:lang w:eastAsia="en-AU"/>
              </w:rPr>
              <w:t>2.41</w:t>
            </w:r>
          </w:p>
        </w:tc>
        <w:tc>
          <w:tcPr>
            <w:tcW w:w="331" w:type="pct"/>
            <w:tcBorders>
              <w:top w:val="single" w:sz="4" w:space="0" w:color="A32020"/>
              <w:left w:val="nil"/>
              <w:bottom w:val="single" w:sz="8" w:space="0" w:color="A32020"/>
              <w:right w:val="nil"/>
            </w:tcBorders>
            <w:shd w:val="clear" w:color="auto" w:fill="auto"/>
            <w:noWrap/>
            <w:vAlign w:val="bottom"/>
            <w:hideMark/>
          </w:tcPr>
          <w:p w:rsidR="004F6034" w:rsidRPr="004F6034" w:rsidRDefault="004F6034" w:rsidP="004F6034">
            <w:pPr>
              <w:jc w:val="right"/>
              <w:rPr>
                <w:b/>
                <w:bCs/>
                <w:snapToGrid/>
                <w:color w:val="000000"/>
                <w:sz w:val="12"/>
                <w:szCs w:val="12"/>
                <w:lang w:eastAsia="en-AU"/>
              </w:rPr>
            </w:pPr>
            <w:r w:rsidRPr="004F6034">
              <w:rPr>
                <w:b/>
                <w:bCs/>
                <w:snapToGrid/>
                <w:color w:val="000000"/>
                <w:sz w:val="12"/>
                <w:szCs w:val="12"/>
                <w:lang w:eastAsia="en-AU"/>
              </w:rPr>
              <w:t>57.8%</w:t>
            </w:r>
          </w:p>
        </w:tc>
        <w:tc>
          <w:tcPr>
            <w:tcW w:w="240" w:type="pct"/>
            <w:tcBorders>
              <w:top w:val="single" w:sz="4" w:space="0" w:color="A32020"/>
              <w:left w:val="single" w:sz="4" w:space="0" w:color="A32020"/>
              <w:bottom w:val="single" w:sz="8" w:space="0" w:color="A32020"/>
              <w:right w:val="nil"/>
            </w:tcBorders>
            <w:shd w:val="clear" w:color="auto" w:fill="auto"/>
            <w:noWrap/>
            <w:vAlign w:val="bottom"/>
            <w:hideMark/>
          </w:tcPr>
          <w:p w:rsidR="004F6034" w:rsidRPr="004F6034" w:rsidRDefault="004F6034" w:rsidP="004F6034">
            <w:pPr>
              <w:jc w:val="right"/>
              <w:rPr>
                <w:b/>
                <w:bCs/>
                <w:snapToGrid/>
                <w:color w:val="000000"/>
                <w:sz w:val="12"/>
                <w:szCs w:val="12"/>
                <w:lang w:eastAsia="en-AU"/>
              </w:rPr>
            </w:pPr>
            <w:r w:rsidRPr="004F6034">
              <w:rPr>
                <w:b/>
                <w:bCs/>
                <w:snapToGrid/>
                <w:color w:val="000000"/>
                <w:sz w:val="12"/>
                <w:szCs w:val="12"/>
                <w:lang w:eastAsia="en-AU"/>
              </w:rPr>
              <w:t>1.0000</w:t>
            </w:r>
          </w:p>
        </w:tc>
        <w:tc>
          <w:tcPr>
            <w:tcW w:w="275" w:type="pct"/>
            <w:tcBorders>
              <w:top w:val="single" w:sz="4" w:space="0" w:color="A32020"/>
              <w:left w:val="nil"/>
              <w:bottom w:val="single" w:sz="8" w:space="0" w:color="A32020"/>
              <w:right w:val="nil"/>
            </w:tcBorders>
            <w:shd w:val="clear" w:color="auto" w:fill="auto"/>
            <w:noWrap/>
            <w:vAlign w:val="bottom"/>
            <w:hideMark/>
          </w:tcPr>
          <w:p w:rsidR="004F6034" w:rsidRPr="004F6034" w:rsidRDefault="004F6034" w:rsidP="004F6034">
            <w:pPr>
              <w:jc w:val="right"/>
              <w:rPr>
                <w:b/>
                <w:bCs/>
                <w:snapToGrid/>
                <w:color w:val="000000"/>
                <w:sz w:val="12"/>
                <w:szCs w:val="12"/>
                <w:lang w:eastAsia="en-AU"/>
              </w:rPr>
            </w:pPr>
            <w:r w:rsidRPr="004F6034">
              <w:rPr>
                <w:b/>
                <w:bCs/>
                <w:snapToGrid/>
                <w:color w:val="000000"/>
                <w:sz w:val="12"/>
                <w:szCs w:val="12"/>
                <w:lang w:eastAsia="en-AU"/>
              </w:rPr>
              <w:t>0.2323</w:t>
            </w:r>
          </w:p>
        </w:tc>
        <w:tc>
          <w:tcPr>
            <w:tcW w:w="268" w:type="pct"/>
            <w:tcBorders>
              <w:top w:val="single" w:sz="4" w:space="0" w:color="A32020"/>
              <w:left w:val="nil"/>
              <w:bottom w:val="single" w:sz="8" w:space="0" w:color="A32020"/>
              <w:right w:val="nil"/>
            </w:tcBorders>
            <w:shd w:val="clear" w:color="auto" w:fill="auto"/>
            <w:noWrap/>
            <w:vAlign w:val="bottom"/>
            <w:hideMark/>
          </w:tcPr>
          <w:p w:rsidR="004F6034" w:rsidRPr="004F6034" w:rsidRDefault="004F6034" w:rsidP="004F6034">
            <w:pPr>
              <w:jc w:val="right"/>
              <w:rPr>
                <w:b/>
                <w:bCs/>
                <w:snapToGrid/>
                <w:color w:val="000000"/>
                <w:sz w:val="12"/>
                <w:szCs w:val="12"/>
                <w:lang w:eastAsia="en-AU"/>
              </w:rPr>
            </w:pPr>
            <w:r w:rsidRPr="004F6034">
              <w:rPr>
                <w:b/>
                <w:bCs/>
                <w:snapToGrid/>
                <w:color w:val="000000"/>
                <w:sz w:val="12"/>
                <w:szCs w:val="12"/>
                <w:lang w:eastAsia="en-AU"/>
              </w:rPr>
              <w:t>0.0589</w:t>
            </w:r>
          </w:p>
        </w:tc>
        <w:tc>
          <w:tcPr>
            <w:tcW w:w="317" w:type="pct"/>
            <w:tcBorders>
              <w:top w:val="single" w:sz="4" w:space="0" w:color="A32020"/>
              <w:left w:val="nil"/>
              <w:bottom w:val="single" w:sz="8" w:space="0" w:color="A32020"/>
              <w:right w:val="nil"/>
            </w:tcBorders>
            <w:shd w:val="clear" w:color="auto" w:fill="auto"/>
            <w:noWrap/>
            <w:vAlign w:val="bottom"/>
            <w:hideMark/>
          </w:tcPr>
          <w:p w:rsidR="004F6034" w:rsidRPr="004F6034" w:rsidRDefault="004F6034" w:rsidP="004F6034">
            <w:pPr>
              <w:jc w:val="right"/>
              <w:rPr>
                <w:b/>
                <w:bCs/>
                <w:snapToGrid/>
                <w:color w:val="000000"/>
                <w:sz w:val="12"/>
                <w:szCs w:val="12"/>
                <w:lang w:eastAsia="en-AU"/>
              </w:rPr>
            </w:pPr>
            <w:r w:rsidRPr="004F6034">
              <w:rPr>
                <w:b/>
                <w:bCs/>
                <w:snapToGrid/>
                <w:color w:val="000000"/>
                <w:sz w:val="12"/>
                <w:szCs w:val="12"/>
                <w:lang w:eastAsia="en-AU"/>
              </w:rPr>
              <w:t>0.2187</w:t>
            </w:r>
          </w:p>
        </w:tc>
        <w:tc>
          <w:tcPr>
            <w:tcW w:w="403" w:type="pct"/>
            <w:tcBorders>
              <w:top w:val="single" w:sz="4" w:space="0" w:color="A32020"/>
              <w:left w:val="nil"/>
              <w:bottom w:val="single" w:sz="8" w:space="0" w:color="A32020"/>
              <w:right w:val="nil"/>
            </w:tcBorders>
            <w:shd w:val="clear" w:color="auto" w:fill="auto"/>
            <w:noWrap/>
            <w:vAlign w:val="bottom"/>
            <w:hideMark/>
          </w:tcPr>
          <w:p w:rsidR="004F6034" w:rsidRPr="004F6034" w:rsidRDefault="004F6034" w:rsidP="004F6034">
            <w:pPr>
              <w:jc w:val="right"/>
              <w:rPr>
                <w:b/>
                <w:bCs/>
                <w:snapToGrid/>
                <w:color w:val="000000"/>
                <w:sz w:val="12"/>
                <w:szCs w:val="12"/>
                <w:lang w:eastAsia="en-AU"/>
              </w:rPr>
            </w:pPr>
            <w:r w:rsidRPr="004F6034">
              <w:rPr>
                <w:b/>
                <w:bCs/>
                <w:snapToGrid/>
                <w:color w:val="000000"/>
                <w:sz w:val="12"/>
                <w:szCs w:val="12"/>
                <w:lang w:eastAsia="en-AU"/>
              </w:rPr>
              <w:t>0.4901</w:t>
            </w:r>
          </w:p>
        </w:tc>
        <w:tc>
          <w:tcPr>
            <w:tcW w:w="305" w:type="pct"/>
            <w:tcBorders>
              <w:top w:val="single" w:sz="4" w:space="0" w:color="A32020"/>
              <w:left w:val="single" w:sz="4" w:space="0" w:color="A32020"/>
              <w:bottom w:val="single" w:sz="8" w:space="0" w:color="A32020"/>
              <w:right w:val="single" w:sz="4" w:space="0" w:color="A32020"/>
            </w:tcBorders>
            <w:shd w:val="clear" w:color="auto" w:fill="auto"/>
            <w:noWrap/>
            <w:vAlign w:val="bottom"/>
            <w:hideMark/>
          </w:tcPr>
          <w:p w:rsidR="004F6034" w:rsidRPr="004F6034" w:rsidRDefault="004F6034" w:rsidP="004F6034">
            <w:pPr>
              <w:jc w:val="right"/>
              <w:rPr>
                <w:b/>
                <w:bCs/>
                <w:snapToGrid/>
                <w:color w:val="000000"/>
                <w:sz w:val="12"/>
                <w:szCs w:val="12"/>
                <w:lang w:eastAsia="en-AU"/>
              </w:rPr>
            </w:pPr>
            <w:r w:rsidRPr="004F6034">
              <w:rPr>
                <w:b/>
                <w:bCs/>
                <w:snapToGrid/>
                <w:color w:val="000000"/>
                <w:sz w:val="12"/>
                <w:szCs w:val="12"/>
                <w:lang w:eastAsia="en-AU"/>
              </w:rPr>
              <w:t>0.00</w:t>
            </w:r>
          </w:p>
        </w:tc>
      </w:tr>
    </w:tbl>
    <w:p w:rsidR="002D4081" w:rsidRPr="000051B6" w:rsidRDefault="002D4081" w:rsidP="0022546A">
      <w:pPr>
        <w:pStyle w:val="PwCNormal"/>
        <w:numPr>
          <w:ilvl w:val="0"/>
          <w:numId w:val="0"/>
        </w:numPr>
      </w:pPr>
    </w:p>
    <w:p w:rsidR="00272B0A" w:rsidRPr="000051B6" w:rsidRDefault="00272B0A" w:rsidP="00275BAF">
      <w:pPr>
        <w:pStyle w:val="PwCNormal"/>
        <w:numPr>
          <w:ilvl w:val="0"/>
          <w:numId w:val="0"/>
        </w:numPr>
        <w:sectPr w:rsidR="00272B0A" w:rsidRPr="000051B6" w:rsidSect="00B31BBC">
          <w:pgSz w:w="16840" w:h="11907" w:orient="landscape" w:code="9"/>
          <w:pgMar w:top="1418" w:right="1021" w:bottom="1134" w:left="1021" w:header="567" w:footer="567" w:gutter="0"/>
          <w:cols w:space="227"/>
          <w:titlePg/>
          <w:docGrid w:linePitch="360"/>
        </w:sectPr>
      </w:pPr>
    </w:p>
    <w:p w:rsidR="00DF22D7" w:rsidRPr="000051B6" w:rsidRDefault="00DF22D7" w:rsidP="00A1178A"/>
    <w:sectPr w:rsidR="00DF22D7" w:rsidRPr="000051B6" w:rsidSect="000051B6">
      <w:headerReference w:type="even" r:id="rId49"/>
      <w:headerReference w:type="default" r:id="rId50"/>
      <w:footerReference w:type="even" r:id="rId51"/>
      <w:footerReference w:type="default" r:id="rId52"/>
      <w:headerReference w:type="first" r:id="rId53"/>
      <w:type w:val="evenPage"/>
      <w:pgSz w:w="11907" w:h="16840" w:code="9"/>
      <w:pgMar w:top="1021" w:right="1134" w:bottom="102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E55" w:rsidRDefault="00DB0E55" w:rsidP="004343B3">
      <w:pPr>
        <w:pStyle w:val="Separator"/>
      </w:pPr>
      <w:r>
        <w:separator/>
      </w:r>
    </w:p>
    <w:p w:rsidR="00DB0E55" w:rsidRDefault="00DB0E55"/>
  </w:endnote>
  <w:endnote w:type="continuationSeparator" w:id="0">
    <w:p w:rsidR="00DB0E55" w:rsidRDefault="00DB0E55" w:rsidP="004343B3">
      <w:pPr>
        <w:pStyle w:val="Separator"/>
      </w:pPr>
      <w:r>
        <w:continuationSeparator/>
      </w:r>
    </w:p>
    <w:p w:rsidR="00DB0E55" w:rsidRDefault="00DB0E55"/>
  </w:endnote>
  <w:endnote w:type="continuationNotice" w:id="1">
    <w:p w:rsidR="00DB0E55" w:rsidRDefault="00DB0E55" w:rsidP="004343B3">
      <w:pPr>
        <w:pStyle w:val="Separator"/>
      </w:pPr>
    </w:p>
    <w:p w:rsidR="00DB0E55" w:rsidRDefault="00DB0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n-e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Pr="00CB4E4D" w:rsidRDefault="00DB0E55">
    <w:pPr>
      <w:pStyle w:val="Footer"/>
      <w:rPr>
        <w:rFonts w:ascii="Georgia" w:hAnsi="Georgia"/>
      </w:rPr>
    </w:pPr>
    <w:r>
      <w:rPr>
        <w:rFonts w:ascii="Georgia" w:hAnsi="Georgia"/>
      </w:rPr>
      <w:t>R</w:t>
    </w:r>
  </w:p>
  <w:p w:rsidR="00DB0E55" w:rsidRDefault="00DB0E5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Pr="008C6722" w:rsidRDefault="00DB0E55" w:rsidP="00483E95">
    <w:pPr>
      <w:pStyle w:val="Copyright"/>
      <w:framePr w:wrap="around"/>
    </w:pPr>
    <w:r>
      <w:t>© 2011 PricewaterhouseCoopers. All rights reserved. In this document, "PwC" refers to PricewaterhouseCoopers a partnership formed in Australia, which is a member firm of PricewaterhouseCoopers International Limited, each member firm of which is a separate legal entity.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Default="00DB0E55">
    <w:pPr>
      <w:pStyle w:val="Footer"/>
      <w:rPr>
        <w:rFonts w:ascii="Georgia" w:hAnsi="Georgia"/>
      </w:rPr>
    </w:pPr>
    <w:r>
      <w:rPr>
        <w:rFonts w:ascii="Georgia" w:hAnsi="Georgia"/>
      </w:rPr>
      <w:t>Round 18 Private Sector Overnight NHCDC</w:t>
    </w:r>
  </w:p>
  <w:p w:rsidR="00DB0E55" w:rsidRPr="00CB4E4D" w:rsidRDefault="00DB0E55">
    <w:pPr>
      <w:pStyle w:val="Footer"/>
      <w:rPr>
        <w:rFonts w:ascii="Georgia" w:hAnsi="Georgia"/>
      </w:rPr>
    </w:pPr>
    <w:r>
      <w:rPr>
        <w:rFonts w:ascii="Georgia" w:hAnsi="Georgia"/>
      </w:rPr>
      <w:t>PwC</w:t>
    </w:r>
    <w:r>
      <w:rPr>
        <w:rFonts w:ascii="Georgia" w:hAnsi="Georgia"/>
      </w:rPr>
      <w:tab/>
    </w:r>
    <w:r w:rsidRPr="00CB4E4D">
      <w:rPr>
        <w:rFonts w:ascii="Georgia" w:hAnsi="Georgia"/>
      </w:rPr>
      <w:fldChar w:fldCharType="begin"/>
    </w:r>
    <w:r w:rsidRPr="00CB4E4D">
      <w:rPr>
        <w:rFonts w:ascii="Georgia" w:hAnsi="Georgia"/>
      </w:rPr>
      <w:instrText xml:space="preserve"> PAGE   \* MERGEFORMAT </w:instrText>
    </w:r>
    <w:r w:rsidRPr="00CB4E4D">
      <w:rPr>
        <w:rFonts w:ascii="Georgia" w:hAnsi="Georgia"/>
      </w:rPr>
      <w:fldChar w:fldCharType="separate"/>
    </w:r>
    <w:r w:rsidR="00F170C5">
      <w:rPr>
        <w:rFonts w:ascii="Georgia" w:hAnsi="Georgia"/>
        <w:noProof/>
      </w:rPr>
      <w:t>15</w:t>
    </w:r>
    <w:r w:rsidRPr="00CB4E4D">
      <w:rPr>
        <w:rFonts w:ascii="Georgia" w:hAnsi="Georgia"/>
        <w:noProof/>
      </w:rPr>
      <w:fldChar w:fldCharType="end"/>
    </w:r>
  </w:p>
  <w:p w:rsidR="00DB0E55" w:rsidRDefault="00DB0E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Default="00DB0E55">
    <w:pPr>
      <w:pStyle w:val="Footer-Landscape"/>
    </w:pPr>
    <w:fldSimple w:instr=" STYLEREF &quot;Cover Title&quot; ">
      <w:r>
        <w:rPr>
          <w:noProof/>
        </w:rPr>
        <w:t>Round 18 Private Sector Overnight NHCDC</w:t>
      </w:r>
    </w:fldSimple>
  </w:p>
  <w:p w:rsidR="00DB0E55" w:rsidRDefault="00DB0E55">
    <w:pPr>
      <w:pStyle w:val="Footer-Landscape"/>
    </w:pPr>
    <w:r>
      <w:t>PwC</w:t>
    </w:r>
    <w:r>
      <w:ptab w:relativeTo="margin" w:alignment="right" w:leader="none"/>
    </w:r>
    <w:r>
      <w:fldChar w:fldCharType="begin"/>
    </w:r>
    <w:r>
      <w:instrText xml:space="preserve"> PAGE  \* MERGEFORMAT </w:instrText>
    </w:r>
    <w:r>
      <w:fldChar w:fldCharType="separate"/>
    </w:r>
    <w:r>
      <w:rPr>
        <w:noProof/>
      </w:rPr>
      <w:t>32</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Pr="00E812A5" w:rsidRDefault="00DB0E55">
    <w:pPr>
      <w:pStyle w:val="Footer-Landscape"/>
      <w:rPr>
        <w:rFonts w:ascii="Georgia" w:hAnsi="Georgia"/>
        <w:sz w:val="20"/>
        <w:szCs w:val="20"/>
      </w:rPr>
    </w:pPr>
    <w:r w:rsidRPr="00E812A5">
      <w:rPr>
        <w:rFonts w:ascii="Georgia" w:hAnsi="Georgia"/>
        <w:sz w:val="20"/>
        <w:szCs w:val="20"/>
      </w:rPr>
      <w:fldChar w:fldCharType="begin"/>
    </w:r>
    <w:r w:rsidRPr="00E812A5">
      <w:rPr>
        <w:rFonts w:ascii="Georgia" w:hAnsi="Georgia"/>
        <w:sz w:val="20"/>
        <w:szCs w:val="20"/>
      </w:rPr>
      <w:instrText xml:space="preserve"> STYLEREF "Cover Title" </w:instrText>
    </w:r>
    <w:r w:rsidRPr="00E812A5">
      <w:rPr>
        <w:rFonts w:ascii="Georgia" w:hAnsi="Georgia"/>
        <w:sz w:val="20"/>
        <w:szCs w:val="20"/>
      </w:rPr>
      <w:fldChar w:fldCharType="separate"/>
    </w:r>
    <w:r w:rsidR="00F170C5">
      <w:rPr>
        <w:rFonts w:ascii="Georgia" w:hAnsi="Georgia"/>
        <w:noProof/>
        <w:sz w:val="20"/>
        <w:szCs w:val="20"/>
      </w:rPr>
      <w:t>Round 18 Private Sector Overnight NHCDC</w:t>
    </w:r>
    <w:r w:rsidRPr="00E812A5">
      <w:rPr>
        <w:rFonts w:ascii="Georgia" w:hAnsi="Georgia"/>
        <w:noProof/>
        <w:sz w:val="20"/>
        <w:szCs w:val="20"/>
      </w:rPr>
      <w:fldChar w:fldCharType="end"/>
    </w:r>
  </w:p>
  <w:p w:rsidR="00DB0E55" w:rsidRDefault="00DB0E55">
    <w:pPr>
      <w:pStyle w:val="Footer-Landscape"/>
    </w:pPr>
    <w:r w:rsidRPr="00E812A5">
      <w:rPr>
        <w:rFonts w:ascii="Georgia" w:hAnsi="Georgia"/>
        <w:sz w:val="20"/>
        <w:szCs w:val="20"/>
      </w:rPr>
      <w:t>PwC</w:t>
    </w:r>
    <w:r>
      <w:ptab w:relativeTo="margin" w:alignment="right" w:leader="none"/>
    </w:r>
    <w:r w:rsidRPr="00E812A5">
      <w:rPr>
        <w:rFonts w:ascii="Georgia" w:hAnsi="Georgia"/>
        <w:sz w:val="20"/>
        <w:szCs w:val="20"/>
      </w:rPr>
      <w:fldChar w:fldCharType="begin"/>
    </w:r>
    <w:r w:rsidRPr="00E812A5">
      <w:rPr>
        <w:rFonts w:ascii="Georgia" w:hAnsi="Georgia"/>
        <w:sz w:val="20"/>
        <w:szCs w:val="20"/>
      </w:rPr>
      <w:instrText xml:space="preserve"> PAGE  \* MERGEFORMAT </w:instrText>
    </w:r>
    <w:r w:rsidRPr="00E812A5">
      <w:rPr>
        <w:rFonts w:ascii="Georgia" w:hAnsi="Georgia"/>
        <w:sz w:val="20"/>
        <w:szCs w:val="20"/>
      </w:rPr>
      <w:fldChar w:fldCharType="separate"/>
    </w:r>
    <w:r w:rsidR="00F170C5">
      <w:rPr>
        <w:rFonts w:ascii="Georgia" w:hAnsi="Georgia"/>
        <w:noProof/>
        <w:sz w:val="20"/>
        <w:szCs w:val="20"/>
      </w:rPr>
      <w:t>43</w:t>
    </w:r>
    <w:r w:rsidRPr="00E812A5">
      <w:rPr>
        <w:rFonts w:ascii="Georgia" w:hAnsi="Georgia"/>
        <w:noProof/>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Default="00DB0E55">
    <w:pPr>
      <w:pStyle w:val="Footer-Landscape"/>
    </w:pPr>
    <w:r w:rsidRPr="006650EF">
      <w:rPr>
        <w:sz w:val="18"/>
      </w:rPr>
      <w:fldChar w:fldCharType="begin"/>
    </w:r>
    <w:r>
      <w:instrText xml:space="preserve"> IF </w:instrText>
    </w:r>
    <w:fldSimple w:instr=" DOCPROPERTY &quot;Mirror Margins&quot; ">
      <w:r>
        <w:instrText>N</w:instrText>
      </w:r>
    </w:fldSimple>
    <w:r>
      <w:instrText xml:space="preserve"> = "N" "</w:instrText>
    </w:r>
    <w:fldSimple w:instr=" STYLEREF &quot;Cover title&quot; ">
      <w:r>
        <w:rPr>
          <w:noProof/>
        </w:rPr>
        <w:instrText>Round 18 Private Sector Overnight NHCDC</w:instrText>
      </w:r>
    </w:fldSimple>
  </w:p>
  <w:p w:rsidR="00DB0E55" w:rsidRDefault="00DB0E55">
    <w:pPr>
      <w:pStyle w:val="Footer-Landscape"/>
    </w:pPr>
    <w:r>
      <w:instrText>PwC</w:instrText>
    </w:r>
    <w:r>
      <w:ptab w:relativeTo="margin" w:alignment="right" w:leader="none"/>
    </w:r>
    <w:r>
      <w:fldChar w:fldCharType="begin"/>
    </w:r>
    <w:r>
      <w:instrText xml:space="preserve"> PAGE </w:instrText>
    </w:r>
    <w:r>
      <w:fldChar w:fldCharType="separate"/>
    </w:r>
    <w:r>
      <w:rPr>
        <w:noProof/>
      </w:rPr>
      <w:instrText>41</w:instrText>
    </w:r>
    <w:r>
      <w:rPr>
        <w:noProof/>
      </w:rPr>
      <w:fldChar w:fldCharType="end"/>
    </w:r>
    <w:r>
      <w:instrText xml:space="preserve">" </w:instrText>
    </w:r>
    <w:r w:rsidRPr="006650EF">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fldSimple w:instr=" STYLEREF &quot;Cover title&quot; ">
      <w:r>
        <w:rPr>
          <w:noProof/>
        </w:rPr>
        <w:instrText>Prospect name</w:instrText>
      </w:r>
    </w:fldSimple>
  </w:p>
  <w:p w:rsidR="00DB0E55" w:rsidRDefault="00DB0E55">
    <w:pPr>
      <w:pStyle w:val="Footer-Landscape"/>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rsidR="00DB0E55" w:rsidRDefault="00DB0E55">
    <w:pPr>
      <w:pStyle w:val="Footer-Landscape"/>
    </w:pPr>
    <w:r>
      <w:instrText>" "</w:instrText>
    </w:r>
    <w:r>
      <w:ptab w:relativeTo="margin" w:alignment="right" w:leader="none"/>
    </w:r>
    <w:fldSimple w:instr=" STYLEREF &quot;Cover title&quot; ">
      <w:r>
        <w:rPr>
          <w:noProof/>
        </w:rPr>
        <w:instrText>Prospect name</w:instrText>
      </w:r>
    </w:fldSimple>
  </w:p>
  <w:p w:rsidR="00DB0E55" w:rsidRDefault="00DB0E55">
    <w:pPr>
      <w:pStyle w:val="Footer-Landscape"/>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rsidR="00DB0E55" w:rsidRDefault="00DB0E55">
    <w:pPr>
      <w:pStyle w:val="Footer-Landscape"/>
      <w:rPr>
        <w:noProof/>
        <w:sz w:val="2"/>
      </w:rPr>
    </w:pPr>
    <w:r w:rsidRPr="006650EF">
      <w:rPr>
        <w:sz w:val="2"/>
      </w:rPr>
      <w:instrText xml:space="preserve">" </w:instrText>
    </w:r>
    <w:r w:rsidRPr="006650EF">
      <w:rPr>
        <w:sz w:val="2"/>
      </w:rPr>
      <w:fldChar w:fldCharType="separate"/>
    </w:r>
    <w:r w:rsidRPr="006650EF">
      <w:rPr>
        <w:noProof/>
        <w:sz w:val="2"/>
      </w:rPr>
      <w:instrText>Prospect name</w:instrText>
    </w:r>
  </w:p>
  <w:p w:rsidR="00DB0E55" w:rsidRDefault="00DB0E55">
    <w:pPr>
      <w:pStyle w:val="Footer-Landscape"/>
      <w:rPr>
        <w:noProof/>
        <w:sz w:val="2"/>
      </w:rPr>
    </w:pPr>
    <w:r w:rsidRPr="006650EF">
      <w:rPr>
        <w:noProof/>
        <w:sz w:val="2"/>
      </w:rPr>
      <w:instrText>PwC</w:instrText>
    </w:r>
    <w:r w:rsidRPr="006650EF">
      <w:rPr>
        <w:noProof/>
        <w:sz w:val="2"/>
      </w:rPr>
      <w:tab/>
      <w:instrText>5</w:instrText>
    </w:r>
    <w:r w:rsidRPr="006650EF">
      <w:rPr>
        <w:noProof/>
        <w:sz w:val="2"/>
      </w:rPr>
      <w:tab/>
      <w:instrText>WWYLTG?</w:instrText>
    </w:r>
  </w:p>
  <w:p w:rsidR="00DB0E55" w:rsidRDefault="00DB0E55">
    <w:pPr>
      <w:pStyle w:val="Footer-Landscape"/>
      <w:rPr>
        <w:noProof/>
      </w:rPr>
    </w:pPr>
    <w:r w:rsidRPr="006650EF">
      <w:rPr>
        <w:sz w:val="2"/>
      </w:rPr>
      <w:fldChar w:fldCharType="end"/>
    </w:r>
    <w:r w:rsidRPr="006650EF">
      <w:rPr>
        <w:sz w:val="2"/>
      </w:rPr>
      <w:instrText xml:space="preserve"> </w:instrText>
    </w:r>
    <w:r w:rsidRPr="006650EF">
      <w:rPr>
        <w:sz w:val="2"/>
      </w:rPr>
      <w:fldChar w:fldCharType="separate"/>
    </w:r>
    <w:r>
      <w:rPr>
        <w:noProof/>
      </w:rPr>
      <w:t>Round 18 Private Sector Overnight NHCDC</w:t>
    </w:r>
  </w:p>
  <w:p w:rsidR="00DB0E55" w:rsidRDefault="00DB0E55">
    <w:pPr>
      <w:pStyle w:val="Footer-Landscape"/>
      <w:rPr>
        <w:sz w:val="2"/>
      </w:rPr>
    </w:pPr>
    <w:r>
      <w:rPr>
        <w:noProof/>
      </w:rPr>
      <w:t>PwC</w:t>
    </w:r>
    <w:r>
      <w:rPr>
        <w:noProof/>
      </w:rPr>
      <w:ptab w:relativeTo="margin" w:alignment="right" w:leader="none"/>
    </w:r>
    <w:r>
      <w:rPr>
        <w:noProof/>
      </w:rPr>
      <w:t>41</w:t>
    </w:r>
    <w:r w:rsidRPr="006650EF">
      <w:rPr>
        <w:sz w:val="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Default="00DB0E55" w:rsidP="00086603">
    <w:pPr>
      <w:pStyle w:val="Footer-ToCEven"/>
    </w:pPr>
    <w:fldSimple w:instr=" STYLEREF &quot;Cover Title&quot; ">
      <w:r>
        <w:rPr>
          <w:noProof/>
        </w:rPr>
        <w:t>Round 18 Private Sector Overnight NHCDC</w:t>
      </w:r>
    </w:fldSimple>
  </w:p>
  <w:p w:rsidR="00DB0E55" w:rsidRPr="002628D1" w:rsidRDefault="00DB0E55" w:rsidP="00086603">
    <w:pPr>
      <w:pStyle w:val="Footer-ToCEven"/>
    </w:pPr>
    <w:r>
      <w:t>PwC</w:t>
    </w:r>
    <w:r>
      <w:tab/>
    </w:r>
    <w:r>
      <w:fldChar w:fldCharType="begin"/>
    </w:r>
    <w:r>
      <w:instrText xml:space="preserve"> PAGE  \* MERGEFORMAT </w:instrText>
    </w:r>
    <w:r>
      <w:fldChar w:fldCharType="separate"/>
    </w:r>
    <w:r>
      <w:rPr>
        <w:noProof/>
      </w:rPr>
      <w:t>58</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Pr="00E812A5" w:rsidRDefault="00DB0E55" w:rsidP="00086603">
    <w:pPr>
      <w:pStyle w:val="Footer-ToC"/>
      <w:rPr>
        <w:rFonts w:ascii="Georgia" w:hAnsi="Georgia"/>
        <w:sz w:val="20"/>
        <w:szCs w:val="20"/>
      </w:rPr>
    </w:pPr>
    <w:r w:rsidRPr="00E812A5">
      <w:rPr>
        <w:rFonts w:ascii="Georgia" w:hAnsi="Georgia"/>
        <w:sz w:val="20"/>
        <w:szCs w:val="20"/>
      </w:rPr>
      <w:fldChar w:fldCharType="begin"/>
    </w:r>
    <w:r w:rsidRPr="00E812A5">
      <w:rPr>
        <w:rFonts w:ascii="Georgia" w:hAnsi="Georgia"/>
        <w:sz w:val="20"/>
        <w:szCs w:val="20"/>
      </w:rPr>
      <w:instrText xml:space="preserve"> STYLEREF "Cover Title" </w:instrText>
    </w:r>
    <w:r w:rsidRPr="00E812A5">
      <w:rPr>
        <w:rFonts w:ascii="Georgia" w:hAnsi="Georgia"/>
        <w:sz w:val="20"/>
        <w:szCs w:val="20"/>
      </w:rPr>
      <w:fldChar w:fldCharType="separate"/>
    </w:r>
    <w:r w:rsidR="00F170C5">
      <w:rPr>
        <w:rFonts w:ascii="Georgia" w:hAnsi="Georgia"/>
        <w:noProof/>
        <w:sz w:val="20"/>
        <w:szCs w:val="20"/>
      </w:rPr>
      <w:t>Round 18 Private Sector Overnight NHCDC</w:t>
    </w:r>
    <w:r w:rsidRPr="00E812A5">
      <w:rPr>
        <w:rFonts w:ascii="Georgia" w:hAnsi="Georgia"/>
        <w:noProof/>
        <w:sz w:val="20"/>
        <w:szCs w:val="20"/>
      </w:rPr>
      <w:fldChar w:fldCharType="end"/>
    </w:r>
  </w:p>
  <w:p w:rsidR="00DB0E55" w:rsidRPr="00E812A5" w:rsidRDefault="00DB0E55" w:rsidP="00086603">
    <w:pPr>
      <w:pStyle w:val="Footer-ToC"/>
      <w:rPr>
        <w:rFonts w:ascii="Georgia" w:hAnsi="Georgia"/>
        <w:sz w:val="20"/>
        <w:szCs w:val="20"/>
      </w:rPr>
    </w:pPr>
    <w:r w:rsidRPr="00E812A5">
      <w:rPr>
        <w:rFonts w:ascii="Georgia" w:hAnsi="Georgia"/>
        <w:sz w:val="20"/>
        <w:szCs w:val="20"/>
      </w:rPr>
      <w:t>PwC</w:t>
    </w:r>
    <w:r w:rsidRPr="00E812A5">
      <w:rPr>
        <w:rFonts w:ascii="Georgia" w:hAnsi="Georgia"/>
        <w:sz w:val="20"/>
        <w:szCs w:val="20"/>
      </w:rPr>
      <w:tab/>
    </w:r>
    <w:r w:rsidRPr="00E812A5">
      <w:rPr>
        <w:rFonts w:ascii="Georgia" w:hAnsi="Georgia"/>
        <w:sz w:val="20"/>
        <w:szCs w:val="20"/>
      </w:rPr>
      <w:fldChar w:fldCharType="begin"/>
    </w:r>
    <w:r w:rsidRPr="00E812A5">
      <w:rPr>
        <w:rFonts w:ascii="Georgia" w:hAnsi="Georgia"/>
        <w:sz w:val="20"/>
        <w:szCs w:val="20"/>
      </w:rPr>
      <w:instrText xml:space="preserve"> PAGE  \* MERGEFORMAT </w:instrText>
    </w:r>
    <w:r w:rsidRPr="00E812A5">
      <w:rPr>
        <w:rFonts w:ascii="Georgia" w:hAnsi="Georgia"/>
        <w:sz w:val="20"/>
        <w:szCs w:val="20"/>
      </w:rPr>
      <w:fldChar w:fldCharType="separate"/>
    </w:r>
    <w:r w:rsidR="00F170C5">
      <w:rPr>
        <w:rFonts w:ascii="Georgia" w:hAnsi="Georgia"/>
        <w:noProof/>
        <w:sz w:val="20"/>
        <w:szCs w:val="20"/>
      </w:rPr>
      <w:t>51</w:t>
    </w:r>
    <w:r w:rsidRPr="00E812A5">
      <w:rPr>
        <w:rFonts w:ascii="Georgia" w:hAnsi="Georgia"/>
        <w:noProof/>
        <w:sz w:val="20"/>
        <w:szCs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Pr="00E812A5" w:rsidRDefault="00DB0E55" w:rsidP="00086603">
    <w:pPr>
      <w:pStyle w:val="Footer-ToC"/>
      <w:rPr>
        <w:rFonts w:ascii="Georgia" w:hAnsi="Georgia"/>
        <w:sz w:val="20"/>
        <w:szCs w:val="20"/>
      </w:rPr>
    </w:pPr>
    <w:r w:rsidRPr="00E812A5">
      <w:rPr>
        <w:rFonts w:ascii="Georgia" w:hAnsi="Georgia"/>
        <w:sz w:val="20"/>
        <w:szCs w:val="20"/>
      </w:rPr>
      <w:fldChar w:fldCharType="begin"/>
    </w:r>
    <w:r w:rsidRPr="00E812A5">
      <w:rPr>
        <w:rFonts w:ascii="Georgia" w:hAnsi="Georgia"/>
        <w:sz w:val="20"/>
        <w:szCs w:val="20"/>
      </w:rPr>
      <w:instrText xml:space="preserve"> IF </w:instrText>
    </w:r>
    <w:r w:rsidRPr="00E812A5">
      <w:rPr>
        <w:rFonts w:ascii="Georgia" w:hAnsi="Georgia"/>
        <w:sz w:val="20"/>
        <w:szCs w:val="20"/>
      </w:rPr>
      <w:fldChar w:fldCharType="begin"/>
    </w:r>
    <w:r w:rsidRPr="00E812A5">
      <w:rPr>
        <w:rFonts w:ascii="Georgia" w:hAnsi="Georgia"/>
        <w:sz w:val="20"/>
        <w:szCs w:val="20"/>
      </w:rPr>
      <w:instrText xml:space="preserve"> DOCPROPERTY "Mirror Margins" </w:instrText>
    </w:r>
    <w:r w:rsidRPr="00E812A5">
      <w:rPr>
        <w:rFonts w:ascii="Georgia" w:hAnsi="Georgia"/>
        <w:sz w:val="20"/>
        <w:szCs w:val="20"/>
      </w:rPr>
      <w:fldChar w:fldCharType="separate"/>
    </w:r>
    <w:r>
      <w:rPr>
        <w:rFonts w:ascii="Georgia" w:hAnsi="Georgia"/>
        <w:sz w:val="20"/>
        <w:szCs w:val="20"/>
      </w:rPr>
      <w:instrText>N</w:instrText>
    </w:r>
    <w:r w:rsidRPr="00E812A5">
      <w:rPr>
        <w:rFonts w:ascii="Georgia" w:hAnsi="Georgia"/>
        <w:sz w:val="20"/>
        <w:szCs w:val="20"/>
      </w:rPr>
      <w:fldChar w:fldCharType="end"/>
    </w:r>
    <w:r w:rsidRPr="00E812A5">
      <w:rPr>
        <w:rFonts w:ascii="Georgia" w:hAnsi="Georgia"/>
        <w:sz w:val="20"/>
        <w:szCs w:val="20"/>
      </w:rPr>
      <w:instrText xml:space="preserve"> = "N" "</w:instrText>
    </w:r>
    <w:r w:rsidRPr="00E812A5">
      <w:rPr>
        <w:rFonts w:ascii="Georgia" w:hAnsi="Georgia"/>
        <w:sz w:val="20"/>
        <w:szCs w:val="20"/>
      </w:rPr>
      <w:fldChar w:fldCharType="begin"/>
    </w:r>
    <w:r w:rsidRPr="00E812A5">
      <w:rPr>
        <w:rFonts w:ascii="Georgia" w:hAnsi="Georgia"/>
        <w:sz w:val="20"/>
        <w:szCs w:val="20"/>
      </w:rPr>
      <w:instrText xml:space="preserve"> STYLEREF "Cover title" </w:instrText>
    </w:r>
    <w:r w:rsidRPr="00E812A5">
      <w:rPr>
        <w:rFonts w:ascii="Georgia" w:hAnsi="Georgia"/>
        <w:sz w:val="20"/>
        <w:szCs w:val="20"/>
      </w:rPr>
      <w:fldChar w:fldCharType="separate"/>
    </w:r>
    <w:r w:rsidR="00F170C5">
      <w:rPr>
        <w:rFonts w:ascii="Georgia" w:hAnsi="Georgia"/>
        <w:noProof/>
        <w:sz w:val="20"/>
        <w:szCs w:val="20"/>
      </w:rPr>
      <w:instrText>Round 18 Private Sector Overnight NHCDC</w:instrText>
    </w:r>
    <w:r w:rsidRPr="00E812A5">
      <w:rPr>
        <w:rFonts w:ascii="Georgia" w:hAnsi="Georgia"/>
        <w:noProof/>
        <w:sz w:val="20"/>
        <w:szCs w:val="20"/>
      </w:rPr>
      <w:fldChar w:fldCharType="end"/>
    </w:r>
  </w:p>
  <w:p w:rsidR="00DB0E55" w:rsidRPr="00E812A5" w:rsidRDefault="00DB0E55" w:rsidP="00086603">
    <w:pPr>
      <w:pStyle w:val="Footer-ToC"/>
      <w:rPr>
        <w:rFonts w:ascii="Georgia" w:hAnsi="Georgia"/>
        <w:sz w:val="20"/>
        <w:szCs w:val="20"/>
      </w:rPr>
    </w:pPr>
    <w:r w:rsidRPr="00E812A5">
      <w:rPr>
        <w:rFonts w:ascii="Georgia" w:hAnsi="Georgia"/>
        <w:sz w:val="20"/>
        <w:szCs w:val="20"/>
      </w:rPr>
      <w:instrText>PwC</w:instrText>
    </w:r>
    <w:r w:rsidRPr="00E812A5">
      <w:rPr>
        <w:rFonts w:ascii="Georgia" w:hAnsi="Georgia"/>
        <w:sz w:val="20"/>
        <w:szCs w:val="20"/>
      </w:rPr>
      <w:ptab w:relativeTo="margin" w:alignment="right" w:leader="none"/>
    </w:r>
    <w:r w:rsidRPr="00E812A5">
      <w:rPr>
        <w:rFonts w:ascii="Georgia" w:hAnsi="Georgia"/>
        <w:sz w:val="20"/>
        <w:szCs w:val="20"/>
      </w:rPr>
      <w:fldChar w:fldCharType="begin"/>
    </w:r>
    <w:r w:rsidRPr="00E812A5">
      <w:rPr>
        <w:rFonts w:ascii="Georgia" w:hAnsi="Georgia"/>
        <w:sz w:val="20"/>
        <w:szCs w:val="20"/>
      </w:rPr>
      <w:instrText xml:space="preserve"> PAGE </w:instrText>
    </w:r>
    <w:r w:rsidRPr="00E812A5">
      <w:rPr>
        <w:rFonts w:ascii="Georgia" w:hAnsi="Georgia"/>
        <w:sz w:val="20"/>
        <w:szCs w:val="20"/>
      </w:rPr>
      <w:fldChar w:fldCharType="separate"/>
    </w:r>
    <w:r w:rsidR="00F170C5">
      <w:rPr>
        <w:rFonts w:ascii="Georgia" w:hAnsi="Georgia"/>
        <w:noProof/>
        <w:sz w:val="20"/>
        <w:szCs w:val="20"/>
      </w:rPr>
      <w:instrText>53</w:instrText>
    </w:r>
    <w:r w:rsidRPr="00E812A5">
      <w:rPr>
        <w:rFonts w:ascii="Georgia" w:hAnsi="Georgia"/>
        <w:noProof/>
        <w:sz w:val="20"/>
        <w:szCs w:val="20"/>
      </w:rPr>
      <w:fldChar w:fldCharType="end"/>
    </w:r>
    <w:r w:rsidRPr="00E812A5">
      <w:rPr>
        <w:rFonts w:ascii="Georgia" w:hAnsi="Georgia"/>
        <w:sz w:val="20"/>
        <w:szCs w:val="20"/>
      </w:rPr>
      <w:instrText xml:space="preserve">" </w:instrText>
    </w:r>
    <w:r w:rsidRPr="00E812A5">
      <w:rPr>
        <w:rFonts w:ascii="Georgia" w:hAnsi="Georgia"/>
        <w:sz w:val="20"/>
        <w:szCs w:val="20"/>
      </w:rPr>
      <w:fldChar w:fldCharType="begin"/>
    </w:r>
    <w:r w:rsidRPr="00E812A5">
      <w:rPr>
        <w:rFonts w:ascii="Georgia" w:hAnsi="Georgia"/>
        <w:sz w:val="20"/>
        <w:szCs w:val="20"/>
      </w:rPr>
      <w:instrText xml:space="preserve"> IF </w:instrText>
    </w:r>
    <w:r w:rsidRPr="00E812A5">
      <w:rPr>
        <w:rFonts w:ascii="Georgia" w:hAnsi="Georgia"/>
        <w:sz w:val="20"/>
        <w:szCs w:val="20"/>
      </w:rPr>
      <w:fldChar w:fldCharType="begin"/>
    </w:r>
    <w:r w:rsidRPr="00E812A5">
      <w:rPr>
        <w:rFonts w:ascii="Georgia" w:hAnsi="Georgia"/>
        <w:sz w:val="20"/>
        <w:szCs w:val="20"/>
      </w:rPr>
      <w:instrText xml:space="preserve"> =mod( </w:instrText>
    </w:r>
    <w:r w:rsidRPr="00E812A5">
      <w:rPr>
        <w:rFonts w:ascii="Georgia" w:hAnsi="Georgia"/>
        <w:sz w:val="20"/>
        <w:szCs w:val="20"/>
      </w:rPr>
      <w:fldChar w:fldCharType="begin"/>
    </w:r>
    <w:r w:rsidRPr="00E812A5">
      <w:rPr>
        <w:rFonts w:ascii="Georgia" w:hAnsi="Georgia"/>
        <w:sz w:val="20"/>
        <w:szCs w:val="20"/>
      </w:rPr>
      <w:instrText xml:space="preserve"> PAGE \* Arabic </w:instrText>
    </w:r>
    <w:r w:rsidRPr="00E812A5">
      <w:rPr>
        <w:rFonts w:ascii="Georgia" w:hAnsi="Georgia"/>
        <w:sz w:val="20"/>
        <w:szCs w:val="20"/>
      </w:rPr>
      <w:fldChar w:fldCharType="separate"/>
    </w:r>
    <w:r w:rsidRPr="00E812A5">
      <w:rPr>
        <w:rFonts w:ascii="Georgia" w:hAnsi="Georgia"/>
        <w:noProof/>
        <w:sz w:val="20"/>
        <w:szCs w:val="20"/>
      </w:rPr>
      <w:instrText>5</w:instrText>
    </w:r>
    <w:r w:rsidRPr="00E812A5">
      <w:rPr>
        <w:rFonts w:ascii="Georgia" w:hAnsi="Georgia"/>
        <w:noProof/>
        <w:sz w:val="20"/>
        <w:szCs w:val="20"/>
      </w:rPr>
      <w:fldChar w:fldCharType="end"/>
    </w:r>
    <w:r w:rsidRPr="00E812A5">
      <w:rPr>
        <w:rFonts w:ascii="Georgia" w:hAnsi="Georgia"/>
        <w:sz w:val="20"/>
        <w:szCs w:val="20"/>
      </w:rPr>
      <w:instrText xml:space="preserve"> ,2) </w:instrText>
    </w:r>
    <w:r w:rsidRPr="00E812A5">
      <w:rPr>
        <w:rFonts w:ascii="Georgia" w:hAnsi="Georgia"/>
        <w:sz w:val="20"/>
        <w:szCs w:val="20"/>
      </w:rPr>
      <w:fldChar w:fldCharType="separate"/>
    </w:r>
    <w:r w:rsidRPr="00E812A5">
      <w:rPr>
        <w:rFonts w:ascii="Georgia" w:hAnsi="Georgia"/>
        <w:noProof/>
        <w:sz w:val="20"/>
        <w:szCs w:val="20"/>
      </w:rPr>
      <w:instrText>1</w:instrText>
    </w:r>
    <w:r w:rsidRPr="00E812A5">
      <w:rPr>
        <w:rFonts w:ascii="Georgia" w:hAnsi="Georgia"/>
        <w:sz w:val="20"/>
        <w:szCs w:val="20"/>
      </w:rPr>
      <w:fldChar w:fldCharType="end"/>
    </w:r>
    <w:r w:rsidRPr="00E812A5">
      <w:rPr>
        <w:rFonts w:ascii="Georgia" w:hAnsi="Georgia"/>
        <w:sz w:val="20"/>
        <w:szCs w:val="20"/>
      </w:rPr>
      <w:instrText xml:space="preserve"> = "1" "</w:instrText>
    </w:r>
    <w:r w:rsidRPr="00E812A5">
      <w:rPr>
        <w:rFonts w:ascii="Georgia" w:hAnsi="Georgia"/>
        <w:sz w:val="20"/>
        <w:szCs w:val="20"/>
      </w:rPr>
      <w:fldChar w:fldCharType="begin"/>
    </w:r>
    <w:r w:rsidRPr="00E812A5">
      <w:rPr>
        <w:rFonts w:ascii="Georgia" w:hAnsi="Georgia"/>
        <w:sz w:val="20"/>
        <w:szCs w:val="20"/>
      </w:rPr>
      <w:instrText xml:space="preserve"> STYLEREF "Cover title" </w:instrText>
    </w:r>
    <w:r w:rsidRPr="00E812A5">
      <w:rPr>
        <w:rFonts w:ascii="Georgia" w:hAnsi="Georgia"/>
        <w:sz w:val="20"/>
        <w:szCs w:val="20"/>
      </w:rPr>
      <w:fldChar w:fldCharType="separate"/>
    </w:r>
    <w:r w:rsidRPr="00E812A5">
      <w:rPr>
        <w:rFonts w:ascii="Georgia" w:hAnsi="Georgia"/>
        <w:noProof/>
        <w:sz w:val="20"/>
        <w:szCs w:val="20"/>
      </w:rPr>
      <w:instrText>Prospect name</w:instrText>
    </w:r>
    <w:r w:rsidRPr="00E812A5">
      <w:rPr>
        <w:rFonts w:ascii="Georgia" w:hAnsi="Georgia"/>
        <w:noProof/>
        <w:sz w:val="20"/>
        <w:szCs w:val="20"/>
      </w:rPr>
      <w:fldChar w:fldCharType="end"/>
    </w:r>
  </w:p>
  <w:p w:rsidR="00DB0E55" w:rsidRPr="00E812A5" w:rsidRDefault="00DB0E55" w:rsidP="00086603">
    <w:pPr>
      <w:pStyle w:val="Footer-ToC"/>
      <w:rPr>
        <w:rFonts w:ascii="Georgia" w:hAnsi="Georgia"/>
        <w:sz w:val="20"/>
        <w:szCs w:val="20"/>
      </w:rPr>
    </w:pPr>
    <w:r w:rsidRPr="00E812A5">
      <w:rPr>
        <w:rFonts w:ascii="Georgia" w:hAnsi="Georgia"/>
        <w:sz w:val="20"/>
        <w:szCs w:val="20"/>
      </w:rPr>
      <w:instrText>PwC</w:instrText>
    </w:r>
    <w:r w:rsidRPr="00E812A5">
      <w:rPr>
        <w:rFonts w:ascii="Georgia" w:hAnsi="Georgia"/>
        <w:sz w:val="20"/>
        <w:szCs w:val="20"/>
      </w:rPr>
      <w:ptab w:relativeTo="margin" w:alignment="right" w:leader="none"/>
    </w:r>
    <w:r w:rsidRPr="00E812A5">
      <w:rPr>
        <w:rFonts w:ascii="Georgia" w:hAnsi="Georgia"/>
        <w:sz w:val="20"/>
        <w:szCs w:val="20"/>
      </w:rPr>
      <w:fldChar w:fldCharType="begin"/>
    </w:r>
    <w:r w:rsidRPr="00E812A5">
      <w:rPr>
        <w:rFonts w:ascii="Georgia" w:hAnsi="Georgia"/>
        <w:sz w:val="20"/>
        <w:szCs w:val="20"/>
      </w:rPr>
      <w:instrText xml:space="preserve"> PAGE </w:instrText>
    </w:r>
    <w:r w:rsidRPr="00E812A5">
      <w:rPr>
        <w:rFonts w:ascii="Georgia" w:hAnsi="Georgia"/>
        <w:sz w:val="20"/>
        <w:szCs w:val="20"/>
      </w:rPr>
      <w:fldChar w:fldCharType="separate"/>
    </w:r>
    <w:r w:rsidRPr="00E812A5">
      <w:rPr>
        <w:rFonts w:ascii="Georgia" w:hAnsi="Georgia"/>
        <w:noProof/>
        <w:sz w:val="20"/>
        <w:szCs w:val="20"/>
      </w:rPr>
      <w:instrText>5</w:instrText>
    </w:r>
    <w:r w:rsidRPr="00E812A5">
      <w:rPr>
        <w:rFonts w:ascii="Georgia" w:hAnsi="Georgia"/>
        <w:noProof/>
        <w:sz w:val="20"/>
        <w:szCs w:val="20"/>
      </w:rPr>
      <w:fldChar w:fldCharType="end"/>
    </w:r>
  </w:p>
  <w:p w:rsidR="00DB0E55" w:rsidRPr="00E812A5" w:rsidRDefault="00DB0E55" w:rsidP="00086603">
    <w:pPr>
      <w:pStyle w:val="Footer-ToC"/>
      <w:rPr>
        <w:rFonts w:ascii="Georgia" w:hAnsi="Georgia"/>
        <w:sz w:val="20"/>
        <w:szCs w:val="20"/>
      </w:rPr>
    </w:pPr>
    <w:r w:rsidRPr="00E812A5">
      <w:rPr>
        <w:rFonts w:ascii="Georgia" w:hAnsi="Georgia"/>
        <w:sz w:val="20"/>
        <w:szCs w:val="20"/>
      </w:rPr>
      <w:instrText>" "</w:instrText>
    </w:r>
    <w:r w:rsidRPr="00E812A5">
      <w:rPr>
        <w:rFonts w:ascii="Georgia" w:hAnsi="Georgia"/>
        <w:sz w:val="20"/>
        <w:szCs w:val="20"/>
      </w:rPr>
      <w:ptab w:relativeTo="margin" w:alignment="right" w:leader="none"/>
    </w:r>
    <w:r w:rsidRPr="00E812A5">
      <w:rPr>
        <w:rFonts w:ascii="Georgia" w:hAnsi="Georgia"/>
        <w:sz w:val="20"/>
        <w:szCs w:val="20"/>
      </w:rPr>
      <w:fldChar w:fldCharType="begin"/>
    </w:r>
    <w:r w:rsidRPr="00E812A5">
      <w:rPr>
        <w:rFonts w:ascii="Georgia" w:hAnsi="Georgia"/>
        <w:sz w:val="20"/>
        <w:szCs w:val="20"/>
      </w:rPr>
      <w:instrText xml:space="preserve"> STYLEREF "Cover title" </w:instrText>
    </w:r>
    <w:r w:rsidRPr="00E812A5">
      <w:rPr>
        <w:rFonts w:ascii="Georgia" w:hAnsi="Georgia"/>
        <w:sz w:val="20"/>
        <w:szCs w:val="20"/>
      </w:rPr>
      <w:fldChar w:fldCharType="separate"/>
    </w:r>
    <w:r w:rsidRPr="00E812A5">
      <w:rPr>
        <w:rFonts w:ascii="Georgia" w:hAnsi="Georgia"/>
        <w:noProof/>
        <w:sz w:val="20"/>
        <w:szCs w:val="20"/>
      </w:rPr>
      <w:instrText>Prospect name</w:instrText>
    </w:r>
    <w:r w:rsidRPr="00E812A5">
      <w:rPr>
        <w:rFonts w:ascii="Georgia" w:hAnsi="Georgia"/>
        <w:noProof/>
        <w:sz w:val="20"/>
        <w:szCs w:val="20"/>
      </w:rPr>
      <w:fldChar w:fldCharType="end"/>
    </w:r>
  </w:p>
  <w:p w:rsidR="00DB0E55" w:rsidRPr="00E812A5" w:rsidRDefault="00DB0E55" w:rsidP="00086603">
    <w:pPr>
      <w:pStyle w:val="Footer-ToC"/>
      <w:rPr>
        <w:rFonts w:ascii="Georgia" w:hAnsi="Georgia"/>
        <w:sz w:val="20"/>
        <w:szCs w:val="20"/>
      </w:rPr>
    </w:pPr>
    <w:r w:rsidRPr="00E812A5">
      <w:rPr>
        <w:rFonts w:ascii="Georgia" w:hAnsi="Georgia"/>
        <w:sz w:val="20"/>
        <w:szCs w:val="20"/>
      </w:rPr>
      <w:fldChar w:fldCharType="begin"/>
    </w:r>
    <w:r w:rsidRPr="00E812A5">
      <w:rPr>
        <w:rFonts w:ascii="Georgia" w:hAnsi="Georgia"/>
        <w:sz w:val="20"/>
        <w:szCs w:val="20"/>
      </w:rPr>
      <w:instrText xml:space="preserve"> PAGE </w:instrText>
    </w:r>
    <w:r w:rsidRPr="00E812A5">
      <w:rPr>
        <w:rFonts w:ascii="Georgia" w:hAnsi="Georgia"/>
        <w:sz w:val="20"/>
        <w:szCs w:val="20"/>
      </w:rPr>
      <w:fldChar w:fldCharType="separate"/>
    </w:r>
    <w:r w:rsidRPr="00E812A5">
      <w:rPr>
        <w:rFonts w:ascii="Georgia" w:hAnsi="Georgia"/>
        <w:noProof/>
        <w:sz w:val="20"/>
        <w:szCs w:val="20"/>
      </w:rPr>
      <w:instrText>4</w:instrText>
    </w:r>
    <w:r w:rsidRPr="00E812A5">
      <w:rPr>
        <w:rFonts w:ascii="Georgia" w:hAnsi="Georgia"/>
        <w:noProof/>
        <w:sz w:val="20"/>
        <w:szCs w:val="20"/>
      </w:rPr>
      <w:fldChar w:fldCharType="end"/>
    </w:r>
    <w:r w:rsidRPr="00E812A5">
      <w:rPr>
        <w:rFonts w:ascii="Georgia" w:hAnsi="Georgia"/>
        <w:sz w:val="20"/>
        <w:szCs w:val="20"/>
      </w:rPr>
      <w:ptab w:relativeTo="margin" w:alignment="right" w:leader="none"/>
    </w:r>
    <w:r w:rsidRPr="00E812A5">
      <w:rPr>
        <w:rFonts w:ascii="Georgia" w:hAnsi="Georgia"/>
        <w:sz w:val="20"/>
        <w:szCs w:val="20"/>
      </w:rPr>
      <w:instrText>PwC</w:instrText>
    </w:r>
  </w:p>
  <w:p w:rsidR="00DB0E55" w:rsidRPr="00E812A5" w:rsidRDefault="00DB0E55" w:rsidP="00086603">
    <w:pPr>
      <w:pStyle w:val="Footer-ToC"/>
      <w:rPr>
        <w:rFonts w:ascii="Georgia" w:hAnsi="Georgia"/>
        <w:noProof/>
        <w:sz w:val="20"/>
        <w:szCs w:val="20"/>
      </w:rPr>
    </w:pPr>
    <w:r w:rsidRPr="00E812A5">
      <w:rPr>
        <w:rFonts w:ascii="Georgia" w:hAnsi="Georgia"/>
        <w:sz w:val="20"/>
        <w:szCs w:val="20"/>
      </w:rPr>
      <w:instrText xml:space="preserve">" </w:instrText>
    </w:r>
    <w:r w:rsidRPr="00E812A5">
      <w:rPr>
        <w:rFonts w:ascii="Georgia" w:hAnsi="Georgia"/>
        <w:sz w:val="20"/>
        <w:szCs w:val="20"/>
      </w:rPr>
      <w:fldChar w:fldCharType="separate"/>
    </w:r>
    <w:r w:rsidRPr="00E812A5">
      <w:rPr>
        <w:rFonts w:ascii="Georgia" w:hAnsi="Georgia"/>
        <w:noProof/>
        <w:sz w:val="20"/>
        <w:szCs w:val="20"/>
      </w:rPr>
      <w:instrText>Prospect name</w:instrText>
    </w:r>
  </w:p>
  <w:p w:rsidR="00DB0E55" w:rsidRPr="00E812A5" w:rsidRDefault="00DB0E55" w:rsidP="00086603">
    <w:pPr>
      <w:pStyle w:val="Footer-ToC"/>
      <w:rPr>
        <w:rFonts w:ascii="Georgia" w:hAnsi="Georgia"/>
        <w:noProof/>
        <w:sz w:val="20"/>
        <w:szCs w:val="20"/>
      </w:rPr>
    </w:pPr>
    <w:r w:rsidRPr="00E812A5">
      <w:rPr>
        <w:rFonts w:ascii="Georgia" w:hAnsi="Georgia"/>
        <w:noProof/>
        <w:sz w:val="20"/>
        <w:szCs w:val="20"/>
      </w:rPr>
      <w:instrText>PwC</w:instrText>
    </w:r>
    <w:r w:rsidRPr="00E812A5">
      <w:rPr>
        <w:rFonts w:ascii="Georgia" w:hAnsi="Georgia"/>
        <w:noProof/>
        <w:sz w:val="20"/>
        <w:szCs w:val="20"/>
      </w:rPr>
      <w:tab/>
      <w:instrText>5</w:instrText>
    </w:r>
    <w:r w:rsidRPr="00E812A5">
      <w:rPr>
        <w:rFonts w:ascii="Georgia" w:hAnsi="Georgia"/>
        <w:noProof/>
        <w:sz w:val="20"/>
        <w:szCs w:val="20"/>
      </w:rPr>
      <w:tab/>
      <w:instrText>WWYLTG?</w:instrText>
    </w:r>
  </w:p>
  <w:p w:rsidR="00F170C5" w:rsidRPr="00E812A5" w:rsidRDefault="00DB0E55" w:rsidP="00086603">
    <w:pPr>
      <w:pStyle w:val="Footer-ToC"/>
      <w:rPr>
        <w:rFonts w:ascii="Georgia" w:hAnsi="Georgia"/>
        <w:noProof/>
        <w:sz w:val="20"/>
        <w:szCs w:val="20"/>
      </w:rPr>
    </w:pPr>
    <w:r w:rsidRPr="00E812A5">
      <w:rPr>
        <w:rFonts w:ascii="Georgia" w:hAnsi="Georgia"/>
        <w:sz w:val="20"/>
        <w:szCs w:val="20"/>
      </w:rPr>
      <w:fldChar w:fldCharType="end"/>
    </w:r>
    <w:r w:rsidRPr="00E812A5">
      <w:rPr>
        <w:rFonts w:ascii="Georgia" w:hAnsi="Georgia"/>
        <w:sz w:val="20"/>
        <w:szCs w:val="20"/>
      </w:rPr>
      <w:instrText xml:space="preserve"> </w:instrText>
    </w:r>
    <w:r w:rsidRPr="00E812A5">
      <w:rPr>
        <w:rFonts w:ascii="Georgia" w:hAnsi="Georgia"/>
        <w:sz w:val="20"/>
        <w:szCs w:val="20"/>
      </w:rPr>
      <w:fldChar w:fldCharType="separate"/>
    </w:r>
    <w:r w:rsidR="00F170C5">
      <w:rPr>
        <w:rFonts w:ascii="Georgia" w:hAnsi="Georgia"/>
        <w:noProof/>
        <w:sz w:val="20"/>
        <w:szCs w:val="20"/>
      </w:rPr>
      <w:t>Round 18 Private Sector Overnight NHCDC</w:t>
    </w:r>
  </w:p>
  <w:p w:rsidR="00DB0E55" w:rsidRPr="00E812A5" w:rsidRDefault="00F170C5" w:rsidP="00086603">
    <w:pPr>
      <w:pStyle w:val="Footer-ToC"/>
      <w:rPr>
        <w:rFonts w:ascii="Georgia" w:hAnsi="Georgia"/>
        <w:sz w:val="20"/>
        <w:szCs w:val="20"/>
      </w:rPr>
    </w:pPr>
    <w:r w:rsidRPr="00E812A5">
      <w:rPr>
        <w:rFonts w:ascii="Georgia" w:hAnsi="Georgia"/>
        <w:noProof/>
        <w:sz w:val="20"/>
        <w:szCs w:val="20"/>
      </w:rPr>
      <w:t>PwC</w:t>
    </w:r>
    <w:r w:rsidRPr="00E812A5">
      <w:rPr>
        <w:rFonts w:ascii="Georgia" w:hAnsi="Georgia"/>
        <w:noProof/>
        <w:sz w:val="20"/>
        <w:szCs w:val="20"/>
      </w:rPr>
      <w:ptab w:relativeTo="margin" w:alignment="right" w:leader="none"/>
    </w:r>
    <w:r>
      <w:rPr>
        <w:rFonts w:ascii="Georgia" w:hAnsi="Georgia"/>
        <w:noProof/>
        <w:sz w:val="20"/>
        <w:szCs w:val="20"/>
      </w:rPr>
      <w:t>53</w:t>
    </w:r>
    <w:r w:rsidR="00DB0E55" w:rsidRPr="00E812A5">
      <w:rPr>
        <w:rFonts w:ascii="Georgia" w:hAnsi="Georgia"/>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Pr="008C6722" w:rsidRDefault="00DB0E55" w:rsidP="008653AD">
    <w:pPr>
      <w:pStyle w:val="Copyright"/>
      <w:framePr w:wrap="around"/>
    </w:pPr>
    <w:r>
      <w:t xml:space="preserve">© </w:t>
    </w:r>
    <w:r w:rsidRPr="00A61254">
      <w:t>201</w:t>
    </w:r>
    <w:r>
      <w:t>4</w:t>
    </w:r>
    <w:r w:rsidRPr="00A61254">
      <w:t xml:space="preserve"> Pricewaterhou</w:t>
    </w:r>
    <w:r>
      <w:t>seCoopers. All rights reserved.</w:t>
    </w:r>
    <w:r>
      <w:br/>
      <w:t>PwC</w:t>
    </w:r>
    <w:r w:rsidRPr="00A61254">
      <w:t xml:space="preserve"> refers to </w:t>
    </w:r>
    <w:r>
      <w:t>the Australian member firm, and may sometimes refer to the PwC network.</w:t>
    </w:r>
    <w:r>
      <w:br/>
      <w:t>E</w:t>
    </w:r>
    <w:r w:rsidRPr="00A61254">
      <w:t xml:space="preserve">ach member firm </w:t>
    </w:r>
    <w:r>
      <w:t>is</w:t>
    </w:r>
    <w:r w:rsidRPr="00A61254">
      <w:t xml:space="preserve"> a separate legal entity.</w:t>
    </w:r>
    <w:r>
      <w:t xml:space="preserve"> Please see </w:t>
    </w:r>
    <w:r w:rsidRPr="005D7C6C">
      <w:t>www.pwc.com/structure</w:t>
    </w:r>
    <w:r>
      <w:t xml:space="preserve"> for further details</w:t>
    </w:r>
    <w:r>
      <w:br/>
    </w:r>
    <w:r>
      <w:br/>
      <w:t>Liability limited by a scheme approved under Professional Standards Legislation</w:t>
    </w:r>
  </w:p>
  <w:p w:rsidR="00DB0E55" w:rsidRPr="008653AD" w:rsidRDefault="00DB0E55" w:rsidP="00865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E55" w:rsidRDefault="00DB0E55">
      <w:r>
        <w:separator/>
      </w:r>
    </w:p>
  </w:footnote>
  <w:footnote w:type="continuationSeparator" w:id="0">
    <w:p w:rsidR="00DB0E55" w:rsidRDefault="00DB0E55" w:rsidP="004343B3">
      <w:pPr>
        <w:pStyle w:val="Separator"/>
      </w:pPr>
      <w:r>
        <w:continuationSeparator/>
      </w:r>
    </w:p>
    <w:p w:rsidR="00DB0E55" w:rsidRDefault="00DB0E55"/>
  </w:footnote>
  <w:footnote w:type="continuationNotice" w:id="1">
    <w:p w:rsidR="00DB0E55" w:rsidRPr="00F20B7D" w:rsidRDefault="00DB0E55" w:rsidP="00F20B7D">
      <w:pPr>
        <w:pStyle w:val="Footer"/>
        <w:rPr>
          <w:sz w:val="2"/>
          <w:szCs w:val="2"/>
        </w:rPr>
      </w:pPr>
    </w:p>
    <w:p w:rsidR="00DB0E55" w:rsidRDefault="00DB0E55"/>
  </w:footnote>
  <w:footnote w:id="2">
    <w:p w:rsidR="00DB0E55" w:rsidRDefault="00DB0E55" w:rsidP="00FA085C">
      <w:pPr>
        <w:pStyle w:val="FootnoteText"/>
      </w:pPr>
      <w:r>
        <w:rPr>
          <w:rStyle w:val="FootnoteReference"/>
        </w:rPr>
        <w:footnoteRef/>
      </w:r>
      <w:r>
        <w:t xml:space="preserve"> Australian Institute of Health and Welfare (AIHW),  </w:t>
      </w:r>
      <w:r w:rsidRPr="00FA085C">
        <w:t>Australia’s hospitals 2013-14 – Admitted patient care 2013-14</w:t>
      </w:r>
      <w:r>
        <w:t>, Australia’s hospitals at a glance 2013-14, viewed 22</w:t>
      </w:r>
      <w:r w:rsidRPr="00BB7907">
        <w:rPr>
          <w:vertAlign w:val="superscript"/>
        </w:rPr>
        <w:t>nd</w:t>
      </w:r>
      <w:r>
        <w:t xml:space="preserve"> October 2015</w:t>
      </w:r>
    </w:p>
  </w:footnote>
  <w:footnote w:id="3">
    <w:p w:rsidR="00DB0E55" w:rsidRDefault="00DB0E55" w:rsidP="002F5C1D">
      <w:pPr>
        <w:pStyle w:val="FootnoteText"/>
      </w:pPr>
      <w:r w:rsidRPr="00886AE6">
        <w:footnoteRef/>
      </w:r>
      <w:r>
        <w:t xml:space="preserve"> DOH (Department of Health),  </w:t>
      </w:r>
      <w:r w:rsidRPr="00886AE6">
        <w:t>A Users Guide for the Collection</w:t>
      </w:r>
      <w:r>
        <w:t xml:space="preserve"> </w:t>
      </w:r>
      <w:r w:rsidRPr="00886AE6">
        <w:t>of</w:t>
      </w:r>
      <w:r>
        <w:t xml:space="preserve"> </w:t>
      </w:r>
      <w:r w:rsidRPr="00886AE6">
        <w:t>Hospital Casemix Protocol (HCP)</w:t>
      </w:r>
      <w:r>
        <w:t xml:space="preserve"> a</w:t>
      </w:r>
      <w:r w:rsidRPr="00886AE6">
        <w:t>nd</w:t>
      </w:r>
      <w:r>
        <w:t xml:space="preserve"> </w:t>
      </w:r>
      <w:r w:rsidRPr="00886AE6">
        <w:t xml:space="preserve">Private Hospital Data </w:t>
      </w:r>
      <w:r>
        <w:t xml:space="preserve"> B</w:t>
      </w:r>
      <w:r w:rsidRPr="00886AE6">
        <w:t>ureau</w:t>
      </w:r>
      <w:r>
        <w:t xml:space="preserve"> </w:t>
      </w:r>
      <w:r w:rsidRPr="00886AE6">
        <w:t>(PHDB)</w:t>
      </w:r>
      <w:r>
        <w:t xml:space="preserve"> (Version 1.2- May 2010 - page  38),</w:t>
      </w:r>
      <w:r w:rsidRPr="00886AE6">
        <w:t xml:space="preserve"> </w:t>
      </w:r>
      <w:hyperlink r:id="rId1" w:history="1">
        <w:r w:rsidRPr="004F5095">
          <w:rPr>
            <w:rStyle w:val="Hyperlink"/>
          </w:rPr>
          <w:t>http://www.health.gov.au/internet/main/publishing.nsf/Content/38E5E5E23C0D4336CA257BF0001E8AC3/$File/Data%20Definitions%20Manual.pdf</w:t>
        </w:r>
      </w:hyperlink>
      <w:r>
        <w:t>, dated viewed 15</w:t>
      </w:r>
      <w:r w:rsidRPr="00886AE6">
        <w:rPr>
          <w:vertAlign w:val="superscript"/>
        </w:rPr>
        <w:t>th</w:t>
      </w:r>
      <w:r>
        <w:t xml:space="preserve"> September 2015</w:t>
      </w:r>
    </w:p>
  </w:footnote>
  <w:footnote w:id="4">
    <w:p w:rsidR="00DB0E55" w:rsidRDefault="00DB0E55">
      <w:pPr>
        <w:pStyle w:val="FootnoteText"/>
      </w:pPr>
      <w:r>
        <w:rPr>
          <w:rStyle w:val="FootnoteReference"/>
        </w:rPr>
        <w:footnoteRef/>
      </w:r>
      <w:r>
        <w:t xml:space="preserve"> DOH (Department of Health),  </w:t>
      </w:r>
      <w:r w:rsidRPr="00886AE6">
        <w:t>A Users Guide for the Collection</w:t>
      </w:r>
      <w:r>
        <w:t xml:space="preserve"> </w:t>
      </w:r>
      <w:r w:rsidRPr="00886AE6">
        <w:t>of</w:t>
      </w:r>
      <w:r>
        <w:t xml:space="preserve"> </w:t>
      </w:r>
      <w:r w:rsidRPr="00886AE6">
        <w:t>Hospital Casemix Protocol (HCP)</w:t>
      </w:r>
      <w:r>
        <w:t xml:space="preserve"> a</w:t>
      </w:r>
      <w:r w:rsidRPr="00886AE6">
        <w:t>nd</w:t>
      </w:r>
      <w:r>
        <w:t xml:space="preserve"> </w:t>
      </w:r>
      <w:r w:rsidRPr="00886AE6">
        <w:t xml:space="preserve">Private Hospital Data </w:t>
      </w:r>
      <w:r>
        <w:t xml:space="preserve"> B</w:t>
      </w:r>
      <w:r w:rsidRPr="00886AE6">
        <w:t>ureau</w:t>
      </w:r>
      <w:r>
        <w:t xml:space="preserve"> </w:t>
      </w:r>
      <w:r w:rsidRPr="00886AE6">
        <w:t>(PHDB)</w:t>
      </w:r>
      <w:r>
        <w:t xml:space="preserve"> (Version 1.2- May 2010  - page 38, </w:t>
      </w:r>
      <w:hyperlink r:id="rId2" w:history="1">
        <w:r w:rsidRPr="004F5095">
          <w:rPr>
            <w:rStyle w:val="Hyperlink"/>
          </w:rPr>
          <w:t>http://www.health.gov.au/internet/main/publishing.nsf/Content/38E5E5E23C0D4336CA257BF0001E8AC3/$File/Data%20Definitions%20Manual.pdf</w:t>
        </w:r>
      </w:hyperlink>
      <w:r>
        <w:t>, dated viewed 15</w:t>
      </w:r>
      <w:r w:rsidRPr="00886AE6">
        <w:rPr>
          <w:vertAlign w:val="superscript"/>
        </w:rPr>
        <w:t>th</w:t>
      </w:r>
      <w:r>
        <w:t xml:space="preserve"> September 2015</w:t>
      </w:r>
    </w:p>
  </w:footnote>
  <w:footnote w:id="5">
    <w:p w:rsidR="00DB0E55" w:rsidRDefault="00DB0E55">
      <w:pPr>
        <w:pStyle w:val="FootnoteText"/>
      </w:pPr>
      <w:r>
        <w:rPr>
          <w:rStyle w:val="FootnoteReference"/>
        </w:rPr>
        <w:footnoteRef/>
      </w:r>
      <w:r>
        <w:t xml:space="preserve"> Australian Bureau of Statistics (ABS), Private Hospital  Statistics for 2013-14, </w:t>
      </w:r>
      <w:hyperlink r:id="rId3" w:history="1">
        <w:r w:rsidRPr="004F5095">
          <w:rPr>
            <w:rStyle w:val="Hyperlink"/>
          </w:rPr>
          <w:t>http://www.abs.gov.au/ausstats/abs@.nsf/Lookup/by%20Subject/4390.0~2013-14~Main%20Features~Hospitals~5</w:t>
        </w:r>
      </w:hyperlink>
      <w:r>
        <w:t>, date viewed 15</w:t>
      </w:r>
      <w:r w:rsidRPr="00D6205F">
        <w:rPr>
          <w:vertAlign w:val="superscript"/>
        </w:rPr>
        <w:t>th</w:t>
      </w:r>
      <w:r>
        <w:t xml:space="preserve"> September 2015 (this reference is for the whole of section 2.3)</w:t>
      </w:r>
    </w:p>
  </w:footnote>
  <w:footnote w:id="6">
    <w:p w:rsidR="00DB0E55" w:rsidRDefault="00DB0E55" w:rsidP="00AC5B84">
      <w:pPr>
        <w:pStyle w:val="FootnoteText"/>
        <w:rPr>
          <w:szCs w:val="14"/>
        </w:rPr>
      </w:pPr>
      <w:r>
        <w:rPr>
          <w:rStyle w:val="FootnoteReference"/>
        </w:rPr>
        <w:footnoteRef/>
      </w:r>
      <w:r>
        <w:t xml:space="preserve"> Australian Institute of Health and Welfare (AIHW),  Data Dictionary, </w:t>
      </w:r>
      <w:r>
        <w:rPr>
          <w:szCs w:val="14"/>
        </w:rPr>
        <w:t xml:space="preserve">METeOR ID: 270174, </w:t>
      </w:r>
      <w:hyperlink r:id="rId4" w:history="1">
        <w:r w:rsidRPr="004F5095">
          <w:rPr>
            <w:rStyle w:val="Hyperlink"/>
            <w:szCs w:val="14"/>
          </w:rPr>
          <w:t>http://meteor.aihw.gov.au/content/index.phtml/itemId/270174</w:t>
        </w:r>
      </w:hyperlink>
      <w:r>
        <w:rPr>
          <w:szCs w:val="14"/>
        </w:rPr>
        <w:t>, date viewed 15</w:t>
      </w:r>
      <w:r w:rsidRPr="00886AE6">
        <w:rPr>
          <w:szCs w:val="14"/>
          <w:vertAlign w:val="superscript"/>
        </w:rPr>
        <w:t>th</w:t>
      </w:r>
      <w:r>
        <w:rPr>
          <w:szCs w:val="14"/>
        </w:rPr>
        <w:t xml:space="preserve"> September 2015; or</w:t>
      </w:r>
    </w:p>
    <w:p w:rsidR="00DB0E55" w:rsidRDefault="00DB0E55">
      <w:pPr>
        <w:pStyle w:val="FootnoteText"/>
      </w:pPr>
      <w:r>
        <w:rPr>
          <w:rStyle w:val="FootnoteReference"/>
        </w:rPr>
        <w:footnoteRef/>
      </w:r>
      <w:r>
        <w:t xml:space="preserve"> DOH (Department of Health),  </w:t>
      </w:r>
      <w:r w:rsidRPr="00886AE6">
        <w:t>A Users Guide for the Collection</w:t>
      </w:r>
      <w:r>
        <w:t xml:space="preserve"> </w:t>
      </w:r>
      <w:r w:rsidRPr="00886AE6">
        <w:t>of</w:t>
      </w:r>
      <w:r>
        <w:t xml:space="preserve"> </w:t>
      </w:r>
      <w:r w:rsidRPr="00886AE6">
        <w:t>Hospital Casemix Protocol (HCP)</w:t>
      </w:r>
      <w:r>
        <w:t xml:space="preserve"> a</w:t>
      </w:r>
      <w:r w:rsidRPr="00886AE6">
        <w:t>nd</w:t>
      </w:r>
      <w:r>
        <w:t xml:space="preserve"> </w:t>
      </w:r>
      <w:r w:rsidRPr="00886AE6">
        <w:t xml:space="preserve">Private Hospital Data </w:t>
      </w:r>
      <w:r>
        <w:t xml:space="preserve"> B</w:t>
      </w:r>
      <w:r w:rsidRPr="00886AE6">
        <w:t>ureau</w:t>
      </w:r>
      <w:r>
        <w:t xml:space="preserve"> </w:t>
      </w:r>
      <w:r w:rsidRPr="00886AE6">
        <w:t>(PHDB)</w:t>
      </w:r>
      <w:r>
        <w:t xml:space="preserve"> (Version 1.2- May 2010  page 27-31), </w:t>
      </w:r>
      <w:hyperlink r:id="rId5" w:history="1">
        <w:r w:rsidRPr="004F5095">
          <w:rPr>
            <w:rStyle w:val="Hyperlink"/>
          </w:rPr>
          <w:t>http://www.health.gov.au/internet/main/publishing.nsf/Content/38E5E5E23C0D4336CA257BF0001E8AC3/$File/Data%20Definitions%20Manual.pdf</w:t>
        </w:r>
      </w:hyperlink>
      <w:r>
        <w:t>, dated viewed 15</w:t>
      </w:r>
      <w:r w:rsidRPr="00886AE6">
        <w:rPr>
          <w:vertAlign w:val="superscript"/>
        </w:rPr>
        <w:t>th</w:t>
      </w:r>
      <w:r>
        <w:t xml:space="preserve"> September 2015</w:t>
      </w:r>
    </w:p>
  </w:footnote>
  <w:footnote w:id="7">
    <w:p w:rsidR="00DB0E55" w:rsidRDefault="00DB0E55">
      <w:pPr>
        <w:pStyle w:val="FootnoteText"/>
      </w:pPr>
      <w:r>
        <w:rPr>
          <w:rStyle w:val="FootnoteReference"/>
        </w:rPr>
        <w:footnoteRef/>
      </w:r>
      <w:r>
        <w:t xml:space="preserve"> DOH (Department of Health),  </w:t>
      </w:r>
      <w:r w:rsidRPr="00886AE6">
        <w:t>A Users Guide for the Collection</w:t>
      </w:r>
      <w:r>
        <w:t xml:space="preserve"> </w:t>
      </w:r>
      <w:r w:rsidRPr="00886AE6">
        <w:t>of</w:t>
      </w:r>
      <w:r>
        <w:t xml:space="preserve"> </w:t>
      </w:r>
      <w:r w:rsidRPr="00886AE6">
        <w:t>Hospital Casemix Protocol (HCP)</w:t>
      </w:r>
      <w:r>
        <w:t xml:space="preserve"> a</w:t>
      </w:r>
      <w:r w:rsidRPr="00886AE6">
        <w:t>nd</w:t>
      </w:r>
      <w:r>
        <w:t xml:space="preserve"> </w:t>
      </w:r>
      <w:r w:rsidRPr="00886AE6">
        <w:t xml:space="preserve">Private Hospital Data </w:t>
      </w:r>
      <w:r>
        <w:t xml:space="preserve"> B</w:t>
      </w:r>
      <w:r w:rsidRPr="00886AE6">
        <w:t>ureau</w:t>
      </w:r>
      <w:r>
        <w:t xml:space="preserve"> </w:t>
      </w:r>
      <w:r w:rsidRPr="00886AE6">
        <w:t>(PHDB)</w:t>
      </w:r>
      <w:r>
        <w:t xml:space="preserve"> (Version 1.2- May 2010  page 28), </w:t>
      </w:r>
      <w:hyperlink r:id="rId6" w:history="1">
        <w:r w:rsidRPr="004F5095">
          <w:rPr>
            <w:rStyle w:val="Hyperlink"/>
          </w:rPr>
          <w:t>http://www.health.gov.au/internet/main/publishing.nsf/Content/38E5E5E23C0D4336CA257BF0001E8AC3/$File/Data%20Definitions%20Manual.pdf</w:t>
        </w:r>
      </w:hyperlink>
      <w:r>
        <w:t>, dated viewed 15</w:t>
      </w:r>
      <w:r w:rsidRPr="00886AE6">
        <w:rPr>
          <w:vertAlign w:val="superscript"/>
        </w:rPr>
        <w:t>th</w:t>
      </w:r>
      <w:r>
        <w:t xml:space="preserve"> September 2015</w:t>
      </w:r>
    </w:p>
  </w:footnote>
  <w:footnote w:id="8">
    <w:p w:rsidR="00DB0E55" w:rsidRDefault="00DB0E55" w:rsidP="00A64FC1">
      <w:pPr>
        <w:pStyle w:val="FootnoteText"/>
      </w:pPr>
      <w:r>
        <w:rPr>
          <w:rStyle w:val="FootnoteReference"/>
        </w:rPr>
        <w:footnoteRef/>
      </w:r>
      <w:r>
        <w:t xml:space="preserve"> DOH (Department of Health),  </w:t>
      </w:r>
      <w:r w:rsidRPr="00886AE6">
        <w:t>A Users Guide for the Collection</w:t>
      </w:r>
      <w:r>
        <w:t xml:space="preserve"> </w:t>
      </w:r>
      <w:r w:rsidRPr="00886AE6">
        <w:t>of</w:t>
      </w:r>
      <w:r>
        <w:t xml:space="preserve"> </w:t>
      </w:r>
      <w:r w:rsidRPr="00886AE6">
        <w:t>Hospital Casemix Protocol (HCP)</w:t>
      </w:r>
      <w:r>
        <w:t xml:space="preserve"> a</w:t>
      </w:r>
      <w:r w:rsidRPr="00886AE6">
        <w:t>nd</w:t>
      </w:r>
      <w:r>
        <w:t xml:space="preserve"> </w:t>
      </w:r>
      <w:r w:rsidRPr="00886AE6">
        <w:t xml:space="preserve">Private Hospital Data </w:t>
      </w:r>
      <w:r>
        <w:t xml:space="preserve"> B</w:t>
      </w:r>
      <w:r w:rsidRPr="00886AE6">
        <w:t>ureau</w:t>
      </w:r>
      <w:r>
        <w:t xml:space="preserve"> </w:t>
      </w:r>
      <w:r w:rsidRPr="00886AE6">
        <w:t>(PHDB)</w:t>
      </w:r>
      <w:r>
        <w:t xml:space="preserve"> (Version 1.2- May 2010  page 30-31), </w:t>
      </w:r>
      <w:hyperlink r:id="rId7" w:history="1">
        <w:r w:rsidRPr="004F5095">
          <w:rPr>
            <w:rStyle w:val="Hyperlink"/>
          </w:rPr>
          <w:t>http://www.health.gov.au/internet/main/publishing.nsf/Content/38E5E5E23C0D4336CA257BF0001E8AC3/$File/Data%20Definitions%20Manual.pdf</w:t>
        </w:r>
      </w:hyperlink>
      <w:r>
        <w:t>, dated viewed 15</w:t>
      </w:r>
      <w:r w:rsidRPr="00886AE6">
        <w:rPr>
          <w:vertAlign w:val="superscript"/>
        </w:rPr>
        <w:t>th</w:t>
      </w:r>
      <w:r>
        <w:t xml:space="preserve"> September 2015</w:t>
      </w:r>
    </w:p>
  </w:footnote>
  <w:footnote w:id="9">
    <w:p w:rsidR="00DB0E55" w:rsidRDefault="00DB0E55" w:rsidP="00E83750">
      <w:pPr>
        <w:pStyle w:val="FootnoteText"/>
      </w:pPr>
      <w:r>
        <w:rPr>
          <w:rStyle w:val="FootnoteReference"/>
        </w:rPr>
        <w:footnoteRef/>
      </w:r>
      <w:r>
        <w:t xml:space="preserve"> These are separations with care type 7.0 (new born care), with zero qualified days in the neonate DRGs (Major Diagnostic Category 15 newborns and other neonates)</w:t>
      </w:r>
    </w:p>
  </w:footnote>
  <w:footnote w:id="10">
    <w:p w:rsidR="00DB0E55" w:rsidRDefault="00DB0E55">
      <w:pPr>
        <w:pStyle w:val="FootnoteText"/>
      </w:pPr>
      <w:r>
        <w:rPr>
          <w:rStyle w:val="FootnoteReference"/>
        </w:rPr>
        <w:footnoteRef/>
      </w:r>
      <w:r>
        <w:t xml:space="preserve">  Independent Hospital Pricing Authority (IHPA), </w:t>
      </w:r>
      <w:r w:rsidRPr="00945518">
        <w:t>Australian Hospital Patient Costing Standards</w:t>
      </w:r>
      <w:r>
        <w:t xml:space="preserve"> v3.1,  July 2014, </w:t>
      </w:r>
      <w:hyperlink r:id="rId8" w:history="1">
        <w:r w:rsidRPr="004F5095">
          <w:rPr>
            <w:rStyle w:val="Hyperlink"/>
          </w:rPr>
          <w:t>http://www.ihpa.gov.au/internet/ihpa/publishing.nsf/Content/aust-costing-standards-2014-html</w:t>
        </w:r>
      </w:hyperlink>
      <w:r>
        <w:t>, viewed 15</w:t>
      </w:r>
      <w:r w:rsidRPr="00760FD2">
        <w:rPr>
          <w:vertAlign w:val="superscript"/>
        </w:rPr>
        <w:t>th</w:t>
      </w:r>
      <w:r>
        <w:t xml:space="preserve"> September 2015</w:t>
      </w:r>
    </w:p>
  </w:footnote>
  <w:footnote w:id="11">
    <w:p w:rsidR="00DB0E55" w:rsidRPr="00A13211" w:rsidRDefault="00DB0E55" w:rsidP="00A13211">
      <w:pPr>
        <w:pStyle w:val="FootnoteText"/>
        <w:rPr>
          <w:szCs w:val="14"/>
        </w:rPr>
      </w:pPr>
      <w:r>
        <w:rPr>
          <w:rStyle w:val="FootnoteReference"/>
        </w:rPr>
        <w:footnoteRef/>
      </w:r>
      <w:r>
        <w:t xml:space="preserve"> </w:t>
      </w:r>
      <w:r w:rsidRPr="00A13211">
        <w:rPr>
          <w:szCs w:val="14"/>
        </w:rPr>
        <w:t xml:space="preserve"> Independent Hospital Pricing Authority (IHPA), Australian Hospital Patient Costing Standards v3.1,  July 2014, page 14, standard SCP 2.003 – Product Costs in Scope</w:t>
      </w:r>
      <w:r w:rsidRPr="00A13211">
        <w:rPr>
          <w:b/>
          <w:bCs/>
          <w:szCs w:val="14"/>
        </w:rPr>
        <w:t xml:space="preserve">, </w:t>
      </w:r>
      <w:hyperlink r:id="rId9" w:history="1">
        <w:r w:rsidRPr="00A13211">
          <w:rPr>
            <w:rStyle w:val="Hyperlink"/>
            <w:szCs w:val="14"/>
          </w:rPr>
          <w:t>http://www.ihpa.gov.au/internet/ihpa/publishing.nsf/Content/aust-costing-standards-2014-html</w:t>
        </w:r>
      </w:hyperlink>
      <w:r w:rsidRPr="00A13211">
        <w:rPr>
          <w:szCs w:val="14"/>
        </w:rPr>
        <w:t>, viewed 15</w:t>
      </w:r>
      <w:r w:rsidRPr="00A13211">
        <w:rPr>
          <w:szCs w:val="14"/>
          <w:vertAlign w:val="superscript"/>
        </w:rPr>
        <w:t>th</w:t>
      </w:r>
      <w:r w:rsidRPr="00A13211">
        <w:rPr>
          <w:szCs w:val="14"/>
        </w:rPr>
        <w:t xml:space="preserve"> September 2015</w:t>
      </w:r>
    </w:p>
    <w:p w:rsidR="00DB0E55" w:rsidRDefault="00DB0E55">
      <w:pPr>
        <w:pStyle w:val="FootnoteText"/>
      </w:pPr>
    </w:p>
  </w:footnote>
  <w:footnote w:id="12">
    <w:p w:rsidR="00DB0E55" w:rsidRDefault="00DB0E55" w:rsidP="005362EE">
      <w:pPr>
        <w:pStyle w:val="FootnoteText"/>
      </w:pPr>
      <w:r>
        <w:rPr>
          <w:rStyle w:val="FootnoteReference"/>
        </w:rPr>
        <w:footnoteRef/>
      </w:r>
      <w:r>
        <w:t xml:space="preserve"> Independent Hospital Pricing Authority (IHPA), </w:t>
      </w:r>
      <w:r w:rsidRPr="00945518">
        <w:t>Australian Hospital Patient Costing Standards</w:t>
      </w:r>
      <w:r>
        <w:t xml:space="preserve"> v3.1,  July 2014, </w:t>
      </w:r>
      <w:hyperlink r:id="rId10" w:history="1">
        <w:r w:rsidRPr="004F5095">
          <w:rPr>
            <w:rStyle w:val="Hyperlink"/>
          </w:rPr>
          <w:t>http://www.ihpa.gov.au/internet/ihpa/publishing.nsf/Content/aust-costing-standards-2014-html</w:t>
        </w:r>
      </w:hyperlink>
      <w:r>
        <w:t xml:space="preserve">, </w:t>
      </w:r>
    </w:p>
    <w:p w:rsidR="00DB0E55" w:rsidRDefault="00DB0E55" w:rsidP="005362EE">
      <w:pPr>
        <w:pStyle w:val="FootnoteText"/>
      </w:pPr>
      <w:r>
        <w:tab/>
        <w:t>Pages: 38, 47-49, 50-51, 56-57,107-114, 52-54 and 73.  Viewed 13</w:t>
      </w:r>
      <w:r w:rsidRPr="0053404C">
        <w:rPr>
          <w:vertAlign w:val="superscript"/>
        </w:rPr>
        <w:t>th</w:t>
      </w:r>
      <w:r>
        <w:t xml:space="preserve"> October 2015</w:t>
      </w:r>
    </w:p>
    <w:p w:rsidR="00DB0E55" w:rsidRDefault="00DB0E55">
      <w:pPr>
        <w:pStyle w:val="FootnoteText"/>
      </w:pPr>
    </w:p>
  </w:footnote>
  <w:footnote w:id="13">
    <w:p w:rsidR="00DB0E55" w:rsidRDefault="00DB0E55" w:rsidP="00C43555">
      <w:pPr>
        <w:pStyle w:val="FootnoteText"/>
      </w:pPr>
      <w:r>
        <w:rPr>
          <w:rStyle w:val="FootnoteReference"/>
        </w:rPr>
        <w:footnoteRef/>
      </w:r>
      <w:r>
        <w:t xml:space="preserve">Published cost weight tables for Round 13 on the DoH website </w:t>
      </w:r>
      <w:hyperlink r:id="rId11" w:history="1">
        <w:r w:rsidRPr="001D36DE">
          <w:rPr>
            <w:rStyle w:val="Hyperlink"/>
          </w:rPr>
          <w:t>http://www.health.gov.au/internet/main/publishing.nsf/Content/Round_13-cost-reports</w:t>
        </w:r>
      </w:hyperlink>
      <w:r>
        <w:t>, accessed 3 April 2012</w:t>
      </w:r>
    </w:p>
  </w:footnote>
  <w:footnote w:id="14">
    <w:p w:rsidR="00DB0E55" w:rsidRDefault="00DB0E55" w:rsidP="00C43555">
      <w:pPr>
        <w:pStyle w:val="FootnoteText"/>
      </w:pPr>
      <w:r>
        <w:rPr>
          <w:rStyle w:val="FootnoteReference"/>
        </w:rPr>
        <w:footnoteRef/>
      </w:r>
      <w:r>
        <w:t xml:space="preserve"> </w:t>
      </w:r>
      <w:r w:rsidRPr="00A43722">
        <w:t xml:space="preserve">  In this context: the probability that an estimate falls within the margin of error of the true mean</w:t>
      </w:r>
      <w:r>
        <w:t>.</w:t>
      </w:r>
    </w:p>
  </w:footnote>
  <w:footnote w:id="15">
    <w:p w:rsidR="00DB0E55" w:rsidRDefault="00DB0E55" w:rsidP="00C43555">
      <w:pPr>
        <w:pStyle w:val="FootnoteText"/>
      </w:pPr>
      <w:r>
        <w:rPr>
          <w:rStyle w:val="FootnoteReference"/>
        </w:rPr>
        <w:footnoteRef/>
      </w:r>
      <w:r>
        <w:t xml:space="preserve"> Defined as </w:t>
      </w:r>
      <w:r w:rsidRPr="007422A0">
        <w:t>95% confidence level and 4% acceptable margin of error</w:t>
      </w:r>
      <w:r>
        <w:t xml:space="preserve"> for the overall average cost</w:t>
      </w:r>
      <w:r w:rsidRPr="007422A0">
        <w:t xml:space="preserve">. The 95% confidence level and 4% margin of error parameters </w:t>
      </w:r>
      <w:r>
        <w:t xml:space="preserve">were </w:t>
      </w:r>
      <w:r w:rsidRPr="007422A0">
        <w:t>informed by considering participation levels in historic publications</w:t>
      </w:r>
      <w:r>
        <w:t xml:space="preserve"> that were considered acceptable for publication.</w:t>
      </w:r>
    </w:p>
  </w:footnote>
  <w:footnote w:id="16">
    <w:p w:rsidR="00DB0E55" w:rsidRDefault="00DB0E55" w:rsidP="003738C0">
      <w:pPr>
        <w:pStyle w:val="FootnoteText"/>
      </w:pPr>
      <w:r>
        <w:rPr>
          <w:rStyle w:val="FootnoteReference"/>
        </w:rPr>
        <w:footnoteRef/>
      </w:r>
      <w:r>
        <w:t xml:space="preserve"> AIHW National Health Data Dictionary, version 16.2, </w:t>
      </w:r>
      <w:hyperlink r:id="rId12" w:history="1">
        <w:r w:rsidRPr="004F5095">
          <w:rPr>
            <w:rStyle w:val="Hyperlink"/>
          </w:rPr>
          <w:t>http://www.aihw.gov.au/WorkArea/DownloadAsset.aspx?id=60129550404</w:t>
        </w:r>
      </w:hyperlink>
      <w:r>
        <w:t>, viewed 17</w:t>
      </w:r>
      <w:r w:rsidRPr="00AC5A58">
        <w:rPr>
          <w:vertAlign w:val="superscript"/>
        </w:rPr>
        <w:t>th</w:t>
      </w:r>
      <w:r>
        <w:t xml:space="preserve"> September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Default="00DB0E55" w:rsidP="00FF1B96">
    <w:pPr>
      <w:pStyle w:val="URLCover"/>
    </w:pPr>
    <w:bookmarkStart w:id="0" w:name="CoverFixedLogo"/>
    <w:r>
      <w:t>pwc.com.au</w:t>
    </w:r>
  </w:p>
  <w:p w:rsidR="00DB0E55" w:rsidRDefault="00DB0E55" w:rsidP="00FF1B96">
    <w:pPr>
      <w:pStyle w:val="Header"/>
    </w:pPr>
    <w:r>
      <w:rPr>
        <w:noProof/>
        <w:snapToGrid/>
        <w:lang w:eastAsia="en-AU"/>
      </w:rPr>
      <w:drawing>
        <wp:anchor distT="0" distB="0" distL="114300" distR="114300" simplePos="0" relativeHeight="252111872" behindDoc="1" locked="0" layoutInCell="1" allowOverlap="1" wp14:anchorId="3D64B98D" wp14:editId="5C2F3A41">
          <wp:simplePos x="0" y="0"/>
          <wp:positionH relativeFrom="page">
            <wp:posOffset>1301940</wp:posOffset>
          </wp:positionH>
          <wp:positionV relativeFrom="page">
            <wp:posOffset>9376012</wp:posOffset>
          </wp:positionV>
          <wp:extent cx="1250191" cy="941695"/>
          <wp:effectExtent l="0" t="0" r="7620" b="0"/>
          <wp:wrapNone/>
          <wp:docPr id="4" name="PwCLogoFL" descr="PwC logo" title="P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wC new Visual Identity\Logos\Fixed\Print\EPS\PwC_fl_4cp A.jpg"/>
                  <pic:cNvPicPr>
                    <a:picLocks noChangeAspect="1" noChangeArrowheads="1"/>
                  </pic:cNvPicPr>
                </pic:nvPicPr>
                <pic:blipFill>
                  <a:blip r:embed="rId1" cstate="print"/>
                  <a:srcRect/>
                  <a:stretch>
                    <a:fillRect/>
                  </a:stretch>
                </pic:blipFill>
                <pic:spPr bwMode="auto">
                  <a:xfrm>
                    <a:off x="0" y="0"/>
                    <a:ext cx="1250191" cy="941695"/>
                  </a:xfrm>
                  <a:prstGeom prst="rect">
                    <a:avLst/>
                  </a:prstGeom>
                  <a:noFill/>
                  <a:ln w="9525">
                    <a:noFill/>
                    <a:miter lim="800000"/>
                    <a:headEnd/>
                    <a:tailEnd/>
                  </a:ln>
                </pic:spPr>
              </pic:pic>
            </a:graphicData>
          </a:graphic>
        </wp:anchor>
      </w:drawing>
    </w:r>
  </w:p>
  <w:bookmarkEnd w:id="0"/>
  <w:p w:rsidR="00DB0E55" w:rsidRPr="00FF1B96" w:rsidRDefault="00DB0E55" w:rsidP="00FF1B96">
    <w:pPr>
      <w:pStyle w:val="Header"/>
      <w:rPr>
        <w:rFonts w:eastAsia="+mn-e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Default="00DB0E55">
    <w:pPr>
      <w:pStyle w:val="Header-Landscape"/>
    </w:pPr>
  </w:p>
  <w:p w:rsidR="00DB0E55" w:rsidRDefault="00DB0E55">
    <w:pPr>
      <w:pStyle w:val="Header-Landscap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Pr="0000229F" w:rsidRDefault="00DB0E55" w:rsidP="0000229F">
    <w:pPr>
      <w:pStyle w:val="Header"/>
    </w:pPr>
    <w:r>
      <w:fldChar w:fldCharType="begin"/>
    </w:r>
    <w:r>
      <w:instrText xml:space="preserve"> REF _Ref430348632 \h </w:instrText>
    </w:r>
    <w:r>
      <w:fldChar w:fldCharType="separate"/>
    </w:r>
    <w:r w:rsidRPr="000051B6">
      <w:rPr>
        <w:rFonts w:asciiTheme="majorHAnsi" w:hAnsiTheme="majorHAnsi"/>
      </w:rPr>
      <w:t>Appendix E: Cost weight tables by AR-DRG</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Pr="00E812A5" w:rsidRDefault="00DB0E55" w:rsidP="00041C60">
    <w:pPr>
      <w:pStyle w:val="Header"/>
      <w:rPr>
        <w:rFonts w:ascii="Georgia" w:hAnsi="Georgia"/>
        <w:sz w:val="20"/>
        <w:szCs w:val="20"/>
      </w:rPr>
    </w:pPr>
    <w:r w:rsidRPr="00E812A5">
      <w:rPr>
        <w:rFonts w:ascii="Georgia" w:hAnsi="Georgia"/>
        <w:sz w:val="20"/>
        <w:szCs w:val="20"/>
      </w:rPr>
      <w:fldChar w:fldCharType="begin"/>
    </w:r>
    <w:r w:rsidRPr="00E812A5">
      <w:rPr>
        <w:rFonts w:ascii="Georgia" w:hAnsi="Georgia"/>
        <w:sz w:val="20"/>
        <w:szCs w:val="20"/>
      </w:rPr>
      <w:instrText xml:space="preserve"> STYLEREF  "Heading 1"  \* MERGEFORMAT </w:instrText>
    </w:r>
    <w:r w:rsidRPr="00E812A5">
      <w:rPr>
        <w:rFonts w:ascii="Georgia" w:hAnsi="Georgia"/>
        <w:sz w:val="20"/>
        <w:szCs w:val="20"/>
      </w:rPr>
      <w:fldChar w:fldCharType="separate"/>
    </w:r>
    <w:r w:rsidR="00F170C5">
      <w:rPr>
        <w:rFonts w:ascii="Georgia" w:hAnsi="Georgia"/>
        <w:noProof/>
        <w:sz w:val="20"/>
        <w:szCs w:val="20"/>
      </w:rPr>
      <w:t>Appendix B: PHDB and HCP data quality issues for Round 18</w:t>
    </w:r>
    <w:r w:rsidRPr="00E812A5">
      <w:rPr>
        <w:rFonts w:ascii="Georgia" w:hAnsi="Georgia"/>
        <w:sz w:val="20"/>
        <w:szCs w:val="20"/>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Pr="008B7B84" w:rsidRDefault="00DB0E55" w:rsidP="008B7B8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Pr="003738C0" w:rsidRDefault="00DB0E55" w:rsidP="003738C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Pr="00E812A5" w:rsidRDefault="00DB0E55" w:rsidP="0000229F">
    <w:pPr>
      <w:pStyle w:val="Header"/>
      <w:rPr>
        <w:rFonts w:ascii="Georgia" w:hAnsi="Georgia"/>
        <w:sz w:val="20"/>
        <w:szCs w:val="20"/>
      </w:rPr>
    </w:pPr>
    <w:r w:rsidRPr="00E812A5">
      <w:rPr>
        <w:rFonts w:ascii="Georgia" w:hAnsi="Georgia"/>
        <w:sz w:val="20"/>
        <w:szCs w:val="20"/>
      </w:rPr>
      <w:fldChar w:fldCharType="begin"/>
    </w:r>
    <w:r w:rsidRPr="00E812A5">
      <w:rPr>
        <w:rFonts w:ascii="Georgia" w:hAnsi="Georgia"/>
        <w:sz w:val="20"/>
        <w:szCs w:val="20"/>
      </w:rPr>
      <w:instrText xml:space="preserve"> REF _Ref430348640 \h  \* MERGEFORMAT </w:instrText>
    </w:r>
    <w:r w:rsidRPr="00E812A5">
      <w:rPr>
        <w:rFonts w:ascii="Georgia" w:hAnsi="Georgia"/>
        <w:sz w:val="20"/>
        <w:szCs w:val="20"/>
      </w:rPr>
    </w:r>
    <w:r w:rsidRPr="00E812A5">
      <w:rPr>
        <w:rFonts w:ascii="Georgia" w:hAnsi="Georgia"/>
        <w:sz w:val="20"/>
        <w:szCs w:val="20"/>
      </w:rPr>
      <w:fldChar w:fldCharType="separate"/>
    </w:r>
    <w:r w:rsidRPr="00E75057">
      <w:rPr>
        <w:rFonts w:ascii="Georgia" w:hAnsi="Georgia"/>
        <w:sz w:val="20"/>
        <w:szCs w:val="20"/>
      </w:rPr>
      <w:t>Appendix E: Cost weight tables by AR-DRG</w:t>
    </w:r>
    <w:r w:rsidRPr="00E812A5">
      <w:rPr>
        <w:rFonts w:ascii="Georgia" w:hAnsi="Georgia"/>
        <w:sz w:val="20"/>
        <w:szCs w:val="20"/>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Pr="00E812A5" w:rsidRDefault="00DB0E55" w:rsidP="0000229F">
    <w:pPr>
      <w:pStyle w:val="Header"/>
      <w:rPr>
        <w:rFonts w:ascii="Georgia" w:hAnsi="Georgia"/>
        <w:sz w:val="20"/>
        <w:szCs w:val="20"/>
      </w:rPr>
    </w:pPr>
    <w:r w:rsidRPr="00E812A5">
      <w:rPr>
        <w:rFonts w:ascii="Georgia" w:hAnsi="Georgia"/>
        <w:sz w:val="20"/>
        <w:szCs w:val="20"/>
      </w:rPr>
      <w:fldChar w:fldCharType="begin"/>
    </w:r>
    <w:r w:rsidRPr="00E812A5">
      <w:rPr>
        <w:rFonts w:ascii="Georgia" w:hAnsi="Georgia"/>
        <w:sz w:val="20"/>
        <w:szCs w:val="20"/>
      </w:rPr>
      <w:instrText xml:space="preserve"> REF _Ref430348620 \h  \* MERGEFORMAT </w:instrText>
    </w:r>
    <w:r w:rsidRPr="00E812A5">
      <w:rPr>
        <w:rFonts w:ascii="Georgia" w:hAnsi="Georgia"/>
        <w:sz w:val="20"/>
        <w:szCs w:val="20"/>
      </w:rPr>
    </w:r>
    <w:r w:rsidRPr="00E812A5">
      <w:rPr>
        <w:rFonts w:ascii="Georgia" w:hAnsi="Georgia"/>
        <w:sz w:val="20"/>
        <w:szCs w:val="20"/>
      </w:rPr>
      <w:fldChar w:fldCharType="separate"/>
    </w:r>
    <w:r w:rsidRPr="00E75057">
      <w:rPr>
        <w:rFonts w:ascii="Georgia" w:hAnsi="Georgia"/>
        <w:sz w:val="20"/>
        <w:szCs w:val="20"/>
      </w:rPr>
      <w:t>Appendix E: Cost weight tables by AR-DRG</w:t>
    </w:r>
    <w:r w:rsidRPr="00E812A5">
      <w:rPr>
        <w:rFonts w:ascii="Georgia" w:hAnsi="Georgia"/>
        <w:sz w:val="20"/>
        <w:szCs w:val="20"/>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Default="00DB0E55" w:rsidP="0000229F">
    <w:pPr>
      <w:pStyle w:val="URL"/>
      <w:framePr w:wrap="around"/>
      <w:numPr>
        <w:ilvl w:val="0"/>
        <w:numId w:val="0"/>
      </w:numPr>
    </w:pPr>
    <w:r>
      <w:t>pwc.com.au</w:t>
    </w:r>
  </w:p>
  <w:p w:rsidR="00DB0E55" w:rsidRPr="00A84ADF" w:rsidRDefault="00DB0E55" w:rsidP="006C27B5">
    <w:pPr>
      <w:pStyle w:val="Header-Even"/>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Pr="00A84ADF" w:rsidRDefault="00DB0E55" w:rsidP="00A84AD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Pr="0097760A" w:rsidRDefault="00DB0E55" w:rsidP="0059630D">
    <w:pPr>
      <w:pStyle w:val="FirstPagePanelFrame"/>
      <w:framePr w:wrap="notBesid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Pr="001B39AE" w:rsidRDefault="00DB0E55" w:rsidP="001B39AE">
    <w:pPr>
      <w:pStyle w:val="Header"/>
    </w:pPr>
    <w:r>
      <w:rPr>
        <w:noProof/>
        <w:snapToGrid/>
        <w:lang w:val="en-US" w:eastAsia="en-AU"/>
      </w:rPr>
      <w:fldChar w:fldCharType="begin"/>
    </w:r>
    <w:r>
      <w:instrText xml:space="preserve"> REF _Ref416364182 \h </w:instrText>
    </w:r>
    <w:r>
      <w:rPr>
        <w:noProof/>
        <w:snapToGrid/>
        <w:lang w:val="en-US" w:eastAsia="en-AU"/>
      </w:rPr>
    </w:r>
    <w:r>
      <w:rPr>
        <w:noProof/>
        <w:snapToGrid/>
        <w:lang w:val="en-US" w:eastAsia="en-AU"/>
      </w:rPr>
      <w:fldChar w:fldCharType="separate"/>
    </w:r>
    <w:r w:rsidRPr="000051B6">
      <w:rPr>
        <w:rFonts w:asciiTheme="majorHAnsi" w:hAnsiTheme="majorHAnsi"/>
      </w:rPr>
      <w:t>Executive Summary</w:t>
    </w:r>
    <w:r>
      <w:rPr>
        <w:noProof/>
        <w:snapToGrid/>
        <w:lang w:val="en-US" w:eastAsia="en-AU"/>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Pr="006104B3" w:rsidRDefault="00DB0E55" w:rsidP="006104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Pr="00E812A5" w:rsidRDefault="00DB0E55" w:rsidP="0008041A">
    <w:pPr>
      <w:pStyle w:val="Header"/>
      <w:rPr>
        <w:rFonts w:ascii="Georgia" w:hAnsi="Georgia"/>
        <w:sz w:val="20"/>
        <w:szCs w:val="20"/>
      </w:rPr>
    </w:pPr>
    <w:r w:rsidRPr="00D648E9">
      <w:rPr>
        <w:rFonts w:ascii="Georgia" w:hAnsi="Georgia"/>
        <w:noProof/>
        <w:snapToGrid/>
        <w:sz w:val="20"/>
        <w:szCs w:val="20"/>
        <w:lang w:val="en-US" w:eastAsia="en-AU"/>
      </w:rPr>
      <w:fldChar w:fldCharType="begin"/>
    </w:r>
    <w:r w:rsidRPr="00D648E9">
      <w:rPr>
        <w:rFonts w:ascii="Georgia" w:hAnsi="Georgia"/>
        <w:sz w:val="20"/>
        <w:szCs w:val="20"/>
      </w:rPr>
      <w:instrText xml:space="preserve"> REF _Ref416364182 \h </w:instrText>
    </w:r>
    <w:r w:rsidRPr="00D648E9">
      <w:rPr>
        <w:rFonts w:ascii="Georgia" w:hAnsi="Georgia"/>
        <w:noProof/>
        <w:snapToGrid/>
        <w:sz w:val="20"/>
        <w:szCs w:val="20"/>
        <w:lang w:val="en-US" w:eastAsia="en-AU"/>
      </w:rPr>
      <w:instrText xml:space="preserve"> \* MERGEFORMAT </w:instrText>
    </w:r>
    <w:r w:rsidRPr="00D648E9">
      <w:rPr>
        <w:rFonts w:ascii="Georgia" w:hAnsi="Georgia"/>
        <w:noProof/>
        <w:snapToGrid/>
        <w:sz w:val="20"/>
        <w:szCs w:val="20"/>
        <w:lang w:val="en-US" w:eastAsia="en-AU"/>
      </w:rPr>
    </w:r>
    <w:r w:rsidRPr="00D648E9">
      <w:rPr>
        <w:rFonts w:ascii="Georgia" w:hAnsi="Georgia"/>
        <w:noProof/>
        <w:snapToGrid/>
        <w:sz w:val="20"/>
        <w:szCs w:val="20"/>
        <w:lang w:val="en-US" w:eastAsia="en-AU"/>
      </w:rPr>
      <w:fldChar w:fldCharType="separate"/>
    </w:r>
    <w:r w:rsidRPr="00E75057">
      <w:rPr>
        <w:rFonts w:ascii="Georgia" w:hAnsi="Georgia"/>
        <w:sz w:val="20"/>
        <w:szCs w:val="20"/>
      </w:rPr>
      <w:t>Executive Summary</w:t>
    </w:r>
    <w:r w:rsidRPr="00D648E9">
      <w:rPr>
        <w:rFonts w:ascii="Georgia" w:hAnsi="Georgia"/>
        <w:noProof/>
        <w:snapToGrid/>
        <w:sz w:val="20"/>
        <w:szCs w:val="20"/>
        <w:lang w:val="en-US" w:eastAsia="en-AU"/>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Pr="00E812A5" w:rsidRDefault="00DB0E55" w:rsidP="00E812A5">
    <w:pPr>
      <w:pStyle w:val="Header"/>
      <w:rPr>
        <w:rFonts w:ascii="Georgia" w:hAnsi="Georgia"/>
        <w:sz w:val="20"/>
        <w:szCs w:val="20"/>
      </w:rPr>
    </w:pPr>
    <w:r w:rsidRPr="00E812A5">
      <w:rPr>
        <w:rFonts w:ascii="Georgia" w:hAnsi="Georgia"/>
        <w:sz w:val="20"/>
        <w:szCs w:val="20"/>
      </w:rPr>
      <w:fldChar w:fldCharType="begin"/>
    </w:r>
    <w:r w:rsidRPr="00E812A5">
      <w:rPr>
        <w:rFonts w:ascii="Georgia" w:hAnsi="Georgia"/>
        <w:sz w:val="20"/>
        <w:szCs w:val="20"/>
      </w:rPr>
      <w:instrText xml:space="preserve"> STYLEREF  "Heading 1"  \* MERGEFORMAT </w:instrText>
    </w:r>
    <w:r w:rsidRPr="00E812A5">
      <w:rPr>
        <w:rFonts w:ascii="Georgia" w:hAnsi="Georgia"/>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Pr="00767BB5" w:rsidRDefault="00DB0E55" w:rsidP="00767BB5">
    <w:pPr>
      <w:pStyle w:val="Header"/>
      <w:rPr>
        <w:rFonts w:ascii="Georgia" w:hAnsi="Georgia"/>
        <w:sz w:val="20"/>
        <w:szCs w:val="20"/>
      </w:rPr>
    </w:pPr>
    <w:r w:rsidRPr="00767BB5">
      <w:rPr>
        <w:rFonts w:ascii="Georgia" w:hAnsi="Georgia"/>
        <w:sz w:val="20"/>
        <w:szCs w:val="20"/>
      </w:rPr>
      <w:fldChar w:fldCharType="begin"/>
    </w:r>
    <w:r w:rsidRPr="00767BB5">
      <w:rPr>
        <w:rFonts w:ascii="Georgia" w:hAnsi="Georgia"/>
        <w:sz w:val="20"/>
        <w:szCs w:val="20"/>
      </w:rPr>
      <w:instrText xml:space="preserve"> STYLEREF  "Heading 1"  \* MERGEFORMAT </w:instrText>
    </w:r>
    <w:r w:rsidRPr="00767BB5">
      <w:rPr>
        <w:rFonts w:ascii="Georgia" w:hAnsi="Georgia"/>
        <w:sz w:val="20"/>
        <w:szCs w:val="20"/>
      </w:rPr>
      <w:fldChar w:fldCharType="separate"/>
    </w:r>
    <w:r w:rsidR="00F170C5">
      <w:rPr>
        <w:rFonts w:ascii="Georgia" w:hAnsi="Georgia"/>
        <w:noProof/>
        <w:sz w:val="20"/>
        <w:szCs w:val="20"/>
      </w:rPr>
      <w:t>Methodology Summary</w:t>
    </w:r>
    <w:r w:rsidRPr="00767BB5">
      <w:rPr>
        <w:rFonts w:ascii="Georgia" w:hAnsi="Georgia"/>
        <w:sz w:val="20"/>
        <w:szCs w:val="20"/>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Pr="00E75057" w:rsidRDefault="00DB0E55" w:rsidP="00E75057">
    <w:pPr>
      <w:pStyle w:val="Header-FirstPage"/>
      <w:rPr>
        <w:rFonts w:ascii="Georgia" w:hAnsi="Georgia"/>
        <w:sz w:val="20"/>
        <w:szCs w:val="20"/>
      </w:rPr>
    </w:pPr>
    <w:r w:rsidRPr="00D60707">
      <w:rPr>
        <w:rFonts w:ascii="Georgia" w:hAnsi="Georgia"/>
        <w:sz w:val="20"/>
        <w:szCs w:val="20"/>
      </w:rPr>
      <w:fldChar w:fldCharType="begin"/>
    </w:r>
    <w:r w:rsidRPr="00D60707">
      <w:rPr>
        <w:rFonts w:ascii="Georgia" w:hAnsi="Georgia"/>
        <w:sz w:val="20"/>
        <w:szCs w:val="20"/>
      </w:rPr>
      <w:instrText xml:space="preserve"> REF _Ref416363893 \h  \* MERGEFORMAT </w:instrText>
    </w:r>
    <w:r w:rsidRPr="00D60707">
      <w:rPr>
        <w:rFonts w:ascii="Georgia" w:hAnsi="Georgia"/>
        <w:sz w:val="20"/>
        <w:szCs w:val="20"/>
      </w:rPr>
    </w:r>
    <w:r w:rsidRPr="00D60707">
      <w:rPr>
        <w:rFonts w:ascii="Georgia" w:hAnsi="Georgia"/>
        <w:sz w:val="20"/>
        <w:szCs w:val="20"/>
      </w:rPr>
      <w:fldChar w:fldCharType="separate"/>
    </w:r>
    <w:r w:rsidRPr="00E75057">
      <w:rPr>
        <w:rFonts w:ascii="Georgia" w:hAnsi="Georgia"/>
        <w:sz w:val="20"/>
        <w:szCs w:val="20"/>
      </w:rPr>
      <w:br w:type="page"/>
    </w:r>
  </w:p>
  <w:p w:rsidR="00DB0E55" w:rsidRPr="00E812A5" w:rsidRDefault="00DB0E55" w:rsidP="002E62E4">
    <w:pPr>
      <w:pStyle w:val="Header-FirstPage"/>
      <w:rPr>
        <w:rFonts w:ascii="Georgia" w:hAnsi="Georgia"/>
        <w:sz w:val="20"/>
        <w:szCs w:val="20"/>
      </w:rPr>
    </w:pPr>
    <w:r w:rsidRPr="00E75057">
      <w:rPr>
        <w:rFonts w:ascii="Georgia" w:hAnsi="Georgia"/>
        <w:sz w:val="20"/>
        <w:szCs w:val="20"/>
      </w:rPr>
      <w:t>Summary of</w:t>
    </w:r>
    <w:r w:rsidRPr="000051B6">
      <w:rPr>
        <w:rFonts w:asciiTheme="majorHAnsi" w:hAnsiTheme="majorHAnsi"/>
      </w:rPr>
      <w:t xml:space="preserve"> results</w:t>
    </w:r>
    <w:r w:rsidRPr="00D60707">
      <w:rPr>
        <w:rFonts w:ascii="Georgia" w:hAnsi="Georgia"/>
        <w:sz w:val="20"/>
        <w:szCs w:val="2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Pr="00E812A5" w:rsidRDefault="00DB0E55" w:rsidP="0008041A">
    <w:pPr>
      <w:pStyle w:val="Header"/>
      <w:rPr>
        <w:rFonts w:ascii="Georgia" w:hAnsi="Georgia"/>
        <w:sz w:val="20"/>
        <w:szCs w:val="20"/>
      </w:rPr>
    </w:pPr>
    <w:r w:rsidRPr="00E812A5">
      <w:rPr>
        <w:rFonts w:ascii="Georgia" w:hAnsi="Georgia"/>
        <w:noProof/>
        <w:snapToGrid/>
        <w:sz w:val="20"/>
        <w:szCs w:val="20"/>
        <w:lang w:val="en-US" w:eastAsia="en-AU"/>
      </w:rPr>
      <w:fldChar w:fldCharType="begin"/>
    </w:r>
    <w:r w:rsidRPr="00E812A5">
      <w:rPr>
        <w:rFonts w:ascii="Georgia" w:hAnsi="Georgia"/>
        <w:noProof/>
        <w:snapToGrid/>
        <w:sz w:val="20"/>
        <w:szCs w:val="20"/>
        <w:lang w:val="en-US" w:eastAsia="en-AU"/>
      </w:rPr>
      <w:instrText xml:space="preserve"> STYLEREF  "Heading 1"  \* MERGEFORMAT </w:instrText>
    </w:r>
    <w:r w:rsidRPr="00E812A5">
      <w:rPr>
        <w:rFonts w:ascii="Georgia" w:hAnsi="Georgia"/>
        <w:noProof/>
        <w:snapToGrid/>
        <w:sz w:val="20"/>
        <w:szCs w:val="20"/>
        <w:lang w:val="en-US" w:eastAsia="en-AU"/>
      </w:rPr>
      <w:fldChar w:fldCharType="separate"/>
    </w:r>
    <w:r w:rsidR="00F170C5">
      <w:rPr>
        <w:rFonts w:ascii="Georgia" w:hAnsi="Georgia"/>
        <w:noProof/>
        <w:snapToGrid/>
        <w:sz w:val="20"/>
        <w:szCs w:val="20"/>
        <w:lang w:val="en-US" w:eastAsia="en-AU"/>
      </w:rPr>
      <w:t>Summary of results</w:t>
    </w:r>
    <w:r w:rsidRPr="00E812A5">
      <w:rPr>
        <w:rFonts w:ascii="Georgia" w:hAnsi="Georgia"/>
        <w:noProof/>
        <w:snapToGrid/>
        <w:sz w:val="20"/>
        <w:szCs w:val="20"/>
        <w:lang w:val="en-US" w:eastAsia="en-AU"/>
      </w:rPr>
      <w:fldChar w:fldCharType="end"/>
    </w:r>
    <w:r w:rsidRPr="00E812A5">
      <w:rPr>
        <w:rFonts w:ascii="Georgia" w:hAnsi="Georgia"/>
        <w:sz w:val="20"/>
        <w:szCs w:val="2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55" w:rsidRDefault="00DB0E55">
    <w:pPr>
      <w:rPr>
        <w:rFonts w:asciiTheme="majorHAnsi" w:hAnsiTheme="majorHAnsi"/>
        <w:b/>
        <w:i/>
        <w:sz w:val="56"/>
      </w:rPr>
    </w:pPr>
    <w:r>
      <w:rPr>
        <w:noProof/>
        <w:snapToGrid/>
        <w:lang w:val="en-US" w:eastAsia="en-AU"/>
      </w:rPr>
      <w:fldChar w:fldCharType="begin"/>
    </w:r>
    <w:r>
      <w:instrText xml:space="preserve"> REF _Ref416363939 \h </w:instrText>
    </w:r>
    <w:r>
      <w:rPr>
        <w:noProof/>
        <w:snapToGrid/>
        <w:lang w:val="en-US" w:eastAsia="en-AU"/>
      </w:rPr>
    </w:r>
    <w:r>
      <w:rPr>
        <w:noProof/>
        <w:snapToGrid/>
        <w:lang w:val="en-US" w:eastAsia="en-AU"/>
      </w:rPr>
      <w:fldChar w:fldCharType="separate"/>
    </w:r>
    <w:r>
      <w:rPr>
        <w:rFonts w:asciiTheme="majorHAnsi" w:hAnsiTheme="majorHAnsi"/>
      </w:rPr>
      <w:br w:type="page"/>
    </w:r>
  </w:p>
  <w:p w:rsidR="00DB0E55" w:rsidRPr="006603C1" w:rsidRDefault="00DB0E55" w:rsidP="006603C1">
    <w:pPr>
      <w:pStyle w:val="Header"/>
    </w:pPr>
    <w:r w:rsidRPr="000051B6">
      <w:rPr>
        <w:rFonts w:asciiTheme="majorHAnsi" w:hAnsiTheme="majorHAnsi"/>
      </w:rPr>
      <w:t>Summary of results</w:t>
    </w:r>
    <w:r>
      <w:rPr>
        <w:noProof/>
        <w:snapToGrid/>
        <w:lang w:val="en-US" w:eastAsia="en-AU"/>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
    <w:nsid w:val="08112352"/>
    <w:multiLevelType w:val="multilevel"/>
    <w:tmpl w:val="F1841220"/>
    <w:name w:val="Bullets"/>
    <w:styleLink w:val="Bullets"/>
    <w:lvl w:ilvl="0">
      <w:start w:val="1"/>
      <w:numFmt w:val="bullet"/>
      <w:pStyle w:val="Bullet1"/>
      <w:lvlText w:val=""/>
      <w:lvlJc w:val="left"/>
      <w:pPr>
        <w:tabs>
          <w:tab w:val="num" w:pos="567"/>
        </w:tabs>
        <w:ind w:left="567" w:hanging="567"/>
      </w:pPr>
      <w:rPr>
        <w:rFonts w:ascii="Symbol" w:hAnsi="Symbol" w:hint="default"/>
        <w:color w:val="auto"/>
      </w:rPr>
    </w:lvl>
    <w:lvl w:ilvl="1">
      <w:start w:val="1"/>
      <w:numFmt w:val="bullet"/>
      <w:pStyle w:val="Bullet2"/>
      <w:lvlText w:val="–"/>
      <w:lvlJc w:val="left"/>
      <w:pPr>
        <w:tabs>
          <w:tab w:val="num" w:pos="1134"/>
        </w:tabs>
        <w:ind w:left="1134" w:hanging="567"/>
      </w:pPr>
      <w:rPr>
        <w:rFonts w:ascii="Arial" w:hAnsi="Arial" w:hint="default"/>
        <w:color w:val="auto"/>
      </w:rPr>
    </w:lvl>
    <w:lvl w:ilvl="2">
      <w:start w:val="1"/>
      <w:numFmt w:val="bullet"/>
      <w:pStyle w:val="Bullet3"/>
      <w:lvlText w:val="◦"/>
      <w:lvlJc w:val="left"/>
      <w:pPr>
        <w:tabs>
          <w:tab w:val="num" w:pos="1701"/>
        </w:tabs>
        <w:ind w:left="1701" w:hanging="567"/>
      </w:pPr>
      <w:rPr>
        <w:rFonts w:ascii="Georgia" w:hAnsi="Georgia" w:hint="default"/>
        <w:color w:val="auto"/>
      </w:rPr>
    </w:lvl>
    <w:lvl w:ilvl="3">
      <w:start w:val="1"/>
      <w:numFmt w:val="bullet"/>
      <w:pStyle w:val="Bullet4"/>
      <w:lvlText w:val=""/>
      <w:lvlJc w:val="left"/>
      <w:pPr>
        <w:tabs>
          <w:tab w:val="num" w:pos="2268"/>
        </w:tabs>
        <w:ind w:left="2268"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7">
    <w:nsid w:val="154655B6"/>
    <w:multiLevelType w:val="hybridMultilevel"/>
    <w:tmpl w:val="C2E0A8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56C1331"/>
    <w:multiLevelType w:val="hybridMultilevel"/>
    <w:tmpl w:val="68D4FBE6"/>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3">
    <w:nsid w:val="1EE90B71"/>
    <w:multiLevelType w:val="hybridMultilevel"/>
    <w:tmpl w:val="785273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83947C2"/>
    <w:multiLevelType w:val="multilevel"/>
    <w:tmpl w:val="50B20D3A"/>
    <w:numStyleLink w:val="TableNumberedListSmall"/>
  </w:abstractNum>
  <w:abstractNum w:abstractNumId="15">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6">
    <w:nsid w:val="2BB16B31"/>
    <w:multiLevelType w:val="hybridMultilevel"/>
    <w:tmpl w:val="E63AC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8">
    <w:nsid w:val="2CC674E0"/>
    <w:multiLevelType w:val="hybridMultilevel"/>
    <w:tmpl w:val="F80A3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320935D5"/>
    <w:multiLevelType w:val="hybridMultilevel"/>
    <w:tmpl w:val="D632F7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40E2F5A"/>
    <w:multiLevelType w:val="hybridMultilevel"/>
    <w:tmpl w:val="A21A4FA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343A434F"/>
    <w:multiLevelType w:val="hybridMultilevel"/>
    <w:tmpl w:val="54687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6B577E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nsid w:val="372257EE"/>
    <w:multiLevelType w:val="hybridMultilevel"/>
    <w:tmpl w:val="2E6A0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78D5E27"/>
    <w:multiLevelType w:val="hybridMultilevel"/>
    <w:tmpl w:val="6C1609A0"/>
    <w:name w:val="NumberedLists"/>
    <w:lvl w:ilvl="0" w:tplc="978EC44E">
      <w:start w:val="1"/>
      <w:numFmt w:val="bullet"/>
      <w:lvlText w:val="-"/>
      <w:lvlJc w:val="left"/>
      <w:pPr>
        <w:tabs>
          <w:tab w:val="num" w:pos="720"/>
        </w:tabs>
        <w:ind w:left="720" w:hanging="360"/>
      </w:pPr>
      <w:rPr>
        <w:rFonts w:ascii="Times New Roman" w:hAnsi="Times New Roman" w:hint="default"/>
      </w:rPr>
    </w:lvl>
    <w:lvl w:ilvl="1" w:tplc="642E94AA" w:tentative="1">
      <w:start w:val="1"/>
      <w:numFmt w:val="bullet"/>
      <w:lvlText w:val="-"/>
      <w:lvlJc w:val="left"/>
      <w:pPr>
        <w:tabs>
          <w:tab w:val="num" w:pos="1440"/>
        </w:tabs>
        <w:ind w:left="1440" w:hanging="360"/>
      </w:pPr>
      <w:rPr>
        <w:rFonts w:ascii="Times New Roman" w:hAnsi="Times New Roman" w:hint="default"/>
      </w:rPr>
    </w:lvl>
    <w:lvl w:ilvl="2" w:tplc="DAC44BAE" w:tentative="1">
      <w:start w:val="1"/>
      <w:numFmt w:val="bullet"/>
      <w:lvlText w:val="-"/>
      <w:lvlJc w:val="left"/>
      <w:pPr>
        <w:tabs>
          <w:tab w:val="num" w:pos="2160"/>
        </w:tabs>
        <w:ind w:left="2160" w:hanging="360"/>
      </w:pPr>
      <w:rPr>
        <w:rFonts w:ascii="Times New Roman" w:hAnsi="Times New Roman" w:hint="default"/>
      </w:rPr>
    </w:lvl>
    <w:lvl w:ilvl="3" w:tplc="C792D91A" w:tentative="1">
      <w:start w:val="1"/>
      <w:numFmt w:val="bullet"/>
      <w:lvlText w:val="-"/>
      <w:lvlJc w:val="left"/>
      <w:pPr>
        <w:tabs>
          <w:tab w:val="num" w:pos="2880"/>
        </w:tabs>
        <w:ind w:left="2880" w:hanging="360"/>
      </w:pPr>
      <w:rPr>
        <w:rFonts w:ascii="Times New Roman" w:hAnsi="Times New Roman" w:hint="default"/>
      </w:rPr>
    </w:lvl>
    <w:lvl w:ilvl="4" w:tplc="414C920C" w:tentative="1">
      <w:start w:val="1"/>
      <w:numFmt w:val="bullet"/>
      <w:lvlText w:val="-"/>
      <w:lvlJc w:val="left"/>
      <w:pPr>
        <w:tabs>
          <w:tab w:val="num" w:pos="3600"/>
        </w:tabs>
        <w:ind w:left="3600" w:hanging="360"/>
      </w:pPr>
      <w:rPr>
        <w:rFonts w:ascii="Times New Roman" w:hAnsi="Times New Roman" w:hint="default"/>
      </w:rPr>
    </w:lvl>
    <w:lvl w:ilvl="5" w:tplc="531A9BB8" w:tentative="1">
      <w:start w:val="1"/>
      <w:numFmt w:val="bullet"/>
      <w:lvlText w:val="-"/>
      <w:lvlJc w:val="left"/>
      <w:pPr>
        <w:tabs>
          <w:tab w:val="num" w:pos="4320"/>
        </w:tabs>
        <w:ind w:left="4320" w:hanging="360"/>
      </w:pPr>
      <w:rPr>
        <w:rFonts w:ascii="Times New Roman" w:hAnsi="Times New Roman" w:hint="default"/>
      </w:rPr>
    </w:lvl>
    <w:lvl w:ilvl="6" w:tplc="8D7C4DA8" w:tentative="1">
      <w:start w:val="1"/>
      <w:numFmt w:val="bullet"/>
      <w:lvlText w:val="-"/>
      <w:lvlJc w:val="left"/>
      <w:pPr>
        <w:tabs>
          <w:tab w:val="num" w:pos="5040"/>
        </w:tabs>
        <w:ind w:left="5040" w:hanging="360"/>
      </w:pPr>
      <w:rPr>
        <w:rFonts w:ascii="Times New Roman" w:hAnsi="Times New Roman" w:hint="default"/>
      </w:rPr>
    </w:lvl>
    <w:lvl w:ilvl="7" w:tplc="8150675A" w:tentative="1">
      <w:start w:val="1"/>
      <w:numFmt w:val="bullet"/>
      <w:lvlText w:val="-"/>
      <w:lvlJc w:val="left"/>
      <w:pPr>
        <w:tabs>
          <w:tab w:val="num" w:pos="5760"/>
        </w:tabs>
        <w:ind w:left="5760" w:hanging="360"/>
      </w:pPr>
      <w:rPr>
        <w:rFonts w:ascii="Times New Roman" w:hAnsi="Times New Roman" w:hint="default"/>
      </w:rPr>
    </w:lvl>
    <w:lvl w:ilvl="8" w:tplc="454A8D4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3E4F29E4"/>
    <w:multiLevelType w:val="multilevel"/>
    <w:tmpl w:val="FA0089BA"/>
    <w:styleLink w:val="ChapterNumberingList"/>
    <w:lvl w:ilvl="0">
      <w:start w:val="1"/>
      <w:numFmt w:val="decimal"/>
      <w:lvlRestart w:val="0"/>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suff w:val="nothing"/>
      <w:lvlText w:val="Appendix %6"/>
      <w:lvlJc w:val="left"/>
      <w:pPr>
        <w:ind w:left="0"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lvlText w:val="%8"/>
      <w:lvlJc w:val="left"/>
      <w:pPr>
        <w:tabs>
          <w:tab w:val="num" w:pos="567"/>
        </w:tabs>
        <w:ind w:left="567" w:hanging="567"/>
      </w:pPr>
      <w:rPr>
        <w:rFonts w:hint="default"/>
        <w:b w:val="0"/>
        <w:i w:val="0"/>
        <w:color w:val="auto"/>
      </w:rPr>
    </w:lvl>
    <w:lvl w:ilvl="8">
      <w:start w:val="1"/>
      <w:numFmt w:val="lowerLetter"/>
      <w:lvlText w:val="%9"/>
      <w:lvlJc w:val="left"/>
      <w:pPr>
        <w:tabs>
          <w:tab w:val="num" w:pos="1134"/>
        </w:tabs>
        <w:ind w:left="1134" w:hanging="567"/>
      </w:pPr>
      <w:rPr>
        <w:rFonts w:hint="default"/>
        <w:b w:val="0"/>
        <w:i w:val="0"/>
        <w:color w:val="auto"/>
      </w:rPr>
    </w:lvl>
  </w:abstractNum>
  <w:abstractNum w:abstractNumId="28">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0">
    <w:nsid w:val="4AAB5470"/>
    <w:multiLevelType w:val="multilevel"/>
    <w:tmpl w:val="94DC5112"/>
    <w:lvl w:ilvl="0">
      <w:start w:val="1"/>
      <w:numFmt w:val="bullet"/>
      <w:lvlRestart w:val="0"/>
      <w:pStyle w:val="ListBullet"/>
      <w:lvlText w:val=""/>
      <w:lvlJc w:val="left"/>
      <w:pPr>
        <w:tabs>
          <w:tab w:val="num" w:pos="567"/>
        </w:tabs>
        <w:ind w:left="567" w:hanging="567"/>
      </w:pPr>
      <w:rPr>
        <w:rFonts w:ascii="Symbol" w:hAnsi="Symbol" w:hint="default"/>
        <w:b w:val="0"/>
        <w:i w:val="0"/>
        <w:color w:val="auto"/>
      </w:rPr>
    </w:lvl>
    <w:lvl w:ilvl="1">
      <w:start w:val="1"/>
      <w:numFmt w:val="bullet"/>
      <w:pStyle w:val="ListBullet2"/>
      <w:lvlText w:val="–"/>
      <w:lvlJc w:val="left"/>
      <w:pPr>
        <w:tabs>
          <w:tab w:val="num" w:pos="1134"/>
        </w:tabs>
        <w:ind w:left="1134" w:hanging="567"/>
      </w:pPr>
      <w:rPr>
        <w:rFonts w:ascii="Arial" w:hAnsi="Arial" w:hint="default"/>
        <w:b w:val="0"/>
        <w:i w:val="0"/>
        <w:color w:val="auto"/>
      </w:rPr>
    </w:lvl>
    <w:lvl w:ilvl="2">
      <w:start w:val="1"/>
      <w:numFmt w:val="bullet"/>
      <w:pStyle w:val="ListBullet3"/>
      <w:lvlText w:val="◦"/>
      <w:lvlJc w:val="left"/>
      <w:pPr>
        <w:tabs>
          <w:tab w:val="num" w:pos="1701"/>
        </w:tabs>
        <w:ind w:left="1701" w:hanging="567"/>
      </w:pPr>
      <w:rPr>
        <w:rFonts w:ascii="Georgia" w:hAnsi="Georgia" w:hint="default"/>
        <w:b w:val="0"/>
        <w:i w:val="0"/>
        <w:color w:val="auto"/>
        <w:sz w:val="18"/>
        <w:szCs w:val="10"/>
      </w:rPr>
    </w:lvl>
    <w:lvl w:ilvl="3">
      <w:start w:val="1"/>
      <w:numFmt w:val="bullet"/>
      <w:pStyle w:val="ListBullet4"/>
      <w:lvlText w:val=""/>
      <w:lvlJc w:val="left"/>
      <w:pPr>
        <w:tabs>
          <w:tab w:val="num" w:pos="2268"/>
        </w:tabs>
        <w:ind w:left="2268" w:hanging="567"/>
      </w:pPr>
      <w:rPr>
        <w:rFonts w:ascii="Symbol" w:hAnsi="Symbol" w:hint="default"/>
        <w:b w:val="0"/>
        <w:i w:val="0"/>
        <w:color w:val="auto"/>
        <w:sz w:val="20"/>
        <w:szCs w:val="10"/>
      </w:rPr>
    </w:lvl>
    <w:lvl w:ilvl="4">
      <w:start w:val="1"/>
      <w:numFmt w:val="bullet"/>
      <w:pStyle w:val="ListBullet5"/>
      <w:lvlText w:val="~"/>
      <w:lvlJc w:val="left"/>
      <w:pPr>
        <w:tabs>
          <w:tab w:val="num" w:pos="2835"/>
        </w:tabs>
        <w:ind w:left="2835" w:hanging="567"/>
      </w:pPr>
      <w:rPr>
        <w:rFonts w:ascii="Georgia" w:hAnsi="Georgia" w:hint="default"/>
        <w:color w:val="auto"/>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1">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2">
    <w:nsid w:val="518C39C9"/>
    <w:multiLevelType w:val="multilevel"/>
    <w:tmpl w:val="D93463A2"/>
    <w:styleLink w:val="Style1"/>
    <w:lvl w:ilvl="0">
      <w:start w:val="1"/>
      <w:numFmt w:val="decimal"/>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DC76B7F"/>
    <w:multiLevelType w:val="multilevel"/>
    <w:tmpl w:val="5AE694A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0" w:hanging="850"/>
      </w:pPr>
      <w:rPr>
        <w:rFonts w:hint="default"/>
      </w:rPr>
    </w:lvl>
    <w:lvl w:ilvl="2">
      <w:start w:val="1"/>
      <w:numFmt w:val="none"/>
      <w:suff w:val="nothing"/>
      <w:lvlText w:val=""/>
      <w:lvlJc w:val="left"/>
      <w:pPr>
        <w:ind w:left="0" w:firstLine="0"/>
      </w:pPr>
      <w:rPr>
        <w:rFonts w:hint="default"/>
      </w:rPr>
    </w:lvl>
    <w:lvl w:ilvl="3">
      <w:start w:val="1"/>
      <w:numFmt w:val="upperLetter"/>
      <w:lvlRestart w:val="0"/>
      <w:lvlText w:val="Appendix %4"/>
      <w:lvlJc w:val="left"/>
      <w:pPr>
        <w:tabs>
          <w:tab w:val="num" w:pos="10208"/>
        </w:tabs>
        <w:ind w:left="6522" w:firstLine="0"/>
      </w:pPr>
      <w:rPr>
        <w:rFonts w:hint="default"/>
      </w:rPr>
    </w:lvl>
    <w:lvl w:ilvl="4">
      <w:start w:val="1"/>
      <w:numFmt w:val="upperLetter"/>
      <w:lvlRestart w:val="0"/>
      <w:lvlText w:val="Appendix %5"/>
      <w:lvlJc w:val="left"/>
      <w:pPr>
        <w:tabs>
          <w:tab w:val="num" w:pos="3968"/>
        </w:tabs>
        <w:ind w:left="283"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567"/>
        </w:tabs>
        <w:ind w:left="567" w:hanging="567"/>
      </w:pPr>
      <w:rPr>
        <w:rFonts w:hint="default"/>
        <w:b w:val="0"/>
        <w:i w:val="0"/>
        <w:color w:val="auto"/>
      </w:rPr>
    </w:lvl>
    <w:lvl w:ilvl="8">
      <w:start w:val="1"/>
      <w:numFmt w:val="lowerLetter"/>
      <w:pStyle w:val="ChapterNumberedList2"/>
      <w:lvlText w:val="%9"/>
      <w:lvlJc w:val="left"/>
      <w:pPr>
        <w:tabs>
          <w:tab w:val="num" w:pos="1134"/>
        </w:tabs>
        <w:ind w:left="1134" w:hanging="567"/>
      </w:pPr>
      <w:rPr>
        <w:rFonts w:hint="default"/>
        <w:b w:val="0"/>
        <w:i w:val="0"/>
        <w:color w:val="auto"/>
      </w:rPr>
    </w:lvl>
  </w:abstractNum>
  <w:abstractNum w:abstractNumId="34">
    <w:nsid w:val="5E401664"/>
    <w:multiLevelType w:val="multilevel"/>
    <w:tmpl w:val="EE12AE72"/>
    <w:name w:val="LongTOC"/>
    <w:numStyleLink w:val="PwCAppendixList1"/>
  </w:abstractNum>
  <w:abstractNum w:abstractNumId="35">
    <w:nsid w:val="614E2CEE"/>
    <w:multiLevelType w:val="hybridMultilevel"/>
    <w:tmpl w:val="D2EAF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3917BB9"/>
    <w:multiLevelType w:val="multilevel"/>
    <w:tmpl w:val="D0445D84"/>
    <w:lvl w:ilvl="0">
      <w:start w:val="1"/>
      <w:numFmt w:val="bullet"/>
      <w:pStyle w:val="PwCNormal"/>
      <w:lvlText w:val=""/>
      <w:lvlJc w:val="left"/>
      <w:pPr>
        <w:ind w:left="0" w:firstLine="0"/>
      </w:pPr>
      <w:rPr>
        <w:rFonts w:ascii="Symbol" w:hAnsi="Symbol" w:hint="default"/>
        <w:color w:val="auto"/>
      </w:rPr>
    </w:lvl>
    <w:lvl w:ilvl="1">
      <w:start w:val="1"/>
      <w:numFmt w:val="none"/>
      <w:pStyle w:val="Indent1"/>
      <w:suff w:val="nothing"/>
      <w:lvlText w:val=""/>
      <w:lvlJc w:val="left"/>
      <w:pPr>
        <w:ind w:left="567" w:firstLine="0"/>
      </w:pPr>
      <w:rPr>
        <w:rFonts w:hint="default"/>
      </w:rPr>
    </w:lvl>
    <w:lvl w:ilvl="2">
      <w:start w:val="1"/>
      <w:numFmt w:val="none"/>
      <w:pStyle w:val="Indent2"/>
      <w:suff w:val="nothing"/>
      <w:lvlText w:val=""/>
      <w:lvlJc w:val="left"/>
      <w:pPr>
        <w:ind w:left="1134" w:firstLine="0"/>
      </w:pPr>
      <w:rPr>
        <w:rFonts w:hint="default"/>
      </w:rPr>
    </w:lvl>
    <w:lvl w:ilvl="3">
      <w:start w:val="1"/>
      <w:numFmt w:val="none"/>
      <w:pStyle w:val="Indent3"/>
      <w:suff w:val="nothing"/>
      <w:lvlText w:val=""/>
      <w:lvlJc w:val="left"/>
      <w:pPr>
        <w:ind w:left="1701" w:firstLine="0"/>
      </w:pPr>
      <w:rPr>
        <w:rFonts w:hint="default"/>
      </w:rPr>
    </w:lvl>
    <w:lvl w:ilvl="4">
      <w:start w:val="1"/>
      <w:numFmt w:val="none"/>
      <w:pStyle w:val="Indent4"/>
      <w:suff w:val="nothing"/>
      <w:lvlText w:val=""/>
      <w:lvlJc w:val="left"/>
      <w:pPr>
        <w:ind w:left="2268" w:firstLine="0"/>
      </w:pPr>
      <w:rPr>
        <w:rFonts w:hint="default"/>
      </w:rPr>
    </w:lvl>
    <w:lvl w:ilvl="5">
      <w:start w:val="1"/>
      <w:numFmt w:val="none"/>
      <w:pStyle w:val="Indent5"/>
      <w:suff w:val="nothing"/>
      <w:lvlText w:val=""/>
      <w:lvlJc w:val="left"/>
      <w:pPr>
        <w:ind w:left="2835" w:firstLine="0"/>
      </w:pPr>
      <w:rPr>
        <w:rFonts w:hint="default"/>
      </w:rPr>
    </w:lvl>
    <w:lvl w:ilvl="6">
      <w:start w:val="1"/>
      <w:numFmt w:val="none"/>
      <w:pStyle w:val="Indent6"/>
      <w:suff w:val="nothing"/>
      <w:lvlText w:val=""/>
      <w:lvlJc w:val="left"/>
      <w:pPr>
        <w:ind w:left="3402" w:firstLine="0"/>
      </w:pPr>
      <w:rPr>
        <w:rFonts w:hint="default"/>
      </w:rPr>
    </w:lvl>
    <w:lvl w:ilvl="7">
      <w:start w:val="1"/>
      <w:numFmt w:val="none"/>
      <w:pStyle w:val="Indent7"/>
      <w:suff w:val="nothing"/>
      <w:lvlText w:val=""/>
      <w:lvlJc w:val="left"/>
      <w:pPr>
        <w:ind w:left="3969" w:firstLine="0"/>
      </w:pPr>
      <w:rPr>
        <w:rFonts w:hint="default"/>
      </w:rPr>
    </w:lvl>
    <w:lvl w:ilvl="8">
      <w:start w:val="1"/>
      <w:numFmt w:val="none"/>
      <w:pStyle w:val="Indent8"/>
      <w:suff w:val="nothing"/>
      <w:lvlText w:val=""/>
      <w:lvlJc w:val="left"/>
      <w:pPr>
        <w:ind w:left="4536" w:firstLine="0"/>
      </w:pPr>
      <w:rPr>
        <w:rFonts w:hint="default"/>
      </w:rPr>
    </w:lvl>
  </w:abstractNum>
  <w:abstractNum w:abstractNumId="37">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8">
    <w:nsid w:val="6EF169B6"/>
    <w:multiLevelType w:val="hybridMultilevel"/>
    <w:tmpl w:val="0D4A113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9"/>
  </w:num>
  <w:num w:numId="4">
    <w:abstractNumId w:val="37"/>
  </w:num>
  <w:num w:numId="5">
    <w:abstractNumId w:val="30"/>
  </w:num>
  <w:num w:numId="6">
    <w:abstractNumId w:val="31"/>
  </w:num>
  <w:num w:numId="7">
    <w:abstractNumId w:val="17"/>
  </w:num>
  <w:num w:numId="8">
    <w:abstractNumId w:val="21"/>
  </w:num>
  <w:num w:numId="9">
    <w:abstractNumId w:val="36"/>
  </w:num>
  <w:num w:numId="10">
    <w:abstractNumId w:val="3"/>
  </w:num>
  <w:num w:numId="11">
    <w:abstractNumId w:val="28"/>
  </w:num>
  <w:num w:numId="12">
    <w:abstractNumId w:val="34"/>
  </w:num>
  <w:num w:numId="13">
    <w:abstractNumId w:val="4"/>
  </w:num>
  <w:num w:numId="14">
    <w:abstractNumId w:val="12"/>
  </w:num>
  <w:num w:numId="15">
    <w:abstractNumId w:val="15"/>
  </w:num>
  <w:num w:numId="16">
    <w:abstractNumId w:val="9"/>
  </w:num>
  <w:num w:numId="17">
    <w:abstractNumId w:val="14"/>
  </w:num>
  <w:num w:numId="18">
    <w:abstractNumId w:val="10"/>
  </w:num>
  <w:num w:numId="19">
    <w:abstractNumId w:val="5"/>
  </w:num>
  <w:num w:numId="20">
    <w:abstractNumId w:val="11"/>
  </w:num>
  <w:num w:numId="21">
    <w:abstractNumId w:val="0"/>
  </w:num>
  <w:num w:numId="22">
    <w:abstractNumId w:val="19"/>
  </w:num>
  <w:num w:numId="23">
    <w:abstractNumId w:val="2"/>
  </w:num>
  <w:num w:numId="24">
    <w:abstractNumId w:val="32"/>
  </w:num>
  <w:num w:numId="25">
    <w:abstractNumId w:val="27"/>
  </w:num>
  <w:num w:numId="26">
    <w:abstractNumId w:val="33"/>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8"/>
  </w:num>
  <w:num w:numId="32">
    <w:abstractNumId w:val="22"/>
  </w:num>
  <w:num w:numId="33">
    <w:abstractNumId w:val="23"/>
  </w:num>
  <w:num w:numId="34">
    <w:abstractNumId w:val="25"/>
  </w:num>
  <w:num w:numId="35">
    <w:abstractNumId w:val="24"/>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0"/>
  </w:num>
  <w:num w:numId="40">
    <w:abstractNumId w:val="18"/>
  </w:num>
  <w:num w:numId="41">
    <w:abstractNumId w:val="38"/>
  </w:num>
  <w:num w:numId="42">
    <w:abstractNumId w:val="35"/>
  </w:num>
  <w:num w:numId="43">
    <w:abstractNumId w:val="24"/>
  </w:num>
  <w:num w:numId="44">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8193" fillcolor="none [3215]" stroke="f">
      <v:fill color="none [3215]"/>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C0"/>
    <w:rsid w:val="00000267"/>
    <w:rsid w:val="00000968"/>
    <w:rsid w:val="00000E07"/>
    <w:rsid w:val="000010DC"/>
    <w:rsid w:val="00001404"/>
    <w:rsid w:val="0000229F"/>
    <w:rsid w:val="00002E2F"/>
    <w:rsid w:val="00002F7F"/>
    <w:rsid w:val="00002F85"/>
    <w:rsid w:val="000032CC"/>
    <w:rsid w:val="000046CA"/>
    <w:rsid w:val="000051B6"/>
    <w:rsid w:val="00005C21"/>
    <w:rsid w:val="00005CEB"/>
    <w:rsid w:val="00006B9F"/>
    <w:rsid w:val="00006DC6"/>
    <w:rsid w:val="00007406"/>
    <w:rsid w:val="00007EB3"/>
    <w:rsid w:val="00007EFD"/>
    <w:rsid w:val="00011A5A"/>
    <w:rsid w:val="00011B56"/>
    <w:rsid w:val="000125CE"/>
    <w:rsid w:val="00012977"/>
    <w:rsid w:val="000139AD"/>
    <w:rsid w:val="000144DE"/>
    <w:rsid w:val="000148A7"/>
    <w:rsid w:val="000149EC"/>
    <w:rsid w:val="00014DC0"/>
    <w:rsid w:val="00015271"/>
    <w:rsid w:val="00015598"/>
    <w:rsid w:val="00015F3F"/>
    <w:rsid w:val="00016280"/>
    <w:rsid w:val="000165FF"/>
    <w:rsid w:val="0001755C"/>
    <w:rsid w:val="00017595"/>
    <w:rsid w:val="0001799B"/>
    <w:rsid w:val="00020040"/>
    <w:rsid w:val="000203C2"/>
    <w:rsid w:val="00020F7F"/>
    <w:rsid w:val="00020F8D"/>
    <w:rsid w:val="0002143C"/>
    <w:rsid w:val="000219D0"/>
    <w:rsid w:val="00022BC3"/>
    <w:rsid w:val="00023712"/>
    <w:rsid w:val="0002400B"/>
    <w:rsid w:val="00025116"/>
    <w:rsid w:val="00025387"/>
    <w:rsid w:val="00025793"/>
    <w:rsid w:val="000257C8"/>
    <w:rsid w:val="00025CA9"/>
    <w:rsid w:val="00026292"/>
    <w:rsid w:val="00026BE2"/>
    <w:rsid w:val="00026CAA"/>
    <w:rsid w:val="00027B5F"/>
    <w:rsid w:val="0003004A"/>
    <w:rsid w:val="0003019C"/>
    <w:rsid w:val="000308DC"/>
    <w:rsid w:val="00031309"/>
    <w:rsid w:val="000317A6"/>
    <w:rsid w:val="00031870"/>
    <w:rsid w:val="000324F8"/>
    <w:rsid w:val="00032FB2"/>
    <w:rsid w:val="00033E5E"/>
    <w:rsid w:val="00035288"/>
    <w:rsid w:val="000354AF"/>
    <w:rsid w:val="00035527"/>
    <w:rsid w:val="00036787"/>
    <w:rsid w:val="0003687B"/>
    <w:rsid w:val="000368D4"/>
    <w:rsid w:val="00036CDA"/>
    <w:rsid w:val="00036D7D"/>
    <w:rsid w:val="00037569"/>
    <w:rsid w:val="000408BF"/>
    <w:rsid w:val="00040BC7"/>
    <w:rsid w:val="00041787"/>
    <w:rsid w:val="00041C60"/>
    <w:rsid w:val="00041E14"/>
    <w:rsid w:val="00042109"/>
    <w:rsid w:val="00042284"/>
    <w:rsid w:val="00043650"/>
    <w:rsid w:val="00044237"/>
    <w:rsid w:val="000444FF"/>
    <w:rsid w:val="0004467D"/>
    <w:rsid w:val="00045083"/>
    <w:rsid w:val="00045139"/>
    <w:rsid w:val="00046EC9"/>
    <w:rsid w:val="000473AE"/>
    <w:rsid w:val="00047714"/>
    <w:rsid w:val="0005046D"/>
    <w:rsid w:val="000506A5"/>
    <w:rsid w:val="00050ACB"/>
    <w:rsid w:val="0005185D"/>
    <w:rsid w:val="00051862"/>
    <w:rsid w:val="00051DC2"/>
    <w:rsid w:val="0005222A"/>
    <w:rsid w:val="00052B76"/>
    <w:rsid w:val="00053207"/>
    <w:rsid w:val="00053B82"/>
    <w:rsid w:val="000544E6"/>
    <w:rsid w:val="00054C40"/>
    <w:rsid w:val="00054EC5"/>
    <w:rsid w:val="000550AE"/>
    <w:rsid w:val="00055A6A"/>
    <w:rsid w:val="00055BAE"/>
    <w:rsid w:val="000566A8"/>
    <w:rsid w:val="0005674C"/>
    <w:rsid w:val="00057673"/>
    <w:rsid w:val="00057AAB"/>
    <w:rsid w:val="000606D1"/>
    <w:rsid w:val="000608E9"/>
    <w:rsid w:val="00060A42"/>
    <w:rsid w:val="00060F97"/>
    <w:rsid w:val="00061068"/>
    <w:rsid w:val="000619A2"/>
    <w:rsid w:val="00061DA1"/>
    <w:rsid w:val="00063503"/>
    <w:rsid w:val="00063BE4"/>
    <w:rsid w:val="00063FB8"/>
    <w:rsid w:val="00064626"/>
    <w:rsid w:val="00064A4C"/>
    <w:rsid w:val="00064B40"/>
    <w:rsid w:val="00064EB8"/>
    <w:rsid w:val="0006530A"/>
    <w:rsid w:val="000657C2"/>
    <w:rsid w:val="000679F1"/>
    <w:rsid w:val="00067EC5"/>
    <w:rsid w:val="00070164"/>
    <w:rsid w:val="000701EA"/>
    <w:rsid w:val="00070486"/>
    <w:rsid w:val="00070875"/>
    <w:rsid w:val="00070AF1"/>
    <w:rsid w:val="00070BEA"/>
    <w:rsid w:val="000713BA"/>
    <w:rsid w:val="00074124"/>
    <w:rsid w:val="000743B8"/>
    <w:rsid w:val="00074721"/>
    <w:rsid w:val="00075C1A"/>
    <w:rsid w:val="000768A5"/>
    <w:rsid w:val="00076C97"/>
    <w:rsid w:val="000778D4"/>
    <w:rsid w:val="00077EBF"/>
    <w:rsid w:val="00077FDC"/>
    <w:rsid w:val="0008041A"/>
    <w:rsid w:val="00080AF8"/>
    <w:rsid w:val="0008139D"/>
    <w:rsid w:val="00081A58"/>
    <w:rsid w:val="00082CD9"/>
    <w:rsid w:val="00083051"/>
    <w:rsid w:val="000847B3"/>
    <w:rsid w:val="00086603"/>
    <w:rsid w:val="00087745"/>
    <w:rsid w:val="00087C5B"/>
    <w:rsid w:val="000900F1"/>
    <w:rsid w:val="000905BA"/>
    <w:rsid w:val="00090AAB"/>
    <w:rsid w:val="00091458"/>
    <w:rsid w:val="00092362"/>
    <w:rsid w:val="0009295D"/>
    <w:rsid w:val="00092ADD"/>
    <w:rsid w:val="00092DDD"/>
    <w:rsid w:val="0009340E"/>
    <w:rsid w:val="00093A10"/>
    <w:rsid w:val="00094408"/>
    <w:rsid w:val="00095B9E"/>
    <w:rsid w:val="00095DA1"/>
    <w:rsid w:val="000969AF"/>
    <w:rsid w:val="00096CE6"/>
    <w:rsid w:val="00096F31"/>
    <w:rsid w:val="00097201"/>
    <w:rsid w:val="000A0034"/>
    <w:rsid w:val="000A02E2"/>
    <w:rsid w:val="000A0570"/>
    <w:rsid w:val="000A066C"/>
    <w:rsid w:val="000A0836"/>
    <w:rsid w:val="000A0A64"/>
    <w:rsid w:val="000A1643"/>
    <w:rsid w:val="000A1F3F"/>
    <w:rsid w:val="000A2939"/>
    <w:rsid w:val="000A2F07"/>
    <w:rsid w:val="000A38AA"/>
    <w:rsid w:val="000A4154"/>
    <w:rsid w:val="000A4352"/>
    <w:rsid w:val="000A51EE"/>
    <w:rsid w:val="000A58F4"/>
    <w:rsid w:val="000A6014"/>
    <w:rsid w:val="000A6874"/>
    <w:rsid w:val="000A6F12"/>
    <w:rsid w:val="000A744F"/>
    <w:rsid w:val="000B0029"/>
    <w:rsid w:val="000B0862"/>
    <w:rsid w:val="000B1068"/>
    <w:rsid w:val="000B195F"/>
    <w:rsid w:val="000B1B5A"/>
    <w:rsid w:val="000B1B90"/>
    <w:rsid w:val="000B1CB3"/>
    <w:rsid w:val="000B319E"/>
    <w:rsid w:val="000B510F"/>
    <w:rsid w:val="000B5AFD"/>
    <w:rsid w:val="000B61EE"/>
    <w:rsid w:val="000B62A0"/>
    <w:rsid w:val="000B65CE"/>
    <w:rsid w:val="000B70D1"/>
    <w:rsid w:val="000B711E"/>
    <w:rsid w:val="000B741C"/>
    <w:rsid w:val="000B7AC9"/>
    <w:rsid w:val="000B7E22"/>
    <w:rsid w:val="000C009C"/>
    <w:rsid w:val="000C0DC8"/>
    <w:rsid w:val="000C10E3"/>
    <w:rsid w:val="000C2042"/>
    <w:rsid w:val="000C312A"/>
    <w:rsid w:val="000C33E8"/>
    <w:rsid w:val="000C3423"/>
    <w:rsid w:val="000C383E"/>
    <w:rsid w:val="000C396D"/>
    <w:rsid w:val="000C4821"/>
    <w:rsid w:val="000C56BD"/>
    <w:rsid w:val="000C5CC3"/>
    <w:rsid w:val="000C5D73"/>
    <w:rsid w:val="000C5EEC"/>
    <w:rsid w:val="000C6F10"/>
    <w:rsid w:val="000C75E7"/>
    <w:rsid w:val="000C790F"/>
    <w:rsid w:val="000D21C3"/>
    <w:rsid w:val="000D2785"/>
    <w:rsid w:val="000D2FC9"/>
    <w:rsid w:val="000D3B7B"/>
    <w:rsid w:val="000D3C42"/>
    <w:rsid w:val="000D3C62"/>
    <w:rsid w:val="000D416D"/>
    <w:rsid w:val="000D4527"/>
    <w:rsid w:val="000D59A5"/>
    <w:rsid w:val="000D672E"/>
    <w:rsid w:val="000D6CC6"/>
    <w:rsid w:val="000D7A61"/>
    <w:rsid w:val="000D7F1E"/>
    <w:rsid w:val="000E0E16"/>
    <w:rsid w:val="000E0F63"/>
    <w:rsid w:val="000E126D"/>
    <w:rsid w:val="000E14AD"/>
    <w:rsid w:val="000E28E5"/>
    <w:rsid w:val="000E2F96"/>
    <w:rsid w:val="000E32F4"/>
    <w:rsid w:val="000E3802"/>
    <w:rsid w:val="000E4B8C"/>
    <w:rsid w:val="000E5C1C"/>
    <w:rsid w:val="000E5D59"/>
    <w:rsid w:val="000E6525"/>
    <w:rsid w:val="000E65B2"/>
    <w:rsid w:val="000E71A2"/>
    <w:rsid w:val="000E751E"/>
    <w:rsid w:val="000E7917"/>
    <w:rsid w:val="000E7BB5"/>
    <w:rsid w:val="000E7CF2"/>
    <w:rsid w:val="000F118B"/>
    <w:rsid w:val="000F331C"/>
    <w:rsid w:val="000F3F7A"/>
    <w:rsid w:val="000F3FD9"/>
    <w:rsid w:val="000F42BF"/>
    <w:rsid w:val="000F4B6B"/>
    <w:rsid w:val="000F4B88"/>
    <w:rsid w:val="000F4EB8"/>
    <w:rsid w:val="000F52FA"/>
    <w:rsid w:val="000F5BBE"/>
    <w:rsid w:val="000F5D75"/>
    <w:rsid w:val="000F66C7"/>
    <w:rsid w:val="000F76FF"/>
    <w:rsid w:val="000F77C6"/>
    <w:rsid w:val="0010009F"/>
    <w:rsid w:val="001002E4"/>
    <w:rsid w:val="00100753"/>
    <w:rsid w:val="001013F4"/>
    <w:rsid w:val="001015D1"/>
    <w:rsid w:val="00101808"/>
    <w:rsid w:val="00101E7E"/>
    <w:rsid w:val="001026F1"/>
    <w:rsid w:val="00102846"/>
    <w:rsid w:val="001034AF"/>
    <w:rsid w:val="00103591"/>
    <w:rsid w:val="00105AA9"/>
    <w:rsid w:val="00106911"/>
    <w:rsid w:val="00106A12"/>
    <w:rsid w:val="0011121A"/>
    <w:rsid w:val="00111324"/>
    <w:rsid w:val="00111544"/>
    <w:rsid w:val="00111F19"/>
    <w:rsid w:val="00112A1C"/>
    <w:rsid w:val="001135FB"/>
    <w:rsid w:val="00113D7F"/>
    <w:rsid w:val="0011421B"/>
    <w:rsid w:val="001148A2"/>
    <w:rsid w:val="001164BA"/>
    <w:rsid w:val="00116C85"/>
    <w:rsid w:val="00116E8C"/>
    <w:rsid w:val="001179B7"/>
    <w:rsid w:val="00117D9C"/>
    <w:rsid w:val="001210E9"/>
    <w:rsid w:val="00121579"/>
    <w:rsid w:val="00121AE8"/>
    <w:rsid w:val="001222BC"/>
    <w:rsid w:val="001226BE"/>
    <w:rsid w:val="00123EF1"/>
    <w:rsid w:val="00124E9B"/>
    <w:rsid w:val="00125AFC"/>
    <w:rsid w:val="00126526"/>
    <w:rsid w:val="00126AFF"/>
    <w:rsid w:val="00126DC3"/>
    <w:rsid w:val="00127187"/>
    <w:rsid w:val="00127829"/>
    <w:rsid w:val="00127DCA"/>
    <w:rsid w:val="00130007"/>
    <w:rsid w:val="00130727"/>
    <w:rsid w:val="00130745"/>
    <w:rsid w:val="001309A2"/>
    <w:rsid w:val="001320BE"/>
    <w:rsid w:val="001323AC"/>
    <w:rsid w:val="00132EED"/>
    <w:rsid w:val="001334EE"/>
    <w:rsid w:val="0013356C"/>
    <w:rsid w:val="001353F5"/>
    <w:rsid w:val="00135AE9"/>
    <w:rsid w:val="0013767A"/>
    <w:rsid w:val="00137B03"/>
    <w:rsid w:val="0014062F"/>
    <w:rsid w:val="00141457"/>
    <w:rsid w:val="001415DD"/>
    <w:rsid w:val="001420B0"/>
    <w:rsid w:val="00142F9D"/>
    <w:rsid w:val="001436B6"/>
    <w:rsid w:val="00144311"/>
    <w:rsid w:val="00145F3B"/>
    <w:rsid w:val="001469D4"/>
    <w:rsid w:val="00146E85"/>
    <w:rsid w:val="0014703A"/>
    <w:rsid w:val="001476BD"/>
    <w:rsid w:val="001476BE"/>
    <w:rsid w:val="0015001A"/>
    <w:rsid w:val="00150154"/>
    <w:rsid w:val="0015174C"/>
    <w:rsid w:val="00151B00"/>
    <w:rsid w:val="00151CF3"/>
    <w:rsid w:val="00151F93"/>
    <w:rsid w:val="0015251A"/>
    <w:rsid w:val="0015303F"/>
    <w:rsid w:val="001538FB"/>
    <w:rsid w:val="00155FE3"/>
    <w:rsid w:val="00157444"/>
    <w:rsid w:val="00157CFD"/>
    <w:rsid w:val="001604B6"/>
    <w:rsid w:val="00161BA2"/>
    <w:rsid w:val="00162072"/>
    <w:rsid w:val="0016383D"/>
    <w:rsid w:val="0016454D"/>
    <w:rsid w:val="00164A8D"/>
    <w:rsid w:val="00165AC0"/>
    <w:rsid w:val="0016607B"/>
    <w:rsid w:val="00166AE4"/>
    <w:rsid w:val="00166F4F"/>
    <w:rsid w:val="00167EE0"/>
    <w:rsid w:val="00167F7E"/>
    <w:rsid w:val="00170238"/>
    <w:rsid w:val="0017086D"/>
    <w:rsid w:val="001708CB"/>
    <w:rsid w:val="00170DF6"/>
    <w:rsid w:val="00172A8C"/>
    <w:rsid w:val="00174029"/>
    <w:rsid w:val="00174043"/>
    <w:rsid w:val="0017416F"/>
    <w:rsid w:val="001762A0"/>
    <w:rsid w:val="001769C7"/>
    <w:rsid w:val="00176D38"/>
    <w:rsid w:val="00180765"/>
    <w:rsid w:val="00180895"/>
    <w:rsid w:val="00181EAE"/>
    <w:rsid w:val="00182161"/>
    <w:rsid w:val="001824CB"/>
    <w:rsid w:val="00182598"/>
    <w:rsid w:val="001827F1"/>
    <w:rsid w:val="00184855"/>
    <w:rsid w:val="00184EE2"/>
    <w:rsid w:val="00185379"/>
    <w:rsid w:val="001856FB"/>
    <w:rsid w:val="00185720"/>
    <w:rsid w:val="00185E01"/>
    <w:rsid w:val="00185F6F"/>
    <w:rsid w:val="001861C1"/>
    <w:rsid w:val="00187218"/>
    <w:rsid w:val="001874CA"/>
    <w:rsid w:val="00190483"/>
    <w:rsid w:val="001920BE"/>
    <w:rsid w:val="00192241"/>
    <w:rsid w:val="001925E2"/>
    <w:rsid w:val="00192873"/>
    <w:rsid w:val="00192A42"/>
    <w:rsid w:val="00192F51"/>
    <w:rsid w:val="0019311B"/>
    <w:rsid w:val="00193397"/>
    <w:rsid w:val="00193601"/>
    <w:rsid w:val="00197937"/>
    <w:rsid w:val="00197C7A"/>
    <w:rsid w:val="00197DC7"/>
    <w:rsid w:val="001A01CF"/>
    <w:rsid w:val="001A129B"/>
    <w:rsid w:val="001A1C17"/>
    <w:rsid w:val="001A1C4B"/>
    <w:rsid w:val="001A1F9E"/>
    <w:rsid w:val="001A24EE"/>
    <w:rsid w:val="001A2696"/>
    <w:rsid w:val="001A47EC"/>
    <w:rsid w:val="001A481E"/>
    <w:rsid w:val="001A4FD2"/>
    <w:rsid w:val="001A529E"/>
    <w:rsid w:val="001A55E5"/>
    <w:rsid w:val="001A6378"/>
    <w:rsid w:val="001A719B"/>
    <w:rsid w:val="001A79F7"/>
    <w:rsid w:val="001B054A"/>
    <w:rsid w:val="001B056B"/>
    <w:rsid w:val="001B07C7"/>
    <w:rsid w:val="001B154C"/>
    <w:rsid w:val="001B1E72"/>
    <w:rsid w:val="001B2382"/>
    <w:rsid w:val="001B2F96"/>
    <w:rsid w:val="001B3327"/>
    <w:rsid w:val="001B34FF"/>
    <w:rsid w:val="001B39AE"/>
    <w:rsid w:val="001B3C7F"/>
    <w:rsid w:val="001B4556"/>
    <w:rsid w:val="001B5229"/>
    <w:rsid w:val="001B58F2"/>
    <w:rsid w:val="001B59F3"/>
    <w:rsid w:val="001B5BFA"/>
    <w:rsid w:val="001B6322"/>
    <w:rsid w:val="001B678D"/>
    <w:rsid w:val="001B6E0E"/>
    <w:rsid w:val="001C0E93"/>
    <w:rsid w:val="001C2061"/>
    <w:rsid w:val="001C28BE"/>
    <w:rsid w:val="001C32F9"/>
    <w:rsid w:val="001C333B"/>
    <w:rsid w:val="001C345C"/>
    <w:rsid w:val="001C3493"/>
    <w:rsid w:val="001C419F"/>
    <w:rsid w:val="001C447B"/>
    <w:rsid w:val="001C47A5"/>
    <w:rsid w:val="001C4FE3"/>
    <w:rsid w:val="001C5F00"/>
    <w:rsid w:val="001C6506"/>
    <w:rsid w:val="001C651B"/>
    <w:rsid w:val="001C6AFB"/>
    <w:rsid w:val="001C6D16"/>
    <w:rsid w:val="001C7DBC"/>
    <w:rsid w:val="001D01DE"/>
    <w:rsid w:val="001D10B2"/>
    <w:rsid w:val="001D11DB"/>
    <w:rsid w:val="001D11DC"/>
    <w:rsid w:val="001D13C8"/>
    <w:rsid w:val="001D1AF5"/>
    <w:rsid w:val="001D2237"/>
    <w:rsid w:val="001D29AE"/>
    <w:rsid w:val="001D3DD1"/>
    <w:rsid w:val="001D5313"/>
    <w:rsid w:val="001D577B"/>
    <w:rsid w:val="001D65CA"/>
    <w:rsid w:val="001D7070"/>
    <w:rsid w:val="001E06FE"/>
    <w:rsid w:val="001E1E56"/>
    <w:rsid w:val="001E2A65"/>
    <w:rsid w:val="001E2F91"/>
    <w:rsid w:val="001E3189"/>
    <w:rsid w:val="001E31A4"/>
    <w:rsid w:val="001E3EA7"/>
    <w:rsid w:val="001E41D9"/>
    <w:rsid w:val="001E5304"/>
    <w:rsid w:val="001E53E9"/>
    <w:rsid w:val="001E5CE4"/>
    <w:rsid w:val="001E620F"/>
    <w:rsid w:val="001E62C4"/>
    <w:rsid w:val="001E66DC"/>
    <w:rsid w:val="001E6985"/>
    <w:rsid w:val="001E6A5E"/>
    <w:rsid w:val="001E6CE0"/>
    <w:rsid w:val="001E725C"/>
    <w:rsid w:val="001F010B"/>
    <w:rsid w:val="001F0210"/>
    <w:rsid w:val="001F0793"/>
    <w:rsid w:val="001F0DAD"/>
    <w:rsid w:val="001F127F"/>
    <w:rsid w:val="001F1585"/>
    <w:rsid w:val="001F1DD9"/>
    <w:rsid w:val="001F2BB2"/>
    <w:rsid w:val="001F2C4E"/>
    <w:rsid w:val="001F3220"/>
    <w:rsid w:val="001F3C82"/>
    <w:rsid w:val="001F55EB"/>
    <w:rsid w:val="001F68EB"/>
    <w:rsid w:val="001F74DE"/>
    <w:rsid w:val="001F7545"/>
    <w:rsid w:val="001F765D"/>
    <w:rsid w:val="001F798F"/>
    <w:rsid w:val="00200252"/>
    <w:rsid w:val="0020040D"/>
    <w:rsid w:val="0020128E"/>
    <w:rsid w:val="002014CF"/>
    <w:rsid w:val="00201A8D"/>
    <w:rsid w:val="00202810"/>
    <w:rsid w:val="00202B03"/>
    <w:rsid w:val="002030A3"/>
    <w:rsid w:val="002032F1"/>
    <w:rsid w:val="00203590"/>
    <w:rsid w:val="00203710"/>
    <w:rsid w:val="00203EC7"/>
    <w:rsid w:val="00204F10"/>
    <w:rsid w:val="00205D40"/>
    <w:rsid w:val="0020691A"/>
    <w:rsid w:val="002079D3"/>
    <w:rsid w:val="00207E36"/>
    <w:rsid w:val="00210620"/>
    <w:rsid w:val="002108D1"/>
    <w:rsid w:val="0021094E"/>
    <w:rsid w:val="00211029"/>
    <w:rsid w:val="0021110E"/>
    <w:rsid w:val="00211347"/>
    <w:rsid w:val="00211991"/>
    <w:rsid w:val="00213C42"/>
    <w:rsid w:val="002148EC"/>
    <w:rsid w:val="0021538F"/>
    <w:rsid w:val="0021543C"/>
    <w:rsid w:val="00215B04"/>
    <w:rsid w:val="00215D7C"/>
    <w:rsid w:val="00215E7D"/>
    <w:rsid w:val="002169D0"/>
    <w:rsid w:val="0021712A"/>
    <w:rsid w:val="00217154"/>
    <w:rsid w:val="00217276"/>
    <w:rsid w:val="00221677"/>
    <w:rsid w:val="002219F5"/>
    <w:rsid w:val="00221B74"/>
    <w:rsid w:val="002228B6"/>
    <w:rsid w:val="00222EC0"/>
    <w:rsid w:val="00223072"/>
    <w:rsid w:val="002235B8"/>
    <w:rsid w:val="00224BA5"/>
    <w:rsid w:val="00224C34"/>
    <w:rsid w:val="0022536B"/>
    <w:rsid w:val="0022546A"/>
    <w:rsid w:val="00225BF4"/>
    <w:rsid w:val="002261FF"/>
    <w:rsid w:val="002263E0"/>
    <w:rsid w:val="00226D03"/>
    <w:rsid w:val="00226D9B"/>
    <w:rsid w:val="00227084"/>
    <w:rsid w:val="002272DA"/>
    <w:rsid w:val="00230266"/>
    <w:rsid w:val="0023064C"/>
    <w:rsid w:val="00231135"/>
    <w:rsid w:val="002316E7"/>
    <w:rsid w:val="0023197F"/>
    <w:rsid w:val="00231E97"/>
    <w:rsid w:val="002330A0"/>
    <w:rsid w:val="00234835"/>
    <w:rsid w:val="00234F3A"/>
    <w:rsid w:val="002353A9"/>
    <w:rsid w:val="00235556"/>
    <w:rsid w:val="00235653"/>
    <w:rsid w:val="0023597B"/>
    <w:rsid w:val="00235B3A"/>
    <w:rsid w:val="00235E6E"/>
    <w:rsid w:val="00236445"/>
    <w:rsid w:val="00237BCC"/>
    <w:rsid w:val="002407B2"/>
    <w:rsid w:val="002407CF"/>
    <w:rsid w:val="00240FCD"/>
    <w:rsid w:val="00241695"/>
    <w:rsid w:val="0024294F"/>
    <w:rsid w:val="00243644"/>
    <w:rsid w:val="002445FF"/>
    <w:rsid w:val="0024482C"/>
    <w:rsid w:val="00245400"/>
    <w:rsid w:val="00245C02"/>
    <w:rsid w:val="002464EE"/>
    <w:rsid w:val="00247067"/>
    <w:rsid w:val="00247954"/>
    <w:rsid w:val="002504DF"/>
    <w:rsid w:val="00250C61"/>
    <w:rsid w:val="00253408"/>
    <w:rsid w:val="002534B3"/>
    <w:rsid w:val="00254285"/>
    <w:rsid w:val="002542AB"/>
    <w:rsid w:val="0025481F"/>
    <w:rsid w:val="00254D4F"/>
    <w:rsid w:val="002553FB"/>
    <w:rsid w:val="00255ECC"/>
    <w:rsid w:val="00256197"/>
    <w:rsid w:val="00256B17"/>
    <w:rsid w:val="00257062"/>
    <w:rsid w:val="002570A9"/>
    <w:rsid w:val="00257526"/>
    <w:rsid w:val="00257794"/>
    <w:rsid w:val="00257845"/>
    <w:rsid w:val="00260B1B"/>
    <w:rsid w:val="00260D71"/>
    <w:rsid w:val="002618BC"/>
    <w:rsid w:val="002627A5"/>
    <w:rsid w:val="002628D1"/>
    <w:rsid w:val="002638C2"/>
    <w:rsid w:val="002639CC"/>
    <w:rsid w:val="00263ADB"/>
    <w:rsid w:val="00263AE9"/>
    <w:rsid w:val="0026421E"/>
    <w:rsid w:val="00265118"/>
    <w:rsid w:val="00265C34"/>
    <w:rsid w:val="0026608B"/>
    <w:rsid w:val="00266A04"/>
    <w:rsid w:val="002672A5"/>
    <w:rsid w:val="00270109"/>
    <w:rsid w:val="00270144"/>
    <w:rsid w:val="0027020A"/>
    <w:rsid w:val="002709D2"/>
    <w:rsid w:val="00271611"/>
    <w:rsid w:val="00272960"/>
    <w:rsid w:val="00272B0A"/>
    <w:rsid w:val="00273234"/>
    <w:rsid w:val="0027336B"/>
    <w:rsid w:val="002736C6"/>
    <w:rsid w:val="00273D52"/>
    <w:rsid w:val="002745E9"/>
    <w:rsid w:val="0027472A"/>
    <w:rsid w:val="00274EA8"/>
    <w:rsid w:val="00275248"/>
    <w:rsid w:val="002752FF"/>
    <w:rsid w:val="00275813"/>
    <w:rsid w:val="00275BAF"/>
    <w:rsid w:val="00276654"/>
    <w:rsid w:val="00276748"/>
    <w:rsid w:val="002768E1"/>
    <w:rsid w:val="00276DF5"/>
    <w:rsid w:val="00277F26"/>
    <w:rsid w:val="00280476"/>
    <w:rsid w:val="002809F2"/>
    <w:rsid w:val="00281EAB"/>
    <w:rsid w:val="00281F92"/>
    <w:rsid w:val="002821EF"/>
    <w:rsid w:val="002825BF"/>
    <w:rsid w:val="002827D9"/>
    <w:rsid w:val="00282E53"/>
    <w:rsid w:val="00282F45"/>
    <w:rsid w:val="00283175"/>
    <w:rsid w:val="002833F5"/>
    <w:rsid w:val="002840A8"/>
    <w:rsid w:val="00284EF3"/>
    <w:rsid w:val="002850FC"/>
    <w:rsid w:val="00285167"/>
    <w:rsid w:val="00285547"/>
    <w:rsid w:val="0028561C"/>
    <w:rsid w:val="00285AAD"/>
    <w:rsid w:val="0028639C"/>
    <w:rsid w:val="00287BBC"/>
    <w:rsid w:val="002908C9"/>
    <w:rsid w:val="00292BF1"/>
    <w:rsid w:val="00292C9D"/>
    <w:rsid w:val="00293D3F"/>
    <w:rsid w:val="002944C8"/>
    <w:rsid w:val="00294D81"/>
    <w:rsid w:val="002960CE"/>
    <w:rsid w:val="00296433"/>
    <w:rsid w:val="00296814"/>
    <w:rsid w:val="002971A2"/>
    <w:rsid w:val="00297CF4"/>
    <w:rsid w:val="002A07D8"/>
    <w:rsid w:val="002A0C42"/>
    <w:rsid w:val="002A10BB"/>
    <w:rsid w:val="002A2932"/>
    <w:rsid w:val="002A3FAD"/>
    <w:rsid w:val="002A4018"/>
    <w:rsid w:val="002A4114"/>
    <w:rsid w:val="002A4DAE"/>
    <w:rsid w:val="002A5082"/>
    <w:rsid w:val="002A5202"/>
    <w:rsid w:val="002A5354"/>
    <w:rsid w:val="002A55A1"/>
    <w:rsid w:val="002A58CB"/>
    <w:rsid w:val="002A633F"/>
    <w:rsid w:val="002A63B7"/>
    <w:rsid w:val="002A7357"/>
    <w:rsid w:val="002A7A66"/>
    <w:rsid w:val="002A7EAB"/>
    <w:rsid w:val="002B08BE"/>
    <w:rsid w:val="002B10D1"/>
    <w:rsid w:val="002B1624"/>
    <w:rsid w:val="002B1CD2"/>
    <w:rsid w:val="002B2426"/>
    <w:rsid w:val="002B27CC"/>
    <w:rsid w:val="002B298D"/>
    <w:rsid w:val="002B3373"/>
    <w:rsid w:val="002B38D8"/>
    <w:rsid w:val="002B43C8"/>
    <w:rsid w:val="002B4C2E"/>
    <w:rsid w:val="002B4C86"/>
    <w:rsid w:val="002B5288"/>
    <w:rsid w:val="002B547E"/>
    <w:rsid w:val="002B551B"/>
    <w:rsid w:val="002B55C3"/>
    <w:rsid w:val="002B60B6"/>
    <w:rsid w:val="002B7A82"/>
    <w:rsid w:val="002B7C8E"/>
    <w:rsid w:val="002B7D0C"/>
    <w:rsid w:val="002C016F"/>
    <w:rsid w:val="002C0347"/>
    <w:rsid w:val="002C04B6"/>
    <w:rsid w:val="002C0872"/>
    <w:rsid w:val="002C17EC"/>
    <w:rsid w:val="002C29F8"/>
    <w:rsid w:val="002C3ABA"/>
    <w:rsid w:val="002C44FC"/>
    <w:rsid w:val="002C4763"/>
    <w:rsid w:val="002C6C7F"/>
    <w:rsid w:val="002C6FB3"/>
    <w:rsid w:val="002C7DBE"/>
    <w:rsid w:val="002D024C"/>
    <w:rsid w:val="002D0A6D"/>
    <w:rsid w:val="002D1B11"/>
    <w:rsid w:val="002D2514"/>
    <w:rsid w:val="002D317E"/>
    <w:rsid w:val="002D38DD"/>
    <w:rsid w:val="002D3DA0"/>
    <w:rsid w:val="002D4081"/>
    <w:rsid w:val="002D4126"/>
    <w:rsid w:val="002D4F4C"/>
    <w:rsid w:val="002D539B"/>
    <w:rsid w:val="002D5CE4"/>
    <w:rsid w:val="002D5DC3"/>
    <w:rsid w:val="002D6616"/>
    <w:rsid w:val="002D6EDC"/>
    <w:rsid w:val="002D6FED"/>
    <w:rsid w:val="002D7C04"/>
    <w:rsid w:val="002E11FC"/>
    <w:rsid w:val="002E1E04"/>
    <w:rsid w:val="002E23BB"/>
    <w:rsid w:val="002E2A80"/>
    <w:rsid w:val="002E2AA4"/>
    <w:rsid w:val="002E33D0"/>
    <w:rsid w:val="002E481F"/>
    <w:rsid w:val="002E4B69"/>
    <w:rsid w:val="002E50A0"/>
    <w:rsid w:val="002E5B95"/>
    <w:rsid w:val="002E62E4"/>
    <w:rsid w:val="002E6590"/>
    <w:rsid w:val="002E736B"/>
    <w:rsid w:val="002F02A4"/>
    <w:rsid w:val="002F10FE"/>
    <w:rsid w:val="002F235D"/>
    <w:rsid w:val="002F323F"/>
    <w:rsid w:val="002F3255"/>
    <w:rsid w:val="002F389C"/>
    <w:rsid w:val="002F3B91"/>
    <w:rsid w:val="002F3C14"/>
    <w:rsid w:val="002F437D"/>
    <w:rsid w:val="002F5949"/>
    <w:rsid w:val="002F5C1D"/>
    <w:rsid w:val="002F6082"/>
    <w:rsid w:val="002F7481"/>
    <w:rsid w:val="002F7A8E"/>
    <w:rsid w:val="0030011D"/>
    <w:rsid w:val="0030106F"/>
    <w:rsid w:val="00301999"/>
    <w:rsid w:val="00301C23"/>
    <w:rsid w:val="00302BCF"/>
    <w:rsid w:val="00302F78"/>
    <w:rsid w:val="00303067"/>
    <w:rsid w:val="00303D4D"/>
    <w:rsid w:val="00304717"/>
    <w:rsid w:val="00304820"/>
    <w:rsid w:val="00304A1C"/>
    <w:rsid w:val="00304F76"/>
    <w:rsid w:val="00305681"/>
    <w:rsid w:val="00306A5E"/>
    <w:rsid w:val="00306F4B"/>
    <w:rsid w:val="00307525"/>
    <w:rsid w:val="00310381"/>
    <w:rsid w:val="003103E1"/>
    <w:rsid w:val="00310527"/>
    <w:rsid w:val="00310CB2"/>
    <w:rsid w:val="00312A2E"/>
    <w:rsid w:val="00312A39"/>
    <w:rsid w:val="00312CFF"/>
    <w:rsid w:val="003146EB"/>
    <w:rsid w:val="003152B3"/>
    <w:rsid w:val="0031569D"/>
    <w:rsid w:val="00315CD9"/>
    <w:rsid w:val="00316319"/>
    <w:rsid w:val="00317710"/>
    <w:rsid w:val="003204A0"/>
    <w:rsid w:val="0032288D"/>
    <w:rsid w:val="0032402E"/>
    <w:rsid w:val="00324258"/>
    <w:rsid w:val="00324F7E"/>
    <w:rsid w:val="003250F7"/>
    <w:rsid w:val="0032562A"/>
    <w:rsid w:val="00325697"/>
    <w:rsid w:val="00325C37"/>
    <w:rsid w:val="00325FD3"/>
    <w:rsid w:val="0032654B"/>
    <w:rsid w:val="003270A5"/>
    <w:rsid w:val="003274EB"/>
    <w:rsid w:val="003277F2"/>
    <w:rsid w:val="00327C6B"/>
    <w:rsid w:val="00327ED2"/>
    <w:rsid w:val="0033097F"/>
    <w:rsid w:val="00330A1A"/>
    <w:rsid w:val="00330EAA"/>
    <w:rsid w:val="0033123C"/>
    <w:rsid w:val="00331549"/>
    <w:rsid w:val="003318BA"/>
    <w:rsid w:val="00331DAA"/>
    <w:rsid w:val="00332A39"/>
    <w:rsid w:val="00332B2C"/>
    <w:rsid w:val="003343D7"/>
    <w:rsid w:val="00334CDC"/>
    <w:rsid w:val="00335A94"/>
    <w:rsid w:val="00335D27"/>
    <w:rsid w:val="003362AA"/>
    <w:rsid w:val="003364E5"/>
    <w:rsid w:val="00336AD9"/>
    <w:rsid w:val="00340545"/>
    <w:rsid w:val="00340549"/>
    <w:rsid w:val="003408CC"/>
    <w:rsid w:val="00342685"/>
    <w:rsid w:val="0034289D"/>
    <w:rsid w:val="00342966"/>
    <w:rsid w:val="00342D68"/>
    <w:rsid w:val="00343365"/>
    <w:rsid w:val="00343660"/>
    <w:rsid w:val="003445FC"/>
    <w:rsid w:val="00345095"/>
    <w:rsid w:val="00346235"/>
    <w:rsid w:val="00346AE9"/>
    <w:rsid w:val="003477D4"/>
    <w:rsid w:val="0035084C"/>
    <w:rsid w:val="00350B99"/>
    <w:rsid w:val="00351241"/>
    <w:rsid w:val="00351448"/>
    <w:rsid w:val="003516F6"/>
    <w:rsid w:val="00351DE1"/>
    <w:rsid w:val="00351FA6"/>
    <w:rsid w:val="003522D8"/>
    <w:rsid w:val="00352966"/>
    <w:rsid w:val="0035350F"/>
    <w:rsid w:val="00353897"/>
    <w:rsid w:val="0035429F"/>
    <w:rsid w:val="00354728"/>
    <w:rsid w:val="0035498F"/>
    <w:rsid w:val="00354ADA"/>
    <w:rsid w:val="00356A74"/>
    <w:rsid w:val="00357088"/>
    <w:rsid w:val="003600D8"/>
    <w:rsid w:val="00360109"/>
    <w:rsid w:val="00360615"/>
    <w:rsid w:val="00360A7E"/>
    <w:rsid w:val="00360F13"/>
    <w:rsid w:val="00360FA3"/>
    <w:rsid w:val="003613F0"/>
    <w:rsid w:val="00363211"/>
    <w:rsid w:val="003647A7"/>
    <w:rsid w:val="00364D0E"/>
    <w:rsid w:val="00365253"/>
    <w:rsid w:val="00365903"/>
    <w:rsid w:val="003660DE"/>
    <w:rsid w:val="00366205"/>
    <w:rsid w:val="00366751"/>
    <w:rsid w:val="00367142"/>
    <w:rsid w:val="00367462"/>
    <w:rsid w:val="00367555"/>
    <w:rsid w:val="003675CA"/>
    <w:rsid w:val="00367708"/>
    <w:rsid w:val="00367B96"/>
    <w:rsid w:val="003719B5"/>
    <w:rsid w:val="003734E9"/>
    <w:rsid w:val="003738C0"/>
    <w:rsid w:val="00373B4F"/>
    <w:rsid w:val="00374319"/>
    <w:rsid w:val="003745DE"/>
    <w:rsid w:val="0037694D"/>
    <w:rsid w:val="0037696F"/>
    <w:rsid w:val="003769C7"/>
    <w:rsid w:val="00376C55"/>
    <w:rsid w:val="00377556"/>
    <w:rsid w:val="003779E0"/>
    <w:rsid w:val="0038008F"/>
    <w:rsid w:val="0038033A"/>
    <w:rsid w:val="0038042A"/>
    <w:rsid w:val="00380BCA"/>
    <w:rsid w:val="00380F77"/>
    <w:rsid w:val="00381350"/>
    <w:rsid w:val="0038213B"/>
    <w:rsid w:val="00382A9D"/>
    <w:rsid w:val="00382AC6"/>
    <w:rsid w:val="00382BEA"/>
    <w:rsid w:val="00382F8A"/>
    <w:rsid w:val="00384632"/>
    <w:rsid w:val="00384AB2"/>
    <w:rsid w:val="00385431"/>
    <w:rsid w:val="003854AB"/>
    <w:rsid w:val="00385B5F"/>
    <w:rsid w:val="003866CE"/>
    <w:rsid w:val="003902FD"/>
    <w:rsid w:val="00390B8F"/>
    <w:rsid w:val="00392372"/>
    <w:rsid w:val="00392564"/>
    <w:rsid w:val="003929DD"/>
    <w:rsid w:val="003943DB"/>
    <w:rsid w:val="003955B3"/>
    <w:rsid w:val="003962F3"/>
    <w:rsid w:val="00396422"/>
    <w:rsid w:val="003A046D"/>
    <w:rsid w:val="003A0783"/>
    <w:rsid w:val="003A10D3"/>
    <w:rsid w:val="003A1137"/>
    <w:rsid w:val="003A1808"/>
    <w:rsid w:val="003A1DD5"/>
    <w:rsid w:val="003A297F"/>
    <w:rsid w:val="003A2E2A"/>
    <w:rsid w:val="003A3C92"/>
    <w:rsid w:val="003A4A6F"/>
    <w:rsid w:val="003A5B93"/>
    <w:rsid w:val="003A6164"/>
    <w:rsid w:val="003A6688"/>
    <w:rsid w:val="003A797E"/>
    <w:rsid w:val="003B099C"/>
    <w:rsid w:val="003B0D08"/>
    <w:rsid w:val="003B0F95"/>
    <w:rsid w:val="003B11ED"/>
    <w:rsid w:val="003B185F"/>
    <w:rsid w:val="003B1871"/>
    <w:rsid w:val="003B1B8B"/>
    <w:rsid w:val="003B2782"/>
    <w:rsid w:val="003B326B"/>
    <w:rsid w:val="003B3ED4"/>
    <w:rsid w:val="003B429A"/>
    <w:rsid w:val="003B5528"/>
    <w:rsid w:val="003B5733"/>
    <w:rsid w:val="003B5AAE"/>
    <w:rsid w:val="003B5C06"/>
    <w:rsid w:val="003B5EC8"/>
    <w:rsid w:val="003B6569"/>
    <w:rsid w:val="003B6AA0"/>
    <w:rsid w:val="003B7471"/>
    <w:rsid w:val="003B752C"/>
    <w:rsid w:val="003B7873"/>
    <w:rsid w:val="003B7938"/>
    <w:rsid w:val="003C08A5"/>
    <w:rsid w:val="003C0EFE"/>
    <w:rsid w:val="003C19B7"/>
    <w:rsid w:val="003C1B0D"/>
    <w:rsid w:val="003C35A2"/>
    <w:rsid w:val="003C3952"/>
    <w:rsid w:val="003C3D9B"/>
    <w:rsid w:val="003C4062"/>
    <w:rsid w:val="003C42CF"/>
    <w:rsid w:val="003C4F7B"/>
    <w:rsid w:val="003C52DC"/>
    <w:rsid w:val="003C6C45"/>
    <w:rsid w:val="003C71A5"/>
    <w:rsid w:val="003C7E3E"/>
    <w:rsid w:val="003D06E6"/>
    <w:rsid w:val="003D0ABF"/>
    <w:rsid w:val="003D20AF"/>
    <w:rsid w:val="003D28AE"/>
    <w:rsid w:val="003D3282"/>
    <w:rsid w:val="003D41CD"/>
    <w:rsid w:val="003D429E"/>
    <w:rsid w:val="003D43D7"/>
    <w:rsid w:val="003D48C4"/>
    <w:rsid w:val="003D4C03"/>
    <w:rsid w:val="003D4EE3"/>
    <w:rsid w:val="003D51A5"/>
    <w:rsid w:val="003D5326"/>
    <w:rsid w:val="003D5331"/>
    <w:rsid w:val="003D54AD"/>
    <w:rsid w:val="003D708E"/>
    <w:rsid w:val="003D7426"/>
    <w:rsid w:val="003E05F5"/>
    <w:rsid w:val="003E0A22"/>
    <w:rsid w:val="003E0FF1"/>
    <w:rsid w:val="003E3128"/>
    <w:rsid w:val="003E4C68"/>
    <w:rsid w:val="003E6FC9"/>
    <w:rsid w:val="003E74A5"/>
    <w:rsid w:val="003F0189"/>
    <w:rsid w:val="003F16C6"/>
    <w:rsid w:val="003F1BDC"/>
    <w:rsid w:val="003F2926"/>
    <w:rsid w:val="003F2A12"/>
    <w:rsid w:val="003F38CE"/>
    <w:rsid w:val="003F4C35"/>
    <w:rsid w:val="003F53E2"/>
    <w:rsid w:val="003F56F2"/>
    <w:rsid w:val="003F5B2E"/>
    <w:rsid w:val="003F7004"/>
    <w:rsid w:val="003F70F7"/>
    <w:rsid w:val="003F7436"/>
    <w:rsid w:val="003F7DF9"/>
    <w:rsid w:val="00400677"/>
    <w:rsid w:val="004007E3"/>
    <w:rsid w:val="00400C5B"/>
    <w:rsid w:val="00400D4D"/>
    <w:rsid w:val="00401FDF"/>
    <w:rsid w:val="00403128"/>
    <w:rsid w:val="00403848"/>
    <w:rsid w:val="0040384B"/>
    <w:rsid w:val="0040384E"/>
    <w:rsid w:val="004038BD"/>
    <w:rsid w:val="00404399"/>
    <w:rsid w:val="00404528"/>
    <w:rsid w:val="00404565"/>
    <w:rsid w:val="00404569"/>
    <w:rsid w:val="0040508F"/>
    <w:rsid w:val="0040592D"/>
    <w:rsid w:val="004059BA"/>
    <w:rsid w:val="00405C3C"/>
    <w:rsid w:val="0040648C"/>
    <w:rsid w:val="00406928"/>
    <w:rsid w:val="00406BD8"/>
    <w:rsid w:val="00406D29"/>
    <w:rsid w:val="00410435"/>
    <w:rsid w:val="00410D4B"/>
    <w:rsid w:val="00410FEA"/>
    <w:rsid w:val="00411104"/>
    <w:rsid w:val="0041134C"/>
    <w:rsid w:val="004116B8"/>
    <w:rsid w:val="00412140"/>
    <w:rsid w:val="00412358"/>
    <w:rsid w:val="004138E6"/>
    <w:rsid w:val="004144EE"/>
    <w:rsid w:val="00414885"/>
    <w:rsid w:val="0041517E"/>
    <w:rsid w:val="004151FD"/>
    <w:rsid w:val="004152D7"/>
    <w:rsid w:val="00415C3C"/>
    <w:rsid w:val="00415D8B"/>
    <w:rsid w:val="00416280"/>
    <w:rsid w:val="004164ED"/>
    <w:rsid w:val="004166E1"/>
    <w:rsid w:val="004169FD"/>
    <w:rsid w:val="00416B9F"/>
    <w:rsid w:val="0041762D"/>
    <w:rsid w:val="00417CA1"/>
    <w:rsid w:val="0042103E"/>
    <w:rsid w:val="00421769"/>
    <w:rsid w:val="00421DA7"/>
    <w:rsid w:val="00422095"/>
    <w:rsid w:val="004222EB"/>
    <w:rsid w:val="00423054"/>
    <w:rsid w:val="00423263"/>
    <w:rsid w:val="0042413D"/>
    <w:rsid w:val="00424A56"/>
    <w:rsid w:val="004255CB"/>
    <w:rsid w:val="004256E9"/>
    <w:rsid w:val="00425FC5"/>
    <w:rsid w:val="00427C15"/>
    <w:rsid w:val="00427EE0"/>
    <w:rsid w:val="0043052C"/>
    <w:rsid w:val="0043154B"/>
    <w:rsid w:val="00432010"/>
    <w:rsid w:val="00432309"/>
    <w:rsid w:val="00432A28"/>
    <w:rsid w:val="00433033"/>
    <w:rsid w:val="004340BA"/>
    <w:rsid w:val="004343B3"/>
    <w:rsid w:val="004348F0"/>
    <w:rsid w:val="0043491D"/>
    <w:rsid w:val="00435286"/>
    <w:rsid w:val="00436418"/>
    <w:rsid w:val="00436A23"/>
    <w:rsid w:val="00436C31"/>
    <w:rsid w:val="00436E46"/>
    <w:rsid w:val="0043759A"/>
    <w:rsid w:val="00437B52"/>
    <w:rsid w:val="00437C6F"/>
    <w:rsid w:val="00437DC1"/>
    <w:rsid w:val="00440B12"/>
    <w:rsid w:val="0044108D"/>
    <w:rsid w:val="004415BF"/>
    <w:rsid w:val="00441864"/>
    <w:rsid w:val="004425FD"/>
    <w:rsid w:val="00442947"/>
    <w:rsid w:val="00442DFE"/>
    <w:rsid w:val="00442F25"/>
    <w:rsid w:val="00443585"/>
    <w:rsid w:val="004435DF"/>
    <w:rsid w:val="004438FA"/>
    <w:rsid w:val="00443BB8"/>
    <w:rsid w:val="004465CA"/>
    <w:rsid w:val="00446AAF"/>
    <w:rsid w:val="00450038"/>
    <w:rsid w:val="0045063C"/>
    <w:rsid w:val="00450840"/>
    <w:rsid w:val="00450E38"/>
    <w:rsid w:val="00452188"/>
    <w:rsid w:val="004521EC"/>
    <w:rsid w:val="00452AF1"/>
    <w:rsid w:val="00453A75"/>
    <w:rsid w:val="00453F75"/>
    <w:rsid w:val="00453FA2"/>
    <w:rsid w:val="0045450B"/>
    <w:rsid w:val="004546E4"/>
    <w:rsid w:val="00454970"/>
    <w:rsid w:val="00455C8F"/>
    <w:rsid w:val="00455EDD"/>
    <w:rsid w:val="00456E8B"/>
    <w:rsid w:val="004574EC"/>
    <w:rsid w:val="00460052"/>
    <w:rsid w:val="0046076E"/>
    <w:rsid w:val="00461AF8"/>
    <w:rsid w:val="00461D08"/>
    <w:rsid w:val="0046224A"/>
    <w:rsid w:val="00462400"/>
    <w:rsid w:val="00462BEB"/>
    <w:rsid w:val="00463277"/>
    <w:rsid w:val="0046347A"/>
    <w:rsid w:val="00464144"/>
    <w:rsid w:val="00464564"/>
    <w:rsid w:val="00464DAC"/>
    <w:rsid w:val="0046540E"/>
    <w:rsid w:val="004656C5"/>
    <w:rsid w:val="00465A6D"/>
    <w:rsid w:val="00465B0C"/>
    <w:rsid w:val="00465D73"/>
    <w:rsid w:val="00466C53"/>
    <w:rsid w:val="00467228"/>
    <w:rsid w:val="0047015C"/>
    <w:rsid w:val="00470697"/>
    <w:rsid w:val="00470749"/>
    <w:rsid w:val="00470DBA"/>
    <w:rsid w:val="0047169F"/>
    <w:rsid w:val="00471E7F"/>
    <w:rsid w:val="00472554"/>
    <w:rsid w:val="004726F1"/>
    <w:rsid w:val="0047382B"/>
    <w:rsid w:val="00473FCE"/>
    <w:rsid w:val="00474338"/>
    <w:rsid w:val="00474A08"/>
    <w:rsid w:val="004754A2"/>
    <w:rsid w:val="00475CE4"/>
    <w:rsid w:val="00476D17"/>
    <w:rsid w:val="00477D2B"/>
    <w:rsid w:val="00477D62"/>
    <w:rsid w:val="00480011"/>
    <w:rsid w:val="004806E1"/>
    <w:rsid w:val="00480BD3"/>
    <w:rsid w:val="00480BDE"/>
    <w:rsid w:val="00480C7A"/>
    <w:rsid w:val="00481975"/>
    <w:rsid w:val="00482B86"/>
    <w:rsid w:val="004835C3"/>
    <w:rsid w:val="00483D58"/>
    <w:rsid w:val="00483E95"/>
    <w:rsid w:val="004840F1"/>
    <w:rsid w:val="0048436D"/>
    <w:rsid w:val="004860A4"/>
    <w:rsid w:val="004866BA"/>
    <w:rsid w:val="0048701E"/>
    <w:rsid w:val="0048777A"/>
    <w:rsid w:val="00487907"/>
    <w:rsid w:val="00487A5E"/>
    <w:rsid w:val="00490157"/>
    <w:rsid w:val="0049074E"/>
    <w:rsid w:val="004913DD"/>
    <w:rsid w:val="00491732"/>
    <w:rsid w:val="004925B2"/>
    <w:rsid w:val="00492655"/>
    <w:rsid w:val="00492B7F"/>
    <w:rsid w:val="00492F7B"/>
    <w:rsid w:val="00493837"/>
    <w:rsid w:val="0049388A"/>
    <w:rsid w:val="004938B4"/>
    <w:rsid w:val="0049396B"/>
    <w:rsid w:val="00493C46"/>
    <w:rsid w:val="00494582"/>
    <w:rsid w:val="00494BDC"/>
    <w:rsid w:val="00494C5D"/>
    <w:rsid w:val="00495071"/>
    <w:rsid w:val="004954CF"/>
    <w:rsid w:val="00496610"/>
    <w:rsid w:val="004977E5"/>
    <w:rsid w:val="00497C68"/>
    <w:rsid w:val="004A0652"/>
    <w:rsid w:val="004A0693"/>
    <w:rsid w:val="004A0AF2"/>
    <w:rsid w:val="004A0B53"/>
    <w:rsid w:val="004A1CC0"/>
    <w:rsid w:val="004A3749"/>
    <w:rsid w:val="004A541C"/>
    <w:rsid w:val="004A5B8B"/>
    <w:rsid w:val="004A5E8A"/>
    <w:rsid w:val="004A5FE8"/>
    <w:rsid w:val="004A6951"/>
    <w:rsid w:val="004A72EB"/>
    <w:rsid w:val="004A766A"/>
    <w:rsid w:val="004A7D50"/>
    <w:rsid w:val="004A7DD9"/>
    <w:rsid w:val="004B02C4"/>
    <w:rsid w:val="004B1012"/>
    <w:rsid w:val="004B15D2"/>
    <w:rsid w:val="004B1E27"/>
    <w:rsid w:val="004B24C5"/>
    <w:rsid w:val="004B3D08"/>
    <w:rsid w:val="004B3DA8"/>
    <w:rsid w:val="004B40D9"/>
    <w:rsid w:val="004B4B04"/>
    <w:rsid w:val="004B5B52"/>
    <w:rsid w:val="004B7397"/>
    <w:rsid w:val="004B7602"/>
    <w:rsid w:val="004B79A1"/>
    <w:rsid w:val="004B7C65"/>
    <w:rsid w:val="004B7D70"/>
    <w:rsid w:val="004B7E73"/>
    <w:rsid w:val="004C0162"/>
    <w:rsid w:val="004C0466"/>
    <w:rsid w:val="004C082B"/>
    <w:rsid w:val="004C09AF"/>
    <w:rsid w:val="004C0B34"/>
    <w:rsid w:val="004C111B"/>
    <w:rsid w:val="004C1F04"/>
    <w:rsid w:val="004C1F71"/>
    <w:rsid w:val="004C2205"/>
    <w:rsid w:val="004C315F"/>
    <w:rsid w:val="004C394C"/>
    <w:rsid w:val="004C3B2E"/>
    <w:rsid w:val="004C4E86"/>
    <w:rsid w:val="004C4F58"/>
    <w:rsid w:val="004C5873"/>
    <w:rsid w:val="004C5AD1"/>
    <w:rsid w:val="004C5B61"/>
    <w:rsid w:val="004C5FE6"/>
    <w:rsid w:val="004C72EC"/>
    <w:rsid w:val="004C7739"/>
    <w:rsid w:val="004C7A29"/>
    <w:rsid w:val="004C7BF9"/>
    <w:rsid w:val="004D01E2"/>
    <w:rsid w:val="004D03AF"/>
    <w:rsid w:val="004D10AA"/>
    <w:rsid w:val="004D12C8"/>
    <w:rsid w:val="004D1CDC"/>
    <w:rsid w:val="004D1D56"/>
    <w:rsid w:val="004D261E"/>
    <w:rsid w:val="004D2632"/>
    <w:rsid w:val="004D394E"/>
    <w:rsid w:val="004D3CB2"/>
    <w:rsid w:val="004D59B5"/>
    <w:rsid w:val="004D69DD"/>
    <w:rsid w:val="004D70FB"/>
    <w:rsid w:val="004D73E5"/>
    <w:rsid w:val="004D7446"/>
    <w:rsid w:val="004E0593"/>
    <w:rsid w:val="004E0740"/>
    <w:rsid w:val="004E0B72"/>
    <w:rsid w:val="004E1661"/>
    <w:rsid w:val="004E199F"/>
    <w:rsid w:val="004E1F54"/>
    <w:rsid w:val="004E202D"/>
    <w:rsid w:val="004E2492"/>
    <w:rsid w:val="004E2707"/>
    <w:rsid w:val="004E2DA8"/>
    <w:rsid w:val="004E35A7"/>
    <w:rsid w:val="004E3BCB"/>
    <w:rsid w:val="004E41EF"/>
    <w:rsid w:val="004E42F0"/>
    <w:rsid w:val="004E4D3B"/>
    <w:rsid w:val="004E50BA"/>
    <w:rsid w:val="004E52DF"/>
    <w:rsid w:val="004E57F5"/>
    <w:rsid w:val="004E5A6D"/>
    <w:rsid w:val="004E623E"/>
    <w:rsid w:val="004E6358"/>
    <w:rsid w:val="004E7491"/>
    <w:rsid w:val="004F02A5"/>
    <w:rsid w:val="004F0878"/>
    <w:rsid w:val="004F0B10"/>
    <w:rsid w:val="004F16ED"/>
    <w:rsid w:val="004F261E"/>
    <w:rsid w:val="004F263E"/>
    <w:rsid w:val="004F28E6"/>
    <w:rsid w:val="004F2E1B"/>
    <w:rsid w:val="004F3702"/>
    <w:rsid w:val="004F3859"/>
    <w:rsid w:val="004F40F2"/>
    <w:rsid w:val="004F417E"/>
    <w:rsid w:val="004F5238"/>
    <w:rsid w:val="004F6034"/>
    <w:rsid w:val="004F6CEC"/>
    <w:rsid w:val="004F78E9"/>
    <w:rsid w:val="00501FB1"/>
    <w:rsid w:val="00503639"/>
    <w:rsid w:val="00503844"/>
    <w:rsid w:val="00503A1D"/>
    <w:rsid w:val="00503E9A"/>
    <w:rsid w:val="0050414C"/>
    <w:rsid w:val="005052B4"/>
    <w:rsid w:val="00505891"/>
    <w:rsid w:val="00505A11"/>
    <w:rsid w:val="0050602A"/>
    <w:rsid w:val="0050706C"/>
    <w:rsid w:val="00507245"/>
    <w:rsid w:val="00510814"/>
    <w:rsid w:val="00510B83"/>
    <w:rsid w:val="0051141E"/>
    <w:rsid w:val="00511B4C"/>
    <w:rsid w:val="00512F70"/>
    <w:rsid w:val="005137DE"/>
    <w:rsid w:val="00514109"/>
    <w:rsid w:val="00515088"/>
    <w:rsid w:val="00516747"/>
    <w:rsid w:val="00520519"/>
    <w:rsid w:val="00520F1E"/>
    <w:rsid w:val="0052122C"/>
    <w:rsid w:val="00521D41"/>
    <w:rsid w:val="0052254D"/>
    <w:rsid w:val="005228B8"/>
    <w:rsid w:val="00524175"/>
    <w:rsid w:val="005242DD"/>
    <w:rsid w:val="00524384"/>
    <w:rsid w:val="00524531"/>
    <w:rsid w:val="005246FB"/>
    <w:rsid w:val="00524862"/>
    <w:rsid w:val="0052509C"/>
    <w:rsid w:val="005279B8"/>
    <w:rsid w:val="00530A80"/>
    <w:rsid w:val="00531214"/>
    <w:rsid w:val="005316FD"/>
    <w:rsid w:val="005330B1"/>
    <w:rsid w:val="005332D3"/>
    <w:rsid w:val="00533F6C"/>
    <w:rsid w:val="0053404C"/>
    <w:rsid w:val="00535018"/>
    <w:rsid w:val="00535AE8"/>
    <w:rsid w:val="00535CEA"/>
    <w:rsid w:val="005360DD"/>
    <w:rsid w:val="005362EE"/>
    <w:rsid w:val="005366B1"/>
    <w:rsid w:val="00536994"/>
    <w:rsid w:val="00537FB3"/>
    <w:rsid w:val="005414DA"/>
    <w:rsid w:val="00542596"/>
    <w:rsid w:val="005428AF"/>
    <w:rsid w:val="00544B43"/>
    <w:rsid w:val="00544B7D"/>
    <w:rsid w:val="00544D91"/>
    <w:rsid w:val="00544EFD"/>
    <w:rsid w:val="005454EC"/>
    <w:rsid w:val="00546FBF"/>
    <w:rsid w:val="005470DB"/>
    <w:rsid w:val="005470EB"/>
    <w:rsid w:val="0054761A"/>
    <w:rsid w:val="005478F4"/>
    <w:rsid w:val="00547AE6"/>
    <w:rsid w:val="0055087E"/>
    <w:rsid w:val="00551B85"/>
    <w:rsid w:val="005525E3"/>
    <w:rsid w:val="0055267F"/>
    <w:rsid w:val="00552BD2"/>
    <w:rsid w:val="00552D1C"/>
    <w:rsid w:val="00553010"/>
    <w:rsid w:val="005532B9"/>
    <w:rsid w:val="00553472"/>
    <w:rsid w:val="0055347D"/>
    <w:rsid w:val="0055372B"/>
    <w:rsid w:val="005541D7"/>
    <w:rsid w:val="00554C90"/>
    <w:rsid w:val="00555705"/>
    <w:rsid w:val="00556B09"/>
    <w:rsid w:val="00556EC1"/>
    <w:rsid w:val="005570A4"/>
    <w:rsid w:val="00557B49"/>
    <w:rsid w:val="0056000D"/>
    <w:rsid w:val="005600FF"/>
    <w:rsid w:val="00561DDC"/>
    <w:rsid w:val="00561E91"/>
    <w:rsid w:val="005621DF"/>
    <w:rsid w:val="005627BE"/>
    <w:rsid w:val="005628A2"/>
    <w:rsid w:val="0056301A"/>
    <w:rsid w:val="005632D1"/>
    <w:rsid w:val="005633D2"/>
    <w:rsid w:val="00563517"/>
    <w:rsid w:val="00563609"/>
    <w:rsid w:val="005638B0"/>
    <w:rsid w:val="00563ABC"/>
    <w:rsid w:val="005644B1"/>
    <w:rsid w:val="00565C5F"/>
    <w:rsid w:val="00565E9D"/>
    <w:rsid w:val="005661C8"/>
    <w:rsid w:val="005668E2"/>
    <w:rsid w:val="00567009"/>
    <w:rsid w:val="00567B69"/>
    <w:rsid w:val="005700DB"/>
    <w:rsid w:val="005702DA"/>
    <w:rsid w:val="00570346"/>
    <w:rsid w:val="00570819"/>
    <w:rsid w:val="00570AA9"/>
    <w:rsid w:val="00570C85"/>
    <w:rsid w:val="00570C99"/>
    <w:rsid w:val="00571580"/>
    <w:rsid w:val="00571AAD"/>
    <w:rsid w:val="00571EAB"/>
    <w:rsid w:val="005727C4"/>
    <w:rsid w:val="00572B9E"/>
    <w:rsid w:val="00572F4F"/>
    <w:rsid w:val="00573518"/>
    <w:rsid w:val="00573529"/>
    <w:rsid w:val="0057365D"/>
    <w:rsid w:val="00573DF4"/>
    <w:rsid w:val="00573EEF"/>
    <w:rsid w:val="00574287"/>
    <w:rsid w:val="005744D0"/>
    <w:rsid w:val="00574647"/>
    <w:rsid w:val="005748D8"/>
    <w:rsid w:val="0057523A"/>
    <w:rsid w:val="005753AF"/>
    <w:rsid w:val="005755D1"/>
    <w:rsid w:val="00575F10"/>
    <w:rsid w:val="00577057"/>
    <w:rsid w:val="005776DE"/>
    <w:rsid w:val="005800CD"/>
    <w:rsid w:val="00580C9A"/>
    <w:rsid w:val="00581A4E"/>
    <w:rsid w:val="00581C85"/>
    <w:rsid w:val="0058259D"/>
    <w:rsid w:val="00582B60"/>
    <w:rsid w:val="00582EDE"/>
    <w:rsid w:val="0058390B"/>
    <w:rsid w:val="00584A30"/>
    <w:rsid w:val="00585E18"/>
    <w:rsid w:val="005861D4"/>
    <w:rsid w:val="005869A1"/>
    <w:rsid w:val="00587A84"/>
    <w:rsid w:val="0059100D"/>
    <w:rsid w:val="00591C36"/>
    <w:rsid w:val="00591FCE"/>
    <w:rsid w:val="00592C6B"/>
    <w:rsid w:val="00593631"/>
    <w:rsid w:val="00594459"/>
    <w:rsid w:val="00594876"/>
    <w:rsid w:val="00594D4F"/>
    <w:rsid w:val="00595141"/>
    <w:rsid w:val="00595CAF"/>
    <w:rsid w:val="0059630D"/>
    <w:rsid w:val="00596311"/>
    <w:rsid w:val="00596893"/>
    <w:rsid w:val="005970F9"/>
    <w:rsid w:val="005974CD"/>
    <w:rsid w:val="005A01BC"/>
    <w:rsid w:val="005A026D"/>
    <w:rsid w:val="005A0B7B"/>
    <w:rsid w:val="005A0E0F"/>
    <w:rsid w:val="005A105C"/>
    <w:rsid w:val="005A1129"/>
    <w:rsid w:val="005A18E4"/>
    <w:rsid w:val="005A2566"/>
    <w:rsid w:val="005A2ADD"/>
    <w:rsid w:val="005A3234"/>
    <w:rsid w:val="005A3A30"/>
    <w:rsid w:val="005A3BE1"/>
    <w:rsid w:val="005A5A5C"/>
    <w:rsid w:val="005A694B"/>
    <w:rsid w:val="005A69E4"/>
    <w:rsid w:val="005A6E4D"/>
    <w:rsid w:val="005B0215"/>
    <w:rsid w:val="005B0B5E"/>
    <w:rsid w:val="005B176D"/>
    <w:rsid w:val="005B2536"/>
    <w:rsid w:val="005B25AF"/>
    <w:rsid w:val="005B4E37"/>
    <w:rsid w:val="005B4F8A"/>
    <w:rsid w:val="005B5701"/>
    <w:rsid w:val="005B63FC"/>
    <w:rsid w:val="005B6E0E"/>
    <w:rsid w:val="005B7998"/>
    <w:rsid w:val="005B7F53"/>
    <w:rsid w:val="005B7FDD"/>
    <w:rsid w:val="005C0346"/>
    <w:rsid w:val="005C0886"/>
    <w:rsid w:val="005C16A0"/>
    <w:rsid w:val="005C1925"/>
    <w:rsid w:val="005C1D0E"/>
    <w:rsid w:val="005C20BF"/>
    <w:rsid w:val="005C25D5"/>
    <w:rsid w:val="005C2EC6"/>
    <w:rsid w:val="005C3E13"/>
    <w:rsid w:val="005C45E6"/>
    <w:rsid w:val="005C47FB"/>
    <w:rsid w:val="005C480F"/>
    <w:rsid w:val="005C5BD5"/>
    <w:rsid w:val="005C5EE6"/>
    <w:rsid w:val="005C5F81"/>
    <w:rsid w:val="005C6197"/>
    <w:rsid w:val="005C6E53"/>
    <w:rsid w:val="005C6ECC"/>
    <w:rsid w:val="005C71A8"/>
    <w:rsid w:val="005C7AB1"/>
    <w:rsid w:val="005D032E"/>
    <w:rsid w:val="005D0331"/>
    <w:rsid w:val="005D0910"/>
    <w:rsid w:val="005D0C51"/>
    <w:rsid w:val="005D160B"/>
    <w:rsid w:val="005D1C0C"/>
    <w:rsid w:val="005D1FC6"/>
    <w:rsid w:val="005D2222"/>
    <w:rsid w:val="005D2E8C"/>
    <w:rsid w:val="005D31FE"/>
    <w:rsid w:val="005D3EA4"/>
    <w:rsid w:val="005D4BF4"/>
    <w:rsid w:val="005D5AF6"/>
    <w:rsid w:val="005D6424"/>
    <w:rsid w:val="005D6C14"/>
    <w:rsid w:val="005E0558"/>
    <w:rsid w:val="005E08F2"/>
    <w:rsid w:val="005E146A"/>
    <w:rsid w:val="005E2106"/>
    <w:rsid w:val="005E2460"/>
    <w:rsid w:val="005E3034"/>
    <w:rsid w:val="005E329E"/>
    <w:rsid w:val="005E3AAA"/>
    <w:rsid w:val="005E3B2E"/>
    <w:rsid w:val="005E3E2D"/>
    <w:rsid w:val="005E3E42"/>
    <w:rsid w:val="005E446F"/>
    <w:rsid w:val="005E5607"/>
    <w:rsid w:val="005E58A5"/>
    <w:rsid w:val="005E6F85"/>
    <w:rsid w:val="005E70C2"/>
    <w:rsid w:val="005F00FC"/>
    <w:rsid w:val="005F018B"/>
    <w:rsid w:val="005F07CE"/>
    <w:rsid w:val="005F11E9"/>
    <w:rsid w:val="005F1607"/>
    <w:rsid w:val="005F16AA"/>
    <w:rsid w:val="005F4A4F"/>
    <w:rsid w:val="005F6096"/>
    <w:rsid w:val="005F65FB"/>
    <w:rsid w:val="005F6833"/>
    <w:rsid w:val="005F72CF"/>
    <w:rsid w:val="005F7794"/>
    <w:rsid w:val="006011C3"/>
    <w:rsid w:val="006028C4"/>
    <w:rsid w:val="00603121"/>
    <w:rsid w:val="00603228"/>
    <w:rsid w:val="006038DA"/>
    <w:rsid w:val="00603F80"/>
    <w:rsid w:val="006050E2"/>
    <w:rsid w:val="0060541F"/>
    <w:rsid w:val="0060612D"/>
    <w:rsid w:val="00606BE8"/>
    <w:rsid w:val="00606D96"/>
    <w:rsid w:val="00606DB8"/>
    <w:rsid w:val="00606DFC"/>
    <w:rsid w:val="00606ED7"/>
    <w:rsid w:val="00606FC1"/>
    <w:rsid w:val="00607B15"/>
    <w:rsid w:val="006104B3"/>
    <w:rsid w:val="00610A70"/>
    <w:rsid w:val="00611F05"/>
    <w:rsid w:val="0061276C"/>
    <w:rsid w:val="00613A32"/>
    <w:rsid w:val="00613D97"/>
    <w:rsid w:val="00614097"/>
    <w:rsid w:val="00614182"/>
    <w:rsid w:val="00614BFA"/>
    <w:rsid w:val="00615733"/>
    <w:rsid w:val="00615D0C"/>
    <w:rsid w:val="00615F69"/>
    <w:rsid w:val="00616A26"/>
    <w:rsid w:val="006170EB"/>
    <w:rsid w:val="00617CBF"/>
    <w:rsid w:val="00617E19"/>
    <w:rsid w:val="00620DC8"/>
    <w:rsid w:val="00621F91"/>
    <w:rsid w:val="00621FD9"/>
    <w:rsid w:val="00621FDC"/>
    <w:rsid w:val="006226CD"/>
    <w:rsid w:val="00623725"/>
    <w:rsid w:val="00623B12"/>
    <w:rsid w:val="00623EBB"/>
    <w:rsid w:val="006245CA"/>
    <w:rsid w:val="0062602B"/>
    <w:rsid w:val="00626989"/>
    <w:rsid w:val="00626A34"/>
    <w:rsid w:val="006270FA"/>
    <w:rsid w:val="00627214"/>
    <w:rsid w:val="006304C7"/>
    <w:rsid w:val="0063116A"/>
    <w:rsid w:val="006318CA"/>
    <w:rsid w:val="00632311"/>
    <w:rsid w:val="00632677"/>
    <w:rsid w:val="006328E6"/>
    <w:rsid w:val="0063304D"/>
    <w:rsid w:val="00633488"/>
    <w:rsid w:val="00633B33"/>
    <w:rsid w:val="006340DF"/>
    <w:rsid w:val="006344C3"/>
    <w:rsid w:val="006351B6"/>
    <w:rsid w:val="006357F1"/>
    <w:rsid w:val="00635CCF"/>
    <w:rsid w:val="00635D1A"/>
    <w:rsid w:val="00635F94"/>
    <w:rsid w:val="006365D0"/>
    <w:rsid w:val="0063775F"/>
    <w:rsid w:val="00637D91"/>
    <w:rsid w:val="00640C6F"/>
    <w:rsid w:val="00640F80"/>
    <w:rsid w:val="006415CB"/>
    <w:rsid w:val="00641D31"/>
    <w:rsid w:val="00643072"/>
    <w:rsid w:val="0064358E"/>
    <w:rsid w:val="006444BA"/>
    <w:rsid w:val="006446F3"/>
    <w:rsid w:val="0064516F"/>
    <w:rsid w:val="006452EF"/>
    <w:rsid w:val="00646390"/>
    <w:rsid w:val="00646809"/>
    <w:rsid w:val="00646865"/>
    <w:rsid w:val="006476D4"/>
    <w:rsid w:val="0064795D"/>
    <w:rsid w:val="006504E2"/>
    <w:rsid w:val="00650CCD"/>
    <w:rsid w:val="006510FF"/>
    <w:rsid w:val="00652397"/>
    <w:rsid w:val="00652A42"/>
    <w:rsid w:val="00652B65"/>
    <w:rsid w:val="00652BB8"/>
    <w:rsid w:val="00652F7A"/>
    <w:rsid w:val="00653FC2"/>
    <w:rsid w:val="00655490"/>
    <w:rsid w:val="0065686F"/>
    <w:rsid w:val="0065762C"/>
    <w:rsid w:val="00657E4D"/>
    <w:rsid w:val="00660308"/>
    <w:rsid w:val="006603C1"/>
    <w:rsid w:val="006603E7"/>
    <w:rsid w:val="00660DAC"/>
    <w:rsid w:val="006622CF"/>
    <w:rsid w:val="00662D66"/>
    <w:rsid w:val="00662F50"/>
    <w:rsid w:val="00662FE5"/>
    <w:rsid w:val="00663B5E"/>
    <w:rsid w:val="00663D94"/>
    <w:rsid w:val="00663FE2"/>
    <w:rsid w:val="00664768"/>
    <w:rsid w:val="00664879"/>
    <w:rsid w:val="00664C42"/>
    <w:rsid w:val="006650EF"/>
    <w:rsid w:val="006656F3"/>
    <w:rsid w:val="006657FB"/>
    <w:rsid w:val="006658DF"/>
    <w:rsid w:val="00665BD6"/>
    <w:rsid w:val="00665BE8"/>
    <w:rsid w:val="006673A9"/>
    <w:rsid w:val="00670666"/>
    <w:rsid w:val="00670765"/>
    <w:rsid w:val="00670AE5"/>
    <w:rsid w:val="0067238C"/>
    <w:rsid w:val="00672F5C"/>
    <w:rsid w:val="00673191"/>
    <w:rsid w:val="00673894"/>
    <w:rsid w:val="006742E0"/>
    <w:rsid w:val="00674C02"/>
    <w:rsid w:val="00674FCE"/>
    <w:rsid w:val="00676D42"/>
    <w:rsid w:val="00677F2A"/>
    <w:rsid w:val="00680F21"/>
    <w:rsid w:val="006818CB"/>
    <w:rsid w:val="006819C0"/>
    <w:rsid w:val="006823E0"/>
    <w:rsid w:val="0068249B"/>
    <w:rsid w:val="006841F4"/>
    <w:rsid w:val="00684846"/>
    <w:rsid w:val="006848AB"/>
    <w:rsid w:val="00684FAE"/>
    <w:rsid w:val="00685194"/>
    <w:rsid w:val="00685526"/>
    <w:rsid w:val="00687622"/>
    <w:rsid w:val="00687829"/>
    <w:rsid w:val="00687B54"/>
    <w:rsid w:val="00690BFA"/>
    <w:rsid w:val="00690E62"/>
    <w:rsid w:val="00691D03"/>
    <w:rsid w:val="00692BD3"/>
    <w:rsid w:val="00692E57"/>
    <w:rsid w:val="00694AEF"/>
    <w:rsid w:val="00694ED0"/>
    <w:rsid w:val="00695761"/>
    <w:rsid w:val="00695839"/>
    <w:rsid w:val="00695B02"/>
    <w:rsid w:val="00696347"/>
    <w:rsid w:val="00696411"/>
    <w:rsid w:val="0069653A"/>
    <w:rsid w:val="006968F4"/>
    <w:rsid w:val="00696937"/>
    <w:rsid w:val="006971B9"/>
    <w:rsid w:val="0069728F"/>
    <w:rsid w:val="006A011A"/>
    <w:rsid w:val="006A0244"/>
    <w:rsid w:val="006A112C"/>
    <w:rsid w:val="006A21BB"/>
    <w:rsid w:val="006A2923"/>
    <w:rsid w:val="006A2D08"/>
    <w:rsid w:val="006A30E5"/>
    <w:rsid w:val="006A3160"/>
    <w:rsid w:val="006A31F0"/>
    <w:rsid w:val="006A36F2"/>
    <w:rsid w:val="006A3CC0"/>
    <w:rsid w:val="006A4AD3"/>
    <w:rsid w:val="006A4C35"/>
    <w:rsid w:val="006A52AA"/>
    <w:rsid w:val="006A58A3"/>
    <w:rsid w:val="006A5CCD"/>
    <w:rsid w:val="006A636C"/>
    <w:rsid w:val="006A699F"/>
    <w:rsid w:val="006A70C0"/>
    <w:rsid w:val="006A75CF"/>
    <w:rsid w:val="006A75ED"/>
    <w:rsid w:val="006A773D"/>
    <w:rsid w:val="006B02C1"/>
    <w:rsid w:val="006B05C5"/>
    <w:rsid w:val="006B0F21"/>
    <w:rsid w:val="006B1B51"/>
    <w:rsid w:val="006B2636"/>
    <w:rsid w:val="006B2662"/>
    <w:rsid w:val="006B2A3B"/>
    <w:rsid w:val="006B2B5A"/>
    <w:rsid w:val="006B38CA"/>
    <w:rsid w:val="006B3E10"/>
    <w:rsid w:val="006B4002"/>
    <w:rsid w:val="006B43A4"/>
    <w:rsid w:val="006B4640"/>
    <w:rsid w:val="006B4817"/>
    <w:rsid w:val="006B4937"/>
    <w:rsid w:val="006B51D0"/>
    <w:rsid w:val="006B5B0D"/>
    <w:rsid w:val="006B60E4"/>
    <w:rsid w:val="006B6F9D"/>
    <w:rsid w:val="006C1783"/>
    <w:rsid w:val="006C17BB"/>
    <w:rsid w:val="006C17F9"/>
    <w:rsid w:val="006C1EC2"/>
    <w:rsid w:val="006C1EE6"/>
    <w:rsid w:val="006C21B8"/>
    <w:rsid w:val="006C27B5"/>
    <w:rsid w:val="006C2A0E"/>
    <w:rsid w:val="006C2FAD"/>
    <w:rsid w:val="006C3A6A"/>
    <w:rsid w:val="006C409E"/>
    <w:rsid w:val="006C5E97"/>
    <w:rsid w:val="006C616E"/>
    <w:rsid w:val="006C6200"/>
    <w:rsid w:val="006C6448"/>
    <w:rsid w:val="006C69AC"/>
    <w:rsid w:val="006C72C4"/>
    <w:rsid w:val="006C7DF5"/>
    <w:rsid w:val="006D0491"/>
    <w:rsid w:val="006D0650"/>
    <w:rsid w:val="006D06A4"/>
    <w:rsid w:val="006D22E1"/>
    <w:rsid w:val="006D2A36"/>
    <w:rsid w:val="006D316A"/>
    <w:rsid w:val="006D38CE"/>
    <w:rsid w:val="006D49A5"/>
    <w:rsid w:val="006D4D6C"/>
    <w:rsid w:val="006D5C1A"/>
    <w:rsid w:val="006D709A"/>
    <w:rsid w:val="006D70E7"/>
    <w:rsid w:val="006D797F"/>
    <w:rsid w:val="006D7FC4"/>
    <w:rsid w:val="006E0B19"/>
    <w:rsid w:val="006E0D5C"/>
    <w:rsid w:val="006E0FCE"/>
    <w:rsid w:val="006E1791"/>
    <w:rsid w:val="006E2235"/>
    <w:rsid w:val="006E2523"/>
    <w:rsid w:val="006E2E1E"/>
    <w:rsid w:val="006E32DA"/>
    <w:rsid w:val="006E35E8"/>
    <w:rsid w:val="006E3FB3"/>
    <w:rsid w:val="006E5264"/>
    <w:rsid w:val="006E6E26"/>
    <w:rsid w:val="006E7168"/>
    <w:rsid w:val="006E741A"/>
    <w:rsid w:val="006E78F4"/>
    <w:rsid w:val="006E7A8E"/>
    <w:rsid w:val="006E7F54"/>
    <w:rsid w:val="006F057B"/>
    <w:rsid w:val="006F0B66"/>
    <w:rsid w:val="006F18E5"/>
    <w:rsid w:val="006F29F7"/>
    <w:rsid w:val="006F2D7B"/>
    <w:rsid w:val="006F4339"/>
    <w:rsid w:val="006F5AE8"/>
    <w:rsid w:val="006F5C81"/>
    <w:rsid w:val="006F62BF"/>
    <w:rsid w:val="006F70BE"/>
    <w:rsid w:val="006F771E"/>
    <w:rsid w:val="00700626"/>
    <w:rsid w:val="007006DB"/>
    <w:rsid w:val="00701435"/>
    <w:rsid w:val="007039A8"/>
    <w:rsid w:val="007043EE"/>
    <w:rsid w:val="00706579"/>
    <w:rsid w:val="0070673A"/>
    <w:rsid w:val="007069D4"/>
    <w:rsid w:val="00706D9E"/>
    <w:rsid w:val="0070717F"/>
    <w:rsid w:val="00707317"/>
    <w:rsid w:val="00707ADB"/>
    <w:rsid w:val="00710068"/>
    <w:rsid w:val="0071018B"/>
    <w:rsid w:val="007103FF"/>
    <w:rsid w:val="00710980"/>
    <w:rsid w:val="007110CC"/>
    <w:rsid w:val="007115C7"/>
    <w:rsid w:val="007115F2"/>
    <w:rsid w:val="0071186F"/>
    <w:rsid w:val="00711934"/>
    <w:rsid w:val="00711B6D"/>
    <w:rsid w:val="00711E1A"/>
    <w:rsid w:val="007121E7"/>
    <w:rsid w:val="00713A51"/>
    <w:rsid w:val="00713D18"/>
    <w:rsid w:val="00713FDF"/>
    <w:rsid w:val="00714123"/>
    <w:rsid w:val="007141F6"/>
    <w:rsid w:val="00715364"/>
    <w:rsid w:val="00715A72"/>
    <w:rsid w:val="00715CC3"/>
    <w:rsid w:val="007164E9"/>
    <w:rsid w:val="00716535"/>
    <w:rsid w:val="007167DF"/>
    <w:rsid w:val="00716B1D"/>
    <w:rsid w:val="00717D4B"/>
    <w:rsid w:val="00720195"/>
    <w:rsid w:val="007215FA"/>
    <w:rsid w:val="00721737"/>
    <w:rsid w:val="00721C39"/>
    <w:rsid w:val="00722C67"/>
    <w:rsid w:val="00723595"/>
    <w:rsid w:val="00723643"/>
    <w:rsid w:val="00723F1D"/>
    <w:rsid w:val="00724332"/>
    <w:rsid w:val="007255D2"/>
    <w:rsid w:val="00725ACE"/>
    <w:rsid w:val="00725DA6"/>
    <w:rsid w:val="007261FA"/>
    <w:rsid w:val="00726AB8"/>
    <w:rsid w:val="00726D14"/>
    <w:rsid w:val="00726F18"/>
    <w:rsid w:val="00727CE0"/>
    <w:rsid w:val="00730372"/>
    <w:rsid w:val="00730A5F"/>
    <w:rsid w:val="00731184"/>
    <w:rsid w:val="00731F2E"/>
    <w:rsid w:val="007323AA"/>
    <w:rsid w:val="00733F9A"/>
    <w:rsid w:val="00734043"/>
    <w:rsid w:val="00734EFF"/>
    <w:rsid w:val="00735084"/>
    <w:rsid w:val="00735194"/>
    <w:rsid w:val="0073539F"/>
    <w:rsid w:val="007353BC"/>
    <w:rsid w:val="00736AD9"/>
    <w:rsid w:val="00736F56"/>
    <w:rsid w:val="00737251"/>
    <w:rsid w:val="00737873"/>
    <w:rsid w:val="0074002B"/>
    <w:rsid w:val="007415DD"/>
    <w:rsid w:val="00741965"/>
    <w:rsid w:val="00741AF4"/>
    <w:rsid w:val="007422A0"/>
    <w:rsid w:val="00742423"/>
    <w:rsid w:val="007430E3"/>
    <w:rsid w:val="00743679"/>
    <w:rsid w:val="007439B9"/>
    <w:rsid w:val="00743DD2"/>
    <w:rsid w:val="00744620"/>
    <w:rsid w:val="00744AAF"/>
    <w:rsid w:val="007455A4"/>
    <w:rsid w:val="0074577D"/>
    <w:rsid w:val="007461ED"/>
    <w:rsid w:val="00746A19"/>
    <w:rsid w:val="00746FC9"/>
    <w:rsid w:val="00747988"/>
    <w:rsid w:val="00747F87"/>
    <w:rsid w:val="00750082"/>
    <w:rsid w:val="0075024A"/>
    <w:rsid w:val="00750782"/>
    <w:rsid w:val="007511C8"/>
    <w:rsid w:val="00751797"/>
    <w:rsid w:val="007519E8"/>
    <w:rsid w:val="00751C1F"/>
    <w:rsid w:val="00751EF4"/>
    <w:rsid w:val="0075251F"/>
    <w:rsid w:val="00752C17"/>
    <w:rsid w:val="00754341"/>
    <w:rsid w:val="007546DB"/>
    <w:rsid w:val="0075490D"/>
    <w:rsid w:val="00755627"/>
    <w:rsid w:val="007560B3"/>
    <w:rsid w:val="00757056"/>
    <w:rsid w:val="00757EBF"/>
    <w:rsid w:val="00760610"/>
    <w:rsid w:val="00760EDA"/>
    <w:rsid w:val="00760FD2"/>
    <w:rsid w:val="0076167C"/>
    <w:rsid w:val="007625E6"/>
    <w:rsid w:val="0076395D"/>
    <w:rsid w:val="007641CF"/>
    <w:rsid w:val="00764FB7"/>
    <w:rsid w:val="00765370"/>
    <w:rsid w:val="00765464"/>
    <w:rsid w:val="007655DE"/>
    <w:rsid w:val="00766DE8"/>
    <w:rsid w:val="00767974"/>
    <w:rsid w:val="00767BB5"/>
    <w:rsid w:val="00770178"/>
    <w:rsid w:val="00770598"/>
    <w:rsid w:val="00771BA5"/>
    <w:rsid w:val="00771DD4"/>
    <w:rsid w:val="00771FB0"/>
    <w:rsid w:val="007725C5"/>
    <w:rsid w:val="00772AF0"/>
    <w:rsid w:val="00773274"/>
    <w:rsid w:val="00773B84"/>
    <w:rsid w:val="00773E62"/>
    <w:rsid w:val="0077432E"/>
    <w:rsid w:val="007743C0"/>
    <w:rsid w:val="0077576C"/>
    <w:rsid w:val="00775864"/>
    <w:rsid w:val="00775B7B"/>
    <w:rsid w:val="0077684A"/>
    <w:rsid w:val="00776E0E"/>
    <w:rsid w:val="00777096"/>
    <w:rsid w:val="007771F9"/>
    <w:rsid w:val="00777852"/>
    <w:rsid w:val="00777A50"/>
    <w:rsid w:val="00777C3A"/>
    <w:rsid w:val="00781408"/>
    <w:rsid w:val="007823D9"/>
    <w:rsid w:val="007825DC"/>
    <w:rsid w:val="00782EF1"/>
    <w:rsid w:val="00783350"/>
    <w:rsid w:val="00783BC8"/>
    <w:rsid w:val="00783D91"/>
    <w:rsid w:val="00783F15"/>
    <w:rsid w:val="007840E3"/>
    <w:rsid w:val="00784247"/>
    <w:rsid w:val="007844EB"/>
    <w:rsid w:val="007856AE"/>
    <w:rsid w:val="00786077"/>
    <w:rsid w:val="00786363"/>
    <w:rsid w:val="00787EE8"/>
    <w:rsid w:val="0079053E"/>
    <w:rsid w:val="00790E5F"/>
    <w:rsid w:val="007917A4"/>
    <w:rsid w:val="0079205A"/>
    <w:rsid w:val="00792849"/>
    <w:rsid w:val="00792BBE"/>
    <w:rsid w:val="00792CC0"/>
    <w:rsid w:val="007930CE"/>
    <w:rsid w:val="0079328C"/>
    <w:rsid w:val="00793E5A"/>
    <w:rsid w:val="00794483"/>
    <w:rsid w:val="00794B4C"/>
    <w:rsid w:val="00794D2D"/>
    <w:rsid w:val="00794E6F"/>
    <w:rsid w:val="00795892"/>
    <w:rsid w:val="00795B27"/>
    <w:rsid w:val="00795C7A"/>
    <w:rsid w:val="007961D1"/>
    <w:rsid w:val="007965DA"/>
    <w:rsid w:val="00796ABF"/>
    <w:rsid w:val="0079731A"/>
    <w:rsid w:val="00797CF4"/>
    <w:rsid w:val="007A11FB"/>
    <w:rsid w:val="007A1B38"/>
    <w:rsid w:val="007A3322"/>
    <w:rsid w:val="007A35F2"/>
    <w:rsid w:val="007A4C8B"/>
    <w:rsid w:val="007A4F13"/>
    <w:rsid w:val="007A58EE"/>
    <w:rsid w:val="007A6BFC"/>
    <w:rsid w:val="007A6CEF"/>
    <w:rsid w:val="007A6EC6"/>
    <w:rsid w:val="007A78D9"/>
    <w:rsid w:val="007A7FF5"/>
    <w:rsid w:val="007B0FF0"/>
    <w:rsid w:val="007B21C0"/>
    <w:rsid w:val="007B3269"/>
    <w:rsid w:val="007B4628"/>
    <w:rsid w:val="007B5655"/>
    <w:rsid w:val="007B6743"/>
    <w:rsid w:val="007B692F"/>
    <w:rsid w:val="007B793C"/>
    <w:rsid w:val="007B7B85"/>
    <w:rsid w:val="007B7C43"/>
    <w:rsid w:val="007B7E8B"/>
    <w:rsid w:val="007B7EAC"/>
    <w:rsid w:val="007C0237"/>
    <w:rsid w:val="007C08D0"/>
    <w:rsid w:val="007C0BC8"/>
    <w:rsid w:val="007C1003"/>
    <w:rsid w:val="007C1C41"/>
    <w:rsid w:val="007C21A6"/>
    <w:rsid w:val="007C259F"/>
    <w:rsid w:val="007C2B28"/>
    <w:rsid w:val="007C30DF"/>
    <w:rsid w:val="007C38BF"/>
    <w:rsid w:val="007C3AA1"/>
    <w:rsid w:val="007C41C1"/>
    <w:rsid w:val="007C519D"/>
    <w:rsid w:val="007C6124"/>
    <w:rsid w:val="007C61A6"/>
    <w:rsid w:val="007C649B"/>
    <w:rsid w:val="007C67BF"/>
    <w:rsid w:val="007C730C"/>
    <w:rsid w:val="007D04AC"/>
    <w:rsid w:val="007D0619"/>
    <w:rsid w:val="007D08AB"/>
    <w:rsid w:val="007D0D57"/>
    <w:rsid w:val="007D1132"/>
    <w:rsid w:val="007D11FE"/>
    <w:rsid w:val="007D1C0E"/>
    <w:rsid w:val="007D1C4E"/>
    <w:rsid w:val="007D1D62"/>
    <w:rsid w:val="007D35EF"/>
    <w:rsid w:val="007D3789"/>
    <w:rsid w:val="007D44AB"/>
    <w:rsid w:val="007D46A0"/>
    <w:rsid w:val="007D65B4"/>
    <w:rsid w:val="007D7319"/>
    <w:rsid w:val="007E0B9A"/>
    <w:rsid w:val="007E3953"/>
    <w:rsid w:val="007E3A42"/>
    <w:rsid w:val="007E3DD9"/>
    <w:rsid w:val="007E4D4F"/>
    <w:rsid w:val="007E5215"/>
    <w:rsid w:val="007E5472"/>
    <w:rsid w:val="007E5EA3"/>
    <w:rsid w:val="007E714D"/>
    <w:rsid w:val="007E7F87"/>
    <w:rsid w:val="007F04C0"/>
    <w:rsid w:val="007F1B0D"/>
    <w:rsid w:val="007F208C"/>
    <w:rsid w:val="007F2123"/>
    <w:rsid w:val="007F271E"/>
    <w:rsid w:val="007F32C3"/>
    <w:rsid w:val="007F3813"/>
    <w:rsid w:val="007F3F4D"/>
    <w:rsid w:val="007F4771"/>
    <w:rsid w:val="007F4D8D"/>
    <w:rsid w:val="007F5257"/>
    <w:rsid w:val="007F64A3"/>
    <w:rsid w:val="007F68AB"/>
    <w:rsid w:val="007F6AAF"/>
    <w:rsid w:val="007F7305"/>
    <w:rsid w:val="007F7944"/>
    <w:rsid w:val="007F7C43"/>
    <w:rsid w:val="007F7C45"/>
    <w:rsid w:val="00800A51"/>
    <w:rsid w:val="00800C4A"/>
    <w:rsid w:val="00800CDE"/>
    <w:rsid w:val="00802D4E"/>
    <w:rsid w:val="008032CF"/>
    <w:rsid w:val="0080377C"/>
    <w:rsid w:val="00804FBB"/>
    <w:rsid w:val="00805489"/>
    <w:rsid w:val="00805857"/>
    <w:rsid w:val="00805A20"/>
    <w:rsid w:val="00806F6C"/>
    <w:rsid w:val="008073A9"/>
    <w:rsid w:val="00807B4A"/>
    <w:rsid w:val="00807BE9"/>
    <w:rsid w:val="00807D20"/>
    <w:rsid w:val="00810082"/>
    <w:rsid w:val="00810280"/>
    <w:rsid w:val="008109E4"/>
    <w:rsid w:val="00811BA5"/>
    <w:rsid w:val="0081232E"/>
    <w:rsid w:val="0081233E"/>
    <w:rsid w:val="00813172"/>
    <w:rsid w:val="00813D98"/>
    <w:rsid w:val="00814397"/>
    <w:rsid w:val="00814FE0"/>
    <w:rsid w:val="00815183"/>
    <w:rsid w:val="00816C60"/>
    <w:rsid w:val="008217C7"/>
    <w:rsid w:val="00821887"/>
    <w:rsid w:val="00821A57"/>
    <w:rsid w:val="00822702"/>
    <w:rsid w:val="00822743"/>
    <w:rsid w:val="008230B2"/>
    <w:rsid w:val="00823DCC"/>
    <w:rsid w:val="00823FE8"/>
    <w:rsid w:val="0082454A"/>
    <w:rsid w:val="00824649"/>
    <w:rsid w:val="00824C41"/>
    <w:rsid w:val="00824D72"/>
    <w:rsid w:val="008255A1"/>
    <w:rsid w:val="00825989"/>
    <w:rsid w:val="00826E1C"/>
    <w:rsid w:val="0082744D"/>
    <w:rsid w:val="00827484"/>
    <w:rsid w:val="00827BD0"/>
    <w:rsid w:val="00830810"/>
    <w:rsid w:val="00830E46"/>
    <w:rsid w:val="008315EA"/>
    <w:rsid w:val="00831623"/>
    <w:rsid w:val="00831B3B"/>
    <w:rsid w:val="00831EAF"/>
    <w:rsid w:val="00831FAE"/>
    <w:rsid w:val="0083203A"/>
    <w:rsid w:val="00832B42"/>
    <w:rsid w:val="0083338D"/>
    <w:rsid w:val="008338D2"/>
    <w:rsid w:val="00833DE4"/>
    <w:rsid w:val="00834B39"/>
    <w:rsid w:val="0083504B"/>
    <w:rsid w:val="0083579F"/>
    <w:rsid w:val="0083596F"/>
    <w:rsid w:val="00835DA2"/>
    <w:rsid w:val="00835E61"/>
    <w:rsid w:val="00837049"/>
    <w:rsid w:val="008371DC"/>
    <w:rsid w:val="00837325"/>
    <w:rsid w:val="008401A8"/>
    <w:rsid w:val="0084022E"/>
    <w:rsid w:val="0084080C"/>
    <w:rsid w:val="008411BC"/>
    <w:rsid w:val="0084142D"/>
    <w:rsid w:val="00841521"/>
    <w:rsid w:val="00841C45"/>
    <w:rsid w:val="00842371"/>
    <w:rsid w:val="008426CF"/>
    <w:rsid w:val="008433EE"/>
    <w:rsid w:val="00843DA8"/>
    <w:rsid w:val="00844394"/>
    <w:rsid w:val="00845250"/>
    <w:rsid w:val="00845783"/>
    <w:rsid w:val="00846702"/>
    <w:rsid w:val="008471B8"/>
    <w:rsid w:val="0084748B"/>
    <w:rsid w:val="00847CB3"/>
    <w:rsid w:val="00847D8B"/>
    <w:rsid w:val="00850ADE"/>
    <w:rsid w:val="00850FEE"/>
    <w:rsid w:val="00851733"/>
    <w:rsid w:val="00851871"/>
    <w:rsid w:val="0085286B"/>
    <w:rsid w:val="008529B0"/>
    <w:rsid w:val="008532E1"/>
    <w:rsid w:val="008533EA"/>
    <w:rsid w:val="00853630"/>
    <w:rsid w:val="00853955"/>
    <w:rsid w:val="00854109"/>
    <w:rsid w:val="00854E22"/>
    <w:rsid w:val="008550C5"/>
    <w:rsid w:val="00855476"/>
    <w:rsid w:val="008556C0"/>
    <w:rsid w:val="0085577A"/>
    <w:rsid w:val="008568C1"/>
    <w:rsid w:val="00856D82"/>
    <w:rsid w:val="00856DA4"/>
    <w:rsid w:val="00857D9D"/>
    <w:rsid w:val="00860EAF"/>
    <w:rsid w:val="00861774"/>
    <w:rsid w:val="0086272C"/>
    <w:rsid w:val="008635CD"/>
    <w:rsid w:val="00865063"/>
    <w:rsid w:val="008653AD"/>
    <w:rsid w:val="00865C06"/>
    <w:rsid w:val="008677B9"/>
    <w:rsid w:val="008679A5"/>
    <w:rsid w:val="00870239"/>
    <w:rsid w:val="0087094B"/>
    <w:rsid w:val="00870C81"/>
    <w:rsid w:val="00870CD2"/>
    <w:rsid w:val="00871054"/>
    <w:rsid w:val="0087174E"/>
    <w:rsid w:val="008729A7"/>
    <w:rsid w:val="00872B88"/>
    <w:rsid w:val="00872ECF"/>
    <w:rsid w:val="00873169"/>
    <w:rsid w:val="008737B1"/>
    <w:rsid w:val="00873DF2"/>
    <w:rsid w:val="0087407A"/>
    <w:rsid w:val="0087445D"/>
    <w:rsid w:val="00875144"/>
    <w:rsid w:val="00875AFD"/>
    <w:rsid w:val="00875C24"/>
    <w:rsid w:val="00876814"/>
    <w:rsid w:val="00876A69"/>
    <w:rsid w:val="00876B12"/>
    <w:rsid w:val="008775F4"/>
    <w:rsid w:val="00877E93"/>
    <w:rsid w:val="00880471"/>
    <w:rsid w:val="00880896"/>
    <w:rsid w:val="0088117E"/>
    <w:rsid w:val="008813EA"/>
    <w:rsid w:val="0088304B"/>
    <w:rsid w:val="00883F67"/>
    <w:rsid w:val="0088409F"/>
    <w:rsid w:val="0088452E"/>
    <w:rsid w:val="0088486A"/>
    <w:rsid w:val="00884E4A"/>
    <w:rsid w:val="0088594C"/>
    <w:rsid w:val="00886058"/>
    <w:rsid w:val="00886AE6"/>
    <w:rsid w:val="0088701F"/>
    <w:rsid w:val="0088708D"/>
    <w:rsid w:val="00887535"/>
    <w:rsid w:val="008901BA"/>
    <w:rsid w:val="008902E5"/>
    <w:rsid w:val="00890A7A"/>
    <w:rsid w:val="00890FB4"/>
    <w:rsid w:val="00891766"/>
    <w:rsid w:val="008922C6"/>
    <w:rsid w:val="00893490"/>
    <w:rsid w:val="00893903"/>
    <w:rsid w:val="00893F62"/>
    <w:rsid w:val="00894CD7"/>
    <w:rsid w:val="008951AE"/>
    <w:rsid w:val="008951E1"/>
    <w:rsid w:val="00895447"/>
    <w:rsid w:val="0089577C"/>
    <w:rsid w:val="0089579C"/>
    <w:rsid w:val="008959EB"/>
    <w:rsid w:val="00895CCF"/>
    <w:rsid w:val="00896BD0"/>
    <w:rsid w:val="008A0B4C"/>
    <w:rsid w:val="008A0C5A"/>
    <w:rsid w:val="008A16CC"/>
    <w:rsid w:val="008A1AF9"/>
    <w:rsid w:val="008A2638"/>
    <w:rsid w:val="008A2670"/>
    <w:rsid w:val="008A2D74"/>
    <w:rsid w:val="008A3D59"/>
    <w:rsid w:val="008A46E9"/>
    <w:rsid w:val="008A4CCC"/>
    <w:rsid w:val="008A4F4E"/>
    <w:rsid w:val="008A5295"/>
    <w:rsid w:val="008A630A"/>
    <w:rsid w:val="008A635C"/>
    <w:rsid w:val="008A658B"/>
    <w:rsid w:val="008A6A78"/>
    <w:rsid w:val="008A6C5C"/>
    <w:rsid w:val="008A70D3"/>
    <w:rsid w:val="008A737F"/>
    <w:rsid w:val="008A7D09"/>
    <w:rsid w:val="008B0078"/>
    <w:rsid w:val="008B0EF8"/>
    <w:rsid w:val="008B1125"/>
    <w:rsid w:val="008B1250"/>
    <w:rsid w:val="008B1EA5"/>
    <w:rsid w:val="008B25B5"/>
    <w:rsid w:val="008B2D23"/>
    <w:rsid w:val="008B347F"/>
    <w:rsid w:val="008B3F6B"/>
    <w:rsid w:val="008B4032"/>
    <w:rsid w:val="008B40AA"/>
    <w:rsid w:val="008B4773"/>
    <w:rsid w:val="008B5193"/>
    <w:rsid w:val="008B53FB"/>
    <w:rsid w:val="008B5C64"/>
    <w:rsid w:val="008B5EF5"/>
    <w:rsid w:val="008B61D6"/>
    <w:rsid w:val="008B6231"/>
    <w:rsid w:val="008B6397"/>
    <w:rsid w:val="008B6757"/>
    <w:rsid w:val="008B6CF4"/>
    <w:rsid w:val="008B6F9F"/>
    <w:rsid w:val="008B7110"/>
    <w:rsid w:val="008B7B84"/>
    <w:rsid w:val="008C0260"/>
    <w:rsid w:val="008C0350"/>
    <w:rsid w:val="008C0A20"/>
    <w:rsid w:val="008C0F2E"/>
    <w:rsid w:val="008C1B15"/>
    <w:rsid w:val="008C29AC"/>
    <w:rsid w:val="008C2B82"/>
    <w:rsid w:val="008C2D4F"/>
    <w:rsid w:val="008C4795"/>
    <w:rsid w:val="008C52D3"/>
    <w:rsid w:val="008C5715"/>
    <w:rsid w:val="008C575A"/>
    <w:rsid w:val="008C5A39"/>
    <w:rsid w:val="008C5F44"/>
    <w:rsid w:val="008C6722"/>
    <w:rsid w:val="008C7710"/>
    <w:rsid w:val="008C7B0F"/>
    <w:rsid w:val="008D160C"/>
    <w:rsid w:val="008D1DB8"/>
    <w:rsid w:val="008D1F3F"/>
    <w:rsid w:val="008D3914"/>
    <w:rsid w:val="008D4477"/>
    <w:rsid w:val="008D4B93"/>
    <w:rsid w:val="008D4C9B"/>
    <w:rsid w:val="008D4D62"/>
    <w:rsid w:val="008D4EBC"/>
    <w:rsid w:val="008D4EEE"/>
    <w:rsid w:val="008D562C"/>
    <w:rsid w:val="008D7BC4"/>
    <w:rsid w:val="008E0257"/>
    <w:rsid w:val="008E0518"/>
    <w:rsid w:val="008E0BD6"/>
    <w:rsid w:val="008E1CA3"/>
    <w:rsid w:val="008E1D91"/>
    <w:rsid w:val="008E1DE3"/>
    <w:rsid w:val="008E2612"/>
    <w:rsid w:val="008E2F84"/>
    <w:rsid w:val="008E3858"/>
    <w:rsid w:val="008E4098"/>
    <w:rsid w:val="008E446A"/>
    <w:rsid w:val="008E4B97"/>
    <w:rsid w:val="008E5344"/>
    <w:rsid w:val="008E5F53"/>
    <w:rsid w:val="008E5F70"/>
    <w:rsid w:val="008E64F8"/>
    <w:rsid w:val="008E66E8"/>
    <w:rsid w:val="008E7013"/>
    <w:rsid w:val="008E710D"/>
    <w:rsid w:val="008E7183"/>
    <w:rsid w:val="008E731C"/>
    <w:rsid w:val="008E75A3"/>
    <w:rsid w:val="008E789E"/>
    <w:rsid w:val="008E7FB6"/>
    <w:rsid w:val="008F0219"/>
    <w:rsid w:val="008F02B5"/>
    <w:rsid w:val="008F0566"/>
    <w:rsid w:val="008F08F7"/>
    <w:rsid w:val="008F1823"/>
    <w:rsid w:val="008F2C41"/>
    <w:rsid w:val="008F3976"/>
    <w:rsid w:val="008F3B77"/>
    <w:rsid w:val="008F3CBF"/>
    <w:rsid w:val="008F3F24"/>
    <w:rsid w:val="008F46CE"/>
    <w:rsid w:val="008F4B19"/>
    <w:rsid w:val="008F4F1A"/>
    <w:rsid w:val="008F520C"/>
    <w:rsid w:val="008F5BF8"/>
    <w:rsid w:val="008F6262"/>
    <w:rsid w:val="008F66B6"/>
    <w:rsid w:val="008F6C85"/>
    <w:rsid w:val="008F6E81"/>
    <w:rsid w:val="009001A9"/>
    <w:rsid w:val="00900ACE"/>
    <w:rsid w:val="00900BB7"/>
    <w:rsid w:val="00900E44"/>
    <w:rsid w:val="00901CCB"/>
    <w:rsid w:val="00901DED"/>
    <w:rsid w:val="009025BF"/>
    <w:rsid w:val="009027EA"/>
    <w:rsid w:val="00902F20"/>
    <w:rsid w:val="00903479"/>
    <w:rsid w:val="00903B86"/>
    <w:rsid w:val="0090435C"/>
    <w:rsid w:val="00904B92"/>
    <w:rsid w:val="00904C82"/>
    <w:rsid w:val="00904E74"/>
    <w:rsid w:val="0090556A"/>
    <w:rsid w:val="00906196"/>
    <w:rsid w:val="0090634D"/>
    <w:rsid w:val="00906380"/>
    <w:rsid w:val="00906E77"/>
    <w:rsid w:val="0090724C"/>
    <w:rsid w:val="0091050E"/>
    <w:rsid w:val="00910773"/>
    <w:rsid w:val="009108B3"/>
    <w:rsid w:val="009111B1"/>
    <w:rsid w:val="00911243"/>
    <w:rsid w:val="0091182E"/>
    <w:rsid w:val="00911A8C"/>
    <w:rsid w:val="00911D6C"/>
    <w:rsid w:val="00913136"/>
    <w:rsid w:val="009141FB"/>
    <w:rsid w:val="00914778"/>
    <w:rsid w:val="00914F3F"/>
    <w:rsid w:val="009153C4"/>
    <w:rsid w:val="00915F2F"/>
    <w:rsid w:val="009172EF"/>
    <w:rsid w:val="00917A32"/>
    <w:rsid w:val="009208BD"/>
    <w:rsid w:val="009221A5"/>
    <w:rsid w:val="009231BC"/>
    <w:rsid w:val="009235C1"/>
    <w:rsid w:val="00923A80"/>
    <w:rsid w:val="00924732"/>
    <w:rsid w:val="00924CA6"/>
    <w:rsid w:val="00924DF8"/>
    <w:rsid w:val="009254FD"/>
    <w:rsid w:val="00926669"/>
    <w:rsid w:val="00926CFE"/>
    <w:rsid w:val="009270B5"/>
    <w:rsid w:val="009273B8"/>
    <w:rsid w:val="009278D4"/>
    <w:rsid w:val="00927EEB"/>
    <w:rsid w:val="009301DC"/>
    <w:rsid w:val="00930A6A"/>
    <w:rsid w:val="00930AB8"/>
    <w:rsid w:val="00930D3B"/>
    <w:rsid w:val="00931257"/>
    <w:rsid w:val="009312BB"/>
    <w:rsid w:val="009315A4"/>
    <w:rsid w:val="00931EB7"/>
    <w:rsid w:val="00931F8A"/>
    <w:rsid w:val="009328F3"/>
    <w:rsid w:val="0093329D"/>
    <w:rsid w:val="00933433"/>
    <w:rsid w:val="009339DA"/>
    <w:rsid w:val="00934425"/>
    <w:rsid w:val="0093502D"/>
    <w:rsid w:val="00935358"/>
    <w:rsid w:val="009358D1"/>
    <w:rsid w:val="00935BCB"/>
    <w:rsid w:val="00936757"/>
    <w:rsid w:val="00936AD5"/>
    <w:rsid w:val="00936DC8"/>
    <w:rsid w:val="00936FB8"/>
    <w:rsid w:val="00937568"/>
    <w:rsid w:val="00940040"/>
    <w:rsid w:val="00941900"/>
    <w:rsid w:val="009419A4"/>
    <w:rsid w:val="009422F7"/>
    <w:rsid w:val="009435F9"/>
    <w:rsid w:val="00943FB2"/>
    <w:rsid w:val="009444FC"/>
    <w:rsid w:val="00945518"/>
    <w:rsid w:val="00945C66"/>
    <w:rsid w:val="009471D4"/>
    <w:rsid w:val="00947A37"/>
    <w:rsid w:val="00947BDB"/>
    <w:rsid w:val="00947D69"/>
    <w:rsid w:val="0095136C"/>
    <w:rsid w:val="0095160D"/>
    <w:rsid w:val="009526F9"/>
    <w:rsid w:val="0095290F"/>
    <w:rsid w:val="00953EA8"/>
    <w:rsid w:val="00953F50"/>
    <w:rsid w:val="00954298"/>
    <w:rsid w:val="00954713"/>
    <w:rsid w:val="009549BC"/>
    <w:rsid w:val="00954AF7"/>
    <w:rsid w:val="00955216"/>
    <w:rsid w:val="00955265"/>
    <w:rsid w:val="00955889"/>
    <w:rsid w:val="00956CF1"/>
    <w:rsid w:val="00956CFA"/>
    <w:rsid w:val="00957686"/>
    <w:rsid w:val="00960746"/>
    <w:rsid w:val="009612F0"/>
    <w:rsid w:val="00961CB3"/>
    <w:rsid w:val="0096218B"/>
    <w:rsid w:val="009622DF"/>
    <w:rsid w:val="00962770"/>
    <w:rsid w:val="00962D16"/>
    <w:rsid w:val="00963801"/>
    <w:rsid w:val="009647FA"/>
    <w:rsid w:val="00964A19"/>
    <w:rsid w:val="00965887"/>
    <w:rsid w:val="009672F6"/>
    <w:rsid w:val="009674B1"/>
    <w:rsid w:val="00967C0A"/>
    <w:rsid w:val="00970839"/>
    <w:rsid w:val="0097199D"/>
    <w:rsid w:val="00971CD3"/>
    <w:rsid w:val="00971CE9"/>
    <w:rsid w:val="00972C26"/>
    <w:rsid w:val="00972D54"/>
    <w:rsid w:val="00972EC7"/>
    <w:rsid w:val="0097351B"/>
    <w:rsid w:val="00973D5B"/>
    <w:rsid w:val="009741AA"/>
    <w:rsid w:val="0097454E"/>
    <w:rsid w:val="009747DF"/>
    <w:rsid w:val="00974A21"/>
    <w:rsid w:val="00974A4D"/>
    <w:rsid w:val="00974C43"/>
    <w:rsid w:val="00974E41"/>
    <w:rsid w:val="00975188"/>
    <w:rsid w:val="00975419"/>
    <w:rsid w:val="00975595"/>
    <w:rsid w:val="009760EC"/>
    <w:rsid w:val="00976504"/>
    <w:rsid w:val="00976D38"/>
    <w:rsid w:val="0097760A"/>
    <w:rsid w:val="00977D67"/>
    <w:rsid w:val="0098057D"/>
    <w:rsid w:val="00981F00"/>
    <w:rsid w:val="0098248C"/>
    <w:rsid w:val="00982793"/>
    <w:rsid w:val="00982C1A"/>
    <w:rsid w:val="009831A7"/>
    <w:rsid w:val="0098403B"/>
    <w:rsid w:val="0098441E"/>
    <w:rsid w:val="00984F02"/>
    <w:rsid w:val="0098524A"/>
    <w:rsid w:val="009858B5"/>
    <w:rsid w:val="00985C82"/>
    <w:rsid w:val="00985DA3"/>
    <w:rsid w:val="00986276"/>
    <w:rsid w:val="00986DF4"/>
    <w:rsid w:val="00990FEF"/>
    <w:rsid w:val="009919D1"/>
    <w:rsid w:val="00992B0A"/>
    <w:rsid w:val="00992D0E"/>
    <w:rsid w:val="009938FE"/>
    <w:rsid w:val="00993D7E"/>
    <w:rsid w:val="00993DBB"/>
    <w:rsid w:val="00994402"/>
    <w:rsid w:val="00994A0F"/>
    <w:rsid w:val="009A0B72"/>
    <w:rsid w:val="009A0CB3"/>
    <w:rsid w:val="009A0E38"/>
    <w:rsid w:val="009A1A9B"/>
    <w:rsid w:val="009A23AC"/>
    <w:rsid w:val="009A2768"/>
    <w:rsid w:val="009A2AC6"/>
    <w:rsid w:val="009A2E69"/>
    <w:rsid w:val="009A3828"/>
    <w:rsid w:val="009A3B2E"/>
    <w:rsid w:val="009A42BD"/>
    <w:rsid w:val="009A5772"/>
    <w:rsid w:val="009A5C1D"/>
    <w:rsid w:val="009A646C"/>
    <w:rsid w:val="009A6E2B"/>
    <w:rsid w:val="009A6E97"/>
    <w:rsid w:val="009A7A6E"/>
    <w:rsid w:val="009B0527"/>
    <w:rsid w:val="009B05E3"/>
    <w:rsid w:val="009B09DB"/>
    <w:rsid w:val="009B0D8E"/>
    <w:rsid w:val="009B15D8"/>
    <w:rsid w:val="009B162F"/>
    <w:rsid w:val="009B1FD6"/>
    <w:rsid w:val="009B25B1"/>
    <w:rsid w:val="009B3D70"/>
    <w:rsid w:val="009B3DD3"/>
    <w:rsid w:val="009B3E02"/>
    <w:rsid w:val="009B4D0D"/>
    <w:rsid w:val="009B4ED6"/>
    <w:rsid w:val="009B5164"/>
    <w:rsid w:val="009B573E"/>
    <w:rsid w:val="009B5938"/>
    <w:rsid w:val="009B69BD"/>
    <w:rsid w:val="009B6C17"/>
    <w:rsid w:val="009B77D4"/>
    <w:rsid w:val="009B7841"/>
    <w:rsid w:val="009C097B"/>
    <w:rsid w:val="009C3036"/>
    <w:rsid w:val="009C372F"/>
    <w:rsid w:val="009C3BE3"/>
    <w:rsid w:val="009C4227"/>
    <w:rsid w:val="009C447B"/>
    <w:rsid w:val="009C4557"/>
    <w:rsid w:val="009C46CF"/>
    <w:rsid w:val="009C475F"/>
    <w:rsid w:val="009C4C8E"/>
    <w:rsid w:val="009C5D02"/>
    <w:rsid w:val="009C60B9"/>
    <w:rsid w:val="009C65E6"/>
    <w:rsid w:val="009C7186"/>
    <w:rsid w:val="009C7D8A"/>
    <w:rsid w:val="009D0897"/>
    <w:rsid w:val="009D093D"/>
    <w:rsid w:val="009D1354"/>
    <w:rsid w:val="009D18AB"/>
    <w:rsid w:val="009D1E9C"/>
    <w:rsid w:val="009D213A"/>
    <w:rsid w:val="009D244A"/>
    <w:rsid w:val="009D3375"/>
    <w:rsid w:val="009D349F"/>
    <w:rsid w:val="009D3AAD"/>
    <w:rsid w:val="009D42CA"/>
    <w:rsid w:val="009D4C3C"/>
    <w:rsid w:val="009D4FEF"/>
    <w:rsid w:val="009D55F1"/>
    <w:rsid w:val="009D61D9"/>
    <w:rsid w:val="009D7202"/>
    <w:rsid w:val="009E00CB"/>
    <w:rsid w:val="009E03DF"/>
    <w:rsid w:val="009E0C12"/>
    <w:rsid w:val="009E19C8"/>
    <w:rsid w:val="009E1AC2"/>
    <w:rsid w:val="009E29AE"/>
    <w:rsid w:val="009E38A0"/>
    <w:rsid w:val="009E3B43"/>
    <w:rsid w:val="009E4832"/>
    <w:rsid w:val="009E5218"/>
    <w:rsid w:val="009E54C5"/>
    <w:rsid w:val="009E57A4"/>
    <w:rsid w:val="009E5D37"/>
    <w:rsid w:val="009E618B"/>
    <w:rsid w:val="009E668F"/>
    <w:rsid w:val="009E68FE"/>
    <w:rsid w:val="009E6BAE"/>
    <w:rsid w:val="009F0715"/>
    <w:rsid w:val="009F0737"/>
    <w:rsid w:val="009F1460"/>
    <w:rsid w:val="009F1561"/>
    <w:rsid w:val="009F16D4"/>
    <w:rsid w:val="009F1A38"/>
    <w:rsid w:val="009F1AA6"/>
    <w:rsid w:val="009F1CBC"/>
    <w:rsid w:val="009F2BEA"/>
    <w:rsid w:val="009F2D50"/>
    <w:rsid w:val="009F2FAE"/>
    <w:rsid w:val="009F30BD"/>
    <w:rsid w:val="009F36D7"/>
    <w:rsid w:val="009F38AA"/>
    <w:rsid w:val="009F3931"/>
    <w:rsid w:val="009F3E4A"/>
    <w:rsid w:val="009F574D"/>
    <w:rsid w:val="009F57AE"/>
    <w:rsid w:val="009F5B9F"/>
    <w:rsid w:val="009F76B5"/>
    <w:rsid w:val="009F7A49"/>
    <w:rsid w:val="00A0089B"/>
    <w:rsid w:val="00A01783"/>
    <w:rsid w:val="00A01E30"/>
    <w:rsid w:val="00A02B3B"/>
    <w:rsid w:val="00A04D7F"/>
    <w:rsid w:val="00A05B67"/>
    <w:rsid w:val="00A062A7"/>
    <w:rsid w:val="00A0655E"/>
    <w:rsid w:val="00A07C5F"/>
    <w:rsid w:val="00A10969"/>
    <w:rsid w:val="00A1178A"/>
    <w:rsid w:val="00A11BE0"/>
    <w:rsid w:val="00A11CF9"/>
    <w:rsid w:val="00A13211"/>
    <w:rsid w:val="00A137E4"/>
    <w:rsid w:val="00A1451C"/>
    <w:rsid w:val="00A145DF"/>
    <w:rsid w:val="00A14944"/>
    <w:rsid w:val="00A169A8"/>
    <w:rsid w:val="00A16E0B"/>
    <w:rsid w:val="00A17AA6"/>
    <w:rsid w:val="00A20851"/>
    <w:rsid w:val="00A2137A"/>
    <w:rsid w:val="00A22386"/>
    <w:rsid w:val="00A22822"/>
    <w:rsid w:val="00A2289D"/>
    <w:rsid w:val="00A23AA9"/>
    <w:rsid w:val="00A23BBC"/>
    <w:rsid w:val="00A2469A"/>
    <w:rsid w:val="00A24A14"/>
    <w:rsid w:val="00A24B44"/>
    <w:rsid w:val="00A25AE2"/>
    <w:rsid w:val="00A26023"/>
    <w:rsid w:val="00A26288"/>
    <w:rsid w:val="00A263C4"/>
    <w:rsid w:val="00A2666A"/>
    <w:rsid w:val="00A26A99"/>
    <w:rsid w:val="00A27790"/>
    <w:rsid w:val="00A3213F"/>
    <w:rsid w:val="00A322DD"/>
    <w:rsid w:val="00A32544"/>
    <w:rsid w:val="00A327F2"/>
    <w:rsid w:val="00A3373C"/>
    <w:rsid w:val="00A33A53"/>
    <w:rsid w:val="00A3437A"/>
    <w:rsid w:val="00A34540"/>
    <w:rsid w:val="00A3471C"/>
    <w:rsid w:val="00A34A9D"/>
    <w:rsid w:val="00A354E3"/>
    <w:rsid w:val="00A3584A"/>
    <w:rsid w:val="00A36255"/>
    <w:rsid w:val="00A36458"/>
    <w:rsid w:val="00A36EC2"/>
    <w:rsid w:val="00A37EFB"/>
    <w:rsid w:val="00A41280"/>
    <w:rsid w:val="00A42168"/>
    <w:rsid w:val="00A428A5"/>
    <w:rsid w:val="00A4320E"/>
    <w:rsid w:val="00A445EA"/>
    <w:rsid w:val="00A44D17"/>
    <w:rsid w:val="00A4551A"/>
    <w:rsid w:val="00A45668"/>
    <w:rsid w:val="00A4645C"/>
    <w:rsid w:val="00A50185"/>
    <w:rsid w:val="00A50291"/>
    <w:rsid w:val="00A5049B"/>
    <w:rsid w:val="00A51788"/>
    <w:rsid w:val="00A51793"/>
    <w:rsid w:val="00A51D36"/>
    <w:rsid w:val="00A523D9"/>
    <w:rsid w:val="00A5246D"/>
    <w:rsid w:val="00A52B3A"/>
    <w:rsid w:val="00A52DBF"/>
    <w:rsid w:val="00A530C1"/>
    <w:rsid w:val="00A535D8"/>
    <w:rsid w:val="00A53E19"/>
    <w:rsid w:val="00A54549"/>
    <w:rsid w:val="00A54F36"/>
    <w:rsid w:val="00A55313"/>
    <w:rsid w:val="00A55654"/>
    <w:rsid w:val="00A55866"/>
    <w:rsid w:val="00A55F1A"/>
    <w:rsid w:val="00A57379"/>
    <w:rsid w:val="00A578F3"/>
    <w:rsid w:val="00A57C2A"/>
    <w:rsid w:val="00A60E2A"/>
    <w:rsid w:val="00A614AA"/>
    <w:rsid w:val="00A61A20"/>
    <w:rsid w:val="00A620F8"/>
    <w:rsid w:val="00A623ED"/>
    <w:rsid w:val="00A63251"/>
    <w:rsid w:val="00A636CB"/>
    <w:rsid w:val="00A63886"/>
    <w:rsid w:val="00A63E2F"/>
    <w:rsid w:val="00A64996"/>
    <w:rsid w:val="00A64FC1"/>
    <w:rsid w:val="00A65270"/>
    <w:rsid w:val="00A65319"/>
    <w:rsid w:val="00A6663D"/>
    <w:rsid w:val="00A6668E"/>
    <w:rsid w:val="00A674BE"/>
    <w:rsid w:val="00A67953"/>
    <w:rsid w:val="00A67B99"/>
    <w:rsid w:val="00A67CA3"/>
    <w:rsid w:val="00A70291"/>
    <w:rsid w:val="00A703B9"/>
    <w:rsid w:val="00A709C1"/>
    <w:rsid w:val="00A70C5D"/>
    <w:rsid w:val="00A70DFF"/>
    <w:rsid w:val="00A71319"/>
    <w:rsid w:val="00A7277F"/>
    <w:rsid w:val="00A7288D"/>
    <w:rsid w:val="00A734B5"/>
    <w:rsid w:val="00A749B8"/>
    <w:rsid w:val="00A74B4B"/>
    <w:rsid w:val="00A74C5F"/>
    <w:rsid w:val="00A74D02"/>
    <w:rsid w:val="00A75868"/>
    <w:rsid w:val="00A75DBD"/>
    <w:rsid w:val="00A76410"/>
    <w:rsid w:val="00A76993"/>
    <w:rsid w:val="00A76ED7"/>
    <w:rsid w:val="00A771B2"/>
    <w:rsid w:val="00A773AE"/>
    <w:rsid w:val="00A80379"/>
    <w:rsid w:val="00A8085D"/>
    <w:rsid w:val="00A81767"/>
    <w:rsid w:val="00A81C28"/>
    <w:rsid w:val="00A81ECC"/>
    <w:rsid w:val="00A82324"/>
    <w:rsid w:val="00A824C3"/>
    <w:rsid w:val="00A831EB"/>
    <w:rsid w:val="00A84303"/>
    <w:rsid w:val="00A84ADF"/>
    <w:rsid w:val="00A852E4"/>
    <w:rsid w:val="00A861AF"/>
    <w:rsid w:val="00A8670D"/>
    <w:rsid w:val="00A86844"/>
    <w:rsid w:val="00A86C20"/>
    <w:rsid w:val="00A87097"/>
    <w:rsid w:val="00A870DA"/>
    <w:rsid w:val="00A8729E"/>
    <w:rsid w:val="00A87947"/>
    <w:rsid w:val="00A879EE"/>
    <w:rsid w:val="00A90081"/>
    <w:rsid w:val="00A905A4"/>
    <w:rsid w:val="00A9069C"/>
    <w:rsid w:val="00A909AB"/>
    <w:rsid w:val="00A90A32"/>
    <w:rsid w:val="00A911F9"/>
    <w:rsid w:val="00A91A7F"/>
    <w:rsid w:val="00A92128"/>
    <w:rsid w:val="00A922BD"/>
    <w:rsid w:val="00A924AD"/>
    <w:rsid w:val="00A92563"/>
    <w:rsid w:val="00A925C6"/>
    <w:rsid w:val="00A931B2"/>
    <w:rsid w:val="00A931EF"/>
    <w:rsid w:val="00A9383A"/>
    <w:rsid w:val="00A93A63"/>
    <w:rsid w:val="00A93DA8"/>
    <w:rsid w:val="00A9438B"/>
    <w:rsid w:val="00A94864"/>
    <w:rsid w:val="00A96D1E"/>
    <w:rsid w:val="00A971CA"/>
    <w:rsid w:val="00A974C7"/>
    <w:rsid w:val="00AA07F6"/>
    <w:rsid w:val="00AA0AC0"/>
    <w:rsid w:val="00AA11BF"/>
    <w:rsid w:val="00AA163A"/>
    <w:rsid w:val="00AA2630"/>
    <w:rsid w:val="00AA58CF"/>
    <w:rsid w:val="00AA59E7"/>
    <w:rsid w:val="00AA640D"/>
    <w:rsid w:val="00AA6AD5"/>
    <w:rsid w:val="00AA755C"/>
    <w:rsid w:val="00AA787D"/>
    <w:rsid w:val="00AA7BD3"/>
    <w:rsid w:val="00AB03A9"/>
    <w:rsid w:val="00AB0550"/>
    <w:rsid w:val="00AB05D4"/>
    <w:rsid w:val="00AB063D"/>
    <w:rsid w:val="00AB0694"/>
    <w:rsid w:val="00AB0760"/>
    <w:rsid w:val="00AB1E17"/>
    <w:rsid w:val="00AB2036"/>
    <w:rsid w:val="00AB2AB6"/>
    <w:rsid w:val="00AB2FAD"/>
    <w:rsid w:val="00AB2FB2"/>
    <w:rsid w:val="00AB314C"/>
    <w:rsid w:val="00AB394F"/>
    <w:rsid w:val="00AB3BF6"/>
    <w:rsid w:val="00AB4337"/>
    <w:rsid w:val="00AB571C"/>
    <w:rsid w:val="00AB65B3"/>
    <w:rsid w:val="00AB7892"/>
    <w:rsid w:val="00AC17DE"/>
    <w:rsid w:val="00AC1E05"/>
    <w:rsid w:val="00AC26E4"/>
    <w:rsid w:val="00AC3987"/>
    <w:rsid w:val="00AC4AC4"/>
    <w:rsid w:val="00AC55A3"/>
    <w:rsid w:val="00AC5A58"/>
    <w:rsid w:val="00AC5B84"/>
    <w:rsid w:val="00AC6681"/>
    <w:rsid w:val="00AC69AA"/>
    <w:rsid w:val="00AC7862"/>
    <w:rsid w:val="00AC7A97"/>
    <w:rsid w:val="00AC7BB7"/>
    <w:rsid w:val="00AD01A3"/>
    <w:rsid w:val="00AD02FA"/>
    <w:rsid w:val="00AD0EE6"/>
    <w:rsid w:val="00AD1322"/>
    <w:rsid w:val="00AD1512"/>
    <w:rsid w:val="00AD1CCC"/>
    <w:rsid w:val="00AD2655"/>
    <w:rsid w:val="00AD2668"/>
    <w:rsid w:val="00AD2E9B"/>
    <w:rsid w:val="00AD31CC"/>
    <w:rsid w:val="00AD3762"/>
    <w:rsid w:val="00AD42D5"/>
    <w:rsid w:val="00AD470A"/>
    <w:rsid w:val="00AD49F4"/>
    <w:rsid w:val="00AD5112"/>
    <w:rsid w:val="00AD5699"/>
    <w:rsid w:val="00AD5726"/>
    <w:rsid w:val="00AD5890"/>
    <w:rsid w:val="00AD63D8"/>
    <w:rsid w:val="00AD68C8"/>
    <w:rsid w:val="00AD767C"/>
    <w:rsid w:val="00AE0ACE"/>
    <w:rsid w:val="00AE0EED"/>
    <w:rsid w:val="00AE250B"/>
    <w:rsid w:val="00AE2971"/>
    <w:rsid w:val="00AE2E92"/>
    <w:rsid w:val="00AE30C1"/>
    <w:rsid w:val="00AE35FE"/>
    <w:rsid w:val="00AE3B16"/>
    <w:rsid w:val="00AE4291"/>
    <w:rsid w:val="00AE4A53"/>
    <w:rsid w:val="00AE506B"/>
    <w:rsid w:val="00AE52D6"/>
    <w:rsid w:val="00AE5E28"/>
    <w:rsid w:val="00AE604B"/>
    <w:rsid w:val="00AE62CC"/>
    <w:rsid w:val="00AE6422"/>
    <w:rsid w:val="00AE65B6"/>
    <w:rsid w:val="00AE71B1"/>
    <w:rsid w:val="00AE7740"/>
    <w:rsid w:val="00AF0305"/>
    <w:rsid w:val="00AF0AFB"/>
    <w:rsid w:val="00AF0F3B"/>
    <w:rsid w:val="00AF1326"/>
    <w:rsid w:val="00AF175C"/>
    <w:rsid w:val="00AF1A70"/>
    <w:rsid w:val="00AF1B84"/>
    <w:rsid w:val="00AF2365"/>
    <w:rsid w:val="00AF4172"/>
    <w:rsid w:val="00AF4214"/>
    <w:rsid w:val="00AF5A97"/>
    <w:rsid w:val="00AF6069"/>
    <w:rsid w:val="00AF690C"/>
    <w:rsid w:val="00AF6E33"/>
    <w:rsid w:val="00AF7020"/>
    <w:rsid w:val="00AF7624"/>
    <w:rsid w:val="00AF7E8C"/>
    <w:rsid w:val="00B0094C"/>
    <w:rsid w:val="00B00B8D"/>
    <w:rsid w:val="00B01508"/>
    <w:rsid w:val="00B01F93"/>
    <w:rsid w:val="00B0235B"/>
    <w:rsid w:val="00B03252"/>
    <w:rsid w:val="00B033D1"/>
    <w:rsid w:val="00B03803"/>
    <w:rsid w:val="00B03AF8"/>
    <w:rsid w:val="00B03DE4"/>
    <w:rsid w:val="00B040D4"/>
    <w:rsid w:val="00B050A1"/>
    <w:rsid w:val="00B058D2"/>
    <w:rsid w:val="00B06836"/>
    <w:rsid w:val="00B06B54"/>
    <w:rsid w:val="00B06C65"/>
    <w:rsid w:val="00B06E18"/>
    <w:rsid w:val="00B06E1E"/>
    <w:rsid w:val="00B07415"/>
    <w:rsid w:val="00B07965"/>
    <w:rsid w:val="00B07F76"/>
    <w:rsid w:val="00B109BD"/>
    <w:rsid w:val="00B11003"/>
    <w:rsid w:val="00B11834"/>
    <w:rsid w:val="00B11C5E"/>
    <w:rsid w:val="00B126D9"/>
    <w:rsid w:val="00B13379"/>
    <w:rsid w:val="00B14943"/>
    <w:rsid w:val="00B1576E"/>
    <w:rsid w:val="00B16120"/>
    <w:rsid w:val="00B161F0"/>
    <w:rsid w:val="00B16AC4"/>
    <w:rsid w:val="00B20D6F"/>
    <w:rsid w:val="00B21084"/>
    <w:rsid w:val="00B21222"/>
    <w:rsid w:val="00B2178D"/>
    <w:rsid w:val="00B229CC"/>
    <w:rsid w:val="00B22A98"/>
    <w:rsid w:val="00B22CB4"/>
    <w:rsid w:val="00B23C38"/>
    <w:rsid w:val="00B23E6D"/>
    <w:rsid w:val="00B24322"/>
    <w:rsid w:val="00B2545D"/>
    <w:rsid w:val="00B2669E"/>
    <w:rsid w:val="00B27285"/>
    <w:rsid w:val="00B27C47"/>
    <w:rsid w:val="00B3019A"/>
    <w:rsid w:val="00B308A1"/>
    <w:rsid w:val="00B31624"/>
    <w:rsid w:val="00B31BBC"/>
    <w:rsid w:val="00B31D68"/>
    <w:rsid w:val="00B32CE2"/>
    <w:rsid w:val="00B33E28"/>
    <w:rsid w:val="00B3507A"/>
    <w:rsid w:val="00B350E1"/>
    <w:rsid w:val="00B3665D"/>
    <w:rsid w:val="00B3701B"/>
    <w:rsid w:val="00B376A6"/>
    <w:rsid w:val="00B37AF4"/>
    <w:rsid w:val="00B407BE"/>
    <w:rsid w:val="00B40BC2"/>
    <w:rsid w:val="00B410B3"/>
    <w:rsid w:val="00B4114A"/>
    <w:rsid w:val="00B41FF4"/>
    <w:rsid w:val="00B42303"/>
    <w:rsid w:val="00B42A7C"/>
    <w:rsid w:val="00B42CF7"/>
    <w:rsid w:val="00B42F10"/>
    <w:rsid w:val="00B43591"/>
    <w:rsid w:val="00B43929"/>
    <w:rsid w:val="00B4485C"/>
    <w:rsid w:val="00B44920"/>
    <w:rsid w:val="00B44F46"/>
    <w:rsid w:val="00B45009"/>
    <w:rsid w:val="00B458B8"/>
    <w:rsid w:val="00B45DB9"/>
    <w:rsid w:val="00B45EB8"/>
    <w:rsid w:val="00B46337"/>
    <w:rsid w:val="00B46E1A"/>
    <w:rsid w:val="00B471DA"/>
    <w:rsid w:val="00B47F95"/>
    <w:rsid w:val="00B47FEF"/>
    <w:rsid w:val="00B50B0E"/>
    <w:rsid w:val="00B512C1"/>
    <w:rsid w:val="00B513F8"/>
    <w:rsid w:val="00B51CCB"/>
    <w:rsid w:val="00B521F5"/>
    <w:rsid w:val="00B52EF1"/>
    <w:rsid w:val="00B53964"/>
    <w:rsid w:val="00B5502A"/>
    <w:rsid w:val="00B560FD"/>
    <w:rsid w:val="00B56648"/>
    <w:rsid w:val="00B56D87"/>
    <w:rsid w:val="00B56F49"/>
    <w:rsid w:val="00B57854"/>
    <w:rsid w:val="00B57E21"/>
    <w:rsid w:val="00B603A6"/>
    <w:rsid w:val="00B6056A"/>
    <w:rsid w:val="00B607AE"/>
    <w:rsid w:val="00B61105"/>
    <w:rsid w:val="00B612D2"/>
    <w:rsid w:val="00B616D8"/>
    <w:rsid w:val="00B62017"/>
    <w:rsid w:val="00B62683"/>
    <w:rsid w:val="00B62DF0"/>
    <w:rsid w:val="00B62F89"/>
    <w:rsid w:val="00B6335A"/>
    <w:rsid w:val="00B6427D"/>
    <w:rsid w:val="00B649D3"/>
    <w:rsid w:val="00B6527D"/>
    <w:rsid w:val="00B65E56"/>
    <w:rsid w:val="00B6646C"/>
    <w:rsid w:val="00B664B2"/>
    <w:rsid w:val="00B66542"/>
    <w:rsid w:val="00B669F4"/>
    <w:rsid w:val="00B67258"/>
    <w:rsid w:val="00B70AEF"/>
    <w:rsid w:val="00B70D7D"/>
    <w:rsid w:val="00B7219B"/>
    <w:rsid w:val="00B72649"/>
    <w:rsid w:val="00B728D4"/>
    <w:rsid w:val="00B73DF4"/>
    <w:rsid w:val="00B740A3"/>
    <w:rsid w:val="00B75AF5"/>
    <w:rsid w:val="00B75B32"/>
    <w:rsid w:val="00B764CF"/>
    <w:rsid w:val="00B765A2"/>
    <w:rsid w:val="00B76797"/>
    <w:rsid w:val="00B76A14"/>
    <w:rsid w:val="00B77B4E"/>
    <w:rsid w:val="00B77F80"/>
    <w:rsid w:val="00B77FBE"/>
    <w:rsid w:val="00B8056A"/>
    <w:rsid w:val="00B81331"/>
    <w:rsid w:val="00B816C2"/>
    <w:rsid w:val="00B81E0F"/>
    <w:rsid w:val="00B81E7F"/>
    <w:rsid w:val="00B829EC"/>
    <w:rsid w:val="00B83081"/>
    <w:rsid w:val="00B83F08"/>
    <w:rsid w:val="00B85EA8"/>
    <w:rsid w:val="00B85F12"/>
    <w:rsid w:val="00B86122"/>
    <w:rsid w:val="00B86418"/>
    <w:rsid w:val="00B87E35"/>
    <w:rsid w:val="00B902D7"/>
    <w:rsid w:val="00B91097"/>
    <w:rsid w:val="00B92597"/>
    <w:rsid w:val="00B9401B"/>
    <w:rsid w:val="00B946B6"/>
    <w:rsid w:val="00B94C27"/>
    <w:rsid w:val="00B95011"/>
    <w:rsid w:val="00B954F9"/>
    <w:rsid w:val="00B960E5"/>
    <w:rsid w:val="00B97163"/>
    <w:rsid w:val="00B9739D"/>
    <w:rsid w:val="00BA2614"/>
    <w:rsid w:val="00BA3382"/>
    <w:rsid w:val="00BA3528"/>
    <w:rsid w:val="00BA3C6B"/>
    <w:rsid w:val="00BA3DE1"/>
    <w:rsid w:val="00BA3E74"/>
    <w:rsid w:val="00BA459F"/>
    <w:rsid w:val="00BA5675"/>
    <w:rsid w:val="00BA58B0"/>
    <w:rsid w:val="00BA66E6"/>
    <w:rsid w:val="00BA6B01"/>
    <w:rsid w:val="00BA7B87"/>
    <w:rsid w:val="00BB0138"/>
    <w:rsid w:val="00BB02E7"/>
    <w:rsid w:val="00BB1451"/>
    <w:rsid w:val="00BB1B02"/>
    <w:rsid w:val="00BB1DD4"/>
    <w:rsid w:val="00BB21B4"/>
    <w:rsid w:val="00BB2A0E"/>
    <w:rsid w:val="00BB33DD"/>
    <w:rsid w:val="00BB3BF2"/>
    <w:rsid w:val="00BB3C2A"/>
    <w:rsid w:val="00BB3D2A"/>
    <w:rsid w:val="00BB4286"/>
    <w:rsid w:val="00BB581C"/>
    <w:rsid w:val="00BB5CD3"/>
    <w:rsid w:val="00BB62F1"/>
    <w:rsid w:val="00BB6489"/>
    <w:rsid w:val="00BB6866"/>
    <w:rsid w:val="00BB6D98"/>
    <w:rsid w:val="00BB700E"/>
    <w:rsid w:val="00BB7496"/>
    <w:rsid w:val="00BB74EB"/>
    <w:rsid w:val="00BB7806"/>
    <w:rsid w:val="00BB7907"/>
    <w:rsid w:val="00BC006D"/>
    <w:rsid w:val="00BC0260"/>
    <w:rsid w:val="00BC086C"/>
    <w:rsid w:val="00BC0A43"/>
    <w:rsid w:val="00BC111A"/>
    <w:rsid w:val="00BC1DBF"/>
    <w:rsid w:val="00BC3B3F"/>
    <w:rsid w:val="00BC407A"/>
    <w:rsid w:val="00BC447F"/>
    <w:rsid w:val="00BC4BB3"/>
    <w:rsid w:val="00BC4C41"/>
    <w:rsid w:val="00BC51A5"/>
    <w:rsid w:val="00BC5284"/>
    <w:rsid w:val="00BC57B4"/>
    <w:rsid w:val="00BC5DFF"/>
    <w:rsid w:val="00BC7251"/>
    <w:rsid w:val="00BC733E"/>
    <w:rsid w:val="00BC75AE"/>
    <w:rsid w:val="00BC7B7B"/>
    <w:rsid w:val="00BD03B8"/>
    <w:rsid w:val="00BD072E"/>
    <w:rsid w:val="00BD076D"/>
    <w:rsid w:val="00BD1A3A"/>
    <w:rsid w:val="00BD1A67"/>
    <w:rsid w:val="00BD1F5F"/>
    <w:rsid w:val="00BD237B"/>
    <w:rsid w:val="00BD2651"/>
    <w:rsid w:val="00BD3468"/>
    <w:rsid w:val="00BD3C11"/>
    <w:rsid w:val="00BD3CE3"/>
    <w:rsid w:val="00BD4251"/>
    <w:rsid w:val="00BD4C98"/>
    <w:rsid w:val="00BD5C11"/>
    <w:rsid w:val="00BD5ECE"/>
    <w:rsid w:val="00BD6A99"/>
    <w:rsid w:val="00BD6D07"/>
    <w:rsid w:val="00BD7021"/>
    <w:rsid w:val="00BD7728"/>
    <w:rsid w:val="00BD7EF4"/>
    <w:rsid w:val="00BE0261"/>
    <w:rsid w:val="00BE09A4"/>
    <w:rsid w:val="00BE09EB"/>
    <w:rsid w:val="00BE0FC7"/>
    <w:rsid w:val="00BE1162"/>
    <w:rsid w:val="00BE13A6"/>
    <w:rsid w:val="00BE14C5"/>
    <w:rsid w:val="00BE1E66"/>
    <w:rsid w:val="00BE1EF1"/>
    <w:rsid w:val="00BE3841"/>
    <w:rsid w:val="00BE3AF7"/>
    <w:rsid w:val="00BE4533"/>
    <w:rsid w:val="00BE4C49"/>
    <w:rsid w:val="00BE5774"/>
    <w:rsid w:val="00BE58E6"/>
    <w:rsid w:val="00BE601B"/>
    <w:rsid w:val="00BF0598"/>
    <w:rsid w:val="00BF05ED"/>
    <w:rsid w:val="00BF0860"/>
    <w:rsid w:val="00BF1834"/>
    <w:rsid w:val="00BF2CD7"/>
    <w:rsid w:val="00BF3200"/>
    <w:rsid w:val="00BF338D"/>
    <w:rsid w:val="00BF39A9"/>
    <w:rsid w:val="00BF47A2"/>
    <w:rsid w:val="00BF4F00"/>
    <w:rsid w:val="00BF57E2"/>
    <w:rsid w:val="00BF5C7E"/>
    <w:rsid w:val="00BF721C"/>
    <w:rsid w:val="00C00578"/>
    <w:rsid w:val="00C009AA"/>
    <w:rsid w:val="00C00A66"/>
    <w:rsid w:val="00C00B62"/>
    <w:rsid w:val="00C02AF3"/>
    <w:rsid w:val="00C02B19"/>
    <w:rsid w:val="00C03266"/>
    <w:rsid w:val="00C039AD"/>
    <w:rsid w:val="00C04E7A"/>
    <w:rsid w:val="00C04FA2"/>
    <w:rsid w:val="00C04FA6"/>
    <w:rsid w:val="00C053C1"/>
    <w:rsid w:val="00C0639F"/>
    <w:rsid w:val="00C07D86"/>
    <w:rsid w:val="00C1076E"/>
    <w:rsid w:val="00C119FC"/>
    <w:rsid w:val="00C11A48"/>
    <w:rsid w:val="00C12962"/>
    <w:rsid w:val="00C14118"/>
    <w:rsid w:val="00C14189"/>
    <w:rsid w:val="00C14DCC"/>
    <w:rsid w:val="00C14FC5"/>
    <w:rsid w:val="00C1532E"/>
    <w:rsid w:val="00C153BA"/>
    <w:rsid w:val="00C1594F"/>
    <w:rsid w:val="00C16833"/>
    <w:rsid w:val="00C20207"/>
    <w:rsid w:val="00C20F96"/>
    <w:rsid w:val="00C214A3"/>
    <w:rsid w:val="00C220C3"/>
    <w:rsid w:val="00C2257E"/>
    <w:rsid w:val="00C225CC"/>
    <w:rsid w:val="00C22724"/>
    <w:rsid w:val="00C227AA"/>
    <w:rsid w:val="00C23202"/>
    <w:rsid w:val="00C232FA"/>
    <w:rsid w:val="00C24185"/>
    <w:rsid w:val="00C2447E"/>
    <w:rsid w:val="00C24FEE"/>
    <w:rsid w:val="00C25989"/>
    <w:rsid w:val="00C25DC4"/>
    <w:rsid w:val="00C26126"/>
    <w:rsid w:val="00C261AF"/>
    <w:rsid w:val="00C267F9"/>
    <w:rsid w:val="00C26982"/>
    <w:rsid w:val="00C270FB"/>
    <w:rsid w:val="00C27113"/>
    <w:rsid w:val="00C3184A"/>
    <w:rsid w:val="00C31F8C"/>
    <w:rsid w:val="00C32A7C"/>
    <w:rsid w:val="00C342B5"/>
    <w:rsid w:val="00C34D10"/>
    <w:rsid w:val="00C3527B"/>
    <w:rsid w:val="00C367E5"/>
    <w:rsid w:val="00C36814"/>
    <w:rsid w:val="00C36D61"/>
    <w:rsid w:val="00C3707B"/>
    <w:rsid w:val="00C3719B"/>
    <w:rsid w:val="00C37975"/>
    <w:rsid w:val="00C37ECB"/>
    <w:rsid w:val="00C40AAE"/>
    <w:rsid w:val="00C40BCC"/>
    <w:rsid w:val="00C4108A"/>
    <w:rsid w:val="00C4130F"/>
    <w:rsid w:val="00C42722"/>
    <w:rsid w:val="00C42C32"/>
    <w:rsid w:val="00C42E7D"/>
    <w:rsid w:val="00C43555"/>
    <w:rsid w:val="00C44032"/>
    <w:rsid w:val="00C443B8"/>
    <w:rsid w:val="00C44537"/>
    <w:rsid w:val="00C44685"/>
    <w:rsid w:val="00C44FA0"/>
    <w:rsid w:val="00C44FA9"/>
    <w:rsid w:val="00C45E2F"/>
    <w:rsid w:val="00C461BE"/>
    <w:rsid w:val="00C462DA"/>
    <w:rsid w:val="00C46CA8"/>
    <w:rsid w:val="00C47F52"/>
    <w:rsid w:val="00C502AB"/>
    <w:rsid w:val="00C519E5"/>
    <w:rsid w:val="00C51FCA"/>
    <w:rsid w:val="00C520E1"/>
    <w:rsid w:val="00C528B0"/>
    <w:rsid w:val="00C52D4A"/>
    <w:rsid w:val="00C530ED"/>
    <w:rsid w:val="00C54F7B"/>
    <w:rsid w:val="00C5540D"/>
    <w:rsid w:val="00C562BE"/>
    <w:rsid w:val="00C563C1"/>
    <w:rsid w:val="00C5685A"/>
    <w:rsid w:val="00C56BFE"/>
    <w:rsid w:val="00C5781B"/>
    <w:rsid w:val="00C618D3"/>
    <w:rsid w:val="00C61941"/>
    <w:rsid w:val="00C62691"/>
    <w:rsid w:val="00C633AB"/>
    <w:rsid w:val="00C635DE"/>
    <w:rsid w:val="00C63756"/>
    <w:rsid w:val="00C64042"/>
    <w:rsid w:val="00C642A4"/>
    <w:rsid w:val="00C66EAD"/>
    <w:rsid w:val="00C7091D"/>
    <w:rsid w:val="00C70AA2"/>
    <w:rsid w:val="00C70AB2"/>
    <w:rsid w:val="00C7178B"/>
    <w:rsid w:val="00C71B05"/>
    <w:rsid w:val="00C7212A"/>
    <w:rsid w:val="00C72147"/>
    <w:rsid w:val="00C7246A"/>
    <w:rsid w:val="00C727DC"/>
    <w:rsid w:val="00C72A79"/>
    <w:rsid w:val="00C72F31"/>
    <w:rsid w:val="00C730AC"/>
    <w:rsid w:val="00C732FF"/>
    <w:rsid w:val="00C7336B"/>
    <w:rsid w:val="00C744D5"/>
    <w:rsid w:val="00C74DD5"/>
    <w:rsid w:val="00C74EBE"/>
    <w:rsid w:val="00C75673"/>
    <w:rsid w:val="00C7570B"/>
    <w:rsid w:val="00C75E30"/>
    <w:rsid w:val="00C75F36"/>
    <w:rsid w:val="00C76457"/>
    <w:rsid w:val="00C7673F"/>
    <w:rsid w:val="00C77BCF"/>
    <w:rsid w:val="00C77ECD"/>
    <w:rsid w:val="00C80C01"/>
    <w:rsid w:val="00C80D60"/>
    <w:rsid w:val="00C813DD"/>
    <w:rsid w:val="00C8215B"/>
    <w:rsid w:val="00C82E3C"/>
    <w:rsid w:val="00C830CD"/>
    <w:rsid w:val="00C838A9"/>
    <w:rsid w:val="00C842B4"/>
    <w:rsid w:val="00C84F11"/>
    <w:rsid w:val="00C850BF"/>
    <w:rsid w:val="00C86F84"/>
    <w:rsid w:val="00C8736C"/>
    <w:rsid w:val="00C87C2F"/>
    <w:rsid w:val="00C902C9"/>
    <w:rsid w:val="00C903B5"/>
    <w:rsid w:val="00C90C26"/>
    <w:rsid w:val="00C90DE6"/>
    <w:rsid w:val="00C91370"/>
    <w:rsid w:val="00C91841"/>
    <w:rsid w:val="00C927D7"/>
    <w:rsid w:val="00C9288C"/>
    <w:rsid w:val="00C92BDC"/>
    <w:rsid w:val="00C9488F"/>
    <w:rsid w:val="00C94CD6"/>
    <w:rsid w:val="00C9513A"/>
    <w:rsid w:val="00C955A4"/>
    <w:rsid w:val="00C959A0"/>
    <w:rsid w:val="00C96512"/>
    <w:rsid w:val="00C96642"/>
    <w:rsid w:val="00C97BB5"/>
    <w:rsid w:val="00C97F60"/>
    <w:rsid w:val="00C97F73"/>
    <w:rsid w:val="00CA05B1"/>
    <w:rsid w:val="00CA0BA0"/>
    <w:rsid w:val="00CA10DF"/>
    <w:rsid w:val="00CA1A2B"/>
    <w:rsid w:val="00CA288D"/>
    <w:rsid w:val="00CA3254"/>
    <w:rsid w:val="00CA36B5"/>
    <w:rsid w:val="00CA3DFB"/>
    <w:rsid w:val="00CA4A00"/>
    <w:rsid w:val="00CA4EC2"/>
    <w:rsid w:val="00CA5478"/>
    <w:rsid w:val="00CA5CB2"/>
    <w:rsid w:val="00CA65EC"/>
    <w:rsid w:val="00CA6AE0"/>
    <w:rsid w:val="00CA6E77"/>
    <w:rsid w:val="00CA758E"/>
    <w:rsid w:val="00CA7B4B"/>
    <w:rsid w:val="00CA7DCA"/>
    <w:rsid w:val="00CB03A4"/>
    <w:rsid w:val="00CB1C2E"/>
    <w:rsid w:val="00CB2055"/>
    <w:rsid w:val="00CB2A41"/>
    <w:rsid w:val="00CB329C"/>
    <w:rsid w:val="00CB3489"/>
    <w:rsid w:val="00CB3939"/>
    <w:rsid w:val="00CB396C"/>
    <w:rsid w:val="00CB3AAD"/>
    <w:rsid w:val="00CB3ABF"/>
    <w:rsid w:val="00CB3F65"/>
    <w:rsid w:val="00CB4088"/>
    <w:rsid w:val="00CB44C3"/>
    <w:rsid w:val="00CB4E4D"/>
    <w:rsid w:val="00CB5719"/>
    <w:rsid w:val="00CB62A4"/>
    <w:rsid w:val="00CB630F"/>
    <w:rsid w:val="00CB6B80"/>
    <w:rsid w:val="00CB73C3"/>
    <w:rsid w:val="00CB7603"/>
    <w:rsid w:val="00CC0FEB"/>
    <w:rsid w:val="00CC15CB"/>
    <w:rsid w:val="00CC1D52"/>
    <w:rsid w:val="00CC24A7"/>
    <w:rsid w:val="00CC25DA"/>
    <w:rsid w:val="00CC28E8"/>
    <w:rsid w:val="00CC3477"/>
    <w:rsid w:val="00CC3934"/>
    <w:rsid w:val="00CC4585"/>
    <w:rsid w:val="00CC4AD0"/>
    <w:rsid w:val="00CC5FC2"/>
    <w:rsid w:val="00CC777C"/>
    <w:rsid w:val="00CD008C"/>
    <w:rsid w:val="00CD025B"/>
    <w:rsid w:val="00CD0396"/>
    <w:rsid w:val="00CD0E1A"/>
    <w:rsid w:val="00CD1548"/>
    <w:rsid w:val="00CD1622"/>
    <w:rsid w:val="00CD17C4"/>
    <w:rsid w:val="00CD28D1"/>
    <w:rsid w:val="00CD2AFE"/>
    <w:rsid w:val="00CD3243"/>
    <w:rsid w:val="00CD374B"/>
    <w:rsid w:val="00CD3FF9"/>
    <w:rsid w:val="00CD5145"/>
    <w:rsid w:val="00CD55C0"/>
    <w:rsid w:val="00CD564E"/>
    <w:rsid w:val="00CD56CF"/>
    <w:rsid w:val="00CD5D2D"/>
    <w:rsid w:val="00CD5EA6"/>
    <w:rsid w:val="00CD60A3"/>
    <w:rsid w:val="00CD7B07"/>
    <w:rsid w:val="00CD7B32"/>
    <w:rsid w:val="00CD7C82"/>
    <w:rsid w:val="00CE05D6"/>
    <w:rsid w:val="00CE1AB5"/>
    <w:rsid w:val="00CE2493"/>
    <w:rsid w:val="00CE3996"/>
    <w:rsid w:val="00CE3CFA"/>
    <w:rsid w:val="00CE4202"/>
    <w:rsid w:val="00CE45AE"/>
    <w:rsid w:val="00CE4910"/>
    <w:rsid w:val="00CE5275"/>
    <w:rsid w:val="00CE5D85"/>
    <w:rsid w:val="00CE6583"/>
    <w:rsid w:val="00CE7C32"/>
    <w:rsid w:val="00CF1144"/>
    <w:rsid w:val="00CF229B"/>
    <w:rsid w:val="00CF28FE"/>
    <w:rsid w:val="00CF2C63"/>
    <w:rsid w:val="00CF306E"/>
    <w:rsid w:val="00CF3244"/>
    <w:rsid w:val="00CF3273"/>
    <w:rsid w:val="00CF339A"/>
    <w:rsid w:val="00CF3E83"/>
    <w:rsid w:val="00CF436F"/>
    <w:rsid w:val="00CF45C0"/>
    <w:rsid w:val="00CF47FA"/>
    <w:rsid w:val="00CF59FA"/>
    <w:rsid w:val="00CF5AC7"/>
    <w:rsid w:val="00CF625E"/>
    <w:rsid w:val="00CF6D02"/>
    <w:rsid w:val="00CF7070"/>
    <w:rsid w:val="00CF7295"/>
    <w:rsid w:val="00D004ED"/>
    <w:rsid w:val="00D005A5"/>
    <w:rsid w:val="00D00FAE"/>
    <w:rsid w:val="00D01CC1"/>
    <w:rsid w:val="00D02678"/>
    <w:rsid w:val="00D02811"/>
    <w:rsid w:val="00D02A8A"/>
    <w:rsid w:val="00D03F29"/>
    <w:rsid w:val="00D04421"/>
    <w:rsid w:val="00D048CF"/>
    <w:rsid w:val="00D04AA5"/>
    <w:rsid w:val="00D05281"/>
    <w:rsid w:val="00D065E0"/>
    <w:rsid w:val="00D06EF9"/>
    <w:rsid w:val="00D1039C"/>
    <w:rsid w:val="00D10D3A"/>
    <w:rsid w:val="00D11473"/>
    <w:rsid w:val="00D114C2"/>
    <w:rsid w:val="00D11EFB"/>
    <w:rsid w:val="00D12175"/>
    <w:rsid w:val="00D12532"/>
    <w:rsid w:val="00D12AA0"/>
    <w:rsid w:val="00D12F55"/>
    <w:rsid w:val="00D13D47"/>
    <w:rsid w:val="00D1444E"/>
    <w:rsid w:val="00D15597"/>
    <w:rsid w:val="00D15806"/>
    <w:rsid w:val="00D16BDB"/>
    <w:rsid w:val="00D20907"/>
    <w:rsid w:val="00D20C01"/>
    <w:rsid w:val="00D21F29"/>
    <w:rsid w:val="00D22D75"/>
    <w:rsid w:val="00D2336B"/>
    <w:rsid w:val="00D235CC"/>
    <w:rsid w:val="00D24110"/>
    <w:rsid w:val="00D24714"/>
    <w:rsid w:val="00D264E9"/>
    <w:rsid w:val="00D27023"/>
    <w:rsid w:val="00D2756F"/>
    <w:rsid w:val="00D27B44"/>
    <w:rsid w:val="00D27DA9"/>
    <w:rsid w:val="00D30F27"/>
    <w:rsid w:val="00D315A5"/>
    <w:rsid w:val="00D3241D"/>
    <w:rsid w:val="00D32856"/>
    <w:rsid w:val="00D329F7"/>
    <w:rsid w:val="00D32D19"/>
    <w:rsid w:val="00D334A9"/>
    <w:rsid w:val="00D34095"/>
    <w:rsid w:val="00D343B5"/>
    <w:rsid w:val="00D345E9"/>
    <w:rsid w:val="00D34F1B"/>
    <w:rsid w:val="00D364C3"/>
    <w:rsid w:val="00D367C5"/>
    <w:rsid w:val="00D36C6A"/>
    <w:rsid w:val="00D36CBB"/>
    <w:rsid w:val="00D37043"/>
    <w:rsid w:val="00D37F71"/>
    <w:rsid w:val="00D40786"/>
    <w:rsid w:val="00D424C7"/>
    <w:rsid w:val="00D42603"/>
    <w:rsid w:val="00D42687"/>
    <w:rsid w:val="00D42991"/>
    <w:rsid w:val="00D42A51"/>
    <w:rsid w:val="00D43991"/>
    <w:rsid w:val="00D43AC8"/>
    <w:rsid w:val="00D43C28"/>
    <w:rsid w:val="00D44475"/>
    <w:rsid w:val="00D45D16"/>
    <w:rsid w:val="00D46609"/>
    <w:rsid w:val="00D479C7"/>
    <w:rsid w:val="00D47A9C"/>
    <w:rsid w:val="00D47D4E"/>
    <w:rsid w:val="00D502C6"/>
    <w:rsid w:val="00D502F6"/>
    <w:rsid w:val="00D508F8"/>
    <w:rsid w:val="00D5212A"/>
    <w:rsid w:val="00D522D7"/>
    <w:rsid w:val="00D522E6"/>
    <w:rsid w:val="00D52AB9"/>
    <w:rsid w:val="00D544A8"/>
    <w:rsid w:val="00D5637E"/>
    <w:rsid w:val="00D568B9"/>
    <w:rsid w:val="00D57D96"/>
    <w:rsid w:val="00D60707"/>
    <w:rsid w:val="00D61352"/>
    <w:rsid w:val="00D61B32"/>
    <w:rsid w:val="00D61BF2"/>
    <w:rsid w:val="00D6205F"/>
    <w:rsid w:val="00D635C6"/>
    <w:rsid w:val="00D63AFA"/>
    <w:rsid w:val="00D64643"/>
    <w:rsid w:val="00D648E9"/>
    <w:rsid w:val="00D649E4"/>
    <w:rsid w:val="00D64DE8"/>
    <w:rsid w:val="00D6534D"/>
    <w:rsid w:val="00D657FC"/>
    <w:rsid w:val="00D65E24"/>
    <w:rsid w:val="00D67083"/>
    <w:rsid w:val="00D67688"/>
    <w:rsid w:val="00D703B8"/>
    <w:rsid w:val="00D70589"/>
    <w:rsid w:val="00D70965"/>
    <w:rsid w:val="00D70A5F"/>
    <w:rsid w:val="00D70C18"/>
    <w:rsid w:val="00D71044"/>
    <w:rsid w:val="00D714B8"/>
    <w:rsid w:val="00D719A5"/>
    <w:rsid w:val="00D72436"/>
    <w:rsid w:val="00D7247D"/>
    <w:rsid w:val="00D73FF6"/>
    <w:rsid w:val="00D74936"/>
    <w:rsid w:val="00D75056"/>
    <w:rsid w:val="00D761F5"/>
    <w:rsid w:val="00D77EE9"/>
    <w:rsid w:val="00D80370"/>
    <w:rsid w:val="00D80BCF"/>
    <w:rsid w:val="00D80FF3"/>
    <w:rsid w:val="00D81409"/>
    <w:rsid w:val="00D82243"/>
    <w:rsid w:val="00D82A82"/>
    <w:rsid w:val="00D84337"/>
    <w:rsid w:val="00D85D0C"/>
    <w:rsid w:val="00D85F9C"/>
    <w:rsid w:val="00D85FC3"/>
    <w:rsid w:val="00D869AD"/>
    <w:rsid w:val="00D8766E"/>
    <w:rsid w:val="00D87AB3"/>
    <w:rsid w:val="00D87D2C"/>
    <w:rsid w:val="00D90FCE"/>
    <w:rsid w:val="00D910D4"/>
    <w:rsid w:val="00D929DC"/>
    <w:rsid w:val="00D938A7"/>
    <w:rsid w:val="00D93BF7"/>
    <w:rsid w:val="00D955EA"/>
    <w:rsid w:val="00D95E08"/>
    <w:rsid w:val="00D96AA9"/>
    <w:rsid w:val="00D96AEE"/>
    <w:rsid w:val="00D977F0"/>
    <w:rsid w:val="00D97803"/>
    <w:rsid w:val="00D97A8E"/>
    <w:rsid w:val="00D97F5B"/>
    <w:rsid w:val="00DA1071"/>
    <w:rsid w:val="00DA247F"/>
    <w:rsid w:val="00DA38A3"/>
    <w:rsid w:val="00DA3BDF"/>
    <w:rsid w:val="00DA4090"/>
    <w:rsid w:val="00DA4D95"/>
    <w:rsid w:val="00DA4E74"/>
    <w:rsid w:val="00DA5507"/>
    <w:rsid w:val="00DA62B7"/>
    <w:rsid w:val="00DA73F5"/>
    <w:rsid w:val="00DA758C"/>
    <w:rsid w:val="00DA759E"/>
    <w:rsid w:val="00DB074B"/>
    <w:rsid w:val="00DB08B6"/>
    <w:rsid w:val="00DB0E55"/>
    <w:rsid w:val="00DB1A08"/>
    <w:rsid w:val="00DB1BAA"/>
    <w:rsid w:val="00DB2079"/>
    <w:rsid w:val="00DB2CCA"/>
    <w:rsid w:val="00DB32E3"/>
    <w:rsid w:val="00DB3695"/>
    <w:rsid w:val="00DB3DF7"/>
    <w:rsid w:val="00DB3E66"/>
    <w:rsid w:val="00DB4132"/>
    <w:rsid w:val="00DB42C6"/>
    <w:rsid w:val="00DB4E2B"/>
    <w:rsid w:val="00DB5060"/>
    <w:rsid w:val="00DB5AAB"/>
    <w:rsid w:val="00DB5C54"/>
    <w:rsid w:val="00DB5FC5"/>
    <w:rsid w:val="00DB602A"/>
    <w:rsid w:val="00DB65F7"/>
    <w:rsid w:val="00DB6984"/>
    <w:rsid w:val="00DB6EB5"/>
    <w:rsid w:val="00DB7773"/>
    <w:rsid w:val="00DB78C1"/>
    <w:rsid w:val="00DC048A"/>
    <w:rsid w:val="00DC209C"/>
    <w:rsid w:val="00DC271F"/>
    <w:rsid w:val="00DC2819"/>
    <w:rsid w:val="00DC3DE1"/>
    <w:rsid w:val="00DC4649"/>
    <w:rsid w:val="00DC5060"/>
    <w:rsid w:val="00DC5BC2"/>
    <w:rsid w:val="00DC5E24"/>
    <w:rsid w:val="00DC6108"/>
    <w:rsid w:val="00DC632F"/>
    <w:rsid w:val="00DC712F"/>
    <w:rsid w:val="00DC75B0"/>
    <w:rsid w:val="00DC7844"/>
    <w:rsid w:val="00DD065A"/>
    <w:rsid w:val="00DD0678"/>
    <w:rsid w:val="00DD0976"/>
    <w:rsid w:val="00DD1831"/>
    <w:rsid w:val="00DD1929"/>
    <w:rsid w:val="00DD1DE5"/>
    <w:rsid w:val="00DD310D"/>
    <w:rsid w:val="00DD34CA"/>
    <w:rsid w:val="00DD3585"/>
    <w:rsid w:val="00DD3ECB"/>
    <w:rsid w:val="00DD4D48"/>
    <w:rsid w:val="00DD517B"/>
    <w:rsid w:val="00DD521B"/>
    <w:rsid w:val="00DD5BED"/>
    <w:rsid w:val="00DD5EBE"/>
    <w:rsid w:val="00DD67BC"/>
    <w:rsid w:val="00DD6D9D"/>
    <w:rsid w:val="00DD75CB"/>
    <w:rsid w:val="00DD79B9"/>
    <w:rsid w:val="00DE139A"/>
    <w:rsid w:val="00DE2844"/>
    <w:rsid w:val="00DE2A83"/>
    <w:rsid w:val="00DE2A95"/>
    <w:rsid w:val="00DE380C"/>
    <w:rsid w:val="00DE48DA"/>
    <w:rsid w:val="00DE5C0C"/>
    <w:rsid w:val="00DE6DB9"/>
    <w:rsid w:val="00DE7001"/>
    <w:rsid w:val="00DE7003"/>
    <w:rsid w:val="00DE7083"/>
    <w:rsid w:val="00DE763A"/>
    <w:rsid w:val="00DE7AF3"/>
    <w:rsid w:val="00DE7F72"/>
    <w:rsid w:val="00DF0232"/>
    <w:rsid w:val="00DF0B23"/>
    <w:rsid w:val="00DF0D57"/>
    <w:rsid w:val="00DF22D7"/>
    <w:rsid w:val="00DF34EB"/>
    <w:rsid w:val="00DF53E2"/>
    <w:rsid w:val="00DF56F9"/>
    <w:rsid w:val="00DF675B"/>
    <w:rsid w:val="00DF6DCD"/>
    <w:rsid w:val="00DF7050"/>
    <w:rsid w:val="00DF7C44"/>
    <w:rsid w:val="00DF7ED4"/>
    <w:rsid w:val="00E00336"/>
    <w:rsid w:val="00E006D7"/>
    <w:rsid w:val="00E0217E"/>
    <w:rsid w:val="00E022B7"/>
    <w:rsid w:val="00E0353D"/>
    <w:rsid w:val="00E04265"/>
    <w:rsid w:val="00E045BD"/>
    <w:rsid w:val="00E04C16"/>
    <w:rsid w:val="00E054F1"/>
    <w:rsid w:val="00E056A6"/>
    <w:rsid w:val="00E06025"/>
    <w:rsid w:val="00E061E9"/>
    <w:rsid w:val="00E06BC9"/>
    <w:rsid w:val="00E074DF"/>
    <w:rsid w:val="00E077CD"/>
    <w:rsid w:val="00E07AFE"/>
    <w:rsid w:val="00E1077E"/>
    <w:rsid w:val="00E10862"/>
    <w:rsid w:val="00E119B4"/>
    <w:rsid w:val="00E119D9"/>
    <w:rsid w:val="00E11DFD"/>
    <w:rsid w:val="00E138EE"/>
    <w:rsid w:val="00E141E6"/>
    <w:rsid w:val="00E14236"/>
    <w:rsid w:val="00E1467B"/>
    <w:rsid w:val="00E14957"/>
    <w:rsid w:val="00E14F06"/>
    <w:rsid w:val="00E15280"/>
    <w:rsid w:val="00E1529F"/>
    <w:rsid w:val="00E1581D"/>
    <w:rsid w:val="00E15B91"/>
    <w:rsid w:val="00E15E91"/>
    <w:rsid w:val="00E16040"/>
    <w:rsid w:val="00E16550"/>
    <w:rsid w:val="00E168FA"/>
    <w:rsid w:val="00E17274"/>
    <w:rsid w:val="00E17BC7"/>
    <w:rsid w:val="00E205FB"/>
    <w:rsid w:val="00E20D69"/>
    <w:rsid w:val="00E20DA0"/>
    <w:rsid w:val="00E20E6F"/>
    <w:rsid w:val="00E2185E"/>
    <w:rsid w:val="00E22457"/>
    <w:rsid w:val="00E2247B"/>
    <w:rsid w:val="00E225F2"/>
    <w:rsid w:val="00E22A14"/>
    <w:rsid w:val="00E22A30"/>
    <w:rsid w:val="00E232DF"/>
    <w:rsid w:val="00E23CF1"/>
    <w:rsid w:val="00E241F9"/>
    <w:rsid w:val="00E24974"/>
    <w:rsid w:val="00E249ED"/>
    <w:rsid w:val="00E25646"/>
    <w:rsid w:val="00E25AE4"/>
    <w:rsid w:val="00E25DD0"/>
    <w:rsid w:val="00E25F2D"/>
    <w:rsid w:val="00E27E5B"/>
    <w:rsid w:val="00E30D9E"/>
    <w:rsid w:val="00E31137"/>
    <w:rsid w:val="00E3242F"/>
    <w:rsid w:val="00E32849"/>
    <w:rsid w:val="00E328D8"/>
    <w:rsid w:val="00E357CD"/>
    <w:rsid w:val="00E35F96"/>
    <w:rsid w:val="00E36D60"/>
    <w:rsid w:val="00E37F46"/>
    <w:rsid w:val="00E411E1"/>
    <w:rsid w:val="00E425DA"/>
    <w:rsid w:val="00E425E4"/>
    <w:rsid w:val="00E42A5E"/>
    <w:rsid w:val="00E43DC3"/>
    <w:rsid w:val="00E446EE"/>
    <w:rsid w:val="00E44E66"/>
    <w:rsid w:val="00E4539C"/>
    <w:rsid w:val="00E46769"/>
    <w:rsid w:val="00E471BA"/>
    <w:rsid w:val="00E47FD2"/>
    <w:rsid w:val="00E51521"/>
    <w:rsid w:val="00E522F5"/>
    <w:rsid w:val="00E523EF"/>
    <w:rsid w:val="00E52527"/>
    <w:rsid w:val="00E53C19"/>
    <w:rsid w:val="00E54F82"/>
    <w:rsid w:val="00E55044"/>
    <w:rsid w:val="00E550EC"/>
    <w:rsid w:val="00E55EB2"/>
    <w:rsid w:val="00E56DA5"/>
    <w:rsid w:val="00E57603"/>
    <w:rsid w:val="00E60028"/>
    <w:rsid w:val="00E60051"/>
    <w:rsid w:val="00E60152"/>
    <w:rsid w:val="00E60769"/>
    <w:rsid w:val="00E60943"/>
    <w:rsid w:val="00E61580"/>
    <w:rsid w:val="00E618D9"/>
    <w:rsid w:val="00E61B15"/>
    <w:rsid w:val="00E6219D"/>
    <w:rsid w:val="00E62A6B"/>
    <w:rsid w:val="00E62BA9"/>
    <w:rsid w:val="00E63434"/>
    <w:rsid w:val="00E63712"/>
    <w:rsid w:val="00E63A6A"/>
    <w:rsid w:val="00E64298"/>
    <w:rsid w:val="00E64403"/>
    <w:rsid w:val="00E64F39"/>
    <w:rsid w:val="00E65775"/>
    <w:rsid w:val="00E65FEB"/>
    <w:rsid w:val="00E665F8"/>
    <w:rsid w:val="00E66638"/>
    <w:rsid w:val="00E66EF5"/>
    <w:rsid w:val="00E67CEF"/>
    <w:rsid w:val="00E70287"/>
    <w:rsid w:val="00E72353"/>
    <w:rsid w:val="00E72F24"/>
    <w:rsid w:val="00E7333F"/>
    <w:rsid w:val="00E73FF7"/>
    <w:rsid w:val="00E7403D"/>
    <w:rsid w:val="00E75057"/>
    <w:rsid w:val="00E751E8"/>
    <w:rsid w:val="00E7532F"/>
    <w:rsid w:val="00E75A8A"/>
    <w:rsid w:val="00E7642F"/>
    <w:rsid w:val="00E76A23"/>
    <w:rsid w:val="00E76CA1"/>
    <w:rsid w:val="00E770A9"/>
    <w:rsid w:val="00E77455"/>
    <w:rsid w:val="00E8010A"/>
    <w:rsid w:val="00E81035"/>
    <w:rsid w:val="00E812A5"/>
    <w:rsid w:val="00E82397"/>
    <w:rsid w:val="00E823BA"/>
    <w:rsid w:val="00E8295F"/>
    <w:rsid w:val="00E82E43"/>
    <w:rsid w:val="00E8374F"/>
    <w:rsid w:val="00E83750"/>
    <w:rsid w:val="00E83BC5"/>
    <w:rsid w:val="00E83D9E"/>
    <w:rsid w:val="00E84622"/>
    <w:rsid w:val="00E84E02"/>
    <w:rsid w:val="00E852FB"/>
    <w:rsid w:val="00E85AB3"/>
    <w:rsid w:val="00E8642A"/>
    <w:rsid w:val="00E867D2"/>
    <w:rsid w:val="00E8699F"/>
    <w:rsid w:val="00E86C94"/>
    <w:rsid w:val="00E875E6"/>
    <w:rsid w:val="00E879B3"/>
    <w:rsid w:val="00E87A5F"/>
    <w:rsid w:val="00E907E0"/>
    <w:rsid w:val="00E916DE"/>
    <w:rsid w:val="00E91EBA"/>
    <w:rsid w:val="00E91F73"/>
    <w:rsid w:val="00E92094"/>
    <w:rsid w:val="00E921B2"/>
    <w:rsid w:val="00E9258A"/>
    <w:rsid w:val="00E930B7"/>
    <w:rsid w:val="00E93718"/>
    <w:rsid w:val="00E94F75"/>
    <w:rsid w:val="00E95A1E"/>
    <w:rsid w:val="00E967E6"/>
    <w:rsid w:val="00E96AC0"/>
    <w:rsid w:val="00E971E8"/>
    <w:rsid w:val="00EA1DF3"/>
    <w:rsid w:val="00EA2254"/>
    <w:rsid w:val="00EA2363"/>
    <w:rsid w:val="00EA2758"/>
    <w:rsid w:val="00EA3827"/>
    <w:rsid w:val="00EA4135"/>
    <w:rsid w:val="00EA47AB"/>
    <w:rsid w:val="00EA4E53"/>
    <w:rsid w:val="00EA56E4"/>
    <w:rsid w:val="00EA582A"/>
    <w:rsid w:val="00EA6623"/>
    <w:rsid w:val="00EA6A76"/>
    <w:rsid w:val="00EA6C53"/>
    <w:rsid w:val="00EA7526"/>
    <w:rsid w:val="00EB0584"/>
    <w:rsid w:val="00EB0C3A"/>
    <w:rsid w:val="00EB1102"/>
    <w:rsid w:val="00EB1EC2"/>
    <w:rsid w:val="00EB211C"/>
    <w:rsid w:val="00EB247F"/>
    <w:rsid w:val="00EB2569"/>
    <w:rsid w:val="00EB281E"/>
    <w:rsid w:val="00EB2C68"/>
    <w:rsid w:val="00EB2CEA"/>
    <w:rsid w:val="00EB2D1E"/>
    <w:rsid w:val="00EB31ED"/>
    <w:rsid w:val="00EB3E74"/>
    <w:rsid w:val="00EB4012"/>
    <w:rsid w:val="00EB4948"/>
    <w:rsid w:val="00EB5332"/>
    <w:rsid w:val="00EB5C37"/>
    <w:rsid w:val="00EB6400"/>
    <w:rsid w:val="00EB6C3B"/>
    <w:rsid w:val="00EB6FEB"/>
    <w:rsid w:val="00EB709B"/>
    <w:rsid w:val="00EB79EC"/>
    <w:rsid w:val="00EC083B"/>
    <w:rsid w:val="00EC0F9A"/>
    <w:rsid w:val="00EC101E"/>
    <w:rsid w:val="00EC149C"/>
    <w:rsid w:val="00EC197F"/>
    <w:rsid w:val="00EC1E7F"/>
    <w:rsid w:val="00EC236A"/>
    <w:rsid w:val="00EC2915"/>
    <w:rsid w:val="00EC2EF7"/>
    <w:rsid w:val="00EC3D70"/>
    <w:rsid w:val="00EC4100"/>
    <w:rsid w:val="00EC4185"/>
    <w:rsid w:val="00EC4240"/>
    <w:rsid w:val="00EC4B51"/>
    <w:rsid w:val="00EC52A6"/>
    <w:rsid w:val="00EC57A6"/>
    <w:rsid w:val="00EC6D35"/>
    <w:rsid w:val="00ED0288"/>
    <w:rsid w:val="00ED13C9"/>
    <w:rsid w:val="00ED1412"/>
    <w:rsid w:val="00ED1468"/>
    <w:rsid w:val="00ED1846"/>
    <w:rsid w:val="00ED1911"/>
    <w:rsid w:val="00ED194F"/>
    <w:rsid w:val="00ED1E8B"/>
    <w:rsid w:val="00ED27EB"/>
    <w:rsid w:val="00ED2883"/>
    <w:rsid w:val="00ED28C9"/>
    <w:rsid w:val="00ED303C"/>
    <w:rsid w:val="00ED3E0F"/>
    <w:rsid w:val="00ED41D6"/>
    <w:rsid w:val="00ED4751"/>
    <w:rsid w:val="00ED5056"/>
    <w:rsid w:val="00ED5157"/>
    <w:rsid w:val="00ED51F4"/>
    <w:rsid w:val="00ED59CB"/>
    <w:rsid w:val="00ED69BF"/>
    <w:rsid w:val="00ED6A47"/>
    <w:rsid w:val="00ED7079"/>
    <w:rsid w:val="00ED713D"/>
    <w:rsid w:val="00EE04CE"/>
    <w:rsid w:val="00EE0762"/>
    <w:rsid w:val="00EE164D"/>
    <w:rsid w:val="00EE1BA5"/>
    <w:rsid w:val="00EE2680"/>
    <w:rsid w:val="00EE3AF5"/>
    <w:rsid w:val="00EE4429"/>
    <w:rsid w:val="00EE579C"/>
    <w:rsid w:val="00EE5FD7"/>
    <w:rsid w:val="00EE6489"/>
    <w:rsid w:val="00EE6511"/>
    <w:rsid w:val="00EE6FDD"/>
    <w:rsid w:val="00EE743A"/>
    <w:rsid w:val="00EE743C"/>
    <w:rsid w:val="00EE7CA1"/>
    <w:rsid w:val="00EE7D61"/>
    <w:rsid w:val="00EF041E"/>
    <w:rsid w:val="00EF0944"/>
    <w:rsid w:val="00EF0CD4"/>
    <w:rsid w:val="00EF1790"/>
    <w:rsid w:val="00EF1825"/>
    <w:rsid w:val="00EF23C9"/>
    <w:rsid w:val="00EF2949"/>
    <w:rsid w:val="00EF52CF"/>
    <w:rsid w:val="00EF58E2"/>
    <w:rsid w:val="00EF5E71"/>
    <w:rsid w:val="00EF66C6"/>
    <w:rsid w:val="00EF6A6C"/>
    <w:rsid w:val="00EF6AF4"/>
    <w:rsid w:val="00EF71C9"/>
    <w:rsid w:val="00EF7825"/>
    <w:rsid w:val="00EF787F"/>
    <w:rsid w:val="00F00E7B"/>
    <w:rsid w:val="00F0147A"/>
    <w:rsid w:val="00F0184D"/>
    <w:rsid w:val="00F01F99"/>
    <w:rsid w:val="00F02122"/>
    <w:rsid w:val="00F0228C"/>
    <w:rsid w:val="00F0231E"/>
    <w:rsid w:val="00F028AD"/>
    <w:rsid w:val="00F02F7D"/>
    <w:rsid w:val="00F034CF"/>
    <w:rsid w:val="00F03ACC"/>
    <w:rsid w:val="00F041D1"/>
    <w:rsid w:val="00F0487D"/>
    <w:rsid w:val="00F04C1C"/>
    <w:rsid w:val="00F05261"/>
    <w:rsid w:val="00F053B9"/>
    <w:rsid w:val="00F0562D"/>
    <w:rsid w:val="00F05CE5"/>
    <w:rsid w:val="00F05D1B"/>
    <w:rsid w:val="00F06130"/>
    <w:rsid w:val="00F06BAE"/>
    <w:rsid w:val="00F07B0C"/>
    <w:rsid w:val="00F1093E"/>
    <w:rsid w:val="00F11132"/>
    <w:rsid w:val="00F11BB9"/>
    <w:rsid w:val="00F11C29"/>
    <w:rsid w:val="00F1274E"/>
    <w:rsid w:val="00F12A8C"/>
    <w:rsid w:val="00F13726"/>
    <w:rsid w:val="00F13D27"/>
    <w:rsid w:val="00F1414F"/>
    <w:rsid w:val="00F14921"/>
    <w:rsid w:val="00F14DE7"/>
    <w:rsid w:val="00F163AB"/>
    <w:rsid w:val="00F170C5"/>
    <w:rsid w:val="00F17B07"/>
    <w:rsid w:val="00F17BAA"/>
    <w:rsid w:val="00F205B7"/>
    <w:rsid w:val="00F20B7D"/>
    <w:rsid w:val="00F20E70"/>
    <w:rsid w:val="00F20E74"/>
    <w:rsid w:val="00F20FDB"/>
    <w:rsid w:val="00F21627"/>
    <w:rsid w:val="00F21799"/>
    <w:rsid w:val="00F223A8"/>
    <w:rsid w:val="00F225B7"/>
    <w:rsid w:val="00F229A4"/>
    <w:rsid w:val="00F23230"/>
    <w:rsid w:val="00F24DE8"/>
    <w:rsid w:val="00F25180"/>
    <w:rsid w:val="00F25796"/>
    <w:rsid w:val="00F25CF7"/>
    <w:rsid w:val="00F25F72"/>
    <w:rsid w:val="00F27FA9"/>
    <w:rsid w:val="00F30A70"/>
    <w:rsid w:val="00F31222"/>
    <w:rsid w:val="00F31A22"/>
    <w:rsid w:val="00F3239E"/>
    <w:rsid w:val="00F323DC"/>
    <w:rsid w:val="00F32700"/>
    <w:rsid w:val="00F3272C"/>
    <w:rsid w:val="00F328ED"/>
    <w:rsid w:val="00F32B71"/>
    <w:rsid w:val="00F33531"/>
    <w:rsid w:val="00F337B3"/>
    <w:rsid w:val="00F338BE"/>
    <w:rsid w:val="00F339AB"/>
    <w:rsid w:val="00F33B08"/>
    <w:rsid w:val="00F33E93"/>
    <w:rsid w:val="00F348B8"/>
    <w:rsid w:val="00F34AB4"/>
    <w:rsid w:val="00F3553D"/>
    <w:rsid w:val="00F35893"/>
    <w:rsid w:val="00F35C37"/>
    <w:rsid w:val="00F367AC"/>
    <w:rsid w:val="00F36AAD"/>
    <w:rsid w:val="00F3705C"/>
    <w:rsid w:val="00F40526"/>
    <w:rsid w:val="00F4190E"/>
    <w:rsid w:val="00F41B2D"/>
    <w:rsid w:val="00F41D5C"/>
    <w:rsid w:val="00F4206B"/>
    <w:rsid w:val="00F420A1"/>
    <w:rsid w:val="00F43461"/>
    <w:rsid w:val="00F43593"/>
    <w:rsid w:val="00F43D77"/>
    <w:rsid w:val="00F441FC"/>
    <w:rsid w:val="00F444E3"/>
    <w:rsid w:val="00F44F20"/>
    <w:rsid w:val="00F4509B"/>
    <w:rsid w:val="00F45253"/>
    <w:rsid w:val="00F4536E"/>
    <w:rsid w:val="00F45417"/>
    <w:rsid w:val="00F45636"/>
    <w:rsid w:val="00F45DBE"/>
    <w:rsid w:val="00F468D6"/>
    <w:rsid w:val="00F46F17"/>
    <w:rsid w:val="00F50712"/>
    <w:rsid w:val="00F5172F"/>
    <w:rsid w:val="00F51B7D"/>
    <w:rsid w:val="00F51D17"/>
    <w:rsid w:val="00F52166"/>
    <w:rsid w:val="00F527E0"/>
    <w:rsid w:val="00F52E74"/>
    <w:rsid w:val="00F53BAB"/>
    <w:rsid w:val="00F54333"/>
    <w:rsid w:val="00F54775"/>
    <w:rsid w:val="00F5510D"/>
    <w:rsid w:val="00F56C9F"/>
    <w:rsid w:val="00F56D88"/>
    <w:rsid w:val="00F5775F"/>
    <w:rsid w:val="00F57799"/>
    <w:rsid w:val="00F579A7"/>
    <w:rsid w:val="00F57AB1"/>
    <w:rsid w:val="00F60480"/>
    <w:rsid w:val="00F60F06"/>
    <w:rsid w:val="00F614AA"/>
    <w:rsid w:val="00F62610"/>
    <w:rsid w:val="00F62D0B"/>
    <w:rsid w:val="00F6362D"/>
    <w:rsid w:val="00F6433D"/>
    <w:rsid w:val="00F65076"/>
    <w:rsid w:val="00F66B65"/>
    <w:rsid w:val="00F66D6C"/>
    <w:rsid w:val="00F67248"/>
    <w:rsid w:val="00F675BC"/>
    <w:rsid w:val="00F702B3"/>
    <w:rsid w:val="00F716D4"/>
    <w:rsid w:val="00F731D9"/>
    <w:rsid w:val="00F738D7"/>
    <w:rsid w:val="00F73CEE"/>
    <w:rsid w:val="00F73FB9"/>
    <w:rsid w:val="00F7411C"/>
    <w:rsid w:val="00F74386"/>
    <w:rsid w:val="00F7494B"/>
    <w:rsid w:val="00F74D74"/>
    <w:rsid w:val="00F750CE"/>
    <w:rsid w:val="00F75E43"/>
    <w:rsid w:val="00F7651D"/>
    <w:rsid w:val="00F76649"/>
    <w:rsid w:val="00F76B9C"/>
    <w:rsid w:val="00F76D9E"/>
    <w:rsid w:val="00F76DD8"/>
    <w:rsid w:val="00F771A0"/>
    <w:rsid w:val="00F772F3"/>
    <w:rsid w:val="00F803B8"/>
    <w:rsid w:val="00F806E4"/>
    <w:rsid w:val="00F80B38"/>
    <w:rsid w:val="00F815AF"/>
    <w:rsid w:val="00F817C8"/>
    <w:rsid w:val="00F82771"/>
    <w:rsid w:val="00F8314A"/>
    <w:rsid w:val="00F83892"/>
    <w:rsid w:val="00F83C53"/>
    <w:rsid w:val="00F846B7"/>
    <w:rsid w:val="00F85AE8"/>
    <w:rsid w:val="00F869D4"/>
    <w:rsid w:val="00F87137"/>
    <w:rsid w:val="00F87DBF"/>
    <w:rsid w:val="00F90746"/>
    <w:rsid w:val="00F90FFB"/>
    <w:rsid w:val="00F917ED"/>
    <w:rsid w:val="00F91FB9"/>
    <w:rsid w:val="00F92210"/>
    <w:rsid w:val="00F92F35"/>
    <w:rsid w:val="00F94BE7"/>
    <w:rsid w:val="00F953F3"/>
    <w:rsid w:val="00F95695"/>
    <w:rsid w:val="00F9598E"/>
    <w:rsid w:val="00F96FDA"/>
    <w:rsid w:val="00F97124"/>
    <w:rsid w:val="00F9793B"/>
    <w:rsid w:val="00F97BC9"/>
    <w:rsid w:val="00FA06E8"/>
    <w:rsid w:val="00FA085C"/>
    <w:rsid w:val="00FA092D"/>
    <w:rsid w:val="00FA0F00"/>
    <w:rsid w:val="00FA0F8B"/>
    <w:rsid w:val="00FA1039"/>
    <w:rsid w:val="00FA1723"/>
    <w:rsid w:val="00FA2E21"/>
    <w:rsid w:val="00FA2EB6"/>
    <w:rsid w:val="00FA36C5"/>
    <w:rsid w:val="00FA3D3D"/>
    <w:rsid w:val="00FA55BE"/>
    <w:rsid w:val="00FA6878"/>
    <w:rsid w:val="00FA7371"/>
    <w:rsid w:val="00FA7755"/>
    <w:rsid w:val="00FA789F"/>
    <w:rsid w:val="00FA7E64"/>
    <w:rsid w:val="00FB123B"/>
    <w:rsid w:val="00FB37BB"/>
    <w:rsid w:val="00FB3D01"/>
    <w:rsid w:val="00FB4393"/>
    <w:rsid w:val="00FB46F0"/>
    <w:rsid w:val="00FB480F"/>
    <w:rsid w:val="00FB5712"/>
    <w:rsid w:val="00FB57DB"/>
    <w:rsid w:val="00FB5807"/>
    <w:rsid w:val="00FB626F"/>
    <w:rsid w:val="00FB679F"/>
    <w:rsid w:val="00FC031E"/>
    <w:rsid w:val="00FC088C"/>
    <w:rsid w:val="00FC1080"/>
    <w:rsid w:val="00FC1352"/>
    <w:rsid w:val="00FC1FF1"/>
    <w:rsid w:val="00FC27A1"/>
    <w:rsid w:val="00FC2987"/>
    <w:rsid w:val="00FC30AF"/>
    <w:rsid w:val="00FC3233"/>
    <w:rsid w:val="00FC465D"/>
    <w:rsid w:val="00FC52B5"/>
    <w:rsid w:val="00FC5D0D"/>
    <w:rsid w:val="00FC5DC6"/>
    <w:rsid w:val="00FC6202"/>
    <w:rsid w:val="00FC69CD"/>
    <w:rsid w:val="00FC6DE6"/>
    <w:rsid w:val="00FC6FCE"/>
    <w:rsid w:val="00FC706E"/>
    <w:rsid w:val="00FC73D9"/>
    <w:rsid w:val="00FD0720"/>
    <w:rsid w:val="00FD2D61"/>
    <w:rsid w:val="00FD3F85"/>
    <w:rsid w:val="00FD40FA"/>
    <w:rsid w:val="00FD46A5"/>
    <w:rsid w:val="00FD48D0"/>
    <w:rsid w:val="00FD599E"/>
    <w:rsid w:val="00FD600F"/>
    <w:rsid w:val="00FD7584"/>
    <w:rsid w:val="00FD77C8"/>
    <w:rsid w:val="00FE0A06"/>
    <w:rsid w:val="00FE0A37"/>
    <w:rsid w:val="00FE0EBB"/>
    <w:rsid w:val="00FE1B44"/>
    <w:rsid w:val="00FE1BE1"/>
    <w:rsid w:val="00FE3D02"/>
    <w:rsid w:val="00FE3E27"/>
    <w:rsid w:val="00FE4010"/>
    <w:rsid w:val="00FE4CF4"/>
    <w:rsid w:val="00FE5B36"/>
    <w:rsid w:val="00FE6B8B"/>
    <w:rsid w:val="00FE7495"/>
    <w:rsid w:val="00FE794C"/>
    <w:rsid w:val="00FE7984"/>
    <w:rsid w:val="00FF00A0"/>
    <w:rsid w:val="00FF03BE"/>
    <w:rsid w:val="00FF0AF9"/>
    <w:rsid w:val="00FF0FE3"/>
    <w:rsid w:val="00FF143B"/>
    <w:rsid w:val="00FF1445"/>
    <w:rsid w:val="00FF1945"/>
    <w:rsid w:val="00FF196F"/>
    <w:rsid w:val="00FF1B92"/>
    <w:rsid w:val="00FF1B96"/>
    <w:rsid w:val="00FF22EA"/>
    <w:rsid w:val="00FF2B72"/>
    <w:rsid w:val="00FF31AF"/>
    <w:rsid w:val="00FF3E1D"/>
    <w:rsid w:val="00FF3F80"/>
    <w:rsid w:val="00FF4126"/>
    <w:rsid w:val="00FF4242"/>
    <w:rsid w:val="00FF42D5"/>
    <w:rsid w:val="00FF4AD0"/>
    <w:rsid w:val="00FF56CC"/>
    <w:rsid w:val="00FF5C61"/>
    <w:rsid w:val="00FF6A86"/>
    <w:rsid w:val="00FF707C"/>
    <w:rsid w:val="00FF7175"/>
    <w:rsid w:val="00FF77C1"/>
    <w:rsid w:val="00FF7C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none [3215]" stroke="f">
      <v:fill color="none [3215]"/>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Times New Roman"/>
        <w:lang w:val="en-AU" w:eastAsia="en-AU"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lsdException w:name="toc 6" w:locked="0" w:uiPriority="39"/>
    <w:lsdException w:name="toc 7" w:locked="0" w:uiPriority="39"/>
    <w:lsdException w:name="toc 8" w:locked="0"/>
    <w:lsdException w:name="toc 9" w:locked="0" w:uiPriority="39"/>
    <w:lsdException w:name="Normal Indent" w:locked="0"/>
    <w:lsdException w:name="footnote text" w:locked="0" w:uiPriority="99"/>
    <w:lsdException w:name="annotation text" w:locked="0"/>
    <w:lsdException w:name="header" w:locked="0"/>
    <w:lsdException w:name="footer" w:locked="0" w:uiPriority="99"/>
    <w:lsdException w:name="index heading" w:locked="0"/>
    <w:lsdException w:name="caption" w:locked="0" w:qFormat="1"/>
    <w:lsdException w:name="table of figures" w:locked="0" w:uiPriority="99"/>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toa heading" w:locked="0"/>
    <w:lsdException w:name="List Bullet" w:qFormat="1"/>
    <w:lsdException w:name="List Number" w:uiPriority="13" w:unhideWhenUsed="0" w:qFormat="1"/>
    <w:lsdException w:name="List 4" w:unhideWhenUsed="0"/>
    <w:lsdException w:name="List 5" w:unhideWhenUsed="0"/>
    <w:lsdException w:name="List Bullet 2" w:qFormat="1"/>
    <w:lsdException w:name="List Bullet 3" w:qFormat="1"/>
    <w:lsdException w:name="List Number 2" w:uiPriority="13" w:qFormat="1"/>
    <w:lsdException w:name="List Number 3" w:uiPriority="13" w:qFormat="1"/>
    <w:lsdException w:name="List Number 4" w:uiPriority="13"/>
    <w:lsdException w:name="List Number 5" w:uiPriority="13"/>
    <w:lsdException w:name="Title" w:locked="0" w:semiHidden="0" w:unhideWhenUsed="0" w:qFormat="1"/>
    <w:lsdException w:name="Closing" w:locked="0"/>
    <w:lsdException w:name="Signature" w:locked="0"/>
    <w:lsdException w:name="Default Paragraph Font" w:locked="0" w:uiPriority="1"/>
    <w:lsdException w:name="Message Header" w:locked="0"/>
    <w:lsdException w:name="Subtitle" w:locked="0" w:unhideWhenUsed="0" w:qFormat="1"/>
    <w:lsdException w:name="Salutation" w:locked="0"/>
    <w:lsdException w:name="Date" w:locked="0" w:semiHidden="0" w:unhideWhenUsed="0"/>
    <w:lsdException w:name="Body Text First Indent" w:unhideWhenUsed="0"/>
    <w:lsdException w:name="Note Heading" w:locked="0"/>
    <w:lsdException w:name="Block Text" w:locked="0" w:uiPriority="99" w:qFormat="1"/>
    <w:lsdException w:name="Hyperlink" w:locked="0" w:uiPriority="99"/>
    <w:lsdException w:name="FollowedHyperlink" w:locked="0" w:uiPriority="99"/>
    <w:lsdException w:name="Strong" w:locked="0" w:unhideWhenUsed="0" w:qFormat="1"/>
    <w:lsdException w:name="Emphasis" w:uiPriority="20" w:unhideWhenUsed="0" w:qFormat="1"/>
    <w:lsdException w:name="Document Map" w:locked="0"/>
    <w:lsdException w:name="Plain Text" w:locked="0"/>
    <w:lsdException w:name="HTML Top of Form" w:locked="0"/>
    <w:lsdException w:name="HTML Bottom of Form" w:locked="0"/>
    <w:lsdException w:name="Normal (Web)" w:locked="0" w:uiPriority="99"/>
    <w:lsdException w:name="Normal Table" w:locked="0"/>
    <w:lsdException w:name="annotation subject" w:locked="0"/>
    <w:lsdException w:name="No List" w:locked="0" w:uiPriority="99"/>
    <w:lsdException w:name="Outline List 1" w:locked="0"/>
    <w:lsdException w:name="Outline List 2" w:locked="0"/>
    <w:lsdException w:name="Outline List 3" w:locked="0"/>
    <w:lsdException w:name="Table Grid" w:semiHidden="0" w:uiPriority="39" w:unhideWhenUsed="0"/>
    <w:lsdException w:name="Table Theme" w:locked="0"/>
    <w:lsdException w:name="Placeholder Text" w:locked="0" w:uiPriority="99" w:unhideWhenUsed="0"/>
    <w:lsdException w:name="No Spacing" w:locked="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uiPriority="34" w:unhideWhenUsed="0" w:qFormat="1"/>
    <w:lsdException w:name="Quote" w:locked="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locked="0" w:uiPriority="39" w:qFormat="1"/>
  </w:latentStyles>
  <w:style w:type="paragraph" w:default="1" w:styleId="Normal">
    <w:name w:val="Normal"/>
    <w:next w:val="PwCNormal"/>
    <w:qFormat/>
    <w:rsid w:val="00535018"/>
    <w:rPr>
      <w:rFonts w:cs="Arial"/>
      <w:snapToGrid w:val="0"/>
      <w:lang w:eastAsia="en-US"/>
    </w:rPr>
  </w:style>
  <w:style w:type="paragraph" w:styleId="Heading1">
    <w:name w:val="heading 1"/>
    <w:basedOn w:val="Normal"/>
    <w:next w:val="PwCNormal"/>
    <w:qFormat/>
    <w:rsid w:val="008C4795"/>
    <w:pPr>
      <w:keepNext/>
      <w:keepLines/>
      <w:numPr>
        <w:numId w:val="35"/>
      </w:numPr>
      <w:outlineLvl w:val="0"/>
    </w:pPr>
    <w:rPr>
      <w:b/>
      <w:i/>
      <w:sz w:val="56"/>
    </w:rPr>
  </w:style>
  <w:style w:type="paragraph" w:styleId="Heading2">
    <w:name w:val="heading 2"/>
    <w:basedOn w:val="Normal"/>
    <w:next w:val="PwCNormal"/>
    <w:qFormat/>
    <w:rsid w:val="006011C3"/>
    <w:pPr>
      <w:keepNext/>
      <w:keepLines/>
      <w:numPr>
        <w:ilvl w:val="1"/>
        <w:numId w:val="35"/>
      </w:numPr>
      <w:spacing w:before="240" w:after="40"/>
      <w:outlineLvl w:val="1"/>
    </w:pPr>
    <w:rPr>
      <w:rFonts w:asciiTheme="majorHAnsi" w:hAnsiTheme="majorHAnsi"/>
      <w:b/>
      <w:bCs/>
      <w:i/>
      <w:iCs/>
      <w:color w:val="A32020" w:themeColor="text2"/>
      <w:sz w:val="32"/>
      <w:szCs w:val="36"/>
    </w:rPr>
  </w:style>
  <w:style w:type="paragraph" w:styleId="Heading3">
    <w:name w:val="heading 3"/>
    <w:basedOn w:val="Heading1"/>
    <w:next w:val="PwCNormal"/>
    <w:qFormat/>
    <w:rsid w:val="006011C3"/>
    <w:pPr>
      <w:numPr>
        <w:ilvl w:val="2"/>
      </w:numPr>
      <w:outlineLvl w:val="2"/>
    </w:pPr>
    <w:rPr>
      <w:bCs/>
      <w:i w:val="0"/>
      <w:color w:val="A32020" w:themeColor="text2"/>
      <w:sz w:val="20"/>
    </w:rPr>
  </w:style>
  <w:style w:type="paragraph" w:styleId="Heading4">
    <w:name w:val="heading 4"/>
    <w:aliases w:val="Appendix Heading (Short)"/>
    <w:basedOn w:val="Heading2"/>
    <w:next w:val="PwCNormal"/>
    <w:qFormat/>
    <w:rsid w:val="006011C3"/>
    <w:pPr>
      <w:numPr>
        <w:ilvl w:val="3"/>
      </w:numPr>
      <w:outlineLvl w:val="3"/>
    </w:pPr>
    <w:rPr>
      <w:bCs w:val="0"/>
      <w:color w:val="000000" w:themeColor="text1"/>
      <w:sz w:val="56"/>
    </w:rPr>
  </w:style>
  <w:style w:type="paragraph" w:styleId="Heading5">
    <w:name w:val="heading 5"/>
    <w:basedOn w:val="Heading2"/>
    <w:next w:val="PwCNormal"/>
    <w:qFormat/>
    <w:rsid w:val="00317710"/>
    <w:pPr>
      <w:numPr>
        <w:ilvl w:val="4"/>
      </w:numPr>
      <w:spacing w:before="360" w:line="380" w:lineRule="atLeast"/>
      <w:outlineLvl w:val="4"/>
    </w:pPr>
    <w:rPr>
      <w:bCs w:val="0"/>
      <w:iCs w:val="0"/>
      <w:szCs w:val="32"/>
    </w:rPr>
  </w:style>
  <w:style w:type="paragraph" w:styleId="Heading6">
    <w:name w:val="heading 6"/>
    <w:basedOn w:val="Heading2"/>
    <w:next w:val="PwCNormal"/>
    <w:qFormat/>
    <w:rsid w:val="006011C3"/>
    <w:pPr>
      <w:numPr>
        <w:ilvl w:val="5"/>
      </w:numPr>
      <w:outlineLvl w:val="5"/>
    </w:pPr>
    <w:rPr>
      <w:bCs w:val="0"/>
      <w:i w:val="0"/>
      <w:sz w:val="20"/>
    </w:rPr>
  </w:style>
  <w:style w:type="paragraph" w:styleId="Heading7">
    <w:name w:val="heading 7"/>
    <w:basedOn w:val="Heading6"/>
    <w:next w:val="PwCNormal"/>
    <w:qFormat/>
    <w:rsid w:val="008F02B5"/>
    <w:pPr>
      <w:numPr>
        <w:ilvl w:val="6"/>
      </w:numPr>
      <w:outlineLvl w:val="6"/>
    </w:pPr>
    <w:rPr>
      <w:b w:val="0"/>
      <w:sz w:val="28"/>
      <w:szCs w:val="28"/>
    </w:rPr>
  </w:style>
  <w:style w:type="paragraph" w:styleId="Heading8">
    <w:name w:val="heading 8"/>
    <w:basedOn w:val="Majorheading"/>
    <w:next w:val="PwCNormal"/>
    <w:qFormat/>
    <w:rsid w:val="00930AB8"/>
    <w:pPr>
      <w:numPr>
        <w:ilvl w:val="7"/>
        <w:numId w:val="35"/>
      </w:numPr>
      <w:outlineLvl w:val="7"/>
    </w:pPr>
    <w:rPr>
      <w:sz w:val="32"/>
      <w:szCs w:val="21"/>
    </w:rPr>
  </w:style>
  <w:style w:type="paragraph" w:styleId="Heading9">
    <w:name w:val="heading 9"/>
    <w:basedOn w:val="Heading8"/>
    <w:next w:val="PwCNormal"/>
    <w:qFormat/>
    <w:rsid w:val="005C6E53"/>
    <w:pPr>
      <w:numPr>
        <w:ilvl w:val="8"/>
      </w:numPr>
      <w:outlineLvl w:val="8"/>
    </w:pPr>
    <w:rPr>
      <w:b w:val="0"/>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76A6"/>
    <w:pPr>
      <w:tabs>
        <w:tab w:val="right" w:pos="8220"/>
      </w:tabs>
    </w:pPr>
    <w:rPr>
      <w:rFonts w:ascii="Arial" w:hAnsi="Arial"/>
      <w:color w:val="000000" w:themeColor="text1"/>
      <w:sz w:val="19"/>
      <w:szCs w:val="18"/>
    </w:rPr>
  </w:style>
  <w:style w:type="paragraph" w:styleId="Footer">
    <w:name w:val="footer"/>
    <w:basedOn w:val="Normal"/>
    <w:link w:val="FooterChar"/>
    <w:uiPriority w:val="99"/>
    <w:rsid w:val="00B376A6"/>
    <w:pPr>
      <w:tabs>
        <w:tab w:val="right" w:pos="8220"/>
      </w:tabs>
      <w:spacing w:line="0" w:lineRule="atLeast"/>
    </w:pPr>
    <w:rPr>
      <w:rFonts w:ascii="Arial" w:hAnsi="Arial"/>
      <w:color w:val="000000" w:themeColor="text1"/>
      <w:sz w:val="19"/>
      <w:szCs w:val="18"/>
    </w:rPr>
  </w:style>
  <w:style w:type="paragraph" w:customStyle="1" w:styleId="TOCtitle">
    <w:name w:val="TOC title"/>
    <w:basedOn w:val="Heading2"/>
    <w:next w:val="PwCNormal"/>
    <w:unhideWhenUsed/>
    <w:rsid w:val="005E2460"/>
    <w:pPr>
      <w:numPr>
        <w:ilvl w:val="0"/>
        <w:numId w:val="0"/>
      </w:numPr>
      <w:spacing w:after="600"/>
    </w:pPr>
    <w:rPr>
      <w:color w:val="auto"/>
    </w:rPr>
  </w:style>
  <w:style w:type="paragraph" w:customStyle="1" w:styleId="Covertitle">
    <w:name w:val="Cover title"/>
    <w:basedOn w:val="KeySentenceInside"/>
    <w:next w:val="Coversubtitle"/>
    <w:rsid w:val="00FF1B96"/>
    <w:pPr>
      <w:framePr w:w="2154" w:wrap="notBeside" w:vAnchor="page" w:hAnchor="page" w:x="928" w:y="8414"/>
      <w:spacing w:before="200"/>
      <w:ind w:left="113"/>
    </w:pPr>
    <w:rPr>
      <w:rFonts w:asciiTheme="majorHAnsi" w:hAnsiTheme="majorHAnsi"/>
      <w:color w:val="auto"/>
      <w:sz w:val="19"/>
      <w:lang w:val="en-GB"/>
    </w:rPr>
  </w:style>
  <w:style w:type="paragraph" w:customStyle="1" w:styleId="Coversubtitle">
    <w:name w:val="Cover subtitle"/>
    <w:basedOn w:val="Covertitle"/>
    <w:rsid w:val="006C1EC2"/>
    <w:pPr>
      <w:framePr w:wrap="notBeside"/>
      <w:spacing w:before="180"/>
    </w:pPr>
    <w:rPr>
      <w:bCs/>
      <w:szCs w:val="64"/>
    </w:rPr>
  </w:style>
  <w:style w:type="paragraph" w:customStyle="1" w:styleId="AppendixNumberLong">
    <w:name w:val="Appendix Number (Long)"/>
    <w:basedOn w:val="Heading3"/>
    <w:next w:val="Heading3"/>
    <w:rsid w:val="00930AB8"/>
    <w:pPr>
      <w:numPr>
        <w:ilvl w:val="5"/>
        <w:numId w:val="26"/>
      </w:numPr>
    </w:pPr>
  </w:style>
  <w:style w:type="paragraph" w:customStyle="1" w:styleId="ChapterNumberLong">
    <w:name w:val="Chapter Number (Long)"/>
    <w:basedOn w:val="Heading1"/>
    <w:next w:val="Heading1"/>
    <w:rsid w:val="00930AB8"/>
    <w:pPr>
      <w:numPr>
        <w:numId w:val="0"/>
      </w:numPr>
    </w:pPr>
  </w:style>
  <w:style w:type="paragraph" w:customStyle="1" w:styleId="Footer-Even">
    <w:name w:val="Footer - Even"/>
    <w:basedOn w:val="Footer"/>
    <w:rsid w:val="00B51CCB"/>
  </w:style>
  <w:style w:type="paragraph" w:customStyle="1" w:styleId="URL">
    <w:name w:val="URL"/>
    <w:basedOn w:val="PwCNormal"/>
    <w:next w:val="PwCNormal"/>
    <w:rsid w:val="00BF2CD7"/>
    <w:pPr>
      <w:framePr w:wrap="around" w:vAnchor="page" w:hAnchor="page" w:x="1022" w:y="568"/>
      <w:spacing w:after="0"/>
    </w:pPr>
    <w:rPr>
      <w:rFonts w:eastAsia="+mn-ea"/>
      <w:snapToGrid/>
      <w:color w:val="A32020" w:themeColor="text2"/>
      <w:sz w:val="36"/>
    </w:rPr>
  </w:style>
  <w:style w:type="paragraph" w:customStyle="1" w:styleId="Indent1">
    <w:name w:val="Indent 1"/>
    <w:basedOn w:val="Normal"/>
    <w:rsid w:val="006C1EC2"/>
    <w:pPr>
      <w:numPr>
        <w:ilvl w:val="1"/>
        <w:numId w:val="9"/>
      </w:numPr>
      <w:spacing w:before="100" w:after="100"/>
    </w:pPr>
    <w:rPr>
      <w:rFonts w:cs="Times New Roman"/>
    </w:rPr>
  </w:style>
  <w:style w:type="paragraph" w:customStyle="1" w:styleId="Indent2">
    <w:name w:val="Indent 2"/>
    <w:basedOn w:val="Indent1"/>
    <w:rsid w:val="00931F8A"/>
    <w:pPr>
      <w:numPr>
        <w:ilvl w:val="2"/>
      </w:numPr>
    </w:pPr>
  </w:style>
  <w:style w:type="paragraph" w:customStyle="1" w:styleId="Indent3">
    <w:name w:val="Indent 3"/>
    <w:basedOn w:val="Indent2"/>
    <w:rsid w:val="00931F8A"/>
    <w:pPr>
      <w:numPr>
        <w:ilvl w:val="3"/>
      </w:numPr>
    </w:pPr>
  </w:style>
  <w:style w:type="paragraph" w:customStyle="1" w:styleId="Indent5">
    <w:name w:val="Indent 5"/>
    <w:basedOn w:val="Indent4"/>
    <w:rsid w:val="00931F8A"/>
    <w:pPr>
      <w:numPr>
        <w:ilvl w:val="5"/>
      </w:numPr>
    </w:pPr>
  </w:style>
  <w:style w:type="paragraph" w:customStyle="1" w:styleId="Indent6">
    <w:name w:val="Indent 6"/>
    <w:basedOn w:val="Indent5"/>
    <w:rsid w:val="00931F8A"/>
    <w:pPr>
      <w:numPr>
        <w:ilvl w:val="6"/>
      </w:numPr>
    </w:pPr>
  </w:style>
  <w:style w:type="paragraph" w:customStyle="1" w:styleId="Indent7">
    <w:name w:val="Indent 7"/>
    <w:basedOn w:val="Indent6"/>
    <w:rsid w:val="00931F8A"/>
    <w:pPr>
      <w:numPr>
        <w:ilvl w:val="7"/>
      </w:numPr>
    </w:pPr>
  </w:style>
  <w:style w:type="numbering" w:customStyle="1" w:styleId="Indents">
    <w:name w:val="Indents"/>
    <w:rsid w:val="00931F8A"/>
    <w:pPr>
      <w:numPr>
        <w:numId w:val="2"/>
      </w:numPr>
    </w:pPr>
  </w:style>
  <w:style w:type="paragraph" w:customStyle="1" w:styleId="Copyright">
    <w:name w:val="Copyright"/>
    <w:basedOn w:val="Normal"/>
    <w:rsid w:val="00483E95"/>
    <w:pPr>
      <w:framePr w:w="7938" w:wrap="around" w:vAnchor="page" w:hAnchor="page" w:x="1022" w:y="15196"/>
      <w:spacing w:before="150" w:after="150" w:line="150" w:lineRule="atLeast"/>
      <w:ind w:right="816"/>
    </w:pPr>
    <w:rPr>
      <w:rFonts w:ascii="Arial" w:hAnsi="Arial"/>
      <w:color w:val="A32020" w:themeColor="text2"/>
      <w:sz w:val="16"/>
      <w:lang w:val="en-US"/>
    </w:rPr>
  </w:style>
  <w:style w:type="paragraph" w:customStyle="1" w:styleId="Header-Even">
    <w:name w:val="Header - Even"/>
    <w:basedOn w:val="Header"/>
    <w:rsid w:val="006C27B5"/>
    <w:rPr>
      <w:noProof/>
      <w:snapToGrid/>
      <w:lang w:val="en-US" w:eastAsia="en-AU"/>
    </w:rPr>
  </w:style>
  <w:style w:type="paragraph" w:customStyle="1" w:styleId="PleaseNote">
    <w:name w:val="Please Note"/>
    <w:basedOn w:val="PrefaceTitle"/>
    <w:next w:val="PwCNormal"/>
    <w:rsid w:val="008D4477"/>
    <w:rPr>
      <w:iCs w:val="0"/>
    </w:rPr>
  </w:style>
  <w:style w:type="paragraph" w:customStyle="1" w:styleId="Indent4">
    <w:name w:val="Indent 4"/>
    <w:basedOn w:val="Indent3"/>
    <w:rsid w:val="00931F8A"/>
    <w:pPr>
      <w:numPr>
        <w:ilvl w:val="4"/>
      </w:numPr>
    </w:pPr>
  </w:style>
  <w:style w:type="paragraph" w:styleId="TOC2">
    <w:name w:val="toc 2"/>
    <w:basedOn w:val="TOC1"/>
    <w:next w:val="PwCNormal"/>
    <w:uiPriority w:val="39"/>
    <w:rsid w:val="005D6C14"/>
    <w:pPr>
      <w:spacing w:before="0" w:after="0"/>
      <w:ind w:left="200"/>
    </w:pPr>
    <w:rPr>
      <w:b w:val="0"/>
      <w:bCs w:val="0"/>
      <w:caps w:val="0"/>
      <w:smallCaps/>
    </w:rPr>
  </w:style>
  <w:style w:type="paragraph" w:styleId="TOC4">
    <w:name w:val="toc 4"/>
    <w:basedOn w:val="TOC2"/>
    <w:next w:val="PwCNormal"/>
    <w:uiPriority w:val="39"/>
    <w:rsid w:val="00A14944"/>
    <w:pPr>
      <w:ind w:left="600"/>
    </w:pPr>
    <w:rPr>
      <w:smallCaps w:val="0"/>
      <w:sz w:val="18"/>
      <w:szCs w:val="18"/>
    </w:rPr>
  </w:style>
  <w:style w:type="paragraph" w:styleId="TOC7">
    <w:name w:val="toc 7"/>
    <w:basedOn w:val="TOC6"/>
    <w:next w:val="PwCNormal"/>
    <w:uiPriority w:val="39"/>
    <w:rsid w:val="008D4477"/>
    <w:pPr>
      <w:ind w:left="1200"/>
    </w:pPr>
  </w:style>
  <w:style w:type="paragraph" w:customStyle="1" w:styleId="KeySentenceInside">
    <w:name w:val="Key Sentence Inside"/>
    <w:basedOn w:val="KeySentence"/>
    <w:rsid w:val="006650EF"/>
    <w:pPr>
      <w:framePr w:w="2296" w:wrap="notBeside" w:vAnchor="text" w:hAnchor="margin" w:x="-2521" w:y="1" w:anchorLock="1"/>
    </w:pPr>
  </w:style>
  <w:style w:type="paragraph" w:customStyle="1" w:styleId="ChapterNumberedList1">
    <w:name w:val="Chapter Numbered List 1"/>
    <w:basedOn w:val="PwCNormal"/>
    <w:rsid w:val="00930AB8"/>
    <w:pPr>
      <w:numPr>
        <w:ilvl w:val="7"/>
        <w:numId w:val="26"/>
      </w:numPr>
    </w:pPr>
  </w:style>
  <w:style w:type="paragraph" w:customStyle="1" w:styleId="ChapterNumberedList2">
    <w:name w:val="Chapter Numbered List 2"/>
    <w:basedOn w:val="ChapterNumberedList1"/>
    <w:rsid w:val="00F614AA"/>
    <w:pPr>
      <w:numPr>
        <w:ilvl w:val="8"/>
      </w:numPr>
    </w:pPr>
  </w:style>
  <w:style w:type="paragraph" w:styleId="TOC6">
    <w:name w:val="toc 6"/>
    <w:basedOn w:val="TOC2"/>
    <w:next w:val="PwCNormal"/>
    <w:uiPriority w:val="39"/>
    <w:rsid w:val="008D4477"/>
    <w:pPr>
      <w:ind w:left="1000"/>
    </w:pPr>
    <w:rPr>
      <w:smallCaps w:val="0"/>
      <w:sz w:val="18"/>
      <w:szCs w:val="18"/>
    </w:rPr>
  </w:style>
  <w:style w:type="paragraph" w:customStyle="1" w:styleId="PwCNormal">
    <w:name w:val="PwC Normal"/>
    <w:basedOn w:val="Normal"/>
    <w:link w:val="PwCNormalChar"/>
    <w:rsid w:val="00126AFF"/>
    <w:pPr>
      <w:numPr>
        <w:numId w:val="9"/>
      </w:numPr>
      <w:spacing w:after="240"/>
    </w:pPr>
  </w:style>
  <w:style w:type="paragraph" w:customStyle="1" w:styleId="CoverDate">
    <w:name w:val="Cover Date"/>
    <w:basedOn w:val="Coversubtitle"/>
    <w:rsid w:val="002D5CE4"/>
    <w:pPr>
      <w:framePr w:wrap="notBeside"/>
    </w:pPr>
  </w:style>
  <w:style w:type="paragraph" w:customStyle="1" w:styleId="KeySentenceOutside">
    <w:name w:val="Key Sentence Outside"/>
    <w:basedOn w:val="KeySentence"/>
    <w:rsid w:val="002627A5"/>
    <w:pPr>
      <w:framePr w:w="2410" w:wrap="around" w:vAnchor="text" w:hAnchor="margin" w:x="7909" w:y="1" w:anchorLock="1"/>
    </w:pPr>
  </w:style>
  <w:style w:type="character" w:customStyle="1" w:styleId="PwCNormalChar">
    <w:name w:val="PwC Normal Char"/>
    <w:basedOn w:val="DefaultParagraphFont"/>
    <w:link w:val="PwCNormal"/>
    <w:rsid w:val="00126AFF"/>
    <w:rPr>
      <w:rFonts w:cs="Arial"/>
      <w:snapToGrid w:val="0"/>
      <w:lang w:eastAsia="en-US"/>
    </w:rPr>
  </w:style>
  <w:style w:type="paragraph" w:styleId="TOC1">
    <w:name w:val="toc 1"/>
    <w:basedOn w:val="Normal"/>
    <w:next w:val="PwCNormal"/>
    <w:autoRedefine/>
    <w:uiPriority w:val="39"/>
    <w:rsid w:val="00993D7E"/>
    <w:pPr>
      <w:spacing w:before="120" w:after="120"/>
    </w:pPr>
    <w:rPr>
      <w:rFonts w:cstheme="minorHAnsi"/>
      <w:b/>
      <w:bCs/>
      <w:caps/>
    </w:rPr>
  </w:style>
  <w:style w:type="paragraph" w:customStyle="1" w:styleId="CREATISID">
    <w:name w:val="CREATISID"/>
    <w:basedOn w:val="PwCNormal"/>
    <w:unhideWhenUsed/>
    <w:rsid w:val="008D4477"/>
    <w:pPr>
      <w:framePr w:w="227" w:h="539" w:wrap="notBeside" w:vAnchor="page" w:hAnchor="page" w:x="511" w:y="15594"/>
      <w:numPr>
        <w:numId w:val="0"/>
      </w:numPr>
      <w:spacing w:after="0"/>
      <w:textDirection w:val="btLr"/>
    </w:pPr>
    <w:rPr>
      <w:rFonts w:eastAsia="MS Mincho"/>
      <w:sz w:val="10"/>
      <w:szCs w:val="12"/>
      <w:lang w:eastAsia="ja-JP"/>
    </w:rPr>
  </w:style>
  <w:style w:type="numbering" w:customStyle="1" w:styleId="BulletList">
    <w:name w:val="Bullet List"/>
    <w:rsid w:val="0021094E"/>
    <w:pPr>
      <w:numPr>
        <w:numId w:val="1"/>
      </w:numPr>
    </w:pPr>
  </w:style>
  <w:style w:type="paragraph" w:customStyle="1" w:styleId="Footer-Landscape">
    <w:name w:val="Footer - Landscape"/>
    <w:basedOn w:val="Footer"/>
    <w:rsid w:val="008D4477"/>
    <w:pPr>
      <w:tabs>
        <w:tab w:val="clear" w:pos="8220"/>
        <w:tab w:val="right" w:pos="14797"/>
      </w:tabs>
    </w:pPr>
  </w:style>
  <w:style w:type="paragraph" w:customStyle="1" w:styleId="TableBullet1Normal">
    <w:name w:val="Table Bullet 1 Normal"/>
    <w:basedOn w:val="TableTextNormal"/>
    <w:rsid w:val="00317710"/>
    <w:pPr>
      <w:numPr>
        <w:numId w:val="6"/>
      </w:numPr>
      <w:spacing w:before="40" w:after="40"/>
    </w:pPr>
  </w:style>
  <w:style w:type="paragraph" w:customStyle="1" w:styleId="TableTextNormal">
    <w:name w:val="Table Text Normal"/>
    <w:basedOn w:val="Normal"/>
    <w:rsid w:val="00053B82"/>
    <w:pPr>
      <w:spacing w:before="80" w:after="80"/>
    </w:pPr>
  </w:style>
  <w:style w:type="paragraph" w:customStyle="1" w:styleId="TableBullet1Small">
    <w:name w:val="Table Bullet 1 Small"/>
    <w:basedOn w:val="TableTextSmall"/>
    <w:rsid w:val="00317710"/>
    <w:pPr>
      <w:numPr>
        <w:numId w:val="7"/>
      </w:numPr>
      <w:spacing w:before="20" w:after="20"/>
    </w:pPr>
  </w:style>
  <w:style w:type="paragraph" w:customStyle="1" w:styleId="TableTextSmall">
    <w:name w:val="Table Text Small"/>
    <w:basedOn w:val="Normal"/>
    <w:rsid w:val="00020F7F"/>
    <w:pPr>
      <w:spacing w:before="40" w:after="40"/>
    </w:pPr>
    <w:rPr>
      <w:rFonts w:ascii="Arial" w:hAnsi="Arial"/>
      <w:sz w:val="16"/>
      <w:szCs w:val="18"/>
    </w:rPr>
  </w:style>
  <w:style w:type="paragraph" w:customStyle="1" w:styleId="TableBullet3Normal">
    <w:name w:val="Table Bullet 3 Normal"/>
    <w:basedOn w:val="TableBullet2Normal"/>
    <w:rsid w:val="008D4477"/>
    <w:pPr>
      <w:numPr>
        <w:ilvl w:val="2"/>
      </w:numPr>
    </w:pPr>
  </w:style>
  <w:style w:type="paragraph" w:customStyle="1" w:styleId="TableBullet3Small">
    <w:name w:val="Table Bullet 3 Small"/>
    <w:basedOn w:val="TableBullet2Small"/>
    <w:rsid w:val="008D4477"/>
    <w:pPr>
      <w:numPr>
        <w:ilvl w:val="2"/>
      </w:numPr>
    </w:pPr>
    <w:rPr>
      <w:szCs w:val="16"/>
    </w:rPr>
  </w:style>
  <w:style w:type="paragraph" w:customStyle="1" w:styleId="BlockText2">
    <w:name w:val="Block Text 2"/>
    <w:basedOn w:val="Normal"/>
    <w:qFormat/>
    <w:rsid w:val="0071186F"/>
    <w:pPr>
      <w:pBdr>
        <w:top w:val="single" w:sz="2" w:space="10" w:color="A32020" w:themeColor="text2"/>
        <w:left w:val="single" w:sz="2" w:space="10" w:color="A32020" w:themeColor="text2"/>
        <w:bottom w:val="single" w:sz="2" w:space="10" w:color="A32020" w:themeColor="text2"/>
        <w:right w:val="single" w:sz="2" w:space="10" w:color="A32020" w:themeColor="text2"/>
      </w:pBdr>
      <w:shd w:val="clear" w:color="auto" w:fill="A32020" w:themeFill="text2"/>
      <w:spacing w:after="240"/>
      <w:ind w:left="227" w:right="227"/>
    </w:pPr>
    <w:rPr>
      <w:rFonts w:eastAsiaTheme="minorHAnsi" w:cstheme="minorBidi"/>
      <w:i/>
      <w:snapToGrid/>
      <w:color w:val="FFFFFF" w:themeColor="background2"/>
      <w:sz w:val="48"/>
      <w:szCs w:val="48"/>
      <w:lang w:val="en-GB"/>
    </w:rPr>
  </w:style>
  <w:style w:type="paragraph" w:customStyle="1" w:styleId="Appendix">
    <w:name w:val="Appendix"/>
    <w:basedOn w:val="Heading1"/>
    <w:next w:val="Normal"/>
    <w:uiPriority w:val="99"/>
    <w:qFormat/>
    <w:rsid w:val="0071186F"/>
    <w:pPr>
      <w:numPr>
        <w:numId w:val="12"/>
      </w:numPr>
    </w:pPr>
    <w:rPr>
      <w:rFonts w:eastAsiaTheme="majorEastAsia" w:cstheme="majorBidi"/>
      <w:snapToGrid/>
      <w:szCs w:val="28"/>
      <w:lang w:val="en-GB"/>
    </w:rPr>
  </w:style>
  <w:style w:type="numbering" w:customStyle="1" w:styleId="PwCAppendixList1">
    <w:name w:val="PwC Appendix List 1"/>
    <w:uiPriority w:val="99"/>
    <w:rsid w:val="0071186F"/>
    <w:pPr>
      <w:numPr>
        <w:numId w:val="11"/>
      </w:numPr>
    </w:pPr>
  </w:style>
  <w:style w:type="paragraph" w:styleId="Caption">
    <w:name w:val="caption"/>
    <w:basedOn w:val="Normal"/>
    <w:next w:val="Normal"/>
    <w:link w:val="CaptionChar"/>
    <w:unhideWhenUsed/>
    <w:qFormat/>
    <w:rsid w:val="004C7A29"/>
    <w:pPr>
      <w:keepNext/>
      <w:keepLines/>
      <w:tabs>
        <w:tab w:val="left" w:pos="992"/>
      </w:tabs>
      <w:spacing w:before="240" w:after="120"/>
      <w:ind w:left="992" w:hanging="992"/>
    </w:pPr>
    <w:rPr>
      <w:rFonts w:asciiTheme="majorHAnsi" w:hAnsiTheme="majorHAnsi"/>
      <w:b/>
      <w:bCs/>
      <w:color w:val="A32020" w:themeColor="text2"/>
      <w:szCs w:val="18"/>
    </w:rPr>
  </w:style>
  <w:style w:type="paragraph" w:customStyle="1" w:styleId="Majorheading">
    <w:name w:val="Major heading"/>
    <w:basedOn w:val="Normal"/>
    <w:next w:val="PwCNormal"/>
    <w:rsid w:val="0095290F"/>
    <w:pPr>
      <w:keepNext/>
      <w:keepLines/>
      <w:spacing w:before="240" w:after="40"/>
    </w:pPr>
    <w:rPr>
      <w:rFonts w:asciiTheme="majorHAnsi" w:hAnsiTheme="majorHAnsi"/>
      <w:b/>
      <w:i/>
      <w:color w:val="A32020" w:themeColor="text2"/>
      <w:sz w:val="28"/>
      <w:szCs w:val="24"/>
    </w:rPr>
  </w:style>
  <w:style w:type="numbering" w:customStyle="1" w:styleId="TableBulletNormalList">
    <w:name w:val="Table Bullet Normal List"/>
    <w:rsid w:val="0021094E"/>
    <w:pPr>
      <w:numPr>
        <w:numId w:val="4"/>
      </w:numPr>
    </w:pPr>
  </w:style>
  <w:style w:type="paragraph" w:customStyle="1" w:styleId="Disclaimer">
    <w:name w:val="Disclaimer"/>
    <w:basedOn w:val="Normal"/>
    <w:unhideWhenUsed/>
    <w:rsid w:val="00F03ACC"/>
    <w:pPr>
      <w:spacing w:after="140"/>
    </w:pPr>
    <w:rPr>
      <w:rFonts w:ascii="Arial" w:hAnsi="Arial"/>
      <w:sz w:val="15"/>
    </w:rPr>
  </w:style>
  <w:style w:type="paragraph" w:customStyle="1" w:styleId="Footer-LandscapeEven">
    <w:name w:val="Footer - Landscape Even"/>
    <w:basedOn w:val="Footer-Landscape"/>
    <w:rsid w:val="008D4477"/>
  </w:style>
  <w:style w:type="paragraph" w:customStyle="1" w:styleId="PwCNormal-Single">
    <w:name w:val="PwC Normal - Single"/>
    <w:basedOn w:val="PwCNormal"/>
    <w:rsid w:val="00126AFF"/>
    <w:pPr>
      <w:numPr>
        <w:numId w:val="0"/>
      </w:numPr>
      <w:spacing w:after="0"/>
    </w:pPr>
  </w:style>
  <w:style w:type="numbering" w:customStyle="1" w:styleId="TableNumberdListNormal">
    <w:name w:val="Table Numberd List Normal"/>
    <w:uiPriority w:val="99"/>
    <w:rsid w:val="00EA47AB"/>
    <w:pPr>
      <w:numPr>
        <w:numId w:val="14"/>
      </w:numPr>
    </w:pPr>
  </w:style>
  <w:style w:type="numbering" w:customStyle="1" w:styleId="TableNumberedListSmall">
    <w:name w:val="Table Numbered List Small"/>
    <w:uiPriority w:val="99"/>
    <w:rsid w:val="00EA47AB"/>
    <w:pPr>
      <w:numPr>
        <w:numId w:val="16"/>
      </w:numPr>
    </w:pPr>
  </w:style>
  <w:style w:type="paragraph" w:customStyle="1" w:styleId="TableIndent2Normal">
    <w:name w:val="Table Indent 2 Normal"/>
    <w:basedOn w:val="TableIndent1Normal"/>
    <w:rsid w:val="008D4477"/>
    <w:pPr>
      <w:ind w:left="567"/>
    </w:pPr>
  </w:style>
  <w:style w:type="paragraph" w:customStyle="1" w:styleId="TableIndent2Small">
    <w:name w:val="Table Indent 2 Small"/>
    <w:basedOn w:val="TableIndent1Small"/>
    <w:rsid w:val="00461AF8"/>
    <w:pPr>
      <w:ind w:left="567"/>
    </w:pPr>
    <w:rPr>
      <w:szCs w:val="16"/>
    </w:rPr>
  </w:style>
  <w:style w:type="paragraph" w:customStyle="1" w:styleId="KeySentence">
    <w:name w:val="Key Sentence"/>
    <w:basedOn w:val="Normal"/>
    <w:rsid w:val="00A86844"/>
    <w:pPr>
      <w:spacing w:after="160" w:line="260" w:lineRule="atLeast"/>
    </w:pPr>
    <w:rPr>
      <w:i/>
      <w:color w:val="A32020" w:themeColor="text2"/>
      <w:sz w:val="16"/>
      <w:szCs w:val="18"/>
    </w:rPr>
  </w:style>
  <w:style w:type="numbering" w:customStyle="1" w:styleId="TableNumberedListS">
    <w:name w:val="Table Numbered List S"/>
    <w:rsid w:val="008D4477"/>
  </w:style>
  <w:style w:type="paragraph" w:customStyle="1" w:styleId="PrefaceTitle">
    <w:name w:val="Preface Title"/>
    <w:basedOn w:val="Heading2"/>
    <w:next w:val="PwCNormal"/>
    <w:rsid w:val="00C75673"/>
    <w:pPr>
      <w:numPr>
        <w:ilvl w:val="0"/>
        <w:numId w:val="0"/>
      </w:numPr>
    </w:pPr>
  </w:style>
  <w:style w:type="paragraph" w:customStyle="1" w:styleId="Sources">
    <w:name w:val="Sources"/>
    <w:basedOn w:val="Normal"/>
    <w:next w:val="PwCNormal"/>
    <w:rsid w:val="006742E0"/>
    <w:pPr>
      <w:spacing w:before="80" w:after="240" w:line="180" w:lineRule="atLeast"/>
    </w:pPr>
    <w:rPr>
      <w:color w:val="A32020" w:themeColor="text2"/>
      <w:sz w:val="16"/>
    </w:rPr>
  </w:style>
  <w:style w:type="paragraph" w:customStyle="1" w:styleId="Minorheading">
    <w:name w:val="Minor heading"/>
    <w:basedOn w:val="Majorheading"/>
    <w:next w:val="PwCNormal"/>
    <w:rsid w:val="003C52DC"/>
    <w:pPr>
      <w:spacing w:line="180" w:lineRule="atLeast"/>
    </w:pPr>
    <w:rPr>
      <w:b w:val="0"/>
      <w:sz w:val="26"/>
    </w:rPr>
  </w:style>
  <w:style w:type="paragraph" w:customStyle="1" w:styleId="Minorheading2">
    <w:name w:val="Minor heading 2"/>
    <w:basedOn w:val="Minorheading"/>
    <w:next w:val="PwCNormal"/>
    <w:rsid w:val="00D657FC"/>
    <w:pPr>
      <w:spacing w:line="240" w:lineRule="atLeast"/>
    </w:pPr>
    <w:rPr>
      <w:b/>
      <w:i w:val="0"/>
      <w:sz w:val="20"/>
    </w:rPr>
  </w:style>
  <w:style w:type="numbering" w:customStyle="1" w:styleId="PwCListNumbers1">
    <w:name w:val="PwC List Numbers 1"/>
    <w:uiPriority w:val="99"/>
    <w:rsid w:val="0071186F"/>
    <w:pPr>
      <w:numPr>
        <w:numId w:val="13"/>
      </w:numPr>
    </w:pPr>
  </w:style>
  <w:style w:type="paragraph" w:customStyle="1" w:styleId="BlockText3">
    <w:name w:val="Block Text 3"/>
    <w:basedOn w:val="BlockText"/>
    <w:qFormat/>
    <w:rsid w:val="0071186F"/>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ind w:left="227" w:right="227"/>
    </w:pPr>
    <w:rPr>
      <w:snapToGrid/>
      <w:sz w:val="96"/>
      <w:lang w:val="en-GB"/>
    </w:rPr>
  </w:style>
  <w:style w:type="paragraph" w:customStyle="1" w:styleId="TableBullet2Normal">
    <w:name w:val="Table Bullet 2 Normal"/>
    <w:basedOn w:val="TableBullet1Normal"/>
    <w:rsid w:val="008D4477"/>
    <w:pPr>
      <w:numPr>
        <w:ilvl w:val="1"/>
      </w:numPr>
    </w:pPr>
  </w:style>
  <w:style w:type="paragraph" w:customStyle="1" w:styleId="TableBullet2Small">
    <w:name w:val="Table Bullet 2 Small"/>
    <w:basedOn w:val="TableBullet1Small"/>
    <w:rsid w:val="008D4477"/>
    <w:pPr>
      <w:numPr>
        <w:ilvl w:val="1"/>
      </w:numPr>
    </w:pPr>
  </w:style>
  <w:style w:type="paragraph" w:customStyle="1" w:styleId="TableIndent1Normal">
    <w:name w:val="Table Indent 1 Normal"/>
    <w:basedOn w:val="TableBullet1Normal"/>
    <w:rsid w:val="008D4477"/>
    <w:pPr>
      <w:numPr>
        <w:numId w:val="0"/>
      </w:numPr>
      <w:ind w:left="284"/>
    </w:pPr>
  </w:style>
  <w:style w:type="paragraph" w:customStyle="1" w:styleId="TableIndent1Small">
    <w:name w:val="Table Indent 1 Small"/>
    <w:basedOn w:val="TableBullet1Small"/>
    <w:rsid w:val="00461AF8"/>
    <w:pPr>
      <w:numPr>
        <w:numId w:val="0"/>
      </w:numPr>
      <w:ind w:left="284"/>
    </w:pPr>
  </w:style>
  <w:style w:type="paragraph" w:customStyle="1" w:styleId="SubHeading">
    <w:name w:val="Sub Heading"/>
    <w:basedOn w:val="PwCNormal"/>
    <w:rsid w:val="00930AB8"/>
    <w:pPr>
      <w:spacing w:after="480" w:line="600" w:lineRule="atLeast"/>
    </w:pPr>
    <w:rPr>
      <w:sz w:val="56"/>
    </w:rPr>
  </w:style>
  <w:style w:type="paragraph" w:styleId="FootnoteText">
    <w:name w:val="footnote text"/>
    <w:basedOn w:val="Normal"/>
    <w:link w:val="FootnoteTextChar"/>
    <w:uiPriority w:val="99"/>
    <w:rsid w:val="005F07CE"/>
    <w:pPr>
      <w:tabs>
        <w:tab w:val="left" w:pos="284"/>
      </w:tabs>
      <w:spacing w:before="80" w:after="80"/>
      <w:ind w:left="227" w:hanging="227"/>
    </w:pPr>
    <w:rPr>
      <w:sz w:val="14"/>
    </w:rPr>
  </w:style>
  <w:style w:type="character" w:styleId="FootnoteReference">
    <w:name w:val="footnote reference"/>
    <w:basedOn w:val="DefaultParagraphFont"/>
    <w:rsid w:val="00317710"/>
    <w:rPr>
      <w:rFonts w:cs="Arial"/>
      <w:sz w:val="21"/>
      <w:vertAlign w:val="superscript"/>
    </w:rPr>
  </w:style>
  <w:style w:type="character" w:styleId="EndnoteReference">
    <w:name w:val="endnote reference"/>
    <w:basedOn w:val="DefaultParagraphFont"/>
    <w:semiHidden/>
    <w:unhideWhenUsed/>
    <w:rsid w:val="008D4477"/>
    <w:rPr>
      <w:rFonts w:ascii="Arial" w:hAnsi="Arial" w:cs="Arial"/>
      <w:sz w:val="21"/>
      <w:vertAlign w:val="superscript"/>
    </w:rPr>
  </w:style>
  <w:style w:type="paragraph" w:styleId="EndnoteText">
    <w:name w:val="endnote text"/>
    <w:basedOn w:val="FootnoteText"/>
    <w:semiHidden/>
    <w:unhideWhenUsed/>
    <w:rsid w:val="008D4477"/>
  </w:style>
  <w:style w:type="paragraph" w:customStyle="1" w:styleId="Address">
    <w:name w:val="Address"/>
    <w:basedOn w:val="Normal"/>
    <w:qFormat/>
    <w:rsid w:val="009231BC"/>
    <w:pPr>
      <w:spacing w:line="200" w:lineRule="atLeast"/>
    </w:pPr>
    <w:rPr>
      <w:rFonts w:eastAsiaTheme="minorHAnsi" w:cstheme="minorBidi"/>
      <w:i/>
      <w:noProof/>
      <w:snapToGrid/>
      <w:sz w:val="18"/>
      <w:szCs w:val="22"/>
      <w:lang w:val="en-GB" w:eastAsia="en-GB"/>
    </w:rPr>
  </w:style>
  <w:style w:type="table" w:styleId="TableGrid">
    <w:name w:val="Table Grid"/>
    <w:basedOn w:val="TableNormal"/>
    <w:uiPriority w:val="39"/>
    <w:locked/>
    <w:rsid w:val="008D4477"/>
    <w:pPr>
      <w:kinsoku w:val="0"/>
      <w:overflowPunct w:val="0"/>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TOC1"/>
    <w:next w:val="PwCNormal"/>
    <w:uiPriority w:val="39"/>
    <w:rsid w:val="008D4477"/>
    <w:pPr>
      <w:spacing w:before="0" w:after="0"/>
      <w:ind w:left="400"/>
    </w:pPr>
    <w:rPr>
      <w:b w:val="0"/>
      <w:bCs w:val="0"/>
      <w:i/>
      <w:iCs/>
      <w:caps w:val="0"/>
    </w:rPr>
  </w:style>
  <w:style w:type="paragraph" w:styleId="TOC5">
    <w:name w:val="toc 5"/>
    <w:basedOn w:val="TOC2"/>
    <w:next w:val="PwCNormal"/>
    <w:rsid w:val="008D4477"/>
    <w:pPr>
      <w:ind w:left="800"/>
    </w:pPr>
    <w:rPr>
      <w:smallCaps w:val="0"/>
      <w:sz w:val="18"/>
      <w:szCs w:val="18"/>
    </w:rPr>
  </w:style>
  <w:style w:type="paragraph" w:styleId="TOC8">
    <w:name w:val="toc 8"/>
    <w:basedOn w:val="TOC7"/>
    <w:next w:val="PwCNormal"/>
    <w:rsid w:val="008D4477"/>
    <w:pPr>
      <w:ind w:left="1400"/>
    </w:pPr>
  </w:style>
  <w:style w:type="paragraph" w:styleId="TOC9">
    <w:name w:val="toc 9"/>
    <w:basedOn w:val="TOC8"/>
    <w:next w:val="PwCNormal"/>
    <w:uiPriority w:val="39"/>
    <w:rsid w:val="008D4477"/>
    <w:pPr>
      <w:ind w:left="1600"/>
    </w:pPr>
  </w:style>
  <w:style w:type="paragraph" w:customStyle="1" w:styleId="Separator">
    <w:name w:val="Separator"/>
    <w:basedOn w:val="Normal"/>
    <w:semiHidden/>
    <w:rsid w:val="008D4477"/>
    <w:pPr>
      <w:spacing w:before="240" w:after="120"/>
    </w:pPr>
    <w:rPr>
      <w:sz w:val="16"/>
    </w:rPr>
  </w:style>
  <w:style w:type="numbering" w:customStyle="1" w:styleId="TableNumberedListN">
    <w:name w:val="Table Numbered List N"/>
    <w:rsid w:val="008D4477"/>
  </w:style>
  <w:style w:type="paragraph" w:customStyle="1" w:styleId="TableColumnHeadingNormal">
    <w:name w:val="Table Column Heading Normal"/>
    <w:basedOn w:val="TableTextNormal"/>
    <w:rsid w:val="000B319E"/>
    <w:pPr>
      <w:keepNext/>
      <w:keepLines/>
    </w:pPr>
    <w:rPr>
      <w:b/>
      <w:color w:val="A32020" w:themeColor="text2"/>
    </w:rPr>
  </w:style>
  <w:style w:type="paragraph" w:customStyle="1" w:styleId="TableColumnHeadingSmall">
    <w:name w:val="Table Column Heading Small"/>
    <w:basedOn w:val="TableTextSmall"/>
    <w:next w:val="TableTextSmall"/>
    <w:rsid w:val="00053B82"/>
    <w:pPr>
      <w:keepNext/>
      <w:keepLines/>
    </w:pPr>
    <w:rPr>
      <w:b/>
      <w:color w:val="A32020" w:themeColor="text2"/>
      <w:szCs w:val="16"/>
    </w:rPr>
  </w:style>
  <w:style w:type="numbering" w:customStyle="1" w:styleId="TableBulletSmallList">
    <w:name w:val="Table Bullet Small List"/>
    <w:rsid w:val="0021094E"/>
    <w:pPr>
      <w:numPr>
        <w:numId w:val="3"/>
      </w:numPr>
    </w:pPr>
  </w:style>
  <w:style w:type="paragraph" w:customStyle="1" w:styleId="Header-Landscape">
    <w:name w:val="Header - Landscape"/>
    <w:basedOn w:val="Header"/>
    <w:rsid w:val="008D4477"/>
    <w:pPr>
      <w:tabs>
        <w:tab w:val="clear" w:pos="8220"/>
        <w:tab w:val="right" w:pos="14797"/>
      </w:tabs>
    </w:pPr>
  </w:style>
  <w:style w:type="character" w:styleId="PageNumber">
    <w:name w:val="page number"/>
    <w:semiHidden/>
    <w:unhideWhenUsed/>
    <w:rsid w:val="008D4477"/>
  </w:style>
  <w:style w:type="paragraph" w:styleId="Date">
    <w:name w:val="Date"/>
    <w:basedOn w:val="Normal"/>
    <w:next w:val="PwCNormal"/>
    <w:semiHidden/>
    <w:rsid w:val="008D4477"/>
  </w:style>
  <w:style w:type="paragraph" w:customStyle="1" w:styleId="Indent8">
    <w:name w:val="Indent 8"/>
    <w:basedOn w:val="Indent7"/>
    <w:rsid w:val="00931F8A"/>
    <w:pPr>
      <w:numPr>
        <w:ilvl w:val="8"/>
      </w:numPr>
    </w:pPr>
  </w:style>
  <w:style w:type="paragraph" w:customStyle="1" w:styleId="Header-LandscapeEven">
    <w:name w:val="Header - Landscape Even"/>
    <w:basedOn w:val="Header-Landscape"/>
    <w:rsid w:val="008D4477"/>
    <w:pPr>
      <w:tabs>
        <w:tab w:val="right" w:pos="14661"/>
      </w:tabs>
    </w:pPr>
  </w:style>
  <w:style w:type="paragraph" w:customStyle="1" w:styleId="Footer-ToC">
    <w:name w:val="Footer - ToC"/>
    <w:basedOn w:val="Footer"/>
    <w:rsid w:val="0064358E"/>
  </w:style>
  <w:style w:type="paragraph" w:customStyle="1" w:styleId="Footer-ToCEven">
    <w:name w:val="Footer - ToC Even"/>
    <w:basedOn w:val="Footer-ToC"/>
    <w:rsid w:val="00BB4286"/>
  </w:style>
  <w:style w:type="table" w:customStyle="1" w:styleId="Tables-APBase">
    <w:name w:val="Tables - AP Base"/>
    <w:basedOn w:val="TableNormal"/>
    <w:rsid w:val="00A87947"/>
    <w:tblPr>
      <w:tblStyleRowBandSize w:val="1"/>
      <w:tblStyleColBandSize w:val="1"/>
      <w:tblBorders>
        <w:top w:val="single" w:sz="4" w:space="0" w:color="FFFFFF"/>
        <w:left w:val="single" w:sz="4" w:space="0" w:color="FFFFFF"/>
        <w:bottom w:val="single" w:sz="6" w:space="0" w:color="A32020" w:themeColor="text2"/>
        <w:right w:val="single" w:sz="4" w:space="0" w:color="FFFFFF"/>
        <w:insideH w:val="dotted" w:sz="8" w:space="0" w:color="A32020"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A32020" w:themeColor="text2"/>
          <w:bottom w:val="single" w:sz="4" w:space="0" w:color="A32020" w:themeColor="text2"/>
        </w:tcBorders>
      </w:tcPr>
    </w:tblStylePr>
    <w:tblStylePr w:type="lastRow">
      <w:rPr>
        <w:color w:val="auto"/>
      </w:rPr>
      <w:tblPr/>
      <w:tcPr>
        <w:tcBorders>
          <w:top w:val="single" w:sz="4" w:space="0" w:color="A32020"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CVText"/>
    <w:rsid w:val="00C70AB2"/>
    <w:pPr>
      <w:pBdr>
        <w:bottom w:val="none" w:sz="0" w:space="0" w:color="00457C"/>
      </w:pBdr>
    </w:pPr>
    <w:rPr>
      <w:i/>
      <w:color w:val="A32020" w:themeColor="text2"/>
      <w:sz w:val="24"/>
      <w:szCs w:val="24"/>
    </w:rPr>
  </w:style>
  <w:style w:type="paragraph" w:customStyle="1" w:styleId="ListBullet1">
    <w:name w:val="List Bullet 1"/>
    <w:basedOn w:val="Normal"/>
    <w:semiHidden/>
    <w:locked/>
    <w:rsid w:val="006C1EC2"/>
    <w:pPr>
      <w:tabs>
        <w:tab w:val="num" w:pos="720"/>
      </w:tabs>
      <w:spacing w:before="100" w:after="100"/>
      <w:ind w:left="720" w:hanging="720"/>
    </w:pPr>
  </w:style>
  <w:style w:type="paragraph" w:styleId="ListBullet2">
    <w:name w:val="List Bullet 2"/>
    <w:basedOn w:val="ListBullet1"/>
    <w:qFormat/>
    <w:locked/>
    <w:rsid w:val="00CC25DA"/>
    <w:pPr>
      <w:numPr>
        <w:ilvl w:val="1"/>
        <w:numId w:val="5"/>
      </w:numPr>
      <w:spacing w:before="0" w:after="240"/>
    </w:pPr>
  </w:style>
  <w:style w:type="paragraph" w:styleId="ListBullet4">
    <w:name w:val="List Bullet 4"/>
    <w:basedOn w:val="ListBullet3"/>
    <w:unhideWhenUsed/>
    <w:locked/>
    <w:rsid w:val="00F614AA"/>
    <w:pPr>
      <w:numPr>
        <w:ilvl w:val="3"/>
      </w:numPr>
    </w:pPr>
  </w:style>
  <w:style w:type="paragraph" w:customStyle="1" w:styleId="CVBullet1">
    <w:name w:val="CV Bullet 1"/>
    <w:basedOn w:val="CVText"/>
    <w:rsid w:val="00C72147"/>
    <w:pPr>
      <w:numPr>
        <w:numId w:val="10"/>
      </w:numPr>
      <w:spacing w:before="40" w:after="40"/>
    </w:pPr>
  </w:style>
  <w:style w:type="paragraph" w:customStyle="1" w:styleId="CVDetails">
    <w:name w:val="CV Details"/>
    <w:basedOn w:val="CVRoleTitle"/>
    <w:rsid w:val="001226BE"/>
    <w:pPr>
      <w:spacing w:before="120" w:after="40"/>
    </w:pPr>
    <w:rPr>
      <w:sz w:val="14"/>
    </w:rPr>
  </w:style>
  <w:style w:type="paragraph" w:customStyle="1" w:styleId="CVHeading2">
    <w:name w:val="CV Heading 2"/>
    <w:basedOn w:val="CVHeading1"/>
    <w:next w:val="CVText"/>
    <w:rsid w:val="00EF71C9"/>
    <w:pPr>
      <w:pBdr>
        <w:bottom w:val="none" w:sz="0" w:space="0" w:color="00457C"/>
      </w:pBdr>
    </w:pPr>
    <w:rPr>
      <w:b w:val="0"/>
      <w:sz w:val="18"/>
      <w:szCs w:val="24"/>
    </w:rPr>
  </w:style>
  <w:style w:type="paragraph" w:styleId="ListBullet3">
    <w:name w:val="List Bullet 3"/>
    <w:basedOn w:val="ListBullet2"/>
    <w:qFormat/>
    <w:locked/>
    <w:rsid w:val="00CC25DA"/>
    <w:pPr>
      <w:numPr>
        <w:ilvl w:val="2"/>
      </w:numPr>
    </w:pPr>
  </w:style>
  <w:style w:type="paragraph" w:customStyle="1" w:styleId="CVHeading1">
    <w:name w:val="CV Heading 1"/>
    <w:basedOn w:val="CVText"/>
    <w:next w:val="CVText"/>
    <w:rsid w:val="00C70AB2"/>
    <w:pPr>
      <w:keepNext/>
      <w:keepLines/>
      <w:spacing w:before="120"/>
    </w:pPr>
    <w:rPr>
      <w:b/>
      <w:i/>
      <w:color w:val="A32020" w:themeColor="text2"/>
    </w:rPr>
  </w:style>
  <w:style w:type="paragraph" w:customStyle="1" w:styleId="CVPhoto">
    <w:name w:val="CV Photo"/>
    <w:basedOn w:val="CVHeading2"/>
    <w:rsid w:val="00C70AB2"/>
    <w:rPr>
      <w:sz w:val="21"/>
    </w:rPr>
  </w:style>
  <w:style w:type="paragraph" w:customStyle="1" w:styleId="CVText">
    <w:name w:val="CV Text"/>
    <w:basedOn w:val="PwCNormal"/>
    <w:rsid w:val="00C72147"/>
    <w:pPr>
      <w:numPr>
        <w:numId w:val="0"/>
      </w:numPr>
      <w:spacing w:before="80" w:after="80"/>
    </w:pPr>
  </w:style>
  <w:style w:type="paragraph" w:customStyle="1" w:styleId="CVNamelarge">
    <w:name w:val="CV Name large"/>
    <w:basedOn w:val="CVText"/>
    <w:next w:val="CVRoleTitle"/>
    <w:rsid w:val="00C70AB2"/>
    <w:pPr>
      <w:spacing w:before="0"/>
    </w:pPr>
    <w:rPr>
      <w:b/>
      <w:i/>
      <w:color w:val="A32020" w:themeColor="text2"/>
      <w:sz w:val="36"/>
      <w:szCs w:val="24"/>
    </w:rPr>
  </w:style>
  <w:style w:type="paragraph" w:customStyle="1" w:styleId="CVBullet2">
    <w:name w:val="CV Bullet 2"/>
    <w:basedOn w:val="CVBullet1"/>
    <w:rsid w:val="008D4477"/>
    <w:pPr>
      <w:numPr>
        <w:ilvl w:val="1"/>
      </w:numPr>
    </w:pPr>
  </w:style>
  <w:style w:type="paragraph" w:styleId="Title">
    <w:name w:val="Title"/>
    <w:basedOn w:val="Normal"/>
    <w:semiHidden/>
    <w:qFormat/>
    <w:rsid w:val="008D4477"/>
    <w:pPr>
      <w:spacing w:before="240" w:after="60"/>
      <w:jc w:val="center"/>
      <w:outlineLvl w:val="0"/>
    </w:pPr>
    <w:rPr>
      <w:b/>
      <w:bCs/>
      <w:color w:val="A32020" w:themeColor="text2"/>
      <w:kern w:val="28"/>
      <w:sz w:val="32"/>
      <w:szCs w:val="32"/>
    </w:rPr>
  </w:style>
  <w:style w:type="paragraph" w:styleId="BalloonText">
    <w:name w:val="Balloon Text"/>
    <w:basedOn w:val="Normal"/>
    <w:semiHidden/>
    <w:locked/>
    <w:rsid w:val="008D4477"/>
    <w:rPr>
      <w:rFonts w:ascii="Tahoma" w:hAnsi="Tahoma"/>
      <w:sz w:val="16"/>
      <w:szCs w:val="16"/>
    </w:rPr>
  </w:style>
  <w:style w:type="numbering" w:customStyle="1" w:styleId="Style1">
    <w:name w:val="Style1"/>
    <w:uiPriority w:val="99"/>
    <w:rsid w:val="00D424C7"/>
    <w:pPr>
      <w:numPr>
        <w:numId w:val="24"/>
      </w:numPr>
    </w:pPr>
  </w:style>
  <w:style w:type="numbering" w:customStyle="1" w:styleId="IndentList">
    <w:name w:val="IndentList"/>
    <w:basedOn w:val="NoList"/>
    <w:rsid w:val="008D4477"/>
  </w:style>
  <w:style w:type="paragraph" w:customStyle="1" w:styleId="VersionControl">
    <w:name w:val="Version Control"/>
    <w:basedOn w:val="TOCtitle"/>
    <w:unhideWhenUsed/>
    <w:rsid w:val="007D1C0E"/>
    <w:pPr>
      <w:framePr w:w="9923" w:wrap="around" w:vAnchor="text" w:hAnchor="page" w:x="1498" w:y="1"/>
      <w:spacing w:before="360" w:after="240"/>
    </w:pPr>
    <w:rPr>
      <w:sz w:val="28"/>
    </w:rPr>
  </w:style>
  <w:style w:type="paragraph" w:customStyle="1" w:styleId="VersionTableHeading">
    <w:name w:val="Version Table Heading"/>
    <w:basedOn w:val="VersionTableText"/>
    <w:unhideWhenUsed/>
    <w:rsid w:val="003779E0"/>
    <w:pPr>
      <w:framePr w:wrap="around"/>
    </w:pPr>
  </w:style>
  <w:style w:type="paragraph" w:customStyle="1" w:styleId="VersionTableText">
    <w:name w:val="Version Table Text"/>
    <w:basedOn w:val="VersionControl"/>
    <w:unhideWhenUsed/>
    <w:rsid w:val="003779E0"/>
    <w:pPr>
      <w:framePr w:wrap="around"/>
      <w:spacing w:before="80" w:after="80"/>
      <w:outlineLvl w:val="9"/>
    </w:pPr>
    <w:rPr>
      <w:rFonts w:ascii="Georgia" w:hAnsi="Georgia"/>
      <w:sz w:val="21"/>
      <w:szCs w:val="20"/>
    </w:rPr>
  </w:style>
  <w:style w:type="table" w:customStyle="1" w:styleId="Tables-APBase2">
    <w:name w:val="Tables - AP Base 2"/>
    <w:basedOn w:val="Tables-APBase"/>
    <w:uiPriority w:val="99"/>
    <w:qFormat/>
    <w:rsid w:val="003779E0"/>
    <w:tblPr/>
    <w:tcPr>
      <w:shd w:val="clear" w:color="auto" w:fill="auto"/>
    </w:tcPr>
    <w:tblStylePr w:type="firstRow">
      <w:pPr>
        <w:jc w:val="center"/>
      </w:pPr>
      <w:rPr>
        <w:rFonts w:asciiTheme="minorHAnsi" w:hAnsiTheme="minorHAnsi"/>
        <w:b/>
        <w:color w:val="FFFFFF" w:themeColor="background2"/>
      </w:rPr>
      <w:tblPr/>
      <w:trPr>
        <w:tblHeader/>
      </w:trPr>
      <w:tcPr>
        <w:tcBorders>
          <w:top w:val="single" w:sz="4" w:space="0" w:color="A32020" w:themeColor="text2"/>
          <w:bottom w:val="single" w:sz="4" w:space="0" w:color="A32020" w:themeColor="text2"/>
        </w:tcBorders>
        <w:shd w:val="clear" w:color="auto" w:fill="A32020" w:themeFill="text2"/>
        <w:vAlign w:val="bottom"/>
      </w:tcPr>
    </w:tblStylePr>
    <w:tblStylePr w:type="lastRow">
      <w:rPr>
        <w:color w:val="FFFFFF" w:themeColor="background1"/>
      </w:rPr>
      <w:tblPr/>
      <w:tcPr>
        <w:tcBorders>
          <w:top w:val="single" w:sz="4" w:space="0" w:color="A32020" w:themeColor="text2"/>
        </w:tcBorders>
        <w:shd w:val="clear" w:color="auto" w:fill="A32020" w:themeFill="text2"/>
      </w:tcPr>
    </w:tblStylePr>
    <w:tblStylePr w:type="firstCol">
      <w:tblPr/>
      <w:tcPr>
        <w:shd w:val="clear" w:color="auto" w:fill="FFFFFF" w:themeFill="background2"/>
      </w:tcPr>
    </w:tblStylePr>
    <w:tblStylePr w:type="lastCol">
      <w:tblPr/>
      <w:tcPr>
        <w:shd w:val="clear" w:color="auto" w:fill="FFFFFF" w:themeFill="background2"/>
      </w:tcPr>
    </w:tblStylePr>
    <w:tblStylePr w:type="band2Vert">
      <w:tblPr/>
      <w:tcPr>
        <w:shd w:val="clear" w:color="auto" w:fill="F4CACA" w:themeFill="text2" w:themeFillTint="33"/>
      </w:tcPr>
    </w:tblStylePr>
    <w:tblStylePr w:type="band2Horz">
      <w:tblPr/>
      <w:tcPr>
        <w:shd w:val="clear" w:color="auto" w:fill="F4CACA" w:themeFill="text2" w:themeFillTint="33"/>
      </w:tcPr>
    </w:tblStylePr>
    <w:tblStylePr w:type="nwCell">
      <w:pPr>
        <w:jc w:val="left"/>
      </w:pPr>
      <w:tblPr/>
      <w:tcPr>
        <w:shd w:val="clear" w:color="auto" w:fill="FFFFFF" w:themeFill="background1"/>
        <w:vAlign w:val="bottom"/>
      </w:tcPr>
    </w:tblStylePr>
  </w:style>
  <w:style w:type="character" w:customStyle="1" w:styleId="HeaderChar">
    <w:name w:val="Header Char"/>
    <w:basedOn w:val="DefaultParagraphFont"/>
    <w:link w:val="Header"/>
    <w:locked/>
    <w:rsid w:val="00B376A6"/>
    <w:rPr>
      <w:rFonts w:ascii="Arial" w:hAnsi="Arial" w:cs="Arial"/>
      <w:snapToGrid w:val="0"/>
      <w:color w:val="000000" w:themeColor="text1"/>
      <w:sz w:val="19"/>
      <w:szCs w:val="18"/>
      <w:lang w:eastAsia="en-US"/>
    </w:rPr>
  </w:style>
  <w:style w:type="character" w:customStyle="1" w:styleId="FooterChar">
    <w:name w:val="Footer Char"/>
    <w:basedOn w:val="DefaultParagraphFont"/>
    <w:link w:val="Footer"/>
    <w:uiPriority w:val="99"/>
    <w:locked/>
    <w:rsid w:val="00B376A6"/>
    <w:rPr>
      <w:rFonts w:ascii="Arial" w:hAnsi="Arial" w:cs="Arial"/>
      <w:snapToGrid w:val="0"/>
      <w:color w:val="000000" w:themeColor="text1"/>
      <w:sz w:val="19"/>
      <w:szCs w:val="18"/>
      <w:lang w:eastAsia="en-US"/>
    </w:rPr>
  </w:style>
  <w:style w:type="paragraph" w:customStyle="1" w:styleId="Header-FirstPage">
    <w:name w:val="Header - First Page"/>
    <w:basedOn w:val="Header"/>
    <w:rsid w:val="008D4477"/>
  </w:style>
  <w:style w:type="paragraph" w:customStyle="1" w:styleId="Appendicestitle">
    <w:name w:val="Appendices title"/>
    <w:basedOn w:val="TOCtitle"/>
    <w:qFormat/>
    <w:rsid w:val="00D424C7"/>
    <w:pPr>
      <w:numPr>
        <w:ilvl w:val="1"/>
        <w:numId w:val="24"/>
      </w:numPr>
    </w:pPr>
  </w:style>
  <w:style w:type="numbering" w:customStyle="1" w:styleId="CVBullets">
    <w:name w:val="CV Bullets"/>
    <w:uiPriority w:val="99"/>
    <w:rsid w:val="0021094E"/>
    <w:pPr>
      <w:numPr>
        <w:numId w:val="8"/>
      </w:numPr>
    </w:pPr>
  </w:style>
  <w:style w:type="paragraph" w:styleId="DocumentMap">
    <w:name w:val="Document Map"/>
    <w:basedOn w:val="Normal"/>
    <w:link w:val="DocumentMapChar"/>
    <w:semiHidden/>
    <w:rsid w:val="00235653"/>
    <w:rPr>
      <w:rFonts w:ascii="Tahoma" w:hAnsi="Tahoma" w:cs="Tahoma"/>
      <w:sz w:val="16"/>
      <w:szCs w:val="16"/>
    </w:rPr>
  </w:style>
  <w:style w:type="character" w:customStyle="1" w:styleId="DocumentMapChar">
    <w:name w:val="Document Map Char"/>
    <w:basedOn w:val="DefaultParagraphFont"/>
    <w:link w:val="DocumentMap"/>
    <w:semiHidden/>
    <w:rsid w:val="00235653"/>
    <w:rPr>
      <w:rFonts w:ascii="Tahoma" w:hAnsi="Tahoma" w:cs="Tahoma"/>
      <w:snapToGrid w:val="0"/>
      <w:sz w:val="16"/>
      <w:szCs w:val="16"/>
      <w:lang w:eastAsia="en-US"/>
    </w:rPr>
  </w:style>
  <w:style w:type="table" w:styleId="TableGrid1">
    <w:name w:val="Table Grid 1"/>
    <w:basedOn w:val="TableNormal"/>
    <w:semiHidden/>
    <w:locked/>
    <w:rsid w:val="00CC1D52"/>
    <w:pPr>
      <w:kinsoku w:val="0"/>
      <w:overflowPunct w:val="0"/>
      <w:autoSpaceDE w:val="0"/>
      <w:autoSpaceDN w:val="0"/>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CC1D52"/>
    <w:pPr>
      <w:kinsoku w:val="0"/>
      <w:overflowPunct w:val="0"/>
      <w:autoSpaceDE w:val="0"/>
      <w:autoSpaceDN w:val="0"/>
      <w:adjustRightInd w:val="0"/>
      <w:snapToGri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CC1D52"/>
    <w:pPr>
      <w:kinsoku w:val="0"/>
      <w:overflowPunct w:val="0"/>
      <w:autoSpaceDE w:val="0"/>
      <w:autoSpaceDN w:val="0"/>
      <w:adjustRightInd w:val="0"/>
      <w:snapToGri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CC1D52"/>
    <w:pPr>
      <w:kinsoku w:val="0"/>
      <w:overflowPunct w:val="0"/>
      <w:autoSpaceDE w:val="0"/>
      <w:autoSpaceDN w:val="0"/>
      <w:adjustRightInd w:val="0"/>
      <w:snapToGri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CC1D52"/>
    <w:pPr>
      <w:kinsoku w:val="0"/>
      <w:overflowPunct w:val="0"/>
      <w:autoSpaceDE w:val="0"/>
      <w:autoSpaceDN w:val="0"/>
      <w:adjustRightInd w:val="0"/>
      <w:snapToGri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CC1D52"/>
    <w:pPr>
      <w:kinsoku w:val="0"/>
      <w:overflowPunct w:val="0"/>
      <w:autoSpaceDE w:val="0"/>
      <w:autoSpaceDN w:val="0"/>
      <w:adjustRightInd w:val="0"/>
      <w:snapToGri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CC1D52"/>
    <w:pPr>
      <w:kinsoku w:val="0"/>
      <w:overflowPunct w:val="0"/>
      <w:autoSpaceDE w:val="0"/>
      <w:autoSpaceDN w:val="0"/>
      <w:adjustRightInd w:val="0"/>
      <w:snapToGri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CC1D52"/>
    <w:pPr>
      <w:kinsoku w:val="0"/>
      <w:overflowPunct w:val="0"/>
      <w:autoSpaceDE w:val="0"/>
      <w:autoSpaceDN w:val="0"/>
      <w:adjustRightInd w:val="0"/>
      <w:snapToGri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locked/>
    <w:rsid w:val="00020F7F"/>
    <w:pPr>
      <w:kinsoku w:val="0"/>
      <w:overflowPunct w:val="0"/>
      <w:autoSpaceDE w:val="0"/>
      <w:autoSpaceDN w:val="0"/>
      <w:adjustRightInd w:val="0"/>
      <w:snapToGri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semiHidden/>
    <w:rsid w:val="00CC1D52"/>
    <w:pPr>
      <w:kinsoku w:val="0"/>
      <w:overflowPunct w:val="0"/>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nhideWhenUsed/>
    <w:locked/>
    <w:rsid w:val="001E6A5E"/>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1E6A5E"/>
    <w:rPr>
      <w:rFonts w:ascii="Consolas" w:hAnsi="Consolas" w:cs="Arial"/>
      <w:snapToGrid w:val="0"/>
      <w:sz w:val="20"/>
      <w:szCs w:val="20"/>
      <w:lang w:eastAsia="en-US"/>
    </w:rPr>
  </w:style>
  <w:style w:type="paragraph" w:styleId="Bibliography">
    <w:name w:val="Bibliography"/>
    <w:basedOn w:val="Normal"/>
    <w:next w:val="Normal"/>
    <w:uiPriority w:val="37"/>
    <w:semiHidden/>
    <w:locked/>
    <w:rsid w:val="007D1C0E"/>
  </w:style>
  <w:style w:type="paragraph" w:styleId="BlockText">
    <w:name w:val="Block Text"/>
    <w:basedOn w:val="Normal"/>
    <w:qFormat/>
    <w:rsid w:val="0071186F"/>
    <w:pPr>
      <w:spacing w:after="240"/>
    </w:pPr>
    <w:rPr>
      <w:rFonts w:eastAsiaTheme="minorEastAsia" w:cstheme="minorBidi"/>
      <w:b/>
      <w:i/>
      <w:iCs/>
      <w:color w:val="A32020" w:themeColor="accent1"/>
      <w:sz w:val="48"/>
    </w:rPr>
  </w:style>
  <w:style w:type="paragraph" w:styleId="BodyText">
    <w:name w:val="Body Text"/>
    <w:basedOn w:val="Normal"/>
    <w:link w:val="BodyTextChar"/>
    <w:semiHidden/>
    <w:locked/>
    <w:rsid w:val="00452AF1"/>
    <w:pPr>
      <w:spacing w:after="240"/>
    </w:pPr>
  </w:style>
  <w:style w:type="character" w:customStyle="1" w:styleId="BodyTextChar">
    <w:name w:val="Body Text Char"/>
    <w:basedOn w:val="DefaultParagraphFont"/>
    <w:link w:val="BodyText"/>
    <w:semiHidden/>
    <w:rsid w:val="00452AF1"/>
    <w:rPr>
      <w:rFonts w:cs="Arial"/>
      <w:snapToGrid w:val="0"/>
      <w:lang w:eastAsia="en-US"/>
    </w:rPr>
  </w:style>
  <w:style w:type="paragraph" w:styleId="BodyText2">
    <w:name w:val="Body Text 2"/>
    <w:basedOn w:val="Normal"/>
    <w:link w:val="BodyText2Char"/>
    <w:semiHidden/>
    <w:locked/>
    <w:rsid w:val="007D1C0E"/>
    <w:pPr>
      <w:spacing w:after="120" w:line="480" w:lineRule="auto"/>
    </w:pPr>
  </w:style>
  <w:style w:type="character" w:customStyle="1" w:styleId="BodyText2Char">
    <w:name w:val="Body Text 2 Char"/>
    <w:basedOn w:val="DefaultParagraphFont"/>
    <w:link w:val="BodyText2"/>
    <w:semiHidden/>
    <w:rsid w:val="007D1C0E"/>
    <w:rPr>
      <w:rFonts w:ascii="Georgia" w:hAnsi="Georgia" w:cs="Arial"/>
      <w:snapToGrid w:val="0"/>
      <w:sz w:val="20"/>
      <w:lang w:eastAsia="en-US"/>
    </w:rPr>
  </w:style>
  <w:style w:type="paragraph" w:styleId="BodyText3">
    <w:name w:val="Body Text 3"/>
    <w:basedOn w:val="Normal"/>
    <w:link w:val="BodyText3Char"/>
    <w:semiHidden/>
    <w:locked/>
    <w:rsid w:val="007D1C0E"/>
    <w:pPr>
      <w:spacing w:after="120"/>
    </w:pPr>
    <w:rPr>
      <w:sz w:val="16"/>
      <w:szCs w:val="16"/>
    </w:rPr>
  </w:style>
  <w:style w:type="character" w:customStyle="1" w:styleId="BodyText3Char">
    <w:name w:val="Body Text 3 Char"/>
    <w:basedOn w:val="DefaultParagraphFont"/>
    <w:link w:val="BodyText3"/>
    <w:semiHidden/>
    <w:rsid w:val="007D1C0E"/>
    <w:rPr>
      <w:rFonts w:ascii="Georgia" w:hAnsi="Georgia" w:cs="Arial"/>
      <w:snapToGrid w:val="0"/>
      <w:sz w:val="16"/>
      <w:szCs w:val="16"/>
      <w:lang w:eastAsia="en-US"/>
    </w:rPr>
  </w:style>
  <w:style w:type="paragraph" w:styleId="BodyTextFirstIndent">
    <w:name w:val="Body Text First Indent"/>
    <w:basedOn w:val="BodyText"/>
    <w:link w:val="BodyTextFirstIndentChar"/>
    <w:semiHidden/>
    <w:locked/>
    <w:rsid w:val="007D1C0E"/>
    <w:pPr>
      <w:spacing w:after="0"/>
      <w:ind w:firstLine="360"/>
    </w:pPr>
  </w:style>
  <w:style w:type="character" w:customStyle="1" w:styleId="BodyTextFirstIndentChar">
    <w:name w:val="Body Text First Indent Char"/>
    <w:basedOn w:val="BodyTextChar"/>
    <w:link w:val="BodyTextFirstIndent"/>
    <w:semiHidden/>
    <w:rsid w:val="007D1C0E"/>
    <w:rPr>
      <w:rFonts w:cs="Arial"/>
      <w:snapToGrid w:val="0"/>
      <w:lang w:eastAsia="en-US"/>
    </w:rPr>
  </w:style>
  <w:style w:type="paragraph" w:styleId="BodyTextIndent">
    <w:name w:val="Body Text Indent"/>
    <w:basedOn w:val="Normal"/>
    <w:link w:val="BodyTextIndentChar"/>
    <w:semiHidden/>
    <w:locked/>
    <w:rsid w:val="007D1C0E"/>
    <w:pPr>
      <w:spacing w:after="120"/>
      <w:ind w:left="283"/>
    </w:pPr>
  </w:style>
  <w:style w:type="character" w:customStyle="1" w:styleId="BodyTextIndentChar">
    <w:name w:val="Body Text Indent Char"/>
    <w:basedOn w:val="DefaultParagraphFont"/>
    <w:link w:val="BodyTextIndent"/>
    <w:semiHidden/>
    <w:rsid w:val="007D1C0E"/>
    <w:rPr>
      <w:rFonts w:ascii="Georgia" w:hAnsi="Georgia" w:cs="Arial"/>
      <w:snapToGrid w:val="0"/>
      <w:sz w:val="20"/>
      <w:lang w:eastAsia="en-US"/>
    </w:rPr>
  </w:style>
  <w:style w:type="paragraph" w:styleId="BodyTextFirstIndent2">
    <w:name w:val="Body Text First Indent 2"/>
    <w:basedOn w:val="BodyTextIndent"/>
    <w:link w:val="BodyTextFirstIndent2Char"/>
    <w:semiHidden/>
    <w:locked/>
    <w:rsid w:val="007D1C0E"/>
    <w:pPr>
      <w:spacing w:after="0"/>
      <w:ind w:left="360" w:firstLine="360"/>
    </w:pPr>
  </w:style>
  <w:style w:type="character" w:customStyle="1" w:styleId="BodyTextFirstIndent2Char">
    <w:name w:val="Body Text First Indent 2 Char"/>
    <w:basedOn w:val="BodyTextIndentChar"/>
    <w:link w:val="BodyTextFirstIndent2"/>
    <w:semiHidden/>
    <w:rsid w:val="007D1C0E"/>
    <w:rPr>
      <w:rFonts w:ascii="Georgia" w:hAnsi="Georgia" w:cs="Arial"/>
      <w:snapToGrid w:val="0"/>
      <w:sz w:val="20"/>
      <w:lang w:eastAsia="en-US"/>
    </w:rPr>
  </w:style>
  <w:style w:type="paragraph" w:styleId="BodyTextIndent2">
    <w:name w:val="Body Text Indent 2"/>
    <w:basedOn w:val="Normal"/>
    <w:link w:val="BodyTextIndent2Char"/>
    <w:semiHidden/>
    <w:locked/>
    <w:rsid w:val="007D1C0E"/>
    <w:pPr>
      <w:spacing w:after="120" w:line="480" w:lineRule="auto"/>
      <w:ind w:left="283"/>
    </w:pPr>
  </w:style>
  <w:style w:type="character" w:customStyle="1" w:styleId="BodyTextIndent2Char">
    <w:name w:val="Body Text Indent 2 Char"/>
    <w:basedOn w:val="DefaultParagraphFont"/>
    <w:link w:val="BodyTextIndent2"/>
    <w:semiHidden/>
    <w:rsid w:val="007D1C0E"/>
    <w:rPr>
      <w:rFonts w:ascii="Georgia" w:hAnsi="Georgia" w:cs="Arial"/>
      <w:snapToGrid w:val="0"/>
      <w:sz w:val="20"/>
      <w:lang w:eastAsia="en-US"/>
    </w:rPr>
  </w:style>
  <w:style w:type="paragraph" w:styleId="BodyTextIndent3">
    <w:name w:val="Body Text Indent 3"/>
    <w:basedOn w:val="Normal"/>
    <w:link w:val="BodyTextIndent3Char"/>
    <w:semiHidden/>
    <w:locked/>
    <w:rsid w:val="007D1C0E"/>
    <w:pPr>
      <w:spacing w:after="120"/>
      <w:ind w:left="283"/>
    </w:pPr>
    <w:rPr>
      <w:sz w:val="16"/>
      <w:szCs w:val="16"/>
    </w:rPr>
  </w:style>
  <w:style w:type="character" w:customStyle="1" w:styleId="BodyTextIndent3Char">
    <w:name w:val="Body Text Indent 3 Char"/>
    <w:basedOn w:val="DefaultParagraphFont"/>
    <w:link w:val="BodyTextIndent3"/>
    <w:semiHidden/>
    <w:rsid w:val="007D1C0E"/>
    <w:rPr>
      <w:rFonts w:ascii="Georgia" w:hAnsi="Georgia" w:cs="Arial"/>
      <w:snapToGrid w:val="0"/>
      <w:sz w:val="16"/>
      <w:szCs w:val="16"/>
      <w:lang w:eastAsia="en-US"/>
    </w:rPr>
  </w:style>
  <w:style w:type="character" w:styleId="BookTitle">
    <w:name w:val="Book Title"/>
    <w:basedOn w:val="DefaultParagraphFont"/>
    <w:uiPriority w:val="33"/>
    <w:semiHidden/>
    <w:qFormat/>
    <w:locked/>
    <w:rsid w:val="007D1C0E"/>
    <w:rPr>
      <w:rFonts w:ascii="Georgia" w:hAnsi="Georgia"/>
      <w:b/>
      <w:bCs/>
      <w:smallCaps/>
      <w:spacing w:val="5"/>
    </w:rPr>
  </w:style>
  <w:style w:type="paragraph" w:styleId="Closing">
    <w:name w:val="Closing"/>
    <w:basedOn w:val="Normal"/>
    <w:link w:val="ClosingChar"/>
    <w:semiHidden/>
    <w:unhideWhenUsed/>
    <w:rsid w:val="007D1C0E"/>
    <w:pPr>
      <w:ind w:left="4252"/>
    </w:pPr>
  </w:style>
  <w:style w:type="character" w:customStyle="1" w:styleId="ClosingChar">
    <w:name w:val="Closing Char"/>
    <w:basedOn w:val="DefaultParagraphFont"/>
    <w:link w:val="Closing"/>
    <w:semiHidden/>
    <w:rsid w:val="007D1C0E"/>
    <w:rPr>
      <w:rFonts w:ascii="Georgia" w:hAnsi="Georgia" w:cs="Arial"/>
      <w:snapToGrid w:val="0"/>
      <w:sz w:val="20"/>
      <w:lang w:eastAsia="en-US"/>
    </w:rPr>
  </w:style>
  <w:style w:type="character" w:styleId="CommentReference">
    <w:name w:val="annotation reference"/>
    <w:basedOn w:val="DefaultParagraphFont"/>
    <w:semiHidden/>
    <w:rsid w:val="007D1C0E"/>
    <w:rPr>
      <w:rFonts w:ascii="Georgia" w:hAnsi="Georgia"/>
      <w:sz w:val="16"/>
      <w:szCs w:val="16"/>
    </w:rPr>
  </w:style>
  <w:style w:type="paragraph" w:styleId="CommentText">
    <w:name w:val="annotation text"/>
    <w:basedOn w:val="Normal"/>
    <w:link w:val="CommentTextChar"/>
    <w:semiHidden/>
    <w:rsid w:val="007D1C0E"/>
  </w:style>
  <w:style w:type="character" w:customStyle="1" w:styleId="CommentTextChar">
    <w:name w:val="Comment Text Char"/>
    <w:basedOn w:val="DefaultParagraphFont"/>
    <w:link w:val="CommentText"/>
    <w:semiHidden/>
    <w:rsid w:val="007D1C0E"/>
    <w:rPr>
      <w:rFonts w:ascii="Georgia" w:hAnsi="Georgia" w:cs="Arial"/>
      <w:snapToGrid w:val="0"/>
      <w:sz w:val="20"/>
      <w:szCs w:val="20"/>
      <w:lang w:eastAsia="en-US"/>
    </w:rPr>
  </w:style>
  <w:style w:type="paragraph" w:styleId="CommentSubject">
    <w:name w:val="annotation subject"/>
    <w:basedOn w:val="CommentText"/>
    <w:next w:val="CommentText"/>
    <w:link w:val="CommentSubjectChar"/>
    <w:semiHidden/>
    <w:rsid w:val="007D1C0E"/>
    <w:rPr>
      <w:b/>
      <w:bCs/>
    </w:rPr>
  </w:style>
  <w:style w:type="character" w:customStyle="1" w:styleId="CommentSubjectChar">
    <w:name w:val="Comment Subject Char"/>
    <w:basedOn w:val="CommentTextChar"/>
    <w:link w:val="CommentSubject"/>
    <w:semiHidden/>
    <w:rsid w:val="007D1C0E"/>
    <w:rPr>
      <w:rFonts w:ascii="Georgia" w:hAnsi="Georgia" w:cs="Arial"/>
      <w:b/>
      <w:bCs/>
      <w:snapToGrid w:val="0"/>
      <w:sz w:val="20"/>
      <w:szCs w:val="20"/>
      <w:lang w:eastAsia="en-US"/>
    </w:rPr>
  </w:style>
  <w:style w:type="paragraph" w:styleId="EnvelopeAddress">
    <w:name w:val="envelope address"/>
    <w:basedOn w:val="Normal"/>
    <w:semiHidden/>
    <w:unhideWhenUsed/>
    <w:locked/>
    <w:rsid w:val="007D1C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locked/>
    <w:rsid w:val="007D1C0E"/>
    <w:rPr>
      <w:rFonts w:asciiTheme="majorHAnsi" w:eastAsiaTheme="majorEastAsia" w:hAnsiTheme="majorHAnsi" w:cstheme="majorBidi"/>
    </w:rPr>
  </w:style>
  <w:style w:type="character" w:styleId="FollowedHyperlink">
    <w:name w:val="FollowedHyperlink"/>
    <w:basedOn w:val="DefaultParagraphFont"/>
    <w:uiPriority w:val="99"/>
    <w:semiHidden/>
    <w:rsid w:val="007D1C0E"/>
    <w:rPr>
      <w:color w:val="A32020" w:themeColor="followedHyperlink"/>
      <w:u w:val="single"/>
    </w:rPr>
  </w:style>
  <w:style w:type="character" w:styleId="Hyperlink">
    <w:name w:val="Hyperlink"/>
    <w:basedOn w:val="DefaultParagraphFont"/>
    <w:uiPriority w:val="99"/>
    <w:rsid w:val="00185720"/>
    <w:rPr>
      <w:color w:val="A32020" w:themeColor="text2"/>
      <w:u w:val="single"/>
    </w:rPr>
  </w:style>
  <w:style w:type="paragraph" w:styleId="IndexHeading">
    <w:name w:val="index heading"/>
    <w:basedOn w:val="Normal"/>
    <w:next w:val="Normal"/>
    <w:semiHidden/>
    <w:rsid w:val="007D1C0E"/>
    <w:rPr>
      <w:rFonts w:asciiTheme="majorHAnsi" w:eastAsiaTheme="majorEastAsia" w:hAnsiTheme="majorHAnsi" w:cstheme="majorBidi"/>
      <w:b/>
      <w:bCs/>
    </w:rPr>
  </w:style>
  <w:style w:type="paragraph" w:customStyle="1" w:styleId="BlockTextClient">
    <w:name w:val="Block Text Client"/>
    <w:basedOn w:val="BlockText"/>
    <w:rsid w:val="004138E6"/>
    <w:pPr>
      <w:spacing w:after="0"/>
    </w:pPr>
    <w:rPr>
      <w:b w:val="0"/>
      <w:sz w:val="20"/>
    </w:rPr>
  </w:style>
  <w:style w:type="paragraph" w:customStyle="1" w:styleId="BlockTextPosition">
    <w:name w:val="Block Text Position"/>
    <w:basedOn w:val="BlockText"/>
    <w:rsid w:val="004138E6"/>
    <w:rPr>
      <w:b w:val="0"/>
      <w:i w:val="0"/>
      <w:sz w:val="20"/>
    </w:rPr>
  </w:style>
  <w:style w:type="paragraph" w:customStyle="1" w:styleId="BlockText2Client">
    <w:name w:val="Block Text 2 Client"/>
    <w:basedOn w:val="BlockText2"/>
    <w:rsid w:val="004138E6"/>
    <w:pPr>
      <w:spacing w:after="0"/>
    </w:pPr>
    <w:rPr>
      <w:sz w:val="20"/>
      <w:szCs w:val="20"/>
    </w:rPr>
  </w:style>
  <w:style w:type="paragraph" w:customStyle="1" w:styleId="BlockText2Position">
    <w:name w:val="Block Text 2 Position"/>
    <w:basedOn w:val="BlockText2"/>
    <w:rsid w:val="004138E6"/>
    <w:rPr>
      <w:i w:val="0"/>
      <w:sz w:val="20"/>
      <w:szCs w:val="20"/>
    </w:rPr>
  </w:style>
  <w:style w:type="character" w:styleId="LineNumber">
    <w:name w:val="line number"/>
    <w:basedOn w:val="DefaultParagraphFont"/>
    <w:semiHidden/>
    <w:rsid w:val="007D1C0E"/>
  </w:style>
  <w:style w:type="paragraph" w:styleId="ListBullet">
    <w:name w:val="List Bullet"/>
    <w:basedOn w:val="Normal"/>
    <w:link w:val="ListBulletChar"/>
    <w:qFormat/>
    <w:locked/>
    <w:rsid w:val="00CC25DA"/>
    <w:pPr>
      <w:numPr>
        <w:numId w:val="5"/>
      </w:numPr>
      <w:spacing w:after="240"/>
    </w:pPr>
  </w:style>
  <w:style w:type="paragraph" w:styleId="ListBullet5">
    <w:name w:val="List Bullet 5"/>
    <w:basedOn w:val="ListBullet4"/>
    <w:unhideWhenUsed/>
    <w:locked/>
    <w:rsid w:val="00CC25DA"/>
    <w:pPr>
      <w:numPr>
        <w:ilvl w:val="4"/>
      </w:numPr>
      <w:contextualSpacing/>
    </w:pPr>
  </w:style>
  <w:style w:type="paragraph" w:styleId="ListNumber">
    <w:name w:val="List Number"/>
    <w:basedOn w:val="Normal"/>
    <w:uiPriority w:val="13"/>
    <w:unhideWhenUsed/>
    <w:qFormat/>
    <w:locked/>
    <w:rsid w:val="009E54C5"/>
    <w:pPr>
      <w:numPr>
        <w:numId w:val="19"/>
      </w:numPr>
      <w:contextualSpacing/>
    </w:pPr>
  </w:style>
  <w:style w:type="paragraph" w:styleId="ListNumber2">
    <w:name w:val="List Number 2"/>
    <w:basedOn w:val="ListNumber"/>
    <w:uiPriority w:val="13"/>
    <w:unhideWhenUsed/>
    <w:qFormat/>
    <w:locked/>
    <w:rsid w:val="009E54C5"/>
    <w:pPr>
      <w:numPr>
        <w:ilvl w:val="1"/>
      </w:numPr>
    </w:pPr>
  </w:style>
  <w:style w:type="paragraph" w:styleId="ListNumber3">
    <w:name w:val="List Number 3"/>
    <w:basedOn w:val="ListNumber2"/>
    <w:uiPriority w:val="13"/>
    <w:unhideWhenUsed/>
    <w:qFormat/>
    <w:locked/>
    <w:rsid w:val="009E54C5"/>
    <w:pPr>
      <w:numPr>
        <w:ilvl w:val="2"/>
      </w:numPr>
    </w:pPr>
  </w:style>
  <w:style w:type="paragraph" w:styleId="ListNumber4">
    <w:name w:val="List Number 4"/>
    <w:basedOn w:val="ListNumber3"/>
    <w:uiPriority w:val="13"/>
    <w:unhideWhenUsed/>
    <w:locked/>
    <w:rsid w:val="009E54C5"/>
    <w:pPr>
      <w:numPr>
        <w:ilvl w:val="3"/>
      </w:numPr>
    </w:pPr>
  </w:style>
  <w:style w:type="paragraph" w:styleId="ListNumber5">
    <w:name w:val="List Number 5"/>
    <w:basedOn w:val="ListNumber4"/>
    <w:uiPriority w:val="13"/>
    <w:unhideWhenUsed/>
    <w:locked/>
    <w:rsid w:val="009E54C5"/>
    <w:pPr>
      <w:numPr>
        <w:ilvl w:val="4"/>
      </w:numPr>
    </w:pPr>
  </w:style>
  <w:style w:type="paragraph" w:styleId="ListParagraph">
    <w:name w:val="List Paragraph"/>
    <w:basedOn w:val="Normal"/>
    <w:uiPriority w:val="34"/>
    <w:qFormat/>
    <w:locked/>
    <w:rsid w:val="007D1C0E"/>
    <w:pPr>
      <w:ind w:left="720"/>
      <w:contextualSpacing/>
    </w:pPr>
  </w:style>
  <w:style w:type="paragraph" w:styleId="MessageHeader">
    <w:name w:val="Message Header"/>
    <w:basedOn w:val="Normal"/>
    <w:link w:val="MessageHeaderChar"/>
    <w:semiHidden/>
    <w:rsid w:val="007D1C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1C0E"/>
    <w:rPr>
      <w:rFonts w:asciiTheme="majorHAnsi" w:eastAsiaTheme="majorEastAsia" w:hAnsiTheme="majorHAnsi" w:cstheme="majorBidi"/>
      <w:snapToGrid w:val="0"/>
      <w:sz w:val="24"/>
      <w:szCs w:val="24"/>
      <w:shd w:val="pct20" w:color="auto" w:fill="auto"/>
      <w:lang w:eastAsia="en-US"/>
    </w:rPr>
  </w:style>
  <w:style w:type="paragraph" w:styleId="NoSpacing">
    <w:name w:val="No Spacing"/>
    <w:uiPriority w:val="1"/>
    <w:semiHidden/>
    <w:qFormat/>
    <w:rsid w:val="007D1C0E"/>
    <w:pPr>
      <w:kinsoku w:val="0"/>
      <w:overflowPunct w:val="0"/>
      <w:autoSpaceDE w:val="0"/>
      <w:autoSpaceDN w:val="0"/>
      <w:adjustRightInd w:val="0"/>
      <w:snapToGrid w:val="0"/>
    </w:pPr>
    <w:rPr>
      <w:rFonts w:cs="Arial"/>
      <w:snapToGrid w:val="0"/>
      <w:lang w:eastAsia="en-US"/>
    </w:rPr>
  </w:style>
  <w:style w:type="paragraph" w:styleId="NormalIndent">
    <w:name w:val="Normal Indent"/>
    <w:basedOn w:val="Normal"/>
    <w:semiHidden/>
    <w:rsid w:val="007D1C0E"/>
    <w:pPr>
      <w:ind w:left="720"/>
    </w:pPr>
  </w:style>
  <w:style w:type="paragraph" w:styleId="NoteHeading">
    <w:name w:val="Note Heading"/>
    <w:basedOn w:val="Normal"/>
    <w:next w:val="Normal"/>
    <w:link w:val="NoteHeadingChar"/>
    <w:semiHidden/>
    <w:unhideWhenUsed/>
    <w:rsid w:val="007D1C0E"/>
  </w:style>
  <w:style w:type="character" w:customStyle="1" w:styleId="NoteHeadingChar">
    <w:name w:val="Note Heading Char"/>
    <w:basedOn w:val="DefaultParagraphFont"/>
    <w:link w:val="NoteHeading"/>
    <w:semiHidden/>
    <w:rsid w:val="007D1C0E"/>
    <w:rPr>
      <w:rFonts w:cs="Arial"/>
      <w:snapToGrid w:val="0"/>
      <w:lang w:eastAsia="en-US"/>
    </w:rPr>
  </w:style>
  <w:style w:type="character" w:styleId="PlaceholderText">
    <w:name w:val="Placeholder Text"/>
    <w:basedOn w:val="DefaultParagraphFont"/>
    <w:uiPriority w:val="99"/>
    <w:semiHidden/>
    <w:rsid w:val="007D1C0E"/>
    <w:rPr>
      <w:color w:val="808080"/>
    </w:rPr>
  </w:style>
  <w:style w:type="paragraph" w:styleId="PlainText">
    <w:name w:val="Plain Text"/>
    <w:basedOn w:val="Normal"/>
    <w:link w:val="PlainTextChar"/>
    <w:semiHidden/>
    <w:rsid w:val="007D1C0E"/>
    <w:rPr>
      <w:rFonts w:ascii="Consolas" w:hAnsi="Consolas"/>
    </w:rPr>
  </w:style>
  <w:style w:type="character" w:customStyle="1" w:styleId="PlainTextChar">
    <w:name w:val="Plain Text Char"/>
    <w:basedOn w:val="DefaultParagraphFont"/>
    <w:link w:val="PlainText"/>
    <w:semiHidden/>
    <w:rsid w:val="007D1C0E"/>
    <w:rPr>
      <w:rFonts w:ascii="Consolas" w:hAnsi="Consolas" w:cs="Arial"/>
      <w:snapToGrid w:val="0"/>
      <w:lang w:eastAsia="en-US"/>
    </w:rPr>
  </w:style>
  <w:style w:type="paragraph" w:styleId="Quote">
    <w:name w:val="Quote"/>
    <w:basedOn w:val="Normal"/>
    <w:next w:val="Normal"/>
    <w:link w:val="QuoteChar"/>
    <w:uiPriority w:val="29"/>
    <w:semiHidden/>
    <w:qFormat/>
    <w:rsid w:val="007D1C0E"/>
    <w:rPr>
      <w:i/>
      <w:iCs/>
      <w:color w:val="000000" w:themeColor="text1"/>
    </w:rPr>
  </w:style>
  <w:style w:type="character" w:customStyle="1" w:styleId="QuoteChar">
    <w:name w:val="Quote Char"/>
    <w:basedOn w:val="DefaultParagraphFont"/>
    <w:link w:val="Quote"/>
    <w:uiPriority w:val="29"/>
    <w:semiHidden/>
    <w:rsid w:val="007D1C0E"/>
    <w:rPr>
      <w:rFonts w:cs="Arial"/>
      <w:i/>
      <w:iCs/>
      <w:snapToGrid w:val="0"/>
      <w:color w:val="000000" w:themeColor="text1"/>
      <w:lang w:eastAsia="en-US"/>
    </w:rPr>
  </w:style>
  <w:style w:type="paragraph" w:styleId="Salutation">
    <w:name w:val="Salutation"/>
    <w:basedOn w:val="Normal"/>
    <w:next w:val="Normal"/>
    <w:link w:val="SalutationChar"/>
    <w:semiHidden/>
    <w:unhideWhenUsed/>
    <w:rsid w:val="007D1C0E"/>
  </w:style>
  <w:style w:type="character" w:customStyle="1" w:styleId="SalutationChar">
    <w:name w:val="Salutation Char"/>
    <w:basedOn w:val="DefaultParagraphFont"/>
    <w:link w:val="Salutation"/>
    <w:semiHidden/>
    <w:rsid w:val="007D1C0E"/>
    <w:rPr>
      <w:rFonts w:cs="Arial"/>
      <w:snapToGrid w:val="0"/>
      <w:lang w:eastAsia="en-US"/>
    </w:rPr>
  </w:style>
  <w:style w:type="paragraph" w:styleId="Signature">
    <w:name w:val="Signature"/>
    <w:basedOn w:val="Normal"/>
    <w:link w:val="SignatureChar"/>
    <w:semiHidden/>
    <w:rsid w:val="007D1C0E"/>
    <w:pPr>
      <w:ind w:left="4252"/>
    </w:pPr>
  </w:style>
  <w:style w:type="character" w:customStyle="1" w:styleId="SignatureChar">
    <w:name w:val="Signature Char"/>
    <w:basedOn w:val="DefaultParagraphFont"/>
    <w:link w:val="Signature"/>
    <w:semiHidden/>
    <w:rsid w:val="007D1C0E"/>
    <w:rPr>
      <w:rFonts w:cs="Arial"/>
      <w:snapToGrid w:val="0"/>
      <w:lang w:eastAsia="en-US"/>
    </w:rPr>
  </w:style>
  <w:style w:type="paragraph" w:styleId="TableofAuthorities">
    <w:name w:val="table of authorities"/>
    <w:basedOn w:val="Normal"/>
    <w:next w:val="Normal"/>
    <w:semiHidden/>
    <w:unhideWhenUsed/>
    <w:rsid w:val="007D1C0E"/>
    <w:pPr>
      <w:ind w:left="210" w:hanging="210"/>
    </w:pPr>
  </w:style>
  <w:style w:type="paragraph" w:styleId="TableofFigures">
    <w:name w:val="table of figures"/>
    <w:basedOn w:val="Normal"/>
    <w:next w:val="Normal"/>
    <w:uiPriority w:val="99"/>
    <w:unhideWhenUsed/>
    <w:rsid w:val="007D1C0E"/>
  </w:style>
  <w:style w:type="paragraph" w:styleId="TOAHeading">
    <w:name w:val="toa heading"/>
    <w:basedOn w:val="Normal"/>
    <w:next w:val="Normal"/>
    <w:semiHidden/>
    <w:unhideWhenUsed/>
    <w:rsid w:val="007D1C0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1C0E"/>
    <w:pPr>
      <w:spacing w:before="480"/>
      <w:outlineLvl w:val="9"/>
    </w:pPr>
    <w:rPr>
      <w:rFonts w:eastAsiaTheme="majorEastAsia" w:cstheme="majorBidi"/>
      <w:color w:val="7A1818" w:themeColor="accent1" w:themeShade="BF"/>
      <w:sz w:val="28"/>
      <w:szCs w:val="28"/>
    </w:rPr>
  </w:style>
  <w:style w:type="paragraph" w:customStyle="1" w:styleId="CoverPanelFrame">
    <w:name w:val="Cover Panel Frame"/>
    <w:basedOn w:val="Coverpulloutframe"/>
    <w:rsid w:val="0059630D"/>
    <w:pPr>
      <w:framePr w:w="7441" w:wrap="notBeside" w:vAnchor="margin" w:hAnchor="text" w:x="-112" w:y="1"/>
      <w:pBdr>
        <w:top w:val="single" w:sz="4" w:space="1" w:color="auto"/>
        <w:left w:val="single" w:sz="4" w:space="4" w:color="auto"/>
      </w:pBdr>
    </w:pPr>
    <w:rPr>
      <w:rFonts w:eastAsia="+mn-ea"/>
    </w:rPr>
  </w:style>
  <w:style w:type="paragraph" w:customStyle="1" w:styleId="LogoActivated">
    <w:name w:val="Logo Activated"/>
    <w:basedOn w:val="Normal"/>
    <w:rsid w:val="00993DBB"/>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FirstPagePanelFrame">
    <w:name w:val="First Page Panel Frame"/>
    <w:basedOn w:val="CoverPanelFrame"/>
    <w:rsid w:val="00086603"/>
    <w:pPr>
      <w:framePr w:w="8334" w:h="227" w:hRule="exact" w:wrap="notBeside" w:y="-169"/>
      <w:pBdr>
        <w:top w:val="single" w:sz="6" w:space="1" w:color="A32020" w:themeColor="text2"/>
        <w:left w:val="single" w:sz="6" w:space="4" w:color="A32020" w:themeColor="text2"/>
      </w:pBdr>
    </w:pPr>
  </w:style>
  <w:style w:type="paragraph" w:customStyle="1" w:styleId="URLCover">
    <w:name w:val="URL Cover"/>
    <w:basedOn w:val="Normal"/>
    <w:rsid w:val="00270144"/>
    <w:rPr>
      <w:color w:val="000000" w:themeColor="text1"/>
      <w:sz w:val="19"/>
    </w:rPr>
  </w:style>
  <w:style w:type="paragraph" w:customStyle="1" w:styleId="Coverpulloutframe">
    <w:name w:val="Cover pull out frame"/>
    <w:basedOn w:val="KeySentenceInside"/>
    <w:rsid w:val="00FF1B96"/>
    <w:pPr>
      <w:framePr w:w="2189" w:h="227" w:wrap="notBeside" w:vAnchor="page" w:hAnchor="page" w:x="908" w:y="8414"/>
      <w:pBdr>
        <w:top w:val="dotted" w:sz="8" w:space="1" w:color="A32020" w:themeColor="text2"/>
        <w:left w:val="dotted" w:sz="8" w:space="4" w:color="A32020" w:themeColor="text2"/>
      </w:pBdr>
      <w:spacing w:after="0" w:line="0" w:lineRule="atLeast"/>
    </w:pPr>
    <w:rPr>
      <w:color w:val="auto"/>
      <w:sz w:val="8"/>
      <w:lang w:val="en-GB"/>
    </w:rPr>
  </w:style>
  <w:style w:type="paragraph" w:customStyle="1" w:styleId="CoverOutcomeHeadline">
    <w:name w:val="Cover Outcome Headline"/>
    <w:basedOn w:val="PwCNormal"/>
    <w:rsid w:val="00617CBF"/>
    <w:pPr>
      <w:spacing w:after="0" w:line="960" w:lineRule="atLeast"/>
      <w:ind w:right="1701"/>
    </w:pPr>
    <w:rPr>
      <w:b/>
      <w:i/>
      <w:color w:val="000000"/>
      <w:sz w:val="88"/>
      <w:szCs w:val="88"/>
      <w:lang w:val="en-GB"/>
    </w:rPr>
  </w:style>
  <w:style w:type="paragraph" w:customStyle="1" w:styleId="CoverOutcomeSubtitle">
    <w:name w:val="Cover Outcome Subtitle"/>
    <w:basedOn w:val="CoverOutcomeHeadline"/>
    <w:rsid w:val="00A93A63"/>
    <w:rPr>
      <w:b w:val="0"/>
      <w:i w:val="0"/>
    </w:rPr>
  </w:style>
  <w:style w:type="paragraph" w:customStyle="1" w:styleId="LogoFixed">
    <w:name w:val="Logo Fixed"/>
    <w:basedOn w:val="LogoActivated"/>
    <w:rsid w:val="003D28AE"/>
    <w:pPr>
      <w:framePr w:h="2733" w:hRule="exact" w:wrap="around" w:x="1322" w:y="14125"/>
    </w:pPr>
  </w:style>
  <w:style w:type="paragraph" w:customStyle="1" w:styleId="NumericCaption">
    <w:name w:val="Numeric Caption"/>
    <w:basedOn w:val="Caption"/>
    <w:rsid w:val="00053B82"/>
    <w:rPr>
      <w:rFonts w:ascii="Arial" w:hAnsi="Arial"/>
    </w:rPr>
  </w:style>
  <w:style w:type="paragraph" w:customStyle="1" w:styleId="NumericTableColumnHeadingNormal">
    <w:name w:val="Numeric Table Column Heading Normal"/>
    <w:basedOn w:val="TableColumnHeadingNormal"/>
    <w:rsid w:val="00053B82"/>
    <w:rPr>
      <w:rFonts w:ascii="Arial" w:hAnsi="Arial"/>
    </w:rPr>
  </w:style>
  <w:style w:type="paragraph" w:customStyle="1" w:styleId="NumericTableTextNormal">
    <w:name w:val="Numeric Table Text Normal"/>
    <w:basedOn w:val="TableTextNormal"/>
    <w:rsid w:val="00053B82"/>
    <w:rPr>
      <w:rFonts w:ascii="Arial" w:hAnsi="Arial"/>
    </w:rPr>
  </w:style>
  <w:style w:type="paragraph" w:customStyle="1" w:styleId="NumericSources">
    <w:name w:val="Numeric Sources"/>
    <w:basedOn w:val="Sources"/>
    <w:rsid w:val="00053B82"/>
    <w:rPr>
      <w:rFonts w:ascii="Arial" w:hAnsi="Arial"/>
    </w:rPr>
  </w:style>
  <w:style w:type="paragraph" w:customStyle="1" w:styleId="NumericTableColumnHeadingSmall">
    <w:name w:val="Numeric Table Column Heading Small"/>
    <w:basedOn w:val="NumericTableColumnHeadingNormal"/>
    <w:rsid w:val="0052509C"/>
    <w:rPr>
      <w:sz w:val="16"/>
      <w:szCs w:val="16"/>
    </w:rPr>
  </w:style>
  <w:style w:type="paragraph" w:customStyle="1" w:styleId="NumericTableTextSmall">
    <w:name w:val="Numeric Table Text Small"/>
    <w:basedOn w:val="NumericTableTextNormal"/>
    <w:rsid w:val="0052509C"/>
    <w:rPr>
      <w:sz w:val="16"/>
      <w:szCs w:val="16"/>
    </w:rPr>
  </w:style>
  <w:style w:type="paragraph" w:customStyle="1" w:styleId="NumericTableTextDecimalNormal">
    <w:name w:val="Numeric Table Text Decimal Normal"/>
    <w:basedOn w:val="NumericTableTextNormal"/>
    <w:rsid w:val="006304C7"/>
    <w:pPr>
      <w:tabs>
        <w:tab w:val="decimal" w:pos="1004"/>
      </w:tabs>
    </w:pPr>
  </w:style>
  <w:style w:type="paragraph" w:customStyle="1" w:styleId="NumericTableTextDecimalSmall">
    <w:name w:val="Numeric Table Text Decimal Small"/>
    <w:basedOn w:val="NumericTableTextDecimalNormal"/>
    <w:rsid w:val="006304C7"/>
    <w:rPr>
      <w:sz w:val="16"/>
      <w:szCs w:val="16"/>
    </w:rPr>
  </w:style>
  <w:style w:type="paragraph" w:customStyle="1" w:styleId="Heading2Nospacing">
    <w:name w:val="Heading 2 No spacing"/>
    <w:basedOn w:val="Heading2"/>
    <w:rsid w:val="00F8314A"/>
    <w:pPr>
      <w:spacing w:after="0" w:line="0" w:lineRule="atLeast"/>
      <w:ind w:left="851" w:hanging="851"/>
    </w:pPr>
  </w:style>
  <w:style w:type="paragraph" w:customStyle="1" w:styleId="TableNumberedList1">
    <w:name w:val="Table Numbered List 1"/>
    <w:basedOn w:val="TableTextNormal"/>
    <w:rsid w:val="00EA47AB"/>
    <w:pPr>
      <w:numPr>
        <w:numId w:val="15"/>
      </w:numPr>
    </w:pPr>
  </w:style>
  <w:style w:type="paragraph" w:customStyle="1" w:styleId="TableNumberedList2">
    <w:name w:val="Table Numbered List 2"/>
    <w:basedOn w:val="TableNumberedList1"/>
    <w:rsid w:val="00EA47AB"/>
    <w:pPr>
      <w:numPr>
        <w:ilvl w:val="1"/>
      </w:numPr>
      <w:spacing w:before="40" w:after="40"/>
    </w:pPr>
  </w:style>
  <w:style w:type="paragraph" w:customStyle="1" w:styleId="TableNumberedList3">
    <w:name w:val="Table Numbered List 3"/>
    <w:basedOn w:val="TableNumberedList2"/>
    <w:rsid w:val="00EA47AB"/>
    <w:pPr>
      <w:numPr>
        <w:ilvl w:val="2"/>
      </w:numPr>
    </w:pPr>
  </w:style>
  <w:style w:type="paragraph" w:customStyle="1" w:styleId="TableNumberedListSmall1">
    <w:name w:val="Table Numbered List Small 1"/>
    <w:basedOn w:val="TableTextSmall"/>
    <w:rsid w:val="00EA47AB"/>
    <w:pPr>
      <w:numPr>
        <w:numId w:val="17"/>
      </w:numPr>
    </w:pPr>
  </w:style>
  <w:style w:type="paragraph" w:customStyle="1" w:styleId="TableNumberedListSmall2">
    <w:name w:val="Table Numbered List Small 2"/>
    <w:basedOn w:val="TableNumberedListSmall1"/>
    <w:rsid w:val="00EA47AB"/>
    <w:pPr>
      <w:numPr>
        <w:ilvl w:val="1"/>
      </w:numPr>
    </w:pPr>
    <w:rPr>
      <w:szCs w:val="21"/>
    </w:rPr>
  </w:style>
  <w:style w:type="paragraph" w:customStyle="1" w:styleId="TableNumberedListSmall3">
    <w:name w:val="Table Numbered List Small 3"/>
    <w:basedOn w:val="TableNumberedListSmall2"/>
    <w:rsid w:val="00EA47AB"/>
    <w:pPr>
      <w:numPr>
        <w:ilvl w:val="2"/>
      </w:numPr>
    </w:pPr>
  </w:style>
  <w:style w:type="numbering" w:customStyle="1" w:styleId="ListNumberList">
    <w:name w:val="List Number List"/>
    <w:uiPriority w:val="99"/>
    <w:rsid w:val="009E54C5"/>
    <w:pPr>
      <w:numPr>
        <w:numId w:val="18"/>
      </w:numPr>
    </w:pPr>
  </w:style>
  <w:style w:type="numbering" w:styleId="111111">
    <w:name w:val="Outline List 2"/>
    <w:basedOn w:val="NoList"/>
    <w:rsid w:val="00070164"/>
    <w:pPr>
      <w:numPr>
        <w:numId w:val="20"/>
      </w:numPr>
    </w:pPr>
  </w:style>
  <w:style w:type="numbering" w:styleId="1ai">
    <w:name w:val="Outline List 1"/>
    <w:basedOn w:val="NoList"/>
    <w:rsid w:val="00070164"/>
    <w:pPr>
      <w:numPr>
        <w:numId w:val="21"/>
      </w:numPr>
    </w:pPr>
  </w:style>
  <w:style w:type="numbering" w:styleId="ArticleSection">
    <w:name w:val="Outline List 3"/>
    <w:basedOn w:val="NoList"/>
    <w:rsid w:val="00070164"/>
    <w:pPr>
      <w:numPr>
        <w:numId w:val="22"/>
      </w:numPr>
    </w:pPr>
  </w:style>
  <w:style w:type="paragraph" w:customStyle="1" w:styleId="Minorheading3">
    <w:name w:val="Minor heading 3"/>
    <w:basedOn w:val="Minorheading2"/>
    <w:rsid w:val="00D657FC"/>
    <w:rPr>
      <w:b w:val="0"/>
      <w:i/>
    </w:rPr>
  </w:style>
  <w:style w:type="table" w:customStyle="1" w:styleId="Tables-APLines">
    <w:name w:val="Tables - AP Lines"/>
    <w:basedOn w:val="TableNormal"/>
    <w:rsid w:val="00127829"/>
    <w:tblPr>
      <w:tblStyleRowBandSize w:val="1"/>
      <w:tblStyleColBandSize w:val="1"/>
      <w:tblBorders>
        <w:insideH w:val="single" w:sz="4" w:space="0" w:color="A32020" w:themeColor="text2"/>
        <w:insideV w:val="single" w:sz="4" w:space="0" w:color="A32020"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table" w:customStyle="1" w:styleId="PwCPanelframe">
    <w:name w:val="PwC Panel frame"/>
    <w:basedOn w:val="TableNormal"/>
    <w:uiPriority w:val="99"/>
    <w:qFormat/>
    <w:rsid w:val="004B1E27"/>
    <w:pPr>
      <w:spacing w:line="227" w:lineRule="exact"/>
    </w:pPr>
    <w:rPr>
      <w:sz w:val="8"/>
    </w:rPr>
    <w:tblPr>
      <w:tblBorders>
        <w:top w:val="single" w:sz="8" w:space="0" w:color="A32020" w:themeColor="text2"/>
        <w:left w:val="single" w:sz="8" w:space="0" w:color="A32020"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7167DF"/>
    <w:tblPr>
      <w:tblBorders>
        <w:top w:val="dotted" w:sz="8" w:space="0" w:color="A32020" w:themeColor="text2"/>
        <w:left w:val="dotted" w:sz="8" w:space="0" w:color="A32020" w:themeColor="text2"/>
      </w:tblBorders>
    </w:tblPr>
    <w:tcPr>
      <w:shd w:val="clear" w:color="auto" w:fill="auto"/>
    </w:tcPr>
  </w:style>
  <w:style w:type="paragraph" w:customStyle="1" w:styleId="Bullet1">
    <w:name w:val="Bullet 1"/>
    <w:basedOn w:val="PwCNormal"/>
    <w:rsid w:val="003522D8"/>
    <w:pPr>
      <w:numPr>
        <w:numId w:val="23"/>
      </w:numPr>
      <w:spacing w:after="80"/>
    </w:pPr>
  </w:style>
  <w:style w:type="paragraph" w:customStyle="1" w:styleId="Bullet2">
    <w:name w:val="Bullet 2"/>
    <w:basedOn w:val="Bullet1"/>
    <w:rsid w:val="003522D8"/>
    <w:pPr>
      <w:numPr>
        <w:ilvl w:val="1"/>
      </w:numPr>
    </w:pPr>
  </w:style>
  <w:style w:type="paragraph" w:customStyle="1" w:styleId="Bullet3">
    <w:name w:val="Bullet 3"/>
    <w:basedOn w:val="Bullet2"/>
    <w:rsid w:val="003522D8"/>
    <w:pPr>
      <w:numPr>
        <w:ilvl w:val="2"/>
      </w:numPr>
    </w:pPr>
  </w:style>
  <w:style w:type="paragraph" w:customStyle="1" w:styleId="Bullet4">
    <w:name w:val="Bullet 4"/>
    <w:basedOn w:val="Bullet3"/>
    <w:rsid w:val="003522D8"/>
    <w:pPr>
      <w:numPr>
        <w:ilvl w:val="3"/>
      </w:numPr>
    </w:pPr>
  </w:style>
  <w:style w:type="numbering" w:customStyle="1" w:styleId="Bullets">
    <w:name w:val="Bullets"/>
    <w:uiPriority w:val="99"/>
    <w:rsid w:val="003522D8"/>
    <w:pPr>
      <w:numPr>
        <w:numId w:val="23"/>
      </w:numPr>
    </w:pPr>
  </w:style>
  <w:style w:type="paragraph" w:customStyle="1" w:styleId="FirstPagePanelFrame-Contents">
    <w:name w:val="First Page Panel Frame - Contents"/>
    <w:basedOn w:val="FirstPagePanelFrame"/>
    <w:rsid w:val="00086603"/>
    <w:pPr>
      <w:framePr w:wrap="notBeside"/>
    </w:pPr>
  </w:style>
  <w:style w:type="numbering" w:customStyle="1" w:styleId="ChapterNumberingList">
    <w:name w:val="Chapter Numbering List"/>
    <w:uiPriority w:val="99"/>
    <w:rsid w:val="00930AB8"/>
    <w:pPr>
      <w:numPr>
        <w:numId w:val="25"/>
      </w:numPr>
    </w:pPr>
  </w:style>
  <w:style w:type="paragraph" w:styleId="Revision">
    <w:name w:val="Revision"/>
    <w:hidden/>
    <w:uiPriority w:val="99"/>
    <w:semiHidden/>
    <w:rsid w:val="00841C45"/>
    <w:rPr>
      <w:rFonts w:cs="Arial"/>
      <w:snapToGrid w:val="0"/>
      <w:lang w:eastAsia="en-US"/>
    </w:rPr>
  </w:style>
  <w:style w:type="table" w:styleId="TableColorful2">
    <w:name w:val="Table Colorful 2"/>
    <w:basedOn w:val="TableNormal"/>
    <w:locked/>
    <w:rsid w:val="00BA3E74"/>
    <w:pPr>
      <w:kinsoku w:val="0"/>
      <w:overflowPunct w:val="0"/>
      <w:autoSpaceDE w:val="0"/>
      <w:autoSpaceDN w:val="0"/>
      <w:adjustRightInd w:val="0"/>
      <w:snapToGrid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3Deffects3">
    <w:name w:val="Table 3D effects 3"/>
    <w:basedOn w:val="TableNormal"/>
    <w:locked/>
    <w:rsid w:val="00BA3E74"/>
    <w:pPr>
      <w:kinsoku w:val="0"/>
      <w:overflowPunct w:val="0"/>
      <w:autoSpaceDE w:val="0"/>
      <w:autoSpaceDN w:val="0"/>
      <w:adjustRightInd w:val="0"/>
      <w:snapToGri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locked/>
    <w:rsid w:val="00BA3E74"/>
    <w:pPr>
      <w:kinsoku w:val="0"/>
      <w:overflowPunct w:val="0"/>
      <w:autoSpaceDE w:val="0"/>
      <w:autoSpaceDN w:val="0"/>
      <w:adjustRightInd w:val="0"/>
      <w:snapToGri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font0">
    <w:name w:val="font0"/>
    <w:basedOn w:val="Normal"/>
    <w:rsid w:val="00BA3E74"/>
    <w:pPr>
      <w:spacing w:before="100" w:beforeAutospacing="1" w:after="100" w:afterAutospacing="1"/>
    </w:pPr>
    <w:rPr>
      <w:rFonts w:ascii="Arial" w:hAnsi="Arial"/>
      <w:snapToGrid/>
      <w:color w:val="000000"/>
      <w:sz w:val="18"/>
      <w:szCs w:val="18"/>
      <w:lang w:eastAsia="en-AU"/>
    </w:rPr>
  </w:style>
  <w:style w:type="paragraph" w:customStyle="1" w:styleId="font5">
    <w:name w:val="font5"/>
    <w:basedOn w:val="Normal"/>
    <w:rsid w:val="00BA3E74"/>
    <w:pPr>
      <w:spacing w:before="100" w:beforeAutospacing="1" w:after="100" w:afterAutospacing="1"/>
    </w:pPr>
    <w:rPr>
      <w:rFonts w:ascii="Arial" w:hAnsi="Arial"/>
      <w:snapToGrid/>
      <w:color w:val="000000"/>
      <w:sz w:val="18"/>
      <w:szCs w:val="18"/>
      <w:lang w:eastAsia="en-AU"/>
    </w:rPr>
  </w:style>
  <w:style w:type="paragraph" w:customStyle="1" w:styleId="font6">
    <w:name w:val="font6"/>
    <w:basedOn w:val="Normal"/>
    <w:rsid w:val="00BA3E74"/>
    <w:pPr>
      <w:spacing w:before="100" w:beforeAutospacing="1" w:after="100" w:afterAutospacing="1"/>
    </w:pPr>
    <w:rPr>
      <w:rFonts w:ascii="Arial" w:hAnsi="Arial"/>
      <w:b/>
      <w:bCs/>
      <w:snapToGrid/>
      <w:sz w:val="18"/>
      <w:szCs w:val="18"/>
      <w:lang w:eastAsia="en-AU"/>
    </w:rPr>
  </w:style>
  <w:style w:type="paragraph" w:customStyle="1" w:styleId="font7">
    <w:name w:val="font7"/>
    <w:basedOn w:val="Normal"/>
    <w:rsid w:val="00BA3E74"/>
    <w:pPr>
      <w:spacing w:before="100" w:beforeAutospacing="1" w:after="100" w:afterAutospacing="1"/>
    </w:pPr>
    <w:rPr>
      <w:rFonts w:ascii="Arial" w:hAnsi="Arial"/>
      <w:b/>
      <w:bCs/>
      <w:i/>
      <w:iCs/>
      <w:snapToGrid/>
      <w:sz w:val="18"/>
      <w:szCs w:val="18"/>
      <w:lang w:eastAsia="en-AU"/>
    </w:rPr>
  </w:style>
  <w:style w:type="paragraph" w:customStyle="1" w:styleId="font8">
    <w:name w:val="font8"/>
    <w:basedOn w:val="Normal"/>
    <w:rsid w:val="00BA3E74"/>
    <w:pPr>
      <w:spacing w:before="100" w:beforeAutospacing="1" w:after="100" w:afterAutospacing="1"/>
    </w:pPr>
    <w:rPr>
      <w:rFonts w:ascii="Arial" w:hAnsi="Arial"/>
      <w:b/>
      <w:bCs/>
      <w:i/>
      <w:iCs/>
      <w:snapToGrid/>
      <w:color w:val="000000"/>
      <w:sz w:val="18"/>
      <w:szCs w:val="18"/>
      <w:lang w:eastAsia="en-AU"/>
    </w:rPr>
  </w:style>
  <w:style w:type="paragraph" w:customStyle="1" w:styleId="xl68">
    <w:name w:val="xl68"/>
    <w:basedOn w:val="Normal"/>
    <w:rsid w:val="00BA3E74"/>
    <w:pPr>
      <w:spacing w:before="100" w:beforeAutospacing="1" w:after="100" w:afterAutospacing="1"/>
    </w:pPr>
    <w:rPr>
      <w:rFonts w:ascii="Times New Roman" w:hAnsi="Times New Roman" w:cs="Times New Roman"/>
      <w:b/>
      <w:bCs/>
      <w:snapToGrid/>
      <w:sz w:val="24"/>
      <w:szCs w:val="24"/>
      <w:lang w:eastAsia="en-AU"/>
    </w:rPr>
  </w:style>
  <w:style w:type="paragraph" w:customStyle="1" w:styleId="xl69">
    <w:name w:val="xl69"/>
    <w:basedOn w:val="Normal"/>
    <w:rsid w:val="00BA3E74"/>
    <w:pPr>
      <w:spacing w:before="100" w:beforeAutospacing="1" w:after="100" w:afterAutospacing="1"/>
    </w:pPr>
    <w:rPr>
      <w:rFonts w:ascii="Times New Roman" w:hAnsi="Times New Roman" w:cs="Times New Roman"/>
      <w:snapToGrid/>
      <w:sz w:val="24"/>
      <w:szCs w:val="24"/>
      <w:lang w:eastAsia="en-AU"/>
    </w:rPr>
  </w:style>
  <w:style w:type="paragraph" w:customStyle="1" w:styleId="xl70">
    <w:name w:val="xl70"/>
    <w:basedOn w:val="Normal"/>
    <w:rsid w:val="00BA3E74"/>
    <w:pPr>
      <w:spacing w:before="100" w:beforeAutospacing="1" w:after="100" w:afterAutospacing="1"/>
      <w:textAlignment w:val="top"/>
    </w:pPr>
    <w:rPr>
      <w:rFonts w:ascii="Times New Roman" w:hAnsi="Times New Roman" w:cs="Times New Roman"/>
      <w:snapToGrid/>
      <w:sz w:val="24"/>
      <w:szCs w:val="24"/>
      <w:lang w:eastAsia="en-AU"/>
    </w:rPr>
  </w:style>
  <w:style w:type="paragraph" w:customStyle="1" w:styleId="xl71">
    <w:name w:val="xl71"/>
    <w:basedOn w:val="Normal"/>
    <w:rsid w:val="00BA3E74"/>
    <w:pPr>
      <w:spacing w:before="100" w:beforeAutospacing="1" w:after="100" w:afterAutospacing="1"/>
    </w:pPr>
    <w:rPr>
      <w:rFonts w:ascii="Times New Roman" w:hAnsi="Times New Roman" w:cs="Times New Roman"/>
      <w:b/>
      <w:bCs/>
      <w:snapToGrid/>
      <w:sz w:val="24"/>
      <w:szCs w:val="24"/>
      <w:lang w:eastAsia="en-AU"/>
    </w:rPr>
  </w:style>
  <w:style w:type="paragraph" w:customStyle="1" w:styleId="xl72">
    <w:name w:val="xl72"/>
    <w:basedOn w:val="Normal"/>
    <w:rsid w:val="00BA3E74"/>
    <w:pPr>
      <w:spacing w:before="100" w:beforeAutospacing="1" w:after="100" w:afterAutospacing="1"/>
    </w:pPr>
    <w:rPr>
      <w:rFonts w:ascii="Times New Roman" w:hAnsi="Times New Roman" w:cs="Times New Roman"/>
      <w:snapToGrid/>
      <w:sz w:val="24"/>
      <w:szCs w:val="24"/>
      <w:lang w:eastAsia="en-AU"/>
    </w:rPr>
  </w:style>
  <w:style w:type="paragraph" w:customStyle="1" w:styleId="xl73">
    <w:name w:val="xl73"/>
    <w:basedOn w:val="Normal"/>
    <w:rsid w:val="00BA3E74"/>
    <w:pPr>
      <w:spacing w:before="100" w:beforeAutospacing="1" w:after="100" w:afterAutospacing="1"/>
      <w:ind w:firstLineChars="200" w:firstLine="200"/>
    </w:pPr>
    <w:rPr>
      <w:rFonts w:ascii="Times New Roman" w:hAnsi="Times New Roman" w:cs="Times New Roman"/>
      <w:snapToGrid/>
      <w:sz w:val="24"/>
      <w:szCs w:val="24"/>
      <w:lang w:eastAsia="en-AU"/>
    </w:rPr>
  </w:style>
  <w:style w:type="paragraph" w:customStyle="1" w:styleId="xl74">
    <w:name w:val="xl74"/>
    <w:basedOn w:val="Normal"/>
    <w:rsid w:val="00BA3E74"/>
    <w:pPr>
      <w:spacing w:before="100" w:beforeAutospacing="1" w:after="100" w:afterAutospacing="1"/>
    </w:pPr>
    <w:rPr>
      <w:rFonts w:cs="Times New Roman"/>
      <w:b/>
      <w:bCs/>
      <w:snapToGrid/>
      <w:color w:val="A32020"/>
      <w:sz w:val="24"/>
      <w:szCs w:val="24"/>
      <w:u w:val="single"/>
      <w:lang w:eastAsia="en-AU"/>
    </w:rPr>
  </w:style>
  <w:style w:type="paragraph" w:customStyle="1" w:styleId="xl75">
    <w:name w:val="xl75"/>
    <w:basedOn w:val="Normal"/>
    <w:rsid w:val="00BA3E74"/>
    <w:pPr>
      <w:spacing w:before="100" w:beforeAutospacing="1" w:after="100" w:afterAutospacing="1"/>
      <w:textAlignment w:val="top"/>
    </w:pPr>
    <w:rPr>
      <w:rFonts w:ascii="Times New Roman" w:hAnsi="Times New Roman" w:cs="Times New Roman"/>
      <w:snapToGrid/>
      <w:sz w:val="24"/>
      <w:szCs w:val="24"/>
      <w:lang w:eastAsia="en-AU"/>
    </w:rPr>
  </w:style>
  <w:style w:type="paragraph" w:customStyle="1" w:styleId="xl76">
    <w:name w:val="xl76"/>
    <w:basedOn w:val="Normal"/>
    <w:rsid w:val="00BA3E74"/>
    <w:pPr>
      <w:spacing w:before="100" w:beforeAutospacing="1" w:after="100" w:afterAutospacing="1"/>
    </w:pPr>
    <w:rPr>
      <w:rFonts w:ascii="Times New Roman" w:hAnsi="Times New Roman" w:cs="Times New Roman"/>
      <w:snapToGrid/>
      <w:sz w:val="24"/>
      <w:szCs w:val="24"/>
      <w:lang w:eastAsia="en-AU"/>
    </w:rPr>
  </w:style>
  <w:style w:type="paragraph" w:customStyle="1" w:styleId="xl77">
    <w:name w:val="xl77"/>
    <w:basedOn w:val="Normal"/>
    <w:rsid w:val="00BA3E74"/>
    <w:pPr>
      <w:spacing w:before="100" w:beforeAutospacing="1" w:after="100" w:afterAutospacing="1"/>
      <w:textAlignment w:val="top"/>
    </w:pPr>
    <w:rPr>
      <w:rFonts w:cs="Times New Roman"/>
      <w:snapToGrid/>
      <w:color w:val="A32020"/>
      <w:sz w:val="24"/>
      <w:szCs w:val="24"/>
      <w:lang w:eastAsia="en-AU"/>
    </w:rPr>
  </w:style>
  <w:style w:type="paragraph" w:customStyle="1" w:styleId="xl78">
    <w:name w:val="xl78"/>
    <w:basedOn w:val="Normal"/>
    <w:rsid w:val="00BA3E74"/>
    <w:pPr>
      <w:spacing w:before="100" w:beforeAutospacing="1" w:after="100" w:afterAutospacing="1"/>
    </w:pPr>
    <w:rPr>
      <w:rFonts w:cs="Times New Roman"/>
      <w:snapToGrid/>
      <w:color w:val="A32020"/>
      <w:sz w:val="24"/>
      <w:szCs w:val="24"/>
      <w:lang w:eastAsia="en-AU"/>
    </w:rPr>
  </w:style>
  <w:style w:type="paragraph" w:customStyle="1" w:styleId="xl79">
    <w:name w:val="xl79"/>
    <w:basedOn w:val="Normal"/>
    <w:rsid w:val="00BA3E74"/>
    <w:pPr>
      <w:spacing w:before="100" w:beforeAutospacing="1" w:after="100" w:afterAutospacing="1"/>
    </w:pPr>
    <w:rPr>
      <w:rFonts w:cs="Times New Roman"/>
      <w:b/>
      <w:bCs/>
      <w:snapToGrid/>
      <w:color w:val="A32020"/>
      <w:sz w:val="24"/>
      <w:szCs w:val="24"/>
      <w:lang w:eastAsia="en-AU"/>
    </w:rPr>
  </w:style>
  <w:style w:type="paragraph" w:customStyle="1" w:styleId="xl80">
    <w:name w:val="xl80"/>
    <w:basedOn w:val="Normal"/>
    <w:rsid w:val="00BA3E74"/>
    <w:pPr>
      <w:spacing w:before="100" w:beforeAutospacing="1" w:after="100" w:afterAutospacing="1"/>
      <w:textAlignment w:val="top"/>
    </w:pPr>
    <w:rPr>
      <w:rFonts w:cs="Times New Roman"/>
      <w:b/>
      <w:bCs/>
      <w:snapToGrid/>
      <w:color w:val="A32020"/>
      <w:sz w:val="24"/>
      <w:szCs w:val="24"/>
      <w:lang w:eastAsia="en-AU"/>
    </w:rPr>
  </w:style>
  <w:style w:type="paragraph" w:customStyle="1" w:styleId="xl81">
    <w:name w:val="xl81"/>
    <w:basedOn w:val="Normal"/>
    <w:rsid w:val="00BA3E74"/>
    <w:pPr>
      <w:spacing w:before="100" w:beforeAutospacing="1" w:after="100" w:afterAutospacing="1"/>
      <w:textAlignment w:val="top"/>
    </w:pPr>
    <w:rPr>
      <w:rFonts w:cs="Times New Roman"/>
      <w:b/>
      <w:bCs/>
      <w:snapToGrid/>
      <w:color w:val="A32020"/>
      <w:sz w:val="24"/>
      <w:szCs w:val="24"/>
      <w:lang w:eastAsia="en-AU"/>
    </w:rPr>
  </w:style>
  <w:style w:type="paragraph" w:customStyle="1" w:styleId="xl82">
    <w:name w:val="xl82"/>
    <w:basedOn w:val="Normal"/>
    <w:rsid w:val="00BA3E74"/>
    <w:pPr>
      <w:spacing w:before="100" w:beforeAutospacing="1" w:after="100" w:afterAutospacing="1"/>
      <w:ind w:firstLineChars="100" w:firstLine="100"/>
    </w:pPr>
    <w:rPr>
      <w:rFonts w:ascii="Times New Roman" w:hAnsi="Times New Roman" w:cs="Times New Roman"/>
      <w:snapToGrid/>
      <w:sz w:val="24"/>
      <w:szCs w:val="24"/>
      <w:lang w:eastAsia="en-AU"/>
    </w:rPr>
  </w:style>
  <w:style w:type="paragraph" w:customStyle="1" w:styleId="xl83">
    <w:name w:val="xl83"/>
    <w:basedOn w:val="Normal"/>
    <w:rsid w:val="00BA3E74"/>
    <w:pPr>
      <w:spacing w:before="100" w:beforeAutospacing="1" w:after="100" w:afterAutospacing="1"/>
      <w:ind w:firstLineChars="200" w:firstLine="200"/>
    </w:pPr>
    <w:rPr>
      <w:rFonts w:ascii="Times New Roman" w:hAnsi="Times New Roman" w:cs="Times New Roman"/>
      <w:i/>
      <w:iCs/>
      <w:snapToGrid/>
      <w:sz w:val="24"/>
      <w:szCs w:val="24"/>
      <w:lang w:eastAsia="en-AU"/>
    </w:rPr>
  </w:style>
  <w:style w:type="paragraph" w:customStyle="1" w:styleId="xl84">
    <w:name w:val="xl84"/>
    <w:basedOn w:val="Normal"/>
    <w:rsid w:val="00BA3E74"/>
    <w:pPr>
      <w:spacing w:before="100" w:beforeAutospacing="1" w:after="100" w:afterAutospacing="1"/>
      <w:ind w:firstLineChars="200" w:firstLine="200"/>
    </w:pPr>
    <w:rPr>
      <w:rFonts w:ascii="Times New Roman" w:hAnsi="Times New Roman" w:cs="Times New Roman"/>
      <w:snapToGrid/>
      <w:sz w:val="24"/>
      <w:szCs w:val="24"/>
      <w:lang w:eastAsia="en-AU"/>
    </w:rPr>
  </w:style>
  <w:style w:type="paragraph" w:customStyle="1" w:styleId="xl85">
    <w:name w:val="xl85"/>
    <w:basedOn w:val="Normal"/>
    <w:rsid w:val="00BA3E74"/>
    <w:pPr>
      <w:spacing w:before="100" w:beforeAutospacing="1" w:after="100" w:afterAutospacing="1"/>
      <w:ind w:firstLineChars="100" w:firstLine="100"/>
    </w:pPr>
    <w:rPr>
      <w:rFonts w:ascii="Times New Roman" w:hAnsi="Times New Roman" w:cs="Times New Roman"/>
      <w:i/>
      <w:iCs/>
      <w:snapToGrid/>
      <w:sz w:val="24"/>
      <w:szCs w:val="24"/>
      <w:lang w:eastAsia="en-AU"/>
    </w:rPr>
  </w:style>
  <w:style w:type="paragraph" w:customStyle="1" w:styleId="xl86">
    <w:name w:val="xl86"/>
    <w:basedOn w:val="Normal"/>
    <w:rsid w:val="00BA3E74"/>
    <w:pPr>
      <w:spacing w:before="100" w:beforeAutospacing="1" w:after="100" w:afterAutospacing="1"/>
      <w:ind w:firstLineChars="100" w:firstLine="100"/>
    </w:pPr>
    <w:rPr>
      <w:rFonts w:ascii="Times New Roman" w:hAnsi="Times New Roman" w:cs="Times New Roman"/>
      <w:snapToGrid/>
      <w:sz w:val="24"/>
      <w:szCs w:val="24"/>
      <w:lang w:eastAsia="en-AU"/>
    </w:rPr>
  </w:style>
  <w:style w:type="paragraph" w:customStyle="1" w:styleId="xl87">
    <w:name w:val="xl87"/>
    <w:basedOn w:val="Normal"/>
    <w:rsid w:val="00BA3E74"/>
    <w:pPr>
      <w:spacing w:before="100" w:beforeAutospacing="1" w:after="100" w:afterAutospacing="1"/>
      <w:ind w:firstLineChars="100" w:firstLine="100"/>
      <w:textAlignment w:val="top"/>
    </w:pPr>
    <w:rPr>
      <w:rFonts w:ascii="Times New Roman" w:hAnsi="Times New Roman" w:cs="Times New Roman"/>
      <w:snapToGrid/>
      <w:lang w:eastAsia="en-AU"/>
    </w:rPr>
  </w:style>
  <w:style w:type="paragraph" w:customStyle="1" w:styleId="xl88">
    <w:name w:val="xl88"/>
    <w:basedOn w:val="Normal"/>
    <w:rsid w:val="00BA3E74"/>
    <w:pPr>
      <w:spacing w:before="100" w:beforeAutospacing="1" w:after="100" w:afterAutospacing="1"/>
    </w:pPr>
    <w:rPr>
      <w:rFonts w:ascii="Times New Roman" w:hAnsi="Times New Roman" w:cs="Times New Roman"/>
      <w:snapToGrid/>
      <w:color w:val="0000FF"/>
      <w:u w:val="single"/>
      <w:lang w:eastAsia="en-AU"/>
    </w:rPr>
  </w:style>
  <w:style w:type="paragraph" w:customStyle="1" w:styleId="xl89">
    <w:name w:val="xl89"/>
    <w:basedOn w:val="Normal"/>
    <w:rsid w:val="00BA3E74"/>
    <w:pPr>
      <w:spacing w:before="100" w:beforeAutospacing="1" w:after="100" w:afterAutospacing="1"/>
    </w:pPr>
    <w:rPr>
      <w:rFonts w:ascii="Times New Roman" w:hAnsi="Times New Roman" w:cs="Times New Roman"/>
      <w:snapToGrid/>
      <w:sz w:val="28"/>
      <w:szCs w:val="28"/>
      <w:lang w:eastAsia="en-AU"/>
    </w:rPr>
  </w:style>
  <w:style w:type="paragraph" w:customStyle="1" w:styleId="xl90">
    <w:name w:val="xl90"/>
    <w:basedOn w:val="Normal"/>
    <w:rsid w:val="00BA3E74"/>
    <w:pPr>
      <w:spacing w:before="100" w:beforeAutospacing="1" w:after="100" w:afterAutospacing="1"/>
    </w:pPr>
    <w:rPr>
      <w:rFonts w:ascii="Times New Roman" w:hAnsi="Times New Roman" w:cs="Times New Roman"/>
      <w:i/>
      <w:iCs/>
      <w:snapToGrid/>
      <w:sz w:val="24"/>
      <w:szCs w:val="24"/>
      <w:lang w:eastAsia="en-AU"/>
    </w:rPr>
  </w:style>
  <w:style w:type="paragraph" w:customStyle="1" w:styleId="xl91">
    <w:name w:val="xl91"/>
    <w:basedOn w:val="Normal"/>
    <w:rsid w:val="00BA3E74"/>
    <w:pPr>
      <w:spacing w:before="100" w:beforeAutospacing="1" w:after="100" w:afterAutospacing="1"/>
    </w:pPr>
    <w:rPr>
      <w:rFonts w:ascii="Times New Roman" w:hAnsi="Times New Roman" w:cs="Times New Roman"/>
      <w:b/>
      <w:bCs/>
      <w:i/>
      <w:iCs/>
      <w:snapToGrid/>
      <w:sz w:val="24"/>
      <w:szCs w:val="24"/>
      <w:lang w:eastAsia="en-AU"/>
    </w:rPr>
  </w:style>
  <w:style w:type="paragraph" w:customStyle="1" w:styleId="xl92">
    <w:name w:val="xl92"/>
    <w:basedOn w:val="Normal"/>
    <w:rsid w:val="00BA3E74"/>
    <w:pPr>
      <w:spacing w:before="100" w:beforeAutospacing="1" w:after="100" w:afterAutospacing="1"/>
    </w:pPr>
    <w:rPr>
      <w:rFonts w:ascii="Times New Roman" w:hAnsi="Times New Roman" w:cs="Times New Roman"/>
      <w:i/>
      <w:iCs/>
      <w:snapToGrid/>
      <w:sz w:val="24"/>
      <w:szCs w:val="24"/>
      <w:lang w:eastAsia="en-AU"/>
    </w:rPr>
  </w:style>
  <w:style w:type="paragraph" w:customStyle="1" w:styleId="Heading1-Accessibility">
    <w:name w:val="Heading 1 - Accessibility"/>
    <w:basedOn w:val="Heading1"/>
    <w:qFormat/>
    <w:rsid w:val="00B06836"/>
  </w:style>
  <w:style w:type="paragraph" w:customStyle="1" w:styleId="Heading2-Accessibility">
    <w:name w:val="Heading 2 - Accessibility"/>
    <w:basedOn w:val="Heading6"/>
    <w:qFormat/>
    <w:rsid w:val="00B06836"/>
  </w:style>
  <w:style w:type="paragraph" w:customStyle="1" w:styleId="Heading3-Accessibility">
    <w:name w:val="Heading 3 - Accessibility"/>
    <w:basedOn w:val="Heading9"/>
    <w:qFormat/>
    <w:rsid w:val="00577057"/>
    <w:rPr>
      <w:b/>
      <w:bCs/>
    </w:rPr>
  </w:style>
  <w:style w:type="character" w:customStyle="1" w:styleId="FootnoteTextChar">
    <w:name w:val="Footnote Text Char"/>
    <w:basedOn w:val="DefaultParagraphFont"/>
    <w:link w:val="FootnoteText"/>
    <w:uiPriority w:val="99"/>
    <w:rsid w:val="002464EE"/>
    <w:rPr>
      <w:rFonts w:cs="Arial"/>
      <w:snapToGrid w:val="0"/>
      <w:sz w:val="14"/>
      <w:lang w:eastAsia="en-US"/>
    </w:rPr>
  </w:style>
  <w:style w:type="table" w:styleId="LightList-Accent1">
    <w:name w:val="Light List Accent 1"/>
    <w:basedOn w:val="TableNormal"/>
    <w:uiPriority w:val="61"/>
    <w:locked/>
    <w:rsid w:val="00180765"/>
    <w:tblPr>
      <w:tblStyleRowBandSize w:val="1"/>
      <w:tblStyleColBandSize w:val="1"/>
      <w:tblBorders>
        <w:top w:val="single" w:sz="8" w:space="0" w:color="A32020" w:themeColor="accent1"/>
        <w:left w:val="single" w:sz="8" w:space="0" w:color="A32020" w:themeColor="accent1"/>
        <w:bottom w:val="single" w:sz="8" w:space="0" w:color="A32020" w:themeColor="accent1"/>
        <w:right w:val="single" w:sz="8" w:space="0" w:color="A32020" w:themeColor="accent1"/>
      </w:tblBorders>
    </w:tblPr>
    <w:tblStylePr w:type="firstRow">
      <w:pPr>
        <w:spacing w:before="0" w:after="0" w:line="240" w:lineRule="auto"/>
      </w:pPr>
      <w:rPr>
        <w:b/>
        <w:bCs/>
        <w:color w:val="FFFFFF" w:themeColor="background1"/>
      </w:rPr>
      <w:tblPr/>
      <w:tcPr>
        <w:shd w:val="clear" w:color="auto" w:fill="A32020" w:themeFill="accent1"/>
      </w:tcPr>
    </w:tblStylePr>
    <w:tblStylePr w:type="lastRow">
      <w:pPr>
        <w:spacing w:before="0" w:after="0" w:line="240" w:lineRule="auto"/>
      </w:pPr>
      <w:rPr>
        <w:b/>
        <w:bCs/>
      </w:rPr>
      <w:tblPr/>
      <w:tcPr>
        <w:tcBorders>
          <w:top w:val="double" w:sz="6" w:space="0" w:color="A32020" w:themeColor="accent1"/>
          <w:left w:val="single" w:sz="8" w:space="0" w:color="A32020" w:themeColor="accent1"/>
          <w:bottom w:val="single" w:sz="8" w:space="0" w:color="A32020" w:themeColor="accent1"/>
          <w:right w:val="single" w:sz="8" w:space="0" w:color="A32020" w:themeColor="accent1"/>
        </w:tcBorders>
      </w:tcPr>
    </w:tblStylePr>
    <w:tblStylePr w:type="firstCol">
      <w:rPr>
        <w:b/>
        <w:bCs/>
      </w:rPr>
    </w:tblStylePr>
    <w:tblStylePr w:type="lastCol">
      <w:rPr>
        <w:b/>
        <w:bCs/>
      </w:rPr>
    </w:tblStylePr>
    <w:tblStylePr w:type="band1Vert">
      <w:tblPr/>
      <w:tcPr>
        <w:tcBorders>
          <w:top w:val="single" w:sz="8" w:space="0" w:color="A32020" w:themeColor="accent1"/>
          <w:left w:val="single" w:sz="8" w:space="0" w:color="A32020" w:themeColor="accent1"/>
          <w:bottom w:val="single" w:sz="8" w:space="0" w:color="A32020" w:themeColor="accent1"/>
          <w:right w:val="single" w:sz="8" w:space="0" w:color="A32020" w:themeColor="accent1"/>
        </w:tcBorders>
      </w:tcPr>
    </w:tblStylePr>
    <w:tblStylePr w:type="band1Horz">
      <w:tblPr/>
      <w:tcPr>
        <w:tcBorders>
          <w:top w:val="single" w:sz="8" w:space="0" w:color="A32020" w:themeColor="accent1"/>
          <w:left w:val="single" w:sz="8" w:space="0" w:color="A32020" w:themeColor="accent1"/>
          <w:bottom w:val="single" w:sz="8" w:space="0" w:color="A32020" w:themeColor="accent1"/>
          <w:right w:val="single" w:sz="8" w:space="0" w:color="A32020" w:themeColor="accent1"/>
        </w:tcBorders>
      </w:tcPr>
    </w:tblStylePr>
  </w:style>
  <w:style w:type="paragraph" w:styleId="NormalWeb">
    <w:name w:val="Normal (Web)"/>
    <w:basedOn w:val="Normal"/>
    <w:uiPriority w:val="99"/>
    <w:semiHidden/>
    <w:unhideWhenUsed/>
    <w:rsid w:val="002C04B6"/>
    <w:pPr>
      <w:spacing w:before="100" w:beforeAutospacing="1" w:after="100" w:afterAutospacing="1"/>
    </w:pPr>
    <w:rPr>
      <w:rFonts w:ascii="Times New Roman" w:eastAsiaTheme="minorEastAsia" w:hAnsi="Times New Roman" w:cs="Times New Roman"/>
      <w:snapToGrid/>
      <w:sz w:val="24"/>
      <w:szCs w:val="24"/>
      <w:lang w:eastAsia="en-AU"/>
    </w:rPr>
  </w:style>
  <w:style w:type="paragraph" w:customStyle="1" w:styleId="Default">
    <w:name w:val="Default"/>
    <w:rsid w:val="00D6205F"/>
    <w:pPr>
      <w:autoSpaceDE w:val="0"/>
      <w:autoSpaceDN w:val="0"/>
      <w:adjustRightInd w:val="0"/>
    </w:pPr>
    <w:rPr>
      <w:rFonts w:cs="Georgia"/>
      <w:color w:val="000000"/>
      <w:sz w:val="24"/>
      <w:szCs w:val="24"/>
    </w:rPr>
  </w:style>
  <w:style w:type="table" w:styleId="LightShading-Accent1">
    <w:name w:val="Light Shading Accent 1"/>
    <w:basedOn w:val="TableNormal"/>
    <w:uiPriority w:val="60"/>
    <w:locked/>
    <w:rsid w:val="00C813DD"/>
    <w:rPr>
      <w:rFonts w:ascii="Times New Roman" w:hAnsi="Times New Roman"/>
      <w:color w:val="7A1818" w:themeColor="accent1" w:themeShade="BF"/>
    </w:rPr>
    <w:tblPr>
      <w:tblStyleRowBandSize w:val="1"/>
      <w:tblStyleColBandSize w:val="1"/>
      <w:tblBorders>
        <w:top w:val="single" w:sz="8" w:space="0" w:color="A32020" w:themeColor="accent1"/>
        <w:bottom w:val="single" w:sz="8" w:space="0" w:color="A32020" w:themeColor="accent1"/>
      </w:tblBorders>
    </w:tblPr>
    <w:tblStylePr w:type="firstRow">
      <w:pPr>
        <w:spacing w:before="0" w:after="0" w:line="240" w:lineRule="auto"/>
      </w:pPr>
      <w:rPr>
        <w:b/>
        <w:bCs/>
      </w:rPr>
      <w:tblPr/>
      <w:tcPr>
        <w:tcBorders>
          <w:top w:val="single" w:sz="8" w:space="0" w:color="A32020" w:themeColor="accent1"/>
          <w:left w:val="nil"/>
          <w:bottom w:val="single" w:sz="8" w:space="0" w:color="A32020" w:themeColor="accent1"/>
          <w:right w:val="nil"/>
          <w:insideH w:val="nil"/>
          <w:insideV w:val="nil"/>
        </w:tcBorders>
      </w:tcPr>
    </w:tblStylePr>
    <w:tblStylePr w:type="lastRow">
      <w:pPr>
        <w:spacing w:before="0" w:after="0" w:line="240" w:lineRule="auto"/>
      </w:pPr>
      <w:rPr>
        <w:b/>
        <w:bCs/>
      </w:rPr>
      <w:tblPr/>
      <w:tcPr>
        <w:tcBorders>
          <w:top w:val="single" w:sz="8" w:space="0" w:color="A32020" w:themeColor="accent1"/>
          <w:left w:val="nil"/>
          <w:bottom w:val="single" w:sz="8" w:space="0" w:color="A320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DBD" w:themeFill="accent1" w:themeFillTint="3F"/>
      </w:tcPr>
    </w:tblStylePr>
    <w:tblStylePr w:type="band1Horz">
      <w:tblPr/>
      <w:tcPr>
        <w:tcBorders>
          <w:left w:val="nil"/>
          <w:right w:val="nil"/>
          <w:insideH w:val="nil"/>
          <w:insideV w:val="nil"/>
        </w:tcBorders>
        <w:shd w:val="clear" w:color="auto" w:fill="F2BDBD" w:themeFill="accent1" w:themeFillTint="3F"/>
      </w:tcPr>
    </w:tblStylePr>
  </w:style>
  <w:style w:type="character" w:styleId="Emphasis">
    <w:name w:val="Emphasis"/>
    <w:basedOn w:val="DefaultParagraphFont"/>
    <w:uiPriority w:val="20"/>
    <w:qFormat/>
    <w:locked/>
    <w:rsid w:val="002E33D0"/>
    <w:rPr>
      <w:i/>
      <w:iCs/>
    </w:rPr>
  </w:style>
  <w:style w:type="paragraph" w:customStyle="1" w:styleId="Tablesheadings">
    <w:name w:val="Tables headings"/>
    <w:basedOn w:val="ListBullet"/>
    <w:link w:val="TablesheadingsChar"/>
    <w:qFormat/>
    <w:rsid w:val="003C6C45"/>
    <w:pPr>
      <w:numPr>
        <w:numId w:val="0"/>
      </w:numPr>
      <w:tabs>
        <w:tab w:val="left" w:pos="1418"/>
      </w:tabs>
      <w:spacing w:after="0"/>
    </w:pPr>
    <w:rPr>
      <w:rFonts w:asciiTheme="majorHAnsi" w:hAnsiTheme="majorHAnsi"/>
      <w:b/>
      <w:bCs/>
      <w:color w:val="A32020" w:themeColor="text2"/>
      <w:lang w:val="en-GB"/>
    </w:rPr>
  </w:style>
  <w:style w:type="paragraph" w:customStyle="1" w:styleId="Tables">
    <w:name w:val="Tables"/>
    <w:basedOn w:val="Caption"/>
    <w:link w:val="TablesChar"/>
    <w:qFormat/>
    <w:rsid w:val="004F40F2"/>
    <w:rPr>
      <w:lang w:val="en-GB"/>
    </w:rPr>
  </w:style>
  <w:style w:type="character" w:customStyle="1" w:styleId="ListBulletChar">
    <w:name w:val="List Bullet Char"/>
    <w:basedOn w:val="DefaultParagraphFont"/>
    <w:link w:val="ListBullet"/>
    <w:rsid w:val="004F40F2"/>
    <w:rPr>
      <w:rFonts w:cs="Arial"/>
      <w:snapToGrid w:val="0"/>
      <w:lang w:eastAsia="en-US"/>
    </w:rPr>
  </w:style>
  <w:style w:type="character" w:customStyle="1" w:styleId="TablesheadingsChar">
    <w:name w:val="Tables headings Char"/>
    <w:basedOn w:val="ListBulletChar"/>
    <w:link w:val="Tablesheadings"/>
    <w:rsid w:val="003C6C45"/>
    <w:rPr>
      <w:rFonts w:asciiTheme="majorHAnsi" w:hAnsiTheme="majorHAnsi" w:cs="Arial"/>
      <w:b/>
      <w:bCs/>
      <w:snapToGrid w:val="0"/>
      <w:color w:val="A32020" w:themeColor="text2"/>
      <w:lang w:val="en-GB" w:eastAsia="en-US"/>
    </w:rPr>
  </w:style>
  <w:style w:type="paragraph" w:customStyle="1" w:styleId="Figureheadings">
    <w:name w:val="Figure headings"/>
    <w:basedOn w:val="Tablesheadings"/>
    <w:link w:val="FigureheadingsChar"/>
    <w:qFormat/>
    <w:rsid w:val="003C6C45"/>
  </w:style>
  <w:style w:type="character" w:customStyle="1" w:styleId="CaptionChar">
    <w:name w:val="Caption Char"/>
    <w:basedOn w:val="DefaultParagraphFont"/>
    <w:link w:val="Caption"/>
    <w:rsid w:val="004F40F2"/>
    <w:rPr>
      <w:rFonts w:asciiTheme="majorHAnsi" w:hAnsiTheme="majorHAnsi" w:cs="Arial"/>
      <w:b/>
      <w:bCs/>
      <w:snapToGrid w:val="0"/>
      <w:color w:val="A32020" w:themeColor="text2"/>
      <w:szCs w:val="18"/>
      <w:lang w:eastAsia="en-US"/>
    </w:rPr>
  </w:style>
  <w:style w:type="character" w:customStyle="1" w:styleId="TablesChar">
    <w:name w:val="Tables Char"/>
    <w:basedOn w:val="CaptionChar"/>
    <w:link w:val="Tables"/>
    <w:rsid w:val="004F40F2"/>
    <w:rPr>
      <w:rFonts w:asciiTheme="majorHAnsi" w:hAnsiTheme="majorHAnsi" w:cs="Arial"/>
      <w:b/>
      <w:bCs/>
      <w:snapToGrid w:val="0"/>
      <w:color w:val="A32020" w:themeColor="text2"/>
      <w:szCs w:val="18"/>
      <w:lang w:val="en-GB" w:eastAsia="en-US"/>
    </w:rPr>
  </w:style>
  <w:style w:type="character" w:customStyle="1" w:styleId="FigureheadingsChar">
    <w:name w:val="Figure headings Char"/>
    <w:basedOn w:val="TablesheadingsChar"/>
    <w:link w:val="Figureheadings"/>
    <w:rsid w:val="003C6C45"/>
    <w:rPr>
      <w:rFonts w:asciiTheme="majorHAnsi" w:hAnsiTheme="majorHAnsi" w:cs="Arial"/>
      <w:b/>
      <w:bCs/>
      <w:snapToGrid w:val="0"/>
      <w:color w:val="A32020" w:themeColor="text2"/>
      <w:lang w:val="en-GB" w:eastAsia="en-US"/>
    </w:rPr>
  </w:style>
  <w:style w:type="character" w:customStyle="1" w:styleId="st1">
    <w:name w:val="st1"/>
    <w:basedOn w:val="DefaultParagraphFont"/>
    <w:rsid w:val="009435F9"/>
  </w:style>
  <w:style w:type="paragraph" w:customStyle="1" w:styleId="xl93">
    <w:name w:val="xl93"/>
    <w:basedOn w:val="Normal"/>
    <w:rsid w:val="002D4081"/>
    <w:pPr>
      <w:pBdr>
        <w:top w:val="single" w:sz="4" w:space="0" w:color="D9D9D9"/>
        <w:left w:val="single" w:sz="4" w:space="0" w:color="A32020"/>
      </w:pBdr>
      <w:spacing w:before="100" w:beforeAutospacing="1" w:after="100" w:afterAutospacing="1"/>
      <w:jc w:val="right"/>
    </w:pPr>
    <w:rPr>
      <w:rFonts w:cs="Times New Roman"/>
      <w:snapToGrid/>
      <w:sz w:val="16"/>
      <w:szCs w:val="16"/>
      <w:lang w:eastAsia="en-AU"/>
    </w:rPr>
  </w:style>
  <w:style w:type="paragraph" w:customStyle="1" w:styleId="xl94">
    <w:name w:val="xl94"/>
    <w:basedOn w:val="Normal"/>
    <w:rsid w:val="002D4081"/>
    <w:pPr>
      <w:pBdr>
        <w:top w:val="single" w:sz="4" w:space="0" w:color="D9D9D9"/>
      </w:pBdr>
      <w:spacing w:before="100" w:beforeAutospacing="1" w:after="100" w:afterAutospacing="1"/>
      <w:jc w:val="right"/>
    </w:pPr>
    <w:rPr>
      <w:rFonts w:cs="Times New Roman"/>
      <w:snapToGrid/>
      <w:sz w:val="16"/>
      <w:szCs w:val="16"/>
      <w:lang w:eastAsia="en-AU"/>
    </w:rPr>
  </w:style>
  <w:style w:type="paragraph" w:customStyle="1" w:styleId="xl95">
    <w:name w:val="xl95"/>
    <w:basedOn w:val="Normal"/>
    <w:rsid w:val="002D4081"/>
    <w:pPr>
      <w:pBdr>
        <w:top w:val="single" w:sz="4" w:space="0" w:color="D9D9D9"/>
      </w:pBdr>
      <w:spacing w:before="100" w:beforeAutospacing="1" w:after="100" w:afterAutospacing="1"/>
      <w:jc w:val="right"/>
    </w:pPr>
    <w:rPr>
      <w:rFonts w:cs="Times New Roman"/>
      <w:snapToGrid/>
      <w:sz w:val="16"/>
      <w:szCs w:val="16"/>
      <w:lang w:eastAsia="en-AU"/>
    </w:rPr>
  </w:style>
  <w:style w:type="paragraph" w:customStyle="1" w:styleId="xl96">
    <w:name w:val="xl96"/>
    <w:basedOn w:val="Normal"/>
    <w:rsid w:val="002D4081"/>
    <w:pPr>
      <w:pBdr>
        <w:top w:val="single" w:sz="4" w:space="0" w:color="D9D9D9"/>
      </w:pBdr>
      <w:spacing w:before="100" w:beforeAutospacing="1" w:after="100" w:afterAutospacing="1"/>
      <w:jc w:val="right"/>
    </w:pPr>
    <w:rPr>
      <w:rFonts w:cs="Times New Roman"/>
      <w:snapToGrid/>
      <w:sz w:val="16"/>
      <w:szCs w:val="16"/>
      <w:lang w:eastAsia="en-AU"/>
    </w:rPr>
  </w:style>
  <w:style w:type="paragraph" w:customStyle="1" w:styleId="xl97">
    <w:name w:val="xl97"/>
    <w:basedOn w:val="Normal"/>
    <w:rsid w:val="002D4081"/>
    <w:pPr>
      <w:pBdr>
        <w:top w:val="single" w:sz="4" w:space="0" w:color="D9D9D9"/>
        <w:left w:val="single" w:sz="4" w:space="0" w:color="A32020"/>
      </w:pBdr>
      <w:spacing w:before="100" w:beforeAutospacing="1" w:after="100" w:afterAutospacing="1"/>
      <w:jc w:val="right"/>
    </w:pPr>
    <w:rPr>
      <w:rFonts w:cs="Times New Roman"/>
      <w:snapToGrid/>
      <w:sz w:val="16"/>
      <w:szCs w:val="16"/>
      <w:lang w:eastAsia="en-AU"/>
    </w:rPr>
  </w:style>
  <w:style w:type="paragraph" w:customStyle="1" w:styleId="xl98">
    <w:name w:val="xl98"/>
    <w:basedOn w:val="Normal"/>
    <w:rsid w:val="002D4081"/>
    <w:pPr>
      <w:pBdr>
        <w:top w:val="single" w:sz="4" w:space="0" w:color="D9D9D9"/>
      </w:pBdr>
      <w:spacing w:before="100" w:beforeAutospacing="1" w:after="100" w:afterAutospacing="1"/>
      <w:jc w:val="right"/>
    </w:pPr>
    <w:rPr>
      <w:rFonts w:cs="Times New Roman"/>
      <w:snapToGrid/>
      <w:sz w:val="16"/>
      <w:szCs w:val="16"/>
      <w:lang w:eastAsia="en-AU"/>
    </w:rPr>
  </w:style>
  <w:style w:type="paragraph" w:customStyle="1" w:styleId="xl99">
    <w:name w:val="xl99"/>
    <w:basedOn w:val="Normal"/>
    <w:rsid w:val="002D4081"/>
    <w:pPr>
      <w:pBdr>
        <w:top w:val="single" w:sz="4" w:space="0" w:color="D9D9D9"/>
        <w:left w:val="single" w:sz="4" w:space="0" w:color="A32020"/>
        <w:right w:val="single" w:sz="4" w:space="0" w:color="A32020"/>
      </w:pBdr>
      <w:spacing w:before="100" w:beforeAutospacing="1" w:after="100" w:afterAutospacing="1"/>
      <w:jc w:val="right"/>
    </w:pPr>
    <w:rPr>
      <w:rFonts w:cs="Times New Roman"/>
      <w:snapToGrid/>
      <w:sz w:val="16"/>
      <w:szCs w:val="16"/>
      <w:lang w:eastAsia="en-AU"/>
    </w:rPr>
  </w:style>
  <w:style w:type="paragraph" w:customStyle="1" w:styleId="xl100">
    <w:name w:val="xl100"/>
    <w:basedOn w:val="Normal"/>
    <w:rsid w:val="002D4081"/>
    <w:pPr>
      <w:pBdr>
        <w:top w:val="single" w:sz="4" w:space="0" w:color="A32020"/>
        <w:left w:val="single" w:sz="4" w:space="0" w:color="A32020"/>
        <w:bottom w:val="single" w:sz="8" w:space="0" w:color="A32020"/>
      </w:pBdr>
      <w:spacing w:before="100" w:beforeAutospacing="1" w:after="100" w:afterAutospacing="1"/>
    </w:pPr>
    <w:rPr>
      <w:rFonts w:cs="Times New Roman"/>
      <w:b/>
      <w:bCs/>
      <w:snapToGrid/>
      <w:sz w:val="16"/>
      <w:szCs w:val="16"/>
      <w:lang w:eastAsia="en-AU"/>
    </w:rPr>
  </w:style>
  <w:style w:type="paragraph" w:customStyle="1" w:styleId="xl101">
    <w:name w:val="xl101"/>
    <w:basedOn w:val="Normal"/>
    <w:rsid w:val="002D4081"/>
    <w:pPr>
      <w:pBdr>
        <w:top w:val="single" w:sz="4" w:space="0" w:color="A32020"/>
        <w:bottom w:val="single" w:sz="8" w:space="0" w:color="A32020"/>
      </w:pBdr>
      <w:spacing w:before="100" w:beforeAutospacing="1" w:after="100" w:afterAutospacing="1"/>
    </w:pPr>
    <w:rPr>
      <w:rFonts w:cs="Times New Roman"/>
      <w:b/>
      <w:bCs/>
      <w:snapToGrid/>
      <w:sz w:val="16"/>
      <w:szCs w:val="16"/>
      <w:lang w:eastAsia="en-AU"/>
    </w:rPr>
  </w:style>
  <w:style w:type="paragraph" w:customStyle="1" w:styleId="xl102">
    <w:name w:val="xl102"/>
    <w:basedOn w:val="Normal"/>
    <w:rsid w:val="002D4081"/>
    <w:pPr>
      <w:pBdr>
        <w:top w:val="single" w:sz="4" w:space="0" w:color="A32020"/>
        <w:left w:val="single" w:sz="4" w:space="0" w:color="A32020"/>
        <w:bottom w:val="single" w:sz="8" w:space="0" w:color="A32020"/>
      </w:pBdr>
      <w:spacing w:before="100" w:beforeAutospacing="1" w:after="100" w:afterAutospacing="1"/>
      <w:jc w:val="right"/>
    </w:pPr>
    <w:rPr>
      <w:rFonts w:cs="Times New Roman"/>
      <w:b/>
      <w:bCs/>
      <w:snapToGrid/>
      <w:sz w:val="16"/>
      <w:szCs w:val="16"/>
      <w:lang w:eastAsia="en-AU"/>
    </w:rPr>
  </w:style>
  <w:style w:type="paragraph" w:customStyle="1" w:styleId="xl103">
    <w:name w:val="xl103"/>
    <w:basedOn w:val="Normal"/>
    <w:rsid w:val="002D4081"/>
    <w:pPr>
      <w:pBdr>
        <w:top w:val="single" w:sz="4" w:space="0" w:color="A32020"/>
        <w:bottom w:val="single" w:sz="8" w:space="0" w:color="A32020"/>
      </w:pBdr>
      <w:spacing w:before="100" w:beforeAutospacing="1" w:after="100" w:afterAutospacing="1"/>
      <w:jc w:val="right"/>
    </w:pPr>
    <w:rPr>
      <w:rFonts w:cs="Times New Roman"/>
      <w:b/>
      <w:bCs/>
      <w:snapToGrid/>
      <w:sz w:val="16"/>
      <w:szCs w:val="16"/>
      <w:lang w:eastAsia="en-AU"/>
    </w:rPr>
  </w:style>
  <w:style w:type="paragraph" w:customStyle="1" w:styleId="xl104">
    <w:name w:val="xl104"/>
    <w:basedOn w:val="Normal"/>
    <w:rsid w:val="002D4081"/>
    <w:pPr>
      <w:pBdr>
        <w:top w:val="single" w:sz="4" w:space="0" w:color="A32020"/>
        <w:bottom w:val="single" w:sz="8" w:space="0" w:color="A32020"/>
      </w:pBdr>
      <w:spacing w:before="100" w:beforeAutospacing="1" w:after="100" w:afterAutospacing="1"/>
      <w:jc w:val="right"/>
    </w:pPr>
    <w:rPr>
      <w:rFonts w:cs="Times New Roman"/>
      <w:b/>
      <w:bCs/>
      <w:snapToGrid/>
      <w:sz w:val="16"/>
      <w:szCs w:val="16"/>
      <w:lang w:eastAsia="en-AU"/>
    </w:rPr>
  </w:style>
  <w:style w:type="paragraph" w:customStyle="1" w:styleId="xl105">
    <w:name w:val="xl105"/>
    <w:basedOn w:val="Normal"/>
    <w:rsid w:val="002D4081"/>
    <w:pPr>
      <w:pBdr>
        <w:top w:val="single" w:sz="4" w:space="0" w:color="A32020"/>
        <w:bottom w:val="single" w:sz="8" w:space="0" w:color="A32020"/>
      </w:pBdr>
      <w:spacing w:before="100" w:beforeAutospacing="1" w:after="100" w:afterAutospacing="1"/>
      <w:jc w:val="right"/>
    </w:pPr>
    <w:rPr>
      <w:rFonts w:cs="Times New Roman"/>
      <w:b/>
      <w:bCs/>
      <w:snapToGrid/>
      <w:sz w:val="16"/>
      <w:szCs w:val="16"/>
      <w:lang w:eastAsia="en-AU"/>
    </w:rPr>
  </w:style>
  <w:style w:type="paragraph" w:customStyle="1" w:styleId="xl106">
    <w:name w:val="xl106"/>
    <w:basedOn w:val="Normal"/>
    <w:rsid w:val="002D4081"/>
    <w:pPr>
      <w:pBdr>
        <w:top w:val="single" w:sz="4" w:space="0" w:color="A32020"/>
        <w:left w:val="single" w:sz="4" w:space="0" w:color="A32020"/>
        <w:bottom w:val="single" w:sz="8" w:space="0" w:color="A32020"/>
      </w:pBdr>
      <w:spacing w:before="100" w:beforeAutospacing="1" w:after="100" w:afterAutospacing="1"/>
      <w:jc w:val="right"/>
    </w:pPr>
    <w:rPr>
      <w:rFonts w:cs="Times New Roman"/>
      <w:b/>
      <w:bCs/>
      <w:snapToGrid/>
      <w:sz w:val="16"/>
      <w:szCs w:val="16"/>
      <w:lang w:eastAsia="en-AU"/>
    </w:rPr>
  </w:style>
  <w:style w:type="paragraph" w:customStyle="1" w:styleId="xl107">
    <w:name w:val="xl107"/>
    <w:basedOn w:val="Normal"/>
    <w:rsid w:val="002D4081"/>
    <w:pPr>
      <w:pBdr>
        <w:top w:val="single" w:sz="4" w:space="0" w:color="A32020"/>
        <w:bottom w:val="single" w:sz="8" w:space="0" w:color="A32020"/>
      </w:pBdr>
      <w:spacing w:before="100" w:beforeAutospacing="1" w:after="100" w:afterAutospacing="1"/>
      <w:jc w:val="right"/>
    </w:pPr>
    <w:rPr>
      <w:rFonts w:cs="Times New Roman"/>
      <w:b/>
      <w:bCs/>
      <w:snapToGrid/>
      <w:sz w:val="16"/>
      <w:szCs w:val="16"/>
      <w:lang w:eastAsia="en-AU"/>
    </w:rPr>
  </w:style>
  <w:style w:type="paragraph" w:customStyle="1" w:styleId="xl108">
    <w:name w:val="xl108"/>
    <w:basedOn w:val="Normal"/>
    <w:rsid w:val="002D4081"/>
    <w:pPr>
      <w:pBdr>
        <w:top w:val="single" w:sz="4" w:space="0" w:color="A32020"/>
        <w:left w:val="single" w:sz="4" w:space="0" w:color="A32020"/>
        <w:bottom w:val="single" w:sz="8" w:space="0" w:color="A32020"/>
        <w:right w:val="single" w:sz="4" w:space="0" w:color="A32020"/>
      </w:pBdr>
      <w:spacing w:before="100" w:beforeAutospacing="1" w:after="100" w:afterAutospacing="1"/>
      <w:jc w:val="right"/>
    </w:pPr>
    <w:rPr>
      <w:rFonts w:cs="Times New Roman"/>
      <w:b/>
      <w:bCs/>
      <w:snapToGrid/>
      <w:sz w:val="16"/>
      <w:szCs w:val="16"/>
      <w:lang w:eastAsia="en-AU"/>
    </w:rPr>
  </w:style>
  <w:style w:type="paragraph" w:customStyle="1" w:styleId="xl109">
    <w:name w:val="xl109"/>
    <w:basedOn w:val="Normal"/>
    <w:rsid w:val="002D4081"/>
    <w:pPr>
      <w:pBdr>
        <w:top w:val="single" w:sz="4" w:space="0" w:color="A32020"/>
      </w:pBdr>
      <w:spacing w:before="100" w:beforeAutospacing="1" w:after="100" w:afterAutospacing="1"/>
      <w:textAlignment w:val="top"/>
    </w:pPr>
    <w:rPr>
      <w:rFonts w:cs="Times New Roman"/>
      <w:b/>
      <w:bCs/>
      <w:snapToGrid/>
      <w:color w:val="A32020"/>
      <w:sz w:val="16"/>
      <w:szCs w:val="16"/>
      <w:lang w:eastAsia="en-AU"/>
    </w:rPr>
  </w:style>
  <w:style w:type="paragraph" w:customStyle="1" w:styleId="xl110">
    <w:name w:val="xl110"/>
    <w:basedOn w:val="Normal"/>
    <w:rsid w:val="002D4081"/>
    <w:pPr>
      <w:pBdr>
        <w:top w:val="single" w:sz="4" w:space="0" w:color="A32020"/>
        <w:left w:val="single" w:sz="4" w:space="0" w:color="A32020"/>
        <w:bottom w:val="single" w:sz="8" w:space="0" w:color="A32020"/>
        <w:right w:val="single" w:sz="4" w:space="0" w:color="A32020"/>
      </w:pBdr>
      <w:spacing w:before="100" w:beforeAutospacing="1" w:after="100" w:afterAutospacing="1"/>
      <w:jc w:val="right"/>
      <w:textAlignment w:val="top"/>
    </w:pPr>
    <w:rPr>
      <w:rFonts w:cs="Times New Roman"/>
      <w:b/>
      <w:bCs/>
      <w:snapToGrid/>
      <w:color w:val="A32020"/>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imes New Roman" w:hAnsi="Georgia" w:cs="Times New Roman"/>
        <w:lang w:val="en-AU" w:eastAsia="en-AU"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lsdException w:name="toc 6" w:locked="0" w:uiPriority="39"/>
    <w:lsdException w:name="toc 7" w:locked="0" w:uiPriority="39"/>
    <w:lsdException w:name="toc 8" w:locked="0"/>
    <w:lsdException w:name="toc 9" w:locked="0" w:uiPriority="39"/>
    <w:lsdException w:name="Normal Indent" w:locked="0"/>
    <w:lsdException w:name="footnote text" w:locked="0" w:uiPriority="99"/>
    <w:lsdException w:name="annotation text" w:locked="0"/>
    <w:lsdException w:name="header" w:locked="0"/>
    <w:lsdException w:name="footer" w:locked="0" w:uiPriority="99"/>
    <w:lsdException w:name="index heading" w:locked="0"/>
    <w:lsdException w:name="caption" w:locked="0" w:qFormat="1"/>
    <w:lsdException w:name="table of figures" w:locked="0" w:uiPriority="99"/>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toa heading" w:locked="0"/>
    <w:lsdException w:name="List Bullet" w:qFormat="1"/>
    <w:lsdException w:name="List Number" w:uiPriority="13" w:unhideWhenUsed="0" w:qFormat="1"/>
    <w:lsdException w:name="List 4" w:unhideWhenUsed="0"/>
    <w:lsdException w:name="List 5" w:unhideWhenUsed="0"/>
    <w:lsdException w:name="List Bullet 2" w:qFormat="1"/>
    <w:lsdException w:name="List Bullet 3" w:qFormat="1"/>
    <w:lsdException w:name="List Number 2" w:uiPriority="13" w:qFormat="1"/>
    <w:lsdException w:name="List Number 3" w:uiPriority="13" w:qFormat="1"/>
    <w:lsdException w:name="List Number 4" w:uiPriority="13"/>
    <w:lsdException w:name="List Number 5" w:uiPriority="13"/>
    <w:lsdException w:name="Title" w:locked="0" w:semiHidden="0" w:unhideWhenUsed="0" w:qFormat="1"/>
    <w:lsdException w:name="Closing" w:locked="0"/>
    <w:lsdException w:name="Signature" w:locked="0"/>
    <w:lsdException w:name="Default Paragraph Font" w:locked="0" w:uiPriority="1"/>
    <w:lsdException w:name="Message Header" w:locked="0"/>
    <w:lsdException w:name="Subtitle" w:locked="0" w:unhideWhenUsed="0" w:qFormat="1"/>
    <w:lsdException w:name="Salutation" w:locked="0"/>
    <w:lsdException w:name="Date" w:locked="0" w:semiHidden="0" w:unhideWhenUsed="0"/>
    <w:lsdException w:name="Body Text First Indent" w:unhideWhenUsed="0"/>
    <w:lsdException w:name="Note Heading" w:locked="0"/>
    <w:lsdException w:name="Block Text" w:locked="0" w:uiPriority="99" w:qFormat="1"/>
    <w:lsdException w:name="Hyperlink" w:locked="0" w:uiPriority="99"/>
    <w:lsdException w:name="FollowedHyperlink" w:locked="0" w:uiPriority="99"/>
    <w:lsdException w:name="Strong" w:locked="0" w:unhideWhenUsed="0" w:qFormat="1"/>
    <w:lsdException w:name="Emphasis" w:uiPriority="20" w:unhideWhenUsed="0" w:qFormat="1"/>
    <w:lsdException w:name="Document Map" w:locked="0"/>
    <w:lsdException w:name="Plain Text" w:locked="0"/>
    <w:lsdException w:name="HTML Top of Form" w:locked="0"/>
    <w:lsdException w:name="HTML Bottom of Form" w:locked="0"/>
    <w:lsdException w:name="Normal (Web)" w:locked="0" w:uiPriority="99"/>
    <w:lsdException w:name="Normal Table" w:locked="0"/>
    <w:lsdException w:name="annotation subject" w:locked="0"/>
    <w:lsdException w:name="No List" w:locked="0" w:uiPriority="99"/>
    <w:lsdException w:name="Outline List 1" w:locked="0"/>
    <w:lsdException w:name="Outline List 2" w:locked="0"/>
    <w:lsdException w:name="Outline List 3" w:locked="0"/>
    <w:lsdException w:name="Table Grid" w:semiHidden="0" w:uiPriority="39" w:unhideWhenUsed="0"/>
    <w:lsdException w:name="Table Theme" w:locked="0"/>
    <w:lsdException w:name="Placeholder Text" w:locked="0" w:uiPriority="99" w:unhideWhenUsed="0"/>
    <w:lsdException w:name="No Spacing" w:locked="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uiPriority="34" w:unhideWhenUsed="0" w:qFormat="1"/>
    <w:lsdException w:name="Quote" w:locked="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locked="0" w:uiPriority="39" w:qFormat="1"/>
  </w:latentStyles>
  <w:style w:type="paragraph" w:default="1" w:styleId="Normal">
    <w:name w:val="Normal"/>
    <w:next w:val="PwCNormal"/>
    <w:qFormat/>
    <w:rsid w:val="00535018"/>
    <w:rPr>
      <w:rFonts w:cs="Arial"/>
      <w:snapToGrid w:val="0"/>
      <w:lang w:eastAsia="en-US"/>
    </w:rPr>
  </w:style>
  <w:style w:type="paragraph" w:styleId="Heading1">
    <w:name w:val="heading 1"/>
    <w:basedOn w:val="Normal"/>
    <w:next w:val="PwCNormal"/>
    <w:qFormat/>
    <w:rsid w:val="008C4795"/>
    <w:pPr>
      <w:keepNext/>
      <w:keepLines/>
      <w:numPr>
        <w:numId w:val="35"/>
      </w:numPr>
      <w:outlineLvl w:val="0"/>
    </w:pPr>
    <w:rPr>
      <w:b/>
      <w:i/>
      <w:sz w:val="56"/>
    </w:rPr>
  </w:style>
  <w:style w:type="paragraph" w:styleId="Heading2">
    <w:name w:val="heading 2"/>
    <w:basedOn w:val="Normal"/>
    <w:next w:val="PwCNormal"/>
    <w:qFormat/>
    <w:rsid w:val="006011C3"/>
    <w:pPr>
      <w:keepNext/>
      <w:keepLines/>
      <w:numPr>
        <w:ilvl w:val="1"/>
        <w:numId w:val="35"/>
      </w:numPr>
      <w:spacing w:before="240" w:after="40"/>
      <w:outlineLvl w:val="1"/>
    </w:pPr>
    <w:rPr>
      <w:rFonts w:asciiTheme="majorHAnsi" w:hAnsiTheme="majorHAnsi"/>
      <w:b/>
      <w:bCs/>
      <w:i/>
      <w:iCs/>
      <w:color w:val="A32020" w:themeColor="text2"/>
      <w:sz w:val="32"/>
      <w:szCs w:val="36"/>
    </w:rPr>
  </w:style>
  <w:style w:type="paragraph" w:styleId="Heading3">
    <w:name w:val="heading 3"/>
    <w:basedOn w:val="Heading1"/>
    <w:next w:val="PwCNormal"/>
    <w:qFormat/>
    <w:rsid w:val="006011C3"/>
    <w:pPr>
      <w:numPr>
        <w:ilvl w:val="2"/>
      </w:numPr>
      <w:outlineLvl w:val="2"/>
    </w:pPr>
    <w:rPr>
      <w:bCs/>
      <w:i w:val="0"/>
      <w:color w:val="A32020" w:themeColor="text2"/>
      <w:sz w:val="20"/>
    </w:rPr>
  </w:style>
  <w:style w:type="paragraph" w:styleId="Heading4">
    <w:name w:val="heading 4"/>
    <w:aliases w:val="Appendix Heading (Short)"/>
    <w:basedOn w:val="Heading2"/>
    <w:next w:val="PwCNormal"/>
    <w:qFormat/>
    <w:rsid w:val="006011C3"/>
    <w:pPr>
      <w:numPr>
        <w:ilvl w:val="3"/>
      </w:numPr>
      <w:outlineLvl w:val="3"/>
    </w:pPr>
    <w:rPr>
      <w:bCs w:val="0"/>
      <w:color w:val="000000" w:themeColor="text1"/>
      <w:sz w:val="56"/>
    </w:rPr>
  </w:style>
  <w:style w:type="paragraph" w:styleId="Heading5">
    <w:name w:val="heading 5"/>
    <w:basedOn w:val="Heading2"/>
    <w:next w:val="PwCNormal"/>
    <w:qFormat/>
    <w:rsid w:val="00317710"/>
    <w:pPr>
      <w:numPr>
        <w:ilvl w:val="4"/>
      </w:numPr>
      <w:spacing w:before="360" w:line="380" w:lineRule="atLeast"/>
      <w:outlineLvl w:val="4"/>
    </w:pPr>
    <w:rPr>
      <w:bCs w:val="0"/>
      <w:iCs w:val="0"/>
      <w:szCs w:val="32"/>
    </w:rPr>
  </w:style>
  <w:style w:type="paragraph" w:styleId="Heading6">
    <w:name w:val="heading 6"/>
    <w:basedOn w:val="Heading2"/>
    <w:next w:val="PwCNormal"/>
    <w:qFormat/>
    <w:rsid w:val="006011C3"/>
    <w:pPr>
      <w:numPr>
        <w:ilvl w:val="5"/>
      </w:numPr>
      <w:outlineLvl w:val="5"/>
    </w:pPr>
    <w:rPr>
      <w:bCs w:val="0"/>
      <w:i w:val="0"/>
      <w:sz w:val="20"/>
    </w:rPr>
  </w:style>
  <w:style w:type="paragraph" w:styleId="Heading7">
    <w:name w:val="heading 7"/>
    <w:basedOn w:val="Heading6"/>
    <w:next w:val="PwCNormal"/>
    <w:qFormat/>
    <w:rsid w:val="008F02B5"/>
    <w:pPr>
      <w:numPr>
        <w:ilvl w:val="6"/>
      </w:numPr>
      <w:outlineLvl w:val="6"/>
    </w:pPr>
    <w:rPr>
      <w:b w:val="0"/>
      <w:sz w:val="28"/>
      <w:szCs w:val="28"/>
    </w:rPr>
  </w:style>
  <w:style w:type="paragraph" w:styleId="Heading8">
    <w:name w:val="heading 8"/>
    <w:basedOn w:val="Majorheading"/>
    <w:next w:val="PwCNormal"/>
    <w:qFormat/>
    <w:rsid w:val="00930AB8"/>
    <w:pPr>
      <w:numPr>
        <w:ilvl w:val="7"/>
        <w:numId w:val="35"/>
      </w:numPr>
      <w:outlineLvl w:val="7"/>
    </w:pPr>
    <w:rPr>
      <w:sz w:val="32"/>
      <w:szCs w:val="21"/>
    </w:rPr>
  </w:style>
  <w:style w:type="paragraph" w:styleId="Heading9">
    <w:name w:val="heading 9"/>
    <w:basedOn w:val="Heading8"/>
    <w:next w:val="PwCNormal"/>
    <w:qFormat/>
    <w:rsid w:val="005C6E53"/>
    <w:pPr>
      <w:numPr>
        <w:ilvl w:val="8"/>
      </w:numPr>
      <w:outlineLvl w:val="8"/>
    </w:pPr>
    <w:rPr>
      <w:b w:val="0"/>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76A6"/>
    <w:pPr>
      <w:tabs>
        <w:tab w:val="right" w:pos="8220"/>
      </w:tabs>
    </w:pPr>
    <w:rPr>
      <w:rFonts w:ascii="Arial" w:hAnsi="Arial"/>
      <w:color w:val="000000" w:themeColor="text1"/>
      <w:sz w:val="19"/>
      <w:szCs w:val="18"/>
    </w:rPr>
  </w:style>
  <w:style w:type="paragraph" w:styleId="Footer">
    <w:name w:val="footer"/>
    <w:basedOn w:val="Normal"/>
    <w:link w:val="FooterChar"/>
    <w:uiPriority w:val="99"/>
    <w:rsid w:val="00B376A6"/>
    <w:pPr>
      <w:tabs>
        <w:tab w:val="right" w:pos="8220"/>
      </w:tabs>
      <w:spacing w:line="0" w:lineRule="atLeast"/>
    </w:pPr>
    <w:rPr>
      <w:rFonts w:ascii="Arial" w:hAnsi="Arial"/>
      <w:color w:val="000000" w:themeColor="text1"/>
      <w:sz w:val="19"/>
      <w:szCs w:val="18"/>
    </w:rPr>
  </w:style>
  <w:style w:type="paragraph" w:customStyle="1" w:styleId="TOCtitle">
    <w:name w:val="TOC title"/>
    <w:basedOn w:val="Heading2"/>
    <w:next w:val="PwCNormal"/>
    <w:unhideWhenUsed/>
    <w:rsid w:val="005E2460"/>
    <w:pPr>
      <w:numPr>
        <w:ilvl w:val="0"/>
        <w:numId w:val="0"/>
      </w:numPr>
      <w:spacing w:after="600"/>
    </w:pPr>
    <w:rPr>
      <w:color w:val="auto"/>
    </w:rPr>
  </w:style>
  <w:style w:type="paragraph" w:customStyle="1" w:styleId="Covertitle">
    <w:name w:val="Cover title"/>
    <w:basedOn w:val="KeySentenceInside"/>
    <w:next w:val="Coversubtitle"/>
    <w:rsid w:val="00FF1B96"/>
    <w:pPr>
      <w:framePr w:w="2154" w:wrap="notBeside" w:vAnchor="page" w:hAnchor="page" w:x="928" w:y="8414"/>
      <w:spacing w:before="200"/>
      <w:ind w:left="113"/>
    </w:pPr>
    <w:rPr>
      <w:rFonts w:asciiTheme="majorHAnsi" w:hAnsiTheme="majorHAnsi"/>
      <w:color w:val="auto"/>
      <w:sz w:val="19"/>
      <w:lang w:val="en-GB"/>
    </w:rPr>
  </w:style>
  <w:style w:type="paragraph" w:customStyle="1" w:styleId="Coversubtitle">
    <w:name w:val="Cover subtitle"/>
    <w:basedOn w:val="Covertitle"/>
    <w:rsid w:val="006C1EC2"/>
    <w:pPr>
      <w:framePr w:wrap="notBeside"/>
      <w:spacing w:before="180"/>
    </w:pPr>
    <w:rPr>
      <w:bCs/>
      <w:szCs w:val="64"/>
    </w:rPr>
  </w:style>
  <w:style w:type="paragraph" w:customStyle="1" w:styleId="AppendixNumberLong">
    <w:name w:val="Appendix Number (Long)"/>
    <w:basedOn w:val="Heading3"/>
    <w:next w:val="Heading3"/>
    <w:rsid w:val="00930AB8"/>
    <w:pPr>
      <w:numPr>
        <w:ilvl w:val="5"/>
        <w:numId w:val="26"/>
      </w:numPr>
    </w:pPr>
  </w:style>
  <w:style w:type="paragraph" w:customStyle="1" w:styleId="ChapterNumberLong">
    <w:name w:val="Chapter Number (Long)"/>
    <w:basedOn w:val="Heading1"/>
    <w:next w:val="Heading1"/>
    <w:rsid w:val="00930AB8"/>
    <w:pPr>
      <w:numPr>
        <w:numId w:val="0"/>
      </w:numPr>
    </w:pPr>
  </w:style>
  <w:style w:type="paragraph" w:customStyle="1" w:styleId="Footer-Even">
    <w:name w:val="Footer - Even"/>
    <w:basedOn w:val="Footer"/>
    <w:rsid w:val="00B51CCB"/>
  </w:style>
  <w:style w:type="paragraph" w:customStyle="1" w:styleId="URL">
    <w:name w:val="URL"/>
    <w:basedOn w:val="PwCNormal"/>
    <w:next w:val="PwCNormal"/>
    <w:rsid w:val="00BF2CD7"/>
    <w:pPr>
      <w:framePr w:wrap="around" w:vAnchor="page" w:hAnchor="page" w:x="1022" w:y="568"/>
      <w:spacing w:after="0"/>
    </w:pPr>
    <w:rPr>
      <w:rFonts w:eastAsia="+mn-ea"/>
      <w:snapToGrid/>
      <w:color w:val="A32020" w:themeColor="text2"/>
      <w:sz w:val="36"/>
    </w:rPr>
  </w:style>
  <w:style w:type="paragraph" w:customStyle="1" w:styleId="Indent1">
    <w:name w:val="Indent 1"/>
    <w:basedOn w:val="Normal"/>
    <w:rsid w:val="006C1EC2"/>
    <w:pPr>
      <w:numPr>
        <w:ilvl w:val="1"/>
        <w:numId w:val="9"/>
      </w:numPr>
      <w:spacing w:before="100" w:after="100"/>
    </w:pPr>
    <w:rPr>
      <w:rFonts w:cs="Times New Roman"/>
    </w:rPr>
  </w:style>
  <w:style w:type="paragraph" w:customStyle="1" w:styleId="Indent2">
    <w:name w:val="Indent 2"/>
    <w:basedOn w:val="Indent1"/>
    <w:rsid w:val="00931F8A"/>
    <w:pPr>
      <w:numPr>
        <w:ilvl w:val="2"/>
      </w:numPr>
    </w:pPr>
  </w:style>
  <w:style w:type="paragraph" w:customStyle="1" w:styleId="Indent3">
    <w:name w:val="Indent 3"/>
    <w:basedOn w:val="Indent2"/>
    <w:rsid w:val="00931F8A"/>
    <w:pPr>
      <w:numPr>
        <w:ilvl w:val="3"/>
      </w:numPr>
    </w:pPr>
  </w:style>
  <w:style w:type="paragraph" w:customStyle="1" w:styleId="Indent5">
    <w:name w:val="Indent 5"/>
    <w:basedOn w:val="Indent4"/>
    <w:rsid w:val="00931F8A"/>
    <w:pPr>
      <w:numPr>
        <w:ilvl w:val="5"/>
      </w:numPr>
    </w:pPr>
  </w:style>
  <w:style w:type="paragraph" w:customStyle="1" w:styleId="Indent6">
    <w:name w:val="Indent 6"/>
    <w:basedOn w:val="Indent5"/>
    <w:rsid w:val="00931F8A"/>
    <w:pPr>
      <w:numPr>
        <w:ilvl w:val="6"/>
      </w:numPr>
    </w:pPr>
  </w:style>
  <w:style w:type="paragraph" w:customStyle="1" w:styleId="Indent7">
    <w:name w:val="Indent 7"/>
    <w:basedOn w:val="Indent6"/>
    <w:rsid w:val="00931F8A"/>
    <w:pPr>
      <w:numPr>
        <w:ilvl w:val="7"/>
      </w:numPr>
    </w:pPr>
  </w:style>
  <w:style w:type="numbering" w:customStyle="1" w:styleId="Indents">
    <w:name w:val="Indents"/>
    <w:rsid w:val="00931F8A"/>
    <w:pPr>
      <w:numPr>
        <w:numId w:val="2"/>
      </w:numPr>
    </w:pPr>
  </w:style>
  <w:style w:type="paragraph" w:customStyle="1" w:styleId="Copyright">
    <w:name w:val="Copyright"/>
    <w:basedOn w:val="Normal"/>
    <w:rsid w:val="00483E95"/>
    <w:pPr>
      <w:framePr w:w="7938" w:wrap="around" w:vAnchor="page" w:hAnchor="page" w:x="1022" w:y="15196"/>
      <w:spacing w:before="150" w:after="150" w:line="150" w:lineRule="atLeast"/>
      <w:ind w:right="816"/>
    </w:pPr>
    <w:rPr>
      <w:rFonts w:ascii="Arial" w:hAnsi="Arial"/>
      <w:color w:val="A32020" w:themeColor="text2"/>
      <w:sz w:val="16"/>
      <w:lang w:val="en-US"/>
    </w:rPr>
  </w:style>
  <w:style w:type="paragraph" w:customStyle="1" w:styleId="Header-Even">
    <w:name w:val="Header - Even"/>
    <w:basedOn w:val="Header"/>
    <w:rsid w:val="006C27B5"/>
    <w:rPr>
      <w:noProof/>
      <w:snapToGrid/>
      <w:lang w:val="en-US" w:eastAsia="en-AU"/>
    </w:rPr>
  </w:style>
  <w:style w:type="paragraph" w:customStyle="1" w:styleId="PleaseNote">
    <w:name w:val="Please Note"/>
    <w:basedOn w:val="PrefaceTitle"/>
    <w:next w:val="PwCNormal"/>
    <w:rsid w:val="008D4477"/>
    <w:rPr>
      <w:iCs w:val="0"/>
    </w:rPr>
  </w:style>
  <w:style w:type="paragraph" w:customStyle="1" w:styleId="Indent4">
    <w:name w:val="Indent 4"/>
    <w:basedOn w:val="Indent3"/>
    <w:rsid w:val="00931F8A"/>
    <w:pPr>
      <w:numPr>
        <w:ilvl w:val="4"/>
      </w:numPr>
    </w:pPr>
  </w:style>
  <w:style w:type="paragraph" w:styleId="TOC2">
    <w:name w:val="toc 2"/>
    <w:basedOn w:val="TOC1"/>
    <w:next w:val="PwCNormal"/>
    <w:uiPriority w:val="39"/>
    <w:rsid w:val="005D6C14"/>
    <w:pPr>
      <w:spacing w:before="0" w:after="0"/>
      <w:ind w:left="200"/>
    </w:pPr>
    <w:rPr>
      <w:b w:val="0"/>
      <w:bCs w:val="0"/>
      <w:caps w:val="0"/>
      <w:smallCaps/>
    </w:rPr>
  </w:style>
  <w:style w:type="paragraph" w:styleId="TOC4">
    <w:name w:val="toc 4"/>
    <w:basedOn w:val="TOC2"/>
    <w:next w:val="PwCNormal"/>
    <w:uiPriority w:val="39"/>
    <w:rsid w:val="00A14944"/>
    <w:pPr>
      <w:ind w:left="600"/>
    </w:pPr>
    <w:rPr>
      <w:smallCaps w:val="0"/>
      <w:sz w:val="18"/>
      <w:szCs w:val="18"/>
    </w:rPr>
  </w:style>
  <w:style w:type="paragraph" w:styleId="TOC7">
    <w:name w:val="toc 7"/>
    <w:basedOn w:val="TOC6"/>
    <w:next w:val="PwCNormal"/>
    <w:uiPriority w:val="39"/>
    <w:rsid w:val="008D4477"/>
    <w:pPr>
      <w:ind w:left="1200"/>
    </w:pPr>
  </w:style>
  <w:style w:type="paragraph" w:customStyle="1" w:styleId="KeySentenceInside">
    <w:name w:val="Key Sentence Inside"/>
    <w:basedOn w:val="KeySentence"/>
    <w:rsid w:val="006650EF"/>
    <w:pPr>
      <w:framePr w:w="2296" w:wrap="notBeside" w:vAnchor="text" w:hAnchor="margin" w:x="-2521" w:y="1" w:anchorLock="1"/>
    </w:pPr>
  </w:style>
  <w:style w:type="paragraph" w:customStyle="1" w:styleId="ChapterNumberedList1">
    <w:name w:val="Chapter Numbered List 1"/>
    <w:basedOn w:val="PwCNormal"/>
    <w:rsid w:val="00930AB8"/>
    <w:pPr>
      <w:numPr>
        <w:ilvl w:val="7"/>
        <w:numId w:val="26"/>
      </w:numPr>
    </w:pPr>
  </w:style>
  <w:style w:type="paragraph" w:customStyle="1" w:styleId="ChapterNumberedList2">
    <w:name w:val="Chapter Numbered List 2"/>
    <w:basedOn w:val="ChapterNumberedList1"/>
    <w:rsid w:val="00F614AA"/>
    <w:pPr>
      <w:numPr>
        <w:ilvl w:val="8"/>
      </w:numPr>
    </w:pPr>
  </w:style>
  <w:style w:type="paragraph" w:styleId="TOC6">
    <w:name w:val="toc 6"/>
    <w:basedOn w:val="TOC2"/>
    <w:next w:val="PwCNormal"/>
    <w:uiPriority w:val="39"/>
    <w:rsid w:val="008D4477"/>
    <w:pPr>
      <w:ind w:left="1000"/>
    </w:pPr>
    <w:rPr>
      <w:smallCaps w:val="0"/>
      <w:sz w:val="18"/>
      <w:szCs w:val="18"/>
    </w:rPr>
  </w:style>
  <w:style w:type="paragraph" w:customStyle="1" w:styleId="PwCNormal">
    <w:name w:val="PwC Normal"/>
    <w:basedOn w:val="Normal"/>
    <w:link w:val="PwCNormalChar"/>
    <w:rsid w:val="00126AFF"/>
    <w:pPr>
      <w:numPr>
        <w:numId w:val="9"/>
      </w:numPr>
      <w:spacing w:after="240"/>
    </w:pPr>
  </w:style>
  <w:style w:type="paragraph" w:customStyle="1" w:styleId="CoverDate">
    <w:name w:val="Cover Date"/>
    <w:basedOn w:val="Coversubtitle"/>
    <w:rsid w:val="002D5CE4"/>
    <w:pPr>
      <w:framePr w:wrap="notBeside"/>
    </w:pPr>
  </w:style>
  <w:style w:type="paragraph" w:customStyle="1" w:styleId="KeySentenceOutside">
    <w:name w:val="Key Sentence Outside"/>
    <w:basedOn w:val="KeySentence"/>
    <w:rsid w:val="002627A5"/>
    <w:pPr>
      <w:framePr w:w="2410" w:wrap="around" w:vAnchor="text" w:hAnchor="margin" w:x="7909" w:y="1" w:anchorLock="1"/>
    </w:pPr>
  </w:style>
  <w:style w:type="character" w:customStyle="1" w:styleId="PwCNormalChar">
    <w:name w:val="PwC Normal Char"/>
    <w:basedOn w:val="DefaultParagraphFont"/>
    <w:link w:val="PwCNormal"/>
    <w:rsid w:val="00126AFF"/>
    <w:rPr>
      <w:rFonts w:cs="Arial"/>
      <w:snapToGrid w:val="0"/>
      <w:lang w:eastAsia="en-US"/>
    </w:rPr>
  </w:style>
  <w:style w:type="paragraph" w:styleId="TOC1">
    <w:name w:val="toc 1"/>
    <w:basedOn w:val="Normal"/>
    <w:next w:val="PwCNormal"/>
    <w:autoRedefine/>
    <w:uiPriority w:val="39"/>
    <w:rsid w:val="00993D7E"/>
    <w:pPr>
      <w:spacing w:before="120" w:after="120"/>
    </w:pPr>
    <w:rPr>
      <w:rFonts w:cstheme="minorHAnsi"/>
      <w:b/>
      <w:bCs/>
      <w:caps/>
    </w:rPr>
  </w:style>
  <w:style w:type="paragraph" w:customStyle="1" w:styleId="CREATISID">
    <w:name w:val="CREATISID"/>
    <w:basedOn w:val="PwCNormal"/>
    <w:unhideWhenUsed/>
    <w:rsid w:val="008D4477"/>
    <w:pPr>
      <w:framePr w:w="227" w:h="539" w:wrap="notBeside" w:vAnchor="page" w:hAnchor="page" w:x="511" w:y="15594"/>
      <w:numPr>
        <w:numId w:val="0"/>
      </w:numPr>
      <w:spacing w:after="0"/>
      <w:textDirection w:val="btLr"/>
    </w:pPr>
    <w:rPr>
      <w:rFonts w:eastAsia="MS Mincho"/>
      <w:sz w:val="10"/>
      <w:szCs w:val="12"/>
      <w:lang w:eastAsia="ja-JP"/>
    </w:rPr>
  </w:style>
  <w:style w:type="numbering" w:customStyle="1" w:styleId="BulletList">
    <w:name w:val="Bullet List"/>
    <w:rsid w:val="0021094E"/>
    <w:pPr>
      <w:numPr>
        <w:numId w:val="1"/>
      </w:numPr>
    </w:pPr>
  </w:style>
  <w:style w:type="paragraph" w:customStyle="1" w:styleId="Footer-Landscape">
    <w:name w:val="Footer - Landscape"/>
    <w:basedOn w:val="Footer"/>
    <w:rsid w:val="008D4477"/>
    <w:pPr>
      <w:tabs>
        <w:tab w:val="clear" w:pos="8220"/>
        <w:tab w:val="right" w:pos="14797"/>
      </w:tabs>
    </w:pPr>
  </w:style>
  <w:style w:type="paragraph" w:customStyle="1" w:styleId="TableBullet1Normal">
    <w:name w:val="Table Bullet 1 Normal"/>
    <w:basedOn w:val="TableTextNormal"/>
    <w:rsid w:val="00317710"/>
    <w:pPr>
      <w:numPr>
        <w:numId w:val="6"/>
      </w:numPr>
      <w:spacing w:before="40" w:after="40"/>
    </w:pPr>
  </w:style>
  <w:style w:type="paragraph" w:customStyle="1" w:styleId="TableTextNormal">
    <w:name w:val="Table Text Normal"/>
    <w:basedOn w:val="Normal"/>
    <w:rsid w:val="00053B82"/>
    <w:pPr>
      <w:spacing w:before="80" w:after="80"/>
    </w:pPr>
  </w:style>
  <w:style w:type="paragraph" w:customStyle="1" w:styleId="TableBullet1Small">
    <w:name w:val="Table Bullet 1 Small"/>
    <w:basedOn w:val="TableTextSmall"/>
    <w:rsid w:val="00317710"/>
    <w:pPr>
      <w:numPr>
        <w:numId w:val="7"/>
      </w:numPr>
      <w:spacing w:before="20" w:after="20"/>
    </w:pPr>
  </w:style>
  <w:style w:type="paragraph" w:customStyle="1" w:styleId="TableTextSmall">
    <w:name w:val="Table Text Small"/>
    <w:basedOn w:val="Normal"/>
    <w:rsid w:val="00020F7F"/>
    <w:pPr>
      <w:spacing w:before="40" w:after="40"/>
    </w:pPr>
    <w:rPr>
      <w:rFonts w:ascii="Arial" w:hAnsi="Arial"/>
      <w:sz w:val="16"/>
      <w:szCs w:val="18"/>
    </w:rPr>
  </w:style>
  <w:style w:type="paragraph" w:customStyle="1" w:styleId="TableBullet3Normal">
    <w:name w:val="Table Bullet 3 Normal"/>
    <w:basedOn w:val="TableBullet2Normal"/>
    <w:rsid w:val="008D4477"/>
    <w:pPr>
      <w:numPr>
        <w:ilvl w:val="2"/>
      </w:numPr>
    </w:pPr>
  </w:style>
  <w:style w:type="paragraph" w:customStyle="1" w:styleId="TableBullet3Small">
    <w:name w:val="Table Bullet 3 Small"/>
    <w:basedOn w:val="TableBullet2Small"/>
    <w:rsid w:val="008D4477"/>
    <w:pPr>
      <w:numPr>
        <w:ilvl w:val="2"/>
      </w:numPr>
    </w:pPr>
    <w:rPr>
      <w:szCs w:val="16"/>
    </w:rPr>
  </w:style>
  <w:style w:type="paragraph" w:customStyle="1" w:styleId="BlockText2">
    <w:name w:val="Block Text 2"/>
    <w:basedOn w:val="Normal"/>
    <w:qFormat/>
    <w:rsid w:val="0071186F"/>
    <w:pPr>
      <w:pBdr>
        <w:top w:val="single" w:sz="2" w:space="10" w:color="A32020" w:themeColor="text2"/>
        <w:left w:val="single" w:sz="2" w:space="10" w:color="A32020" w:themeColor="text2"/>
        <w:bottom w:val="single" w:sz="2" w:space="10" w:color="A32020" w:themeColor="text2"/>
        <w:right w:val="single" w:sz="2" w:space="10" w:color="A32020" w:themeColor="text2"/>
      </w:pBdr>
      <w:shd w:val="clear" w:color="auto" w:fill="A32020" w:themeFill="text2"/>
      <w:spacing w:after="240"/>
      <w:ind w:left="227" w:right="227"/>
    </w:pPr>
    <w:rPr>
      <w:rFonts w:eastAsiaTheme="minorHAnsi" w:cstheme="minorBidi"/>
      <w:i/>
      <w:snapToGrid/>
      <w:color w:val="FFFFFF" w:themeColor="background2"/>
      <w:sz w:val="48"/>
      <w:szCs w:val="48"/>
      <w:lang w:val="en-GB"/>
    </w:rPr>
  </w:style>
  <w:style w:type="paragraph" w:customStyle="1" w:styleId="Appendix">
    <w:name w:val="Appendix"/>
    <w:basedOn w:val="Heading1"/>
    <w:next w:val="Normal"/>
    <w:uiPriority w:val="99"/>
    <w:qFormat/>
    <w:rsid w:val="0071186F"/>
    <w:pPr>
      <w:numPr>
        <w:numId w:val="12"/>
      </w:numPr>
    </w:pPr>
    <w:rPr>
      <w:rFonts w:eastAsiaTheme="majorEastAsia" w:cstheme="majorBidi"/>
      <w:snapToGrid/>
      <w:szCs w:val="28"/>
      <w:lang w:val="en-GB"/>
    </w:rPr>
  </w:style>
  <w:style w:type="numbering" w:customStyle="1" w:styleId="PwCAppendixList1">
    <w:name w:val="PwC Appendix List 1"/>
    <w:uiPriority w:val="99"/>
    <w:rsid w:val="0071186F"/>
    <w:pPr>
      <w:numPr>
        <w:numId w:val="11"/>
      </w:numPr>
    </w:pPr>
  </w:style>
  <w:style w:type="paragraph" w:styleId="Caption">
    <w:name w:val="caption"/>
    <w:basedOn w:val="Normal"/>
    <w:next w:val="Normal"/>
    <w:link w:val="CaptionChar"/>
    <w:unhideWhenUsed/>
    <w:qFormat/>
    <w:rsid w:val="004C7A29"/>
    <w:pPr>
      <w:keepNext/>
      <w:keepLines/>
      <w:tabs>
        <w:tab w:val="left" w:pos="992"/>
      </w:tabs>
      <w:spacing w:before="240" w:after="120"/>
      <w:ind w:left="992" w:hanging="992"/>
    </w:pPr>
    <w:rPr>
      <w:rFonts w:asciiTheme="majorHAnsi" w:hAnsiTheme="majorHAnsi"/>
      <w:b/>
      <w:bCs/>
      <w:color w:val="A32020" w:themeColor="text2"/>
      <w:szCs w:val="18"/>
    </w:rPr>
  </w:style>
  <w:style w:type="paragraph" w:customStyle="1" w:styleId="Majorheading">
    <w:name w:val="Major heading"/>
    <w:basedOn w:val="Normal"/>
    <w:next w:val="PwCNormal"/>
    <w:rsid w:val="0095290F"/>
    <w:pPr>
      <w:keepNext/>
      <w:keepLines/>
      <w:spacing w:before="240" w:after="40"/>
    </w:pPr>
    <w:rPr>
      <w:rFonts w:asciiTheme="majorHAnsi" w:hAnsiTheme="majorHAnsi"/>
      <w:b/>
      <w:i/>
      <w:color w:val="A32020" w:themeColor="text2"/>
      <w:sz w:val="28"/>
      <w:szCs w:val="24"/>
    </w:rPr>
  </w:style>
  <w:style w:type="numbering" w:customStyle="1" w:styleId="TableBulletNormalList">
    <w:name w:val="Table Bullet Normal List"/>
    <w:rsid w:val="0021094E"/>
    <w:pPr>
      <w:numPr>
        <w:numId w:val="4"/>
      </w:numPr>
    </w:pPr>
  </w:style>
  <w:style w:type="paragraph" w:customStyle="1" w:styleId="Disclaimer">
    <w:name w:val="Disclaimer"/>
    <w:basedOn w:val="Normal"/>
    <w:unhideWhenUsed/>
    <w:rsid w:val="00F03ACC"/>
    <w:pPr>
      <w:spacing w:after="140"/>
    </w:pPr>
    <w:rPr>
      <w:rFonts w:ascii="Arial" w:hAnsi="Arial"/>
      <w:sz w:val="15"/>
    </w:rPr>
  </w:style>
  <w:style w:type="paragraph" w:customStyle="1" w:styleId="Footer-LandscapeEven">
    <w:name w:val="Footer - Landscape Even"/>
    <w:basedOn w:val="Footer-Landscape"/>
    <w:rsid w:val="008D4477"/>
  </w:style>
  <w:style w:type="paragraph" w:customStyle="1" w:styleId="PwCNormal-Single">
    <w:name w:val="PwC Normal - Single"/>
    <w:basedOn w:val="PwCNormal"/>
    <w:rsid w:val="00126AFF"/>
    <w:pPr>
      <w:numPr>
        <w:numId w:val="0"/>
      </w:numPr>
      <w:spacing w:after="0"/>
    </w:pPr>
  </w:style>
  <w:style w:type="numbering" w:customStyle="1" w:styleId="TableNumberdListNormal">
    <w:name w:val="Table Numberd List Normal"/>
    <w:uiPriority w:val="99"/>
    <w:rsid w:val="00EA47AB"/>
    <w:pPr>
      <w:numPr>
        <w:numId w:val="14"/>
      </w:numPr>
    </w:pPr>
  </w:style>
  <w:style w:type="numbering" w:customStyle="1" w:styleId="TableNumberedListSmall">
    <w:name w:val="Table Numbered List Small"/>
    <w:uiPriority w:val="99"/>
    <w:rsid w:val="00EA47AB"/>
    <w:pPr>
      <w:numPr>
        <w:numId w:val="16"/>
      </w:numPr>
    </w:pPr>
  </w:style>
  <w:style w:type="paragraph" w:customStyle="1" w:styleId="TableIndent2Normal">
    <w:name w:val="Table Indent 2 Normal"/>
    <w:basedOn w:val="TableIndent1Normal"/>
    <w:rsid w:val="008D4477"/>
    <w:pPr>
      <w:ind w:left="567"/>
    </w:pPr>
  </w:style>
  <w:style w:type="paragraph" w:customStyle="1" w:styleId="TableIndent2Small">
    <w:name w:val="Table Indent 2 Small"/>
    <w:basedOn w:val="TableIndent1Small"/>
    <w:rsid w:val="00461AF8"/>
    <w:pPr>
      <w:ind w:left="567"/>
    </w:pPr>
    <w:rPr>
      <w:szCs w:val="16"/>
    </w:rPr>
  </w:style>
  <w:style w:type="paragraph" w:customStyle="1" w:styleId="KeySentence">
    <w:name w:val="Key Sentence"/>
    <w:basedOn w:val="Normal"/>
    <w:rsid w:val="00A86844"/>
    <w:pPr>
      <w:spacing w:after="160" w:line="260" w:lineRule="atLeast"/>
    </w:pPr>
    <w:rPr>
      <w:i/>
      <w:color w:val="A32020" w:themeColor="text2"/>
      <w:sz w:val="16"/>
      <w:szCs w:val="18"/>
    </w:rPr>
  </w:style>
  <w:style w:type="numbering" w:customStyle="1" w:styleId="TableNumberedListS">
    <w:name w:val="Table Numbered List S"/>
    <w:rsid w:val="008D4477"/>
  </w:style>
  <w:style w:type="paragraph" w:customStyle="1" w:styleId="PrefaceTitle">
    <w:name w:val="Preface Title"/>
    <w:basedOn w:val="Heading2"/>
    <w:next w:val="PwCNormal"/>
    <w:rsid w:val="00C75673"/>
    <w:pPr>
      <w:numPr>
        <w:ilvl w:val="0"/>
        <w:numId w:val="0"/>
      </w:numPr>
    </w:pPr>
  </w:style>
  <w:style w:type="paragraph" w:customStyle="1" w:styleId="Sources">
    <w:name w:val="Sources"/>
    <w:basedOn w:val="Normal"/>
    <w:next w:val="PwCNormal"/>
    <w:rsid w:val="006742E0"/>
    <w:pPr>
      <w:spacing w:before="80" w:after="240" w:line="180" w:lineRule="atLeast"/>
    </w:pPr>
    <w:rPr>
      <w:color w:val="A32020" w:themeColor="text2"/>
      <w:sz w:val="16"/>
    </w:rPr>
  </w:style>
  <w:style w:type="paragraph" w:customStyle="1" w:styleId="Minorheading">
    <w:name w:val="Minor heading"/>
    <w:basedOn w:val="Majorheading"/>
    <w:next w:val="PwCNormal"/>
    <w:rsid w:val="003C52DC"/>
    <w:pPr>
      <w:spacing w:line="180" w:lineRule="atLeast"/>
    </w:pPr>
    <w:rPr>
      <w:b w:val="0"/>
      <w:sz w:val="26"/>
    </w:rPr>
  </w:style>
  <w:style w:type="paragraph" w:customStyle="1" w:styleId="Minorheading2">
    <w:name w:val="Minor heading 2"/>
    <w:basedOn w:val="Minorheading"/>
    <w:next w:val="PwCNormal"/>
    <w:rsid w:val="00D657FC"/>
    <w:pPr>
      <w:spacing w:line="240" w:lineRule="atLeast"/>
    </w:pPr>
    <w:rPr>
      <w:b/>
      <w:i w:val="0"/>
      <w:sz w:val="20"/>
    </w:rPr>
  </w:style>
  <w:style w:type="numbering" w:customStyle="1" w:styleId="PwCListNumbers1">
    <w:name w:val="PwC List Numbers 1"/>
    <w:uiPriority w:val="99"/>
    <w:rsid w:val="0071186F"/>
    <w:pPr>
      <w:numPr>
        <w:numId w:val="13"/>
      </w:numPr>
    </w:pPr>
  </w:style>
  <w:style w:type="paragraph" w:customStyle="1" w:styleId="BlockText3">
    <w:name w:val="Block Text 3"/>
    <w:basedOn w:val="BlockText"/>
    <w:qFormat/>
    <w:rsid w:val="0071186F"/>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ind w:left="227" w:right="227"/>
    </w:pPr>
    <w:rPr>
      <w:snapToGrid/>
      <w:sz w:val="96"/>
      <w:lang w:val="en-GB"/>
    </w:rPr>
  </w:style>
  <w:style w:type="paragraph" w:customStyle="1" w:styleId="TableBullet2Normal">
    <w:name w:val="Table Bullet 2 Normal"/>
    <w:basedOn w:val="TableBullet1Normal"/>
    <w:rsid w:val="008D4477"/>
    <w:pPr>
      <w:numPr>
        <w:ilvl w:val="1"/>
      </w:numPr>
    </w:pPr>
  </w:style>
  <w:style w:type="paragraph" w:customStyle="1" w:styleId="TableBullet2Small">
    <w:name w:val="Table Bullet 2 Small"/>
    <w:basedOn w:val="TableBullet1Small"/>
    <w:rsid w:val="008D4477"/>
    <w:pPr>
      <w:numPr>
        <w:ilvl w:val="1"/>
      </w:numPr>
    </w:pPr>
  </w:style>
  <w:style w:type="paragraph" w:customStyle="1" w:styleId="TableIndent1Normal">
    <w:name w:val="Table Indent 1 Normal"/>
    <w:basedOn w:val="TableBullet1Normal"/>
    <w:rsid w:val="008D4477"/>
    <w:pPr>
      <w:numPr>
        <w:numId w:val="0"/>
      </w:numPr>
      <w:ind w:left="284"/>
    </w:pPr>
  </w:style>
  <w:style w:type="paragraph" w:customStyle="1" w:styleId="TableIndent1Small">
    <w:name w:val="Table Indent 1 Small"/>
    <w:basedOn w:val="TableBullet1Small"/>
    <w:rsid w:val="00461AF8"/>
    <w:pPr>
      <w:numPr>
        <w:numId w:val="0"/>
      </w:numPr>
      <w:ind w:left="284"/>
    </w:pPr>
  </w:style>
  <w:style w:type="paragraph" w:customStyle="1" w:styleId="SubHeading">
    <w:name w:val="Sub Heading"/>
    <w:basedOn w:val="PwCNormal"/>
    <w:rsid w:val="00930AB8"/>
    <w:pPr>
      <w:spacing w:after="480" w:line="600" w:lineRule="atLeast"/>
    </w:pPr>
    <w:rPr>
      <w:sz w:val="56"/>
    </w:rPr>
  </w:style>
  <w:style w:type="paragraph" w:styleId="FootnoteText">
    <w:name w:val="footnote text"/>
    <w:basedOn w:val="Normal"/>
    <w:link w:val="FootnoteTextChar"/>
    <w:uiPriority w:val="99"/>
    <w:rsid w:val="005F07CE"/>
    <w:pPr>
      <w:tabs>
        <w:tab w:val="left" w:pos="284"/>
      </w:tabs>
      <w:spacing w:before="80" w:after="80"/>
      <w:ind w:left="227" w:hanging="227"/>
    </w:pPr>
    <w:rPr>
      <w:sz w:val="14"/>
    </w:rPr>
  </w:style>
  <w:style w:type="character" w:styleId="FootnoteReference">
    <w:name w:val="footnote reference"/>
    <w:basedOn w:val="DefaultParagraphFont"/>
    <w:rsid w:val="00317710"/>
    <w:rPr>
      <w:rFonts w:cs="Arial"/>
      <w:sz w:val="21"/>
      <w:vertAlign w:val="superscript"/>
    </w:rPr>
  </w:style>
  <w:style w:type="character" w:styleId="EndnoteReference">
    <w:name w:val="endnote reference"/>
    <w:basedOn w:val="DefaultParagraphFont"/>
    <w:semiHidden/>
    <w:unhideWhenUsed/>
    <w:rsid w:val="008D4477"/>
    <w:rPr>
      <w:rFonts w:ascii="Arial" w:hAnsi="Arial" w:cs="Arial"/>
      <w:sz w:val="21"/>
      <w:vertAlign w:val="superscript"/>
    </w:rPr>
  </w:style>
  <w:style w:type="paragraph" w:styleId="EndnoteText">
    <w:name w:val="endnote text"/>
    <w:basedOn w:val="FootnoteText"/>
    <w:semiHidden/>
    <w:unhideWhenUsed/>
    <w:rsid w:val="008D4477"/>
  </w:style>
  <w:style w:type="paragraph" w:customStyle="1" w:styleId="Address">
    <w:name w:val="Address"/>
    <w:basedOn w:val="Normal"/>
    <w:qFormat/>
    <w:rsid w:val="009231BC"/>
    <w:pPr>
      <w:spacing w:line="200" w:lineRule="atLeast"/>
    </w:pPr>
    <w:rPr>
      <w:rFonts w:eastAsiaTheme="minorHAnsi" w:cstheme="minorBidi"/>
      <w:i/>
      <w:noProof/>
      <w:snapToGrid/>
      <w:sz w:val="18"/>
      <w:szCs w:val="22"/>
      <w:lang w:val="en-GB" w:eastAsia="en-GB"/>
    </w:rPr>
  </w:style>
  <w:style w:type="table" w:styleId="TableGrid">
    <w:name w:val="Table Grid"/>
    <w:basedOn w:val="TableNormal"/>
    <w:uiPriority w:val="39"/>
    <w:locked/>
    <w:rsid w:val="008D4477"/>
    <w:pPr>
      <w:kinsoku w:val="0"/>
      <w:overflowPunct w:val="0"/>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TOC1"/>
    <w:next w:val="PwCNormal"/>
    <w:uiPriority w:val="39"/>
    <w:rsid w:val="008D4477"/>
    <w:pPr>
      <w:spacing w:before="0" w:after="0"/>
      <w:ind w:left="400"/>
    </w:pPr>
    <w:rPr>
      <w:b w:val="0"/>
      <w:bCs w:val="0"/>
      <w:i/>
      <w:iCs/>
      <w:caps w:val="0"/>
    </w:rPr>
  </w:style>
  <w:style w:type="paragraph" w:styleId="TOC5">
    <w:name w:val="toc 5"/>
    <w:basedOn w:val="TOC2"/>
    <w:next w:val="PwCNormal"/>
    <w:rsid w:val="008D4477"/>
    <w:pPr>
      <w:ind w:left="800"/>
    </w:pPr>
    <w:rPr>
      <w:smallCaps w:val="0"/>
      <w:sz w:val="18"/>
      <w:szCs w:val="18"/>
    </w:rPr>
  </w:style>
  <w:style w:type="paragraph" w:styleId="TOC8">
    <w:name w:val="toc 8"/>
    <w:basedOn w:val="TOC7"/>
    <w:next w:val="PwCNormal"/>
    <w:rsid w:val="008D4477"/>
    <w:pPr>
      <w:ind w:left="1400"/>
    </w:pPr>
  </w:style>
  <w:style w:type="paragraph" w:styleId="TOC9">
    <w:name w:val="toc 9"/>
    <w:basedOn w:val="TOC8"/>
    <w:next w:val="PwCNormal"/>
    <w:uiPriority w:val="39"/>
    <w:rsid w:val="008D4477"/>
    <w:pPr>
      <w:ind w:left="1600"/>
    </w:pPr>
  </w:style>
  <w:style w:type="paragraph" w:customStyle="1" w:styleId="Separator">
    <w:name w:val="Separator"/>
    <w:basedOn w:val="Normal"/>
    <w:semiHidden/>
    <w:rsid w:val="008D4477"/>
    <w:pPr>
      <w:spacing w:before="240" w:after="120"/>
    </w:pPr>
    <w:rPr>
      <w:sz w:val="16"/>
    </w:rPr>
  </w:style>
  <w:style w:type="numbering" w:customStyle="1" w:styleId="TableNumberedListN">
    <w:name w:val="Table Numbered List N"/>
    <w:rsid w:val="008D4477"/>
  </w:style>
  <w:style w:type="paragraph" w:customStyle="1" w:styleId="TableColumnHeadingNormal">
    <w:name w:val="Table Column Heading Normal"/>
    <w:basedOn w:val="TableTextNormal"/>
    <w:rsid w:val="000B319E"/>
    <w:pPr>
      <w:keepNext/>
      <w:keepLines/>
    </w:pPr>
    <w:rPr>
      <w:b/>
      <w:color w:val="A32020" w:themeColor="text2"/>
    </w:rPr>
  </w:style>
  <w:style w:type="paragraph" w:customStyle="1" w:styleId="TableColumnHeadingSmall">
    <w:name w:val="Table Column Heading Small"/>
    <w:basedOn w:val="TableTextSmall"/>
    <w:next w:val="TableTextSmall"/>
    <w:rsid w:val="00053B82"/>
    <w:pPr>
      <w:keepNext/>
      <w:keepLines/>
    </w:pPr>
    <w:rPr>
      <w:b/>
      <w:color w:val="A32020" w:themeColor="text2"/>
      <w:szCs w:val="16"/>
    </w:rPr>
  </w:style>
  <w:style w:type="numbering" w:customStyle="1" w:styleId="TableBulletSmallList">
    <w:name w:val="Table Bullet Small List"/>
    <w:rsid w:val="0021094E"/>
    <w:pPr>
      <w:numPr>
        <w:numId w:val="3"/>
      </w:numPr>
    </w:pPr>
  </w:style>
  <w:style w:type="paragraph" w:customStyle="1" w:styleId="Header-Landscape">
    <w:name w:val="Header - Landscape"/>
    <w:basedOn w:val="Header"/>
    <w:rsid w:val="008D4477"/>
    <w:pPr>
      <w:tabs>
        <w:tab w:val="clear" w:pos="8220"/>
        <w:tab w:val="right" w:pos="14797"/>
      </w:tabs>
    </w:pPr>
  </w:style>
  <w:style w:type="character" w:styleId="PageNumber">
    <w:name w:val="page number"/>
    <w:semiHidden/>
    <w:unhideWhenUsed/>
    <w:rsid w:val="008D4477"/>
  </w:style>
  <w:style w:type="paragraph" w:styleId="Date">
    <w:name w:val="Date"/>
    <w:basedOn w:val="Normal"/>
    <w:next w:val="PwCNormal"/>
    <w:semiHidden/>
    <w:rsid w:val="008D4477"/>
  </w:style>
  <w:style w:type="paragraph" w:customStyle="1" w:styleId="Indent8">
    <w:name w:val="Indent 8"/>
    <w:basedOn w:val="Indent7"/>
    <w:rsid w:val="00931F8A"/>
    <w:pPr>
      <w:numPr>
        <w:ilvl w:val="8"/>
      </w:numPr>
    </w:pPr>
  </w:style>
  <w:style w:type="paragraph" w:customStyle="1" w:styleId="Header-LandscapeEven">
    <w:name w:val="Header - Landscape Even"/>
    <w:basedOn w:val="Header-Landscape"/>
    <w:rsid w:val="008D4477"/>
    <w:pPr>
      <w:tabs>
        <w:tab w:val="right" w:pos="14661"/>
      </w:tabs>
    </w:pPr>
  </w:style>
  <w:style w:type="paragraph" w:customStyle="1" w:styleId="Footer-ToC">
    <w:name w:val="Footer - ToC"/>
    <w:basedOn w:val="Footer"/>
    <w:rsid w:val="0064358E"/>
  </w:style>
  <w:style w:type="paragraph" w:customStyle="1" w:styleId="Footer-ToCEven">
    <w:name w:val="Footer - ToC Even"/>
    <w:basedOn w:val="Footer-ToC"/>
    <w:rsid w:val="00BB4286"/>
  </w:style>
  <w:style w:type="table" w:customStyle="1" w:styleId="Tables-APBase">
    <w:name w:val="Tables - AP Base"/>
    <w:basedOn w:val="TableNormal"/>
    <w:rsid w:val="00A87947"/>
    <w:tblPr>
      <w:tblStyleRowBandSize w:val="1"/>
      <w:tblStyleColBandSize w:val="1"/>
      <w:tblBorders>
        <w:top w:val="single" w:sz="4" w:space="0" w:color="FFFFFF"/>
        <w:left w:val="single" w:sz="4" w:space="0" w:color="FFFFFF"/>
        <w:bottom w:val="single" w:sz="6" w:space="0" w:color="A32020" w:themeColor="text2"/>
        <w:right w:val="single" w:sz="4" w:space="0" w:color="FFFFFF"/>
        <w:insideH w:val="dotted" w:sz="8" w:space="0" w:color="A32020"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A32020" w:themeColor="text2"/>
          <w:bottom w:val="single" w:sz="4" w:space="0" w:color="A32020" w:themeColor="text2"/>
        </w:tcBorders>
      </w:tcPr>
    </w:tblStylePr>
    <w:tblStylePr w:type="lastRow">
      <w:rPr>
        <w:color w:val="auto"/>
      </w:rPr>
      <w:tblPr/>
      <w:tcPr>
        <w:tcBorders>
          <w:top w:val="single" w:sz="4" w:space="0" w:color="A32020"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CVText"/>
    <w:rsid w:val="00C70AB2"/>
    <w:pPr>
      <w:pBdr>
        <w:bottom w:val="none" w:sz="0" w:space="0" w:color="00457C"/>
      </w:pBdr>
    </w:pPr>
    <w:rPr>
      <w:i/>
      <w:color w:val="A32020" w:themeColor="text2"/>
      <w:sz w:val="24"/>
      <w:szCs w:val="24"/>
    </w:rPr>
  </w:style>
  <w:style w:type="paragraph" w:customStyle="1" w:styleId="ListBullet1">
    <w:name w:val="List Bullet 1"/>
    <w:basedOn w:val="Normal"/>
    <w:semiHidden/>
    <w:locked/>
    <w:rsid w:val="006C1EC2"/>
    <w:pPr>
      <w:tabs>
        <w:tab w:val="num" w:pos="720"/>
      </w:tabs>
      <w:spacing w:before="100" w:after="100"/>
      <w:ind w:left="720" w:hanging="720"/>
    </w:pPr>
  </w:style>
  <w:style w:type="paragraph" w:styleId="ListBullet2">
    <w:name w:val="List Bullet 2"/>
    <w:basedOn w:val="ListBullet1"/>
    <w:qFormat/>
    <w:locked/>
    <w:rsid w:val="00CC25DA"/>
    <w:pPr>
      <w:numPr>
        <w:ilvl w:val="1"/>
        <w:numId w:val="5"/>
      </w:numPr>
      <w:spacing w:before="0" w:after="240"/>
    </w:pPr>
  </w:style>
  <w:style w:type="paragraph" w:styleId="ListBullet4">
    <w:name w:val="List Bullet 4"/>
    <w:basedOn w:val="ListBullet3"/>
    <w:unhideWhenUsed/>
    <w:locked/>
    <w:rsid w:val="00F614AA"/>
    <w:pPr>
      <w:numPr>
        <w:ilvl w:val="3"/>
      </w:numPr>
    </w:pPr>
  </w:style>
  <w:style w:type="paragraph" w:customStyle="1" w:styleId="CVBullet1">
    <w:name w:val="CV Bullet 1"/>
    <w:basedOn w:val="CVText"/>
    <w:rsid w:val="00C72147"/>
    <w:pPr>
      <w:numPr>
        <w:numId w:val="10"/>
      </w:numPr>
      <w:spacing w:before="40" w:after="40"/>
    </w:pPr>
  </w:style>
  <w:style w:type="paragraph" w:customStyle="1" w:styleId="CVDetails">
    <w:name w:val="CV Details"/>
    <w:basedOn w:val="CVRoleTitle"/>
    <w:rsid w:val="001226BE"/>
    <w:pPr>
      <w:spacing w:before="120" w:after="40"/>
    </w:pPr>
    <w:rPr>
      <w:sz w:val="14"/>
    </w:rPr>
  </w:style>
  <w:style w:type="paragraph" w:customStyle="1" w:styleId="CVHeading2">
    <w:name w:val="CV Heading 2"/>
    <w:basedOn w:val="CVHeading1"/>
    <w:next w:val="CVText"/>
    <w:rsid w:val="00EF71C9"/>
    <w:pPr>
      <w:pBdr>
        <w:bottom w:val="none" w:sz="0" w:space="0" w:color="00457C"/>
      </w:pBdr>
    </w:pPr>
    <w:rPr>
      <w:b w:val="0"/>
      <w:sz w:val="18"/>
      <w:szCs w:val="24"/>
    </w:rPr>
  </w:style>
  <w:style w:type="paragraph" w:styleId="ListBullet3">
    <w:name w:val="List Bullet 3"/>
    <w:basedOn w:val="ListBullet2"/>
    <w:qFormat/>
    <w:locked/>
    <w:rsid w:val="00CC25DA"/>
    <w:pPr>
      <w:numPr>
        <w:ilvl w:val="2"/>
      </w:numPr>
    </w:pPr>
  </w:style>
  <w:style w:type="paragraph" w:customStyle="1" w:styleId="CVHeading1">
    <w:name w:val="CV Heading 1"/>
    <w:basedOn w:val="CVText"/>
    <w:next w:val="CVText"/>
    <w:rsid w:val="00C70AB2"/>
    <w:pPr>
      <w:keepNext/>
      <w:keepLines/>
      <w:spacing w:before="120"/>
    </w:pPr>
    <w:rPr>
      <w:b/>
      <w:i/>
      <w:color w:val="A32020" w:themeColor="text2"/>
    </w:rPr>
  </w:style>
  <w:style w:type="paragraph" w:customStyle="1" w:styleId="CVPhoto">
    <w:name w:val="CV Photo"/>
    <w:basedOn w:val="CVHeading2"/>
    <w:rsid w:val="00C70AB2"/>
    <w:rPr>
      <w:sz w:val="21"/>
    </w:rPr>
  </w:style>
  <w:style w:type="paragraph" w:customStyle="1" w:styleId="CVText">
    <w:name w:val="CV Text"/>
    <w:basedOn w:val="PwCNormal"/>
    <w:rsid w:val="00C72147"/>
    <w:pPr>
      <w:numPr>
        <w:numId w:val="0"/>
      </w:numPr>
      <w:spacing w:before="80" w:after="80"/>
    </w:pPr>
  </w:style>
  <w:style w:type="paragraph" w:customStyle="1" w:styleId="CVNamelarge">
    <w:name w:val="CV Name large"/>
    <w:basedOn w:val="CVText"/>
    <w:next w:val="CVRoleTitle"/>
    <w:rsid w:val="00C70AB2"/>
    <w:pPr>
      <w:spacing w:before="0"/>
    </w:pPr>
    <w:rPr>
      <w:b/>
      <w:i/>
      <w:color w:val="A32020" w:themeColor="text2"/>
      <w:sz w:val="36"/>
      <w:szCs w:val="24"/>
    </w:rPr>
  </w:style>
  <w:style w:type="paragraph" w:customStyle="1" w:styleId="CVBullet2">
    <w:name w:val="CV Bullet 2"/>
    <w:basedOn w:val="CVBullet1"/>
    <w:rsid w:val="008D4477"/>
    <w:pPr>
      <w:numPr>
        <w:ilvl w:val="1"/>
      </w:numPr>
    </w:pPr>
  </w:style>
  <w:style w:type="paragraph" w:styleId="Title">
    <w:name w:val="Title"/>
    <w:basedOn w:val="Normal"/>
    <w:semiHidden/>
    <w:qFormat/>
    <w:rsid w:val="008D4477"/>
    <w:pPr>
      <w:spacing w:before="240" w:after="60"/>
      <w:jc w:val="center"/>
      <w:outlineLvl w:val="0"/>
    </w:pPr>
    <w:rPr>
      <w:b/>
      <w:bCs/>
      <w:color w:val="A32020" w:themeColor="text2"/>
      <w:kern w:val="28"/>
      <w:sz w:val="32"/>
      <w:szCs w:val="32"/>
    </w:rPr>
  </w:style>
  <w:style w:type="paragraph" w:styleId="BalloonText">
    <w:name w:val="Balloon Text"/>
    <w:basedOn w:val="Normal"/>
    <w:semiHidden/>
    <w:locked/>
    <w:rsid w:val="008D4477"/>
    <w:rPr>
      <w:rFonts w:ascii="Tahoma" w:hAnsi="Tahoma"/>
      <w:sz w:val="16"/>
      <w:szCs w:val="16"/>
    </w:rPr>
  </w:style>
  <w:style w:type="numbering" w:customStyle="1" w:styleId="Style1">
    <w:name w:val="Style1"/>
    <w:uiPriority w:val="99"/>
    <w:rsid w:val="00D424C7"/>
    <w:pPr>
      <w:numPr>
        <w:numId w:val="24"/>
      </w:numPr>
    </w:pPr>
  </w:style>
  <w:style w:type="numbering" w:customStyle="1" w:styleId="IndentList">
    <w:name w:val="IndentList"/>
    <w:basedOn w:val="NoList"/>
    <w:rsid w:val="008D4477"/>
  </w:style>
  <w:style w:type="paragraph" w:customStyle="1" w:styleId="VersionControl">
    <w:name w:val="Version Control"/>
    <w:basedOn w:val="TOCtitle"/>
    <w:unhideWhenUsed/>
    <w:rsid w:val="007D1C0E"/>
    <w:pPr>
      <w:framePr w:w="9923" w:wrap="around" w:vAnchor="text" w:hAnchor="page" w:x="1498" w:y="1"/>
      <w:spacing w:before="360" w:after="240"/>
    </w:pPr>
    <w:rPr>
      <w:sz w:val="28"/>
    </w:rPr>
  </w:style>
  <w:style w:type="paragraph" w:customStyle="1" w:styleId="VersionTableHeading">
    <w:name w:val="Version Table Heading"/>
    <w:basedOn w:val="VersionTableText"/>
    <w:unhideWhenUsed/>
    <w:rsid w:val="003779E0"/>
    <w:pPr>
      <w:framePr w:wrap="around"/>
    </w:pPr>
  </w:style>
  <w:style w:type="paragraph" w:customStyle="1" w:styleId="VersionTableText">
    <w:name w:val="Version Table Text"/>
    <w:basedOn w:val="VersionControl"/>
    <w:unhideWhenUsed/>
    <w:rsid w:val="003779E0"/>
    <w:pPr>
      <w:framePr w:wrap="around"/>
      <w:spacing w:before="80" w:after="80"/>
      <w:outlineLvl w:val="9"/>
    </w:pPr>
    <w:rPr>
      <w:rFonts w:ascii="Georgia" w:hAnsi="Georgia"/>
      <w:sz w:val="21"/>
      <w:szCs w:val="20"/>
    </w:rPr>
  </w:style>
  <w:style w:type="table" w:customStyle="1" w:styleId="Tables-APBase2">
    <w:name w:val="Tables - AP Base 2"/>
    <w:basedOn w:val="Tables-APBase"/>
    <w:uiPriority w:val="99"/>
    <w:qFormat/>
    <w:rsid w:val="003779E0"/>
    <w:tblPr/>
    <w:tcPr>
      <w:shd w:val="clear" w:color="auto" w:fill="auto"/>
    </w:tcPr>
    <w:tblStylePr w:type="firstRow">
      <w:pPr>
        <w:jc w:val="center"/>
      </w:pPr>
      <w:rPr>
        <w:rFonts w:asciiTheme="minorHAnsi" w:hAnsiTheme="minorHAnsi"/>
        <w:b/>
        <w:color w:val="FFFFFF" w:themeColor="background2"/>
      </w:rPr>
      <w:tblPr/>
      <w:trPr>
        <w:tblHeader/>
      </w:trPr>
      <w:tcPr>
        <w:tcBorders>
          <w:top w:val="single" w:sz="4" w:space="0" w:color="A32020" w:themeColor="text2"/>
          <w:bottom w:val="single" w:sz="4" w:space="0" w:color="A32020" w:themeColor="text2"/>
        </w:tcBorders>
        <w:shd w:val="clear" w:color="auto" w:fill="A32020" w:themeFill="text2"/>
        <w:vAlign w:val="bottom"/>
      </w:tcPr>
    </w:tblStylePr>
    <w:tblStylePr w:type="lastRow">
      <w:rPr>
        <w:color w:val="FFFFFF" w:themeColor="background1"/>
      </w:rPr>
      <w:tblPr/>
      <w:tcPr>
        <w:tcBorders>
          <w:top w:val="single" w:sz="4" w:space="0" w:color="A32020" w:themeColor="text2"/>
        </w:tcBorders>
        <w:shd w:val="clear" w:color="auto" w:fill="A32020" w:themeFill="text2"/>
      </w:tcPr>
    </w:tblStylePr>
    <w:tblStylePr w:type="firstCol">
      <w:tblPr/>
      <w:tcPr>
        <w:shd w:val="clear" w:color="auto" w:fill="FFFFFF" w:themeFill="background2"/>
      </w:tcPr>
    </w:tblStylePr>
    <w:tblStylePr w:type="lastCol">
      <w:tblPr/>
      <w:tcPr>
        <w:shd w:val="clear" w:color="auto" w:fill="FFFFFF" w:themeFill="background2"/>
      </w:tcPr>
    </w:tblStylePr>
    <w:tblStylePr w:type="band2Vert">
      <w:tblPr/>
      <w:tcPr>
        <w:shd w:val="clear" w:color="auto" w:fill="F4CACA" w:themeFill="text2" w:themeFillTint="33"/>
      </w:tcPr>
    </w:tblStylePr>
    <w:tblStylePr w:type="band2Horz">
      <w:tblPr/>
      <w:tcPr>
        <w:shd w:val="clear" w:color="auto" w:fill="F4CACA" w:themeFill="text2" w:themeFillTint="33"/>
      </w:tcPr>
    </w:tblStylePr>
    <w:tblStylePr w:type="nwCell">
      <w:pPr>
        <w:jc w:val="left"/>
      </w:pPr>
      <w:tblPr/>
      <w:tcPr>
        <w:shd w:val="clear" w:color="auto" w:fill="FFFFFF" w:themeFill="background1"/>
        <w:vAlign w:val="bottom"/>
      </w:tcPr>
    </w:tblStylePr>
  </w:style>
  <w:style w:type="character" w:customStyle="1" w:styleId="HeaderChar">
    <w:name w:val="Header Char"/>
    <w:basedOn w:val="DefaultParagraphFont"/>
    <w:link w:val="Header"/>
    <w:locked/>
    <w:rsid w:val="00B376A6"/>
    <w:rPr>
      <w:rFonts w:ascii="Arial" w:hAnsi="Arial" w:cs="Arial"/>
      <w:snapToGrid w:val="0"/>
      <w:color w:val="000000" w:themeColor="text1"/>
      <w:sz w:val="19"/>
      <w:szCs w:val="18"/>
      <w:lang w:eastAsia="en-US"/>
    </w:rPr>
  </w:style>
  <w:style w:type="character" w:customStyle="1" w:styleId="FooterChar">
    <w:name w:val="Footer Char"/>
    <w:basedOn w:val="DefaultParagraphFont"/>
    <w:link w:val="Footer"/>
    <w:uiPriority w:val="99"/>
    <w:locked/>
    <w:rsid w:val="00B376A6"/>
    <w:rPr>
      <w:rFonts w:ascii="Arial" w:hAnsi="Arial" w:cs="Arial"/>
      <w:snapToGrid w:val="0"/>
      <w:color w:val="000000" w:themeColor="text1"/>
      <w:sz w:val="19"/>
      <w:szCs w:val="18"/>
      <w:lang w:eastAsia="en-US"/>
    </w:rPr>
  </w:style>
  <w:style w:type="paragraph" w:customStyle="1" w:styleId="Header-FirstPage">
    <w:name w:val="Header - First Page"/>
    <w:basedOn w:val="Header"/>
    <w:rsid w:val="008D4477"/>
  </w:style>
  <w:style w:type="paragraph" w:customStyle="1" w:styleId="Appendicestitle">
    <w:name w:val="Appendices title"/>
    <w:basedOn w:val="TOCtitle"/>
    <w:qFormat/>
    <w:rsid w:val="00D424C7"/>
    <w:pPr>
      <w:numPr>
        <w:ilvl w:val="1"/>
        <w:numId w:val="24"/>
      </w:numPr>
    </w:pPr>
  </w:style>
  <w:style w:type="numbering" w:customStyle="1" w:styleId="CVBullets">
    <w:name w:val="CV Bullets"/>
    <w:uiPriority w:val="99"/>
    <w:rsid w:val="0021094E"/>
    <w:pPr>
      <w:numPr>
        <w:numId w:val="8"/>
      </w:numPr>
    </w:pPr>
  </w:style>
  <w:style w:type="paragraph" w:styleId="DocumentMap">
    <w:name w:val="Document Map"/>
    <w:basedOn w:val="Normal"/>
    <w:link w:val="DocumentMapChar"/>
    <w:semiHidden/>
    <w:rsid w:val="00235653"/>
    <w:rPr>
      <w:rFonts w:ascii="Tahoma" w:hAnsi="Tahoma" w:cs="Tahoma"/>
      <w:sz w:val="16"/>
      <w:szCs w:val="16"/>
    </w:rPr>
  </w:style>
  <w:style w:type="character" w:customStyle="1" w:styleId="DocumentMapChar">
    <w:name w:val="Document Map Char"/>
    <w:basedOn w:val="DefaultParagraphFont"/>
    <w:link w:val="DocumentMap"/>
    <w:semiHidden/>
    <w:rsid w:val="00235653"/>
    <w:rPr>
      <w:rFonts w:ascii="Tahoma" w:hAnsi="Tahoma" w:cs="Tahoma"/>
      <w:snapToGrid w:val="0"/>
      <w:sz w:val="16"/>
      <w:szCs w:val="16"/>
      <w:lang w:eastAsia="en-US"/>
    </w:rPr>
  </w:style>
  <w:style w:type="table" w:styleId="TableGrid1">
    <w:name w:val="Table Grid 1"/>
    <w:basedOn w:val="TableNormal"/>
    <w:semiHidden/>
    <w:locked/>
    <w:rsid w:val="00CC1D52"/>
    <w:pPr>
      <w:kinsoku w:val="0"/>
      <w:overflowPunct w:val="0"/>
      <w:autoSpaceDE w:val="0"/>
      <w:autoSpaceDN w:val="0"/>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CC1D52"/>
    <w:pPr>
      <w:kinsoku w:val="0"/>
      <w:overflowPunct w:val="0"/>
      <w:autoSpaceDE w:val="0"/>
      <w:autoSpaceDN w:val="0"/>
      <w:adjustRightInd w:val="0"/>
      <w:snapToGri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CC1D52"/>
    <w:pPr>
      <w:kinsoku w:val="0"/>
      <w:overflowPunct w:val="0"/>
      <w:autoSpaceDE w:val="0"/>
      <w:autoSpaceDN w:val="0"/>
      <w:adjustRightInd w:val="0"/>
      <w:snapToGri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CC1D52"/>
    <w:pPr>
      <w:kinsoku w:val="0"/>
      <w:overflowPunct w:val="0"/>
      <w:autoSpaceDE w:val="0"/>
      <w:autoSpaceDN w:val="0"/>
      <w:adjustRightInd w:val="0"/>
      <w:snapToGri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CC1D52"/>
    <w:pPr>
      <w:kinsoku w:val="0"/>
      <w:overflowPunct w:val="0"/>
      <w:autoSpaceDE w:val="0"/>
      <w:autoSpaceDN w:val="0"/>
      <w:adjustRightInd w:val="0"/>
      <w:snapToGri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CC1D52"/>
    <w:pPr>
      <w:kinsoku w:val="0"/>
      <w:overflowPunct w:val="0"/>
      <w:autoSpaceDE w:val="0"/>
      <w:autoSpaceDN w:val="0"/>
      <w:adjustRightInd w:val="0"/>
      <w:snapToGri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CC1D52"/>
    <w:pPr>
      <w:kinsoku w:val="0"/>
      <w:overflowPunct w:val="0"/>
      <w:autoSpaceDE w:val="0"/>
      <w:autoSpaceDN w:val="0"/>
      <w:adjustRightInd w:val="0"/>
      <w:snapToGri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CC1D52"/>
    <w:pPr>
      <w:kinsoku w:val="0"/>
      <w:overflowPunct w:val="0"/>
      <w:autoSpaceDE w:val="0"/>
      <w:autoSpaceDN w:val="0"/>
      <w:adjustRightInd w:val="0"/>
      <w:snapToGri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locked/>
    <w:rsid w:val="00020F7F"/>
    <w:pPr>
      <w:kinsoku w:val="0"/>
      <w:overflowPunct w:val="0"/>
      <w:autoSpaceDE w:val="0"/>
      <w:autoSpaceDN w:val="0"/>
      <w:adjustRightInd w:val="0"/>
      <w:snapToGri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semiHidden/>
    <w:rsid w:val="00CC1D52"/>
    <w:pPr>
      <w:kinsoku w:val="0"/>
      <w:overflowPunct w:val="0"/>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nhideWhenUsed/>
    <w:locked/>
    <w:rsid w:val="001E6A5E"/>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1E6A5E"/>
    <w:rPr>
      <w:rFonts w:ascii="Consolas" w:hAnsi="Consolas" w:cs="Arial"/>
      <w:snapToGrid w:val="0"/>
      <w:sz w:val="20"/>
      <w:szCs w:val="20"/>
      <w:lang w:eastAsia="en-US"/>
    </w:rPr>
  </w:style>
  <w:style w:type="paragraph" w:styleId="Bibliography">
    <w:name w:val="Bibliography"/>
    <w:basedOn w:val="Normal"/>
    <w:next w:val="Normal"/>
    <w:uiPriority w:val="37"/>
    <w:semiHidden/>
    <w:locked/>
    <w:rsid w:val="007D1C0E"/>
  </w:style>
  <w:style w:type="paragraph" w:styleId="BlockText">
    <w:name w:val="Block Text"/>
    <w:basedOn w:val="Normal"/>
    <w:qFormat/>
    <w:rsid w:val="0071186F"/>
    <w:pPr>
      <w:spacing w:after="240"/>
    </w:pPr>
    <w:rPr>
      <w:rFonts w:eastAsiaTheme="minorEastAsia" w:cstheme="minorBidi"/>
      <w:b/>
      <w:i/>
      <w:iCs/>
      <w:color w:val="A32020" w:themeColor="accent1"/>
      <w:sz w:val="48"/>
    </w:rPr>
  </w:style>
  <w:style w:type="paragraph" w:styleId="BodyText">
    <w:name w:val="Body Text"/>
    <w:basedOn w:val="Normal"/>
    <w:link w:val="BodyTextChar"/>
    <w:semiHidden/>
    <w:locked/>
    <w:rsid w:val="00452AF1"/>
    <w:pPr>
      <w:spacing w:after="240"/>
    </w:pPr>
  </w:style>
  <w:style w:type="character" w:customStyle="1" w:styleId="BodyTextChar">
    <w:name w:val="Body Text Char"/>
    <w:basedOn w:val="DefaultParagraphFont"/>
    <w:link w:val="BodyText"/>
    <w:semiHidden/>
    <w:rsid w:val="00452AF1"/>
    <w:rPr>
      <w:rFonts w:cs="Arial"/>
      <w:snapToGrid w:val="0"/>
      <w:lang w:eastAsia="en-US"/>
    </w:rPr>
  </w:style>
  <w:style w:type="paragraph" w:styleId="BodyText2">
    <w:name w:val="Body Text 2"/>
    <w:basedOn w:val="Normal"/>
    <w:link w:val="BodyText2Char"/>
    <w:semiHidden/>
    <w:locked/>
    <w:rsid w:val="007D1C0E"/>
    <w:pPr>
      <w:spacing w:after="120" w:line="480" w:lineRule="auto"/>
    </w:pPr>
  </w:style>
  <w:style w:type="character" w:customStyle="1" w:styleId="BodyText2Char">
    <w:name w:val="Body Text 2 Char"/>
    <w:basedOn w:val="DefaultParagraphFont"/>
    <w:link w:val="BodyText2"/>
    <w:semiHidden/>
    <w:rsid w:val="007D1C0E"/>
    <w:rPr>
      <w:rFonts w:ascii="Georgia" w:hAnsi="Georgia" w:cs="Arial"/>
      <w:snapToGrid w:val="0"/>
      <w:sz w:val="20"/>
      <w:lang w:eastAsia="en-US"/>
    </w:rPr>
  </w:style>
  <w:style w:type="paragraph" w:styleId="BodyText3">
    <w:name w:val="Body Text 3"/>
    <w:basedOn w:val="Normal"/>
    <w:link w:val="BodyText3Char"/>
    <w:semiHidden/>
    <w:locked/>
    <w:rsid w:val="007D1C0E"/>
    <w:pPr>
      <w:spacing w:after="120"/>
    </w:pPr>
    <w:rPr>
      <w:sz w:val="16"/>
      <w:szCs w:val="16"/>
    </w:rPr>
  </w:style>
  <w:style w:type="character" w:customStyle="1" w:styleId="BodyText3Char">
    <w:name w:val="Body Text 3 Char"/>
    <w:basedOn w:val="DefaultParagraphFont"/>
    <w:link w:val="BodyText3"/>
    <w:semiHidden/>
    <w:rsid w:val="007D1C0E"/>
    <w:rPr>
      <w:rFonts w:ascii="Georgia" w:hAnsi="Georgia" w:cs="Arial"/>
      <w:snapToGrid w:val="0"/>
      <w:sz w:val="16"/>
      <w:szCs w:val="16"/>
      <w:lang w:eastAsia="en-US"/>
    </w:rPr>
  </w:style>
  <w:style w:type="paragraph" w:styleId="BodyTextFirstIndent">
    <w:name w:val="Body Text First Indent"/>
    <w:basedOn w:val="BodyText"/>
    <w:link w:val="BodyTextFirstIndentChar"/>
    <w:semiHidden/>
    <w:locked/>
    <w:rsid w:val="007D1C0E"/>
    <w:pPr>
      <w:spacing w:after="0"/>
      <w:ind w:firstLine="360"/>
    </w:pPr>
  </w:style>
  <w:style w:type="character" w:customStyle="1" w:styleId="BodyTextFirstIndentChar">
    <w:name w:val="Body Text First Indent Char"/>
    <w:basedOn w:val="BodyTextChar"/>
    <w:link w:val="BodyTextFirstIndent"/>
    <w:semiHidden/>
    <w:rsid w:val="007D1C0E"/>
    <w:rPr>
      <w:rFonts w:cs="Arial"/>
      <w:snapToGrid w:val="0"/>
      <w:lang w:eastAsia="en-US"/>
    </w:rPr>
  </w:style>
  <w:style w:type="paragraph" w:styleId="BodyTextIndent">
    <w:name w:val="Body Text Indent"/>
    <w:basedOn w:val="Normal"/>
    <w:link w:val="BodyTextIndentChar"/>
    <w:semiHidden/>
    <w:locked/>
    <w:rsid w:val="007D1C0E"/>
    <w:pPr>
      <w:spacing w:after="120"/>
      <w:ind w:left="283"/>
    </w:pPr>
  </w:style>
  <w:style w:type="character" w:customStyle="1" w:styleId="BodyTextIndentChar">
    <w:name w:val="Body Text Indent Char"/>
    <w:basedOn w:val="DefaultParagraphFont"/>
    <w:link w:val="BodyTextIndent"/>
    <w:semiHidden/>
    <w:rsid w:val="007D1C0E"/>
    <w:rPr>
      <w:rFonts w:ascii="Georgia" w:hAnsi="Georgia" w:cs="Arial"/>
      <w:snapToGrid w:val="0"/>
      <w:sz w:val="20"/>
      <w:lang w:eastAsia="en-US"/>
    </w:rPr>
  </w:style>
  <w:style w:type="paragraph" w:styleId="BodyTextFirstIndent2">
    <w:name w:val="Body Text First Indent 2"/>
    <w:basedOn w:val="BodyTextIndent"/>
    <w:link w:val="BodyTextFirstIndent2Char"/>
    <w:semiHidden/>
    <w:locked/>
    <w:rsid w:val="007D1C0E"/>
    <w:pPr>
      <w:spacing w:after="0"/>
      <w:ind w:left="360" w:firstLine="360"/>
    </w:pPr>
  </w:style>
  <w:style w:type="character" w:customStyle="1" w:styleId="BodyTextFirstIndent2Char">
    <w:name w:val="Body Text First Indent 2 Char"/>
    <w:basedOn w:val="BodyTextIndentChar"/>
    <w:link w:val="BodyTextFirstIndent2"/>
    <w:semiHidden/>
    <w:rsid w:val="007D1C0E"/>
    <w:rPr>
      <w:rFonts w:ascii="Georgia" w:hAnsi="Georgia" w:cs="Arial"/>
      <w:snapToGrid w:val="0"/>
      <w:sz w:val="20"/>
      <w:lang w:eastAsia="en-US"/>
    </w:rPr>
  </w:style>
  <w:style w:type="paragraph" w:styleId="BodyTextIndent2">
    <w:name w:val="Body Text Indent 2"/>
    <w:basedOn w:val="Normal"/>
    <w:link w:val="BodyTextIndent2Char"/>
    <w:semiHidden/>
    <w:locked/>
    <w:rsid w:val="007D1C0E"/>
    <w:pPr>
      <w:spacing w:after="120" w:line="480" w:lineRule="auto"/>
      <w:ind w:left="283"/>
    </w:pPr>
  </w:style>
  <w:style w:type="character" w:customStyle="1" w:styleId="BodyTextIndent2Char">
    <w:name w:val="Body Text Indent 2 Char"/>
    <w:basedOn w:val="DefaultParagraphFont"/>
    <w:link w:val="BodyTextIndent2"/>
    <w:semiHidden/>
    <w:rsid w:val="007D1C0E"/>
    <w:rPr>
      <w:rFonts w:ascii="Georgia" w:hAnsi="Georgia" w:cs="Arial"/>
      <w:snapToGrid w:val="0"/>
      <w:sz w:val="20"/>
      <w:lang w:eastAsia="en-US"/>
    </w:rPr>
  </w:style>
  <w:style w:type="paragraph" w:styleId="BodyTextIndent3">
    <w:name w:val="Body Text Indent 3"/>
    <w:basedOn w:val="Normal"/>
    <w:link w:val="BodyTextIndent3Char"/>
    <w:semiHidden/>
    <w:locked/>
    <w:rsid w:val="007D1C0E"/>
    <w:pPr>
      <w:spacing w:after="120"/>
      <w:ind w:left="283"/>
    </w:pPr>
    <w:rPr>
      <w:sz w:val="16"/>
      <w:szCs w:val="16"/>
    </w:rPr>
  </w:style>
  <w:style w:type="character" w:customStyle="1" w:styleId="BodyTextIndent3Char">
    <w:name w:val="Body Text Indent 3 Char"/>
    <w:basedOn w:val="DefaultParagraphFont"/>
    <w:link w:val="BodyTextIndent3"/>
    <w:semiHidden/>
    <w:rsid w:val="007D1C0E"/>
    <w:rPr>
      <w:rFonts w:ascii="Georgia" w:hAnsi="Georgia" w:cs="Arial"/>
      <w:snapToGrid w:val="0"/>
      <w:sz w:val="16"/>
      <w:szCs w:val="16"/>
      <w:lang w:eastAsia="en-US"/>
    </w:rPr>
  </w:style>
  <w:style w:type="character" w:styleId="BookTitle">
    <w:name w:val="Book Title"/>
    <w:basedOn w:val="DefaultParagraphFont"/>
    <w:uiPriority w:val="33"/>
    <w:semiHidden/>
    <w:qFormat/>
    <w:locked/>
    <w:rsid w:val="007D1C0E"/>
    <w:rPr>
      <w:rFonts w:ascii="Georgia" w:hAnsi="Georgia"/>
      <w:b/>
      <w:bCs/>
      <w:smallCaps/>
      <w:spacing w:val="5"/>
    </w:rPr>
  </w:style>
  <w:style w:type="paragraph" w:styleId="Closing">
    <w:name w:val="Closing"/>
    <w:basedOn w:val="Normal"/>
    <w:link w:val="ClosingChar"/>
    <w:semiHidden/>
    <w:unhideWhenUsed/>
    <w:rsid w:val="007D1C0E"/>
    <w:pPr>
      <w:ind w:left="4252"/>
    </w:pPr>
  </w:style>
  <w:style w:type="character" w:customStyle="1" w:styleId="ClosingChar">
    <w:name w:val="Closing Char"/>
    <w:basedOn w:val="DefaultParagraphFont"/>
    <w:link w:val="Closing"/>
    <w:semiHidden/>
    <w:rsid w:val="007D1C0E"/>
    <w:rPr>
      <w:rFonts w:ascii="Georgia" w:hAnsi="Georgia" w:cs="Arial"/>
      <w:snapToGrid w:val="0"/>
      <w:sz w:val="20"/>
      <w:lang w:eastAsia="en-US"/>
    </w:rPr>
  </w:style>
  <w:style w:type="character" w:styleId="CommentReference">
    <w:name w:val="annotation reference"/>
    <w:basedOn w:val="DefaultParagraphFont"/>
    <w:semiHidden/>
    <w:rsid w:val="007D1C0E"/>
    <w:rPr>
      <w:rFonts w:ascii="Georgia" w:hAnsi="Georgia"/>
      <w:sz w:val="16"/>
      <w:szCs w:val="16"/>
    </w:rPr>
  </w:style>
  <w:style w:type="paragraph" w:styleId="CommentText">
    <w:name w:val="annotation text"/>
    <w:basedOn w:val="Normal"/>
    <w:link w:val="CommentTextChar"/>
    <w:semiHidden/>
    <w:rsid w:val="007D1C0E"/>
  </w:style>
  <w:style w:type="character" w:customStyle="1" w:styleId="CommentTextChar">
    <w:name w:val="Comment Text Char"/>
    <w:basedOn w:val="DefaultParagraphFont"/>
    <w:link w:val="CommentText"/>
    <w:semiHidden/>
    <w:rsid w:val="007D1C0E"/>
    <w:rPr>
      <w:rFonts w:ascii="Georgia" w:hAnsi="Georgia" w:cs="Arial"/>
      <w:snapToGrid w:val="0"/>
      <w:sz w:val="20"/>
      <w:szCs w:val="20"/>
      <w:lang w:eastAsia="en-US"/>
    </w:rPr>
  </w:style>
  <w:style w:type="paragraph" w:styleId="CommentSubject">
    <w:name w:val="annotation subject"/>
    <w:basedOn w:val="CommentText"/>
    <w:next w:val="CommentText"/>
    <w:link w:val="CommentSubjectChar"/>
    <w:semiHidden/>
    <w:rsid w:val="007D1C0E"/>
    <w:rPr>
      <w:b/>
      <w:bCs/>
    </w:rPr>
  </w:style>
  <w:style w:type="character" w:customStyle="1" w:styleId="CommentSubjectChar">
    <w:name w:val="Comment Subject Char"/>
    <w:basedOn w:val="CommentTextChar"/>
    <w:link w:val="CommentSubject"/>
    <w:semiHidden/>
    <w:rsid w:val="007D1C0E"/>
    <w:rPr>
      <w:rFonts w:ascii="Georgia" w:hAnsi="Georgia" w:cs="Arial"/>
      <w:b/>
      <w:bCs/>
      <w:snapToGrid w:val="0"/>
      <w:sz w:val="20"/>
      <w:szCs w:val="20"/>
      <w:lang w:eastAsia="en-US"/>
    </w:rPr>
  </w:style>
  <w:style w:type="paragraph" w:styleId="EnvelopeAddress">
    <w:name w:val="envelope address"/>
    <w:basedOn w:val="Normal"/>
    <w:semiHidden/>
    <w:unhideWhenUsed/>
    <w:locked/>
    <w:rsid w:val="007D1C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locked/>
    <w:rsid w:val="007D1C0E"/>
    <w:rPr>
      <w:rFonts w:asciiTheme="majorHAnsi" w:eastAsiaTheme="majorEastAsia" w:hAnsiTheme="majorHAnsi" w:cstheme="majorBidi"/>
    </w:rPr>
  </w:style>
  <w:style w:type="character" w:styleId="FollowedHyperlink">
    <w:name w:val="FollowedHyperlink"/>
    <w:basedOn w:val="DefaultParagraphFont"/>
    <w:uiPriority w:val="99"/>
    <w:semiHidden/>
    <w:rsid w:val="007D1C0E"/>
    <w:rPr>
      <w:color w:val="A32020" w:themeColor="followedHyperlink"/>
      <w:u w:val="single"/>
    </w:rPr>
  </w:style>
  <w:style w:type="character" w:styleId="Hyperlink">
    <w:name w:val="Hyperlink"/>
    <w:basedOn w:val="DefaultParagraphFont"/>
    <w:uiPriority w:val="99"/>
    <w:rsid w:val="00185720"/>
    <w:rPr>
      <w:color w:val="A32020" w:themeColor="text2"/>
      <w:u w:val="single"/>
    </w:rPr>
  </w:style>
  <w:style w:type="paragraph" w:styleId="IndexHeading">
    <w:name w:val="index heading"/>
    <w:basedOn w:val="Normal"/>
    <w:next w:val="Normal"/>
    <w:semiHidden/>
    <w:rsid w:val="007D1C0E"/>
    <w:rPr>
      <w:rFonts w:asciiTheme="majorHAnsi" w:eastAsiaTheme="majorEastAsia" w:hAnsiTheme="majorHAnsi" w:cstheme="majorBidi"/>
      <w:b/>
      <w:bCs/>
    </w:rPr>
  </w:style>
  <w:style w:type="paragraph" w:customStyle="1" w:styleId="BlockTextClient">
    <w:name w:val="Block Text Client"/>
    <w:basedOn w:val="BlockText"/>
    <w:rsid w:val="004138E6"/>
    <w:pPr>
      <w:spacing w:after="0"/>
    </w:pPr>
    <w:rPr>
      <w:b w:val="0"/>
      <w:sz w:val="20"/>
    </w:rPr>
  </w:style>
  <w:style w:type="paragraph" w:customStyle="1" w:styleId="BlockTextPosition">
    <w:name w:val="Block Text Position"/>
    <w:basedOn w:val="BlockText"/>
    <w:rsid w:val="004138E6"/>
    <w:rPr>
      <w:b w:val="0"/>
      <w:i w:val="0"/>
      <w:sz w:val="20"/>
    </w:rPr>
  </w:style>
  <w:style w:type="paragraph" w:customStyle="1" w:styleId="BlockText2Client">
    <w:name w:val="Block Text 2 Client"/>
    <w:basedOn w:val="BlockText2"/>
    <w:rsid w:val="004138E6"/>
    <w:pPr>
      <w:spacing w:after="0"/>
    </w:pPr>
    <w:rPr>
      <w:sz w:val="20"/>
      <w:szCs w:val="20"/>
    </w:rPr>
  </w:style>
  <w:style w:type="paragraph" w:customStyle="1" w:styleId="BlockText2Position">
    <w:name w:val="Block Text 2 Position"/>
    <w:basedOn w:val="BlockText2"/>
    <w:rsid w:val="004138E6"/>
    <w:rPr>
      <w:i w:val="0"/>
      <w:sz w:val="20"/>
      <w:szCs w:val="20"/>
    </w:rPr>
  </w:style>
  <w:style w:type="character" w:styleId="LineNumber">
    <w:name w:val="line number"/>
    <w:basedOn w:val="DefaultParagraphFont"/>
    <w:semiHidden/>
    <w:rsid w:val="007D1C0E"/>
  </w:style>
  <w:style w:type="paragraph" w:styleId="ListBullet">
    <w:name w:val="List Bullet"/>
    <w:basedOn w:val="Normal"/>
    <w:link w:val="ListBulletChar"/>
    <w:qFormat/>
    <w:locked/>
    <w:rsid w:val="00CC25DA"/>
    <w:pPr>
      <w:numPr>
        <w:numId w:val="5"/>
      </w:numPr>
      <w:spacing w:after="240"/>
    </w:pPr>
  </w:style>
  <w:style w:type="paragraph" w:styleId="ListBullet5">
    <w:name w:val="List Bullet 5"/>
    <w:basedOn w:val="ListBullet4"/>
    <w:unhideWhenUsed/>
    <w:locked/>
    <w:rsid w:val="00CC25DA"/>
    <w:pPr>
      <w:numPr>
        <w:ilvl w:val="4"/>
      </w:numPr>
      <w:contextualSpacing/>
    </w:pPr>
  </w:style>
  <w:style w:type="paragraph" w:styleId="ListNumber">
    <w:name w:val="List Number"/>
    <w:basedOn w:val="Normal"/>
    <w:uiPriority w:val="13"/>
    <w:unhideWhenUsed/>
    <w:qFormat/>
    <w:locked/>
    <w:rsid w:val="009E54C5"/>
    <w:pPr>
      <w:numPr>
        <w:numId w:val="19"/>
      </w:numPr>
      <w:contextualSpacing/>
    </w:pPr>
  </w:style>
  <w:style w:type="paragraph" w:styleId="ListNumber2">
    <w:name w:val="List Number 2"/>
    <w:basedOn w:val="ListNumber"/>
    <w:uiPriority w:val="13"/>
    <w:unhideWhenUsed/>
    <w:qFormat/>
    <w:locked/>
    <w:rsid w:val="009E54C5"/>
    <w:pPr>
      <w:numPr>
        <w:ilvl w:val="1"/>
      </w:numPr>
    </w:pPr>
  </w:style>
  <w:style w:type="paragraph" w:styleId="ListNumber3">
    <w:name w:val="List Number 3"/>
    <w:basedOn w:val="ListNumber2"/>
    <w:uiPriority w:val="13"/>
    <w:unhideWhenUsed/>
    <w:qFormat/>
    <w:locked/>
    <w:rsid w:val="009E54C5"/>
    <w:pPr>
      <w:numPr>
        <w:ilvl w:val="2"/>
      </w:numPr>
    </w:pPr>
  </w:style>
  <w:style w:type="paragraph" w:styleId="ListNumber4">
    <w:name w:val="List Number 4"/>
    <w:basedOn w:val="ListNumber3"/>
    <w:uiPriority w:val="13"/>
    <w:unhideWhenUsed/>
    <w:locked/>
    <w:rsid w:val="009E54C5"/>
    <w:pPr>
      <w:numPr>
        <w:ilvl w:val="3"/>
      </w:numPr>
    </w:pPr>
  </w:style>
  <w:style w:type="paragraph" w:styleId="ListNumber5">
    <w:name w:val="List Number 5"/>
    <w:basedOn w:val="ListNumber4"/>
    <w:uiPriority w:val="13"/>
    <w:unhideWhenUsed/>
    <w:locked/>
    <w:rsid w:val="009E54C5"/>
    <w:pPr>
      <w:numPr>
        <w:ilvl w:val="4"/>
      </w:numPr>
    </w:pPr>
  </w:style>
  <w:style w:type="paragraph" w:styleId="ListParagraph">
    <w:name w:val="List Paragraph"/>
    <w:basedOn w:val="Normal"/>
    <w:uiPriority w:val="34"/>
    <w:qFormat/>
    <w:locked/>
    <w:rsid w:val="007D1C0E"/>
    <w:pPr>
      <w:ind w:left="720"/>
      <w:contextualSpacing/>
    </w:pPr>
  </w:style>
  <w:style w:type="paragraph" w:styleId="MessageHeader">
    <w:name w:val="Message Header"/>
    <w:basedOn w:val="Normal"/>
    <w:link w:val="MessageHeaderChar"/>
    <w:semiHidden/>
    <w:rsid w:val="007D1C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1C0E"/>
    <w:rPr>
      <w:rFonts w:asciiTheme="majorHAnsi" w:eastAsiaTheme="majorEastAsia" w:hAnsiTheme="majorHAnsi" w:cstheme="majorBidi"/>
      <w:snapToGrid w:val="0"/>
      <w:sz w:val="24"/>
      <w:szCs w:val="24"/>
      <w:shd w:val="pct20" w:color="auto" w:fill="auto"/>
      <w:lang w:eastAsia="en-US"/>
    </w:rPr>
  </w:style>
  <w:style w:type="paragraph" w:styleId="NoSpacing">
    <w:name w:val="No Spacing"/>
    <w:uiPriority w:val="1"/>
    <w:semiHidden/>
    <w:qFormat/>
    <w:rsid w:val="007D1C0E"/>
    <w:pPr>
      <w:kinsoku w:val="0"/>
      <w:overflowPunct w:val="0"/>
      <w:autoSpaceDE w:val="0"/>
      <w:autoSpaceDN w:val="0"/>
      <w:adjustRightInd w:val="0"/>
      <w:snapToGrid w:val="0"/>
    </w:pPr>
    <w:rPr>
      <w:rFonts w:cs="Arial"/>
      <w:snapToGrid w:val="0"/>
      <w:lang w:eastAsia="en-US"/>
    </w:rPr>
  </w:style>
  <w:style w:type="paragraph" w:styleId="NormalIndent">
    <w:name w:val="Normal Indent"/>
    <w:basedOn w:val="Normal"/>
    <w:semiHidden/>
    <w:rsid w:val="007D1C0E"/>
    <w:pPr>
      <w:ind w:left="720"/>
    </w:pPr>
  </w:style>
  <w:style w:type="paragraph" w:styleId="NoteHeading">
    <w:name w:val="Note Heading"/>
    <w:basedOn w:val="Normal"/>
    <w:next w:val="Normal"/>
    <w:link w:val="NoteHeadingChar"/>
    <w:semiHidden/>
    <w:unhideWhenUsed/>
    <w:rsid w:val="007D1C0E"/>
  </w:style>
  <w:style w:type="character" w:customStyle="1" w:styleId="NoteHeadingChar">
    <w:name w:val="Note Heading Char"/>
    <w:basedOn w:val="DefaultParagraphFont"/>
    <w:link w:val="NoteHeading"/>
    <w:semiHidden/>
    <w:rsid w:val="007D1C0E"/>
    <w:rPr>
      <w:rFonts w:cs="Arial"/>
      <w:snapToGrid w:val="0"/>
      <w:lang w:eastAsia="en-US"/>
    </w:rPr>
  </w:style>
  <w:style w:type="character" w:styleId="PlaceholderText">
    <w:name w:val="Placeholder Text"/>
    <w:basedOn w:val="DefaultParagraphFont"/>
    <w:uiPriority w:val="99"/>
    <w:semiHidden/>
    <w:rsid w:val="007D1C0E"/>
    <w:rPr>
      <w:color w:val="808080"/>
    </w:rPr>
  </w:style>
  <w:style w:type="paragraph" w:styleId="PlainText">
    <w:name w:val="Plain Text"/>
    <w:basedOn w:val="Normal"/>
    <w:link w:val="PlainTextChar"/>
    <w:semiHidden/>
    <w:rsid w:val="007D1C0E"/>
    <w:rPr>
      <w:rFonts w:ascii="Consolas" w:hAnsi="Consolas"/>
    </w:rPr>
  </w:style>
  <w:style w:type="character" w:customStyle="1" w:styleId="PlainTextChar">
    <w:name w:val="Plain Text Char"/>
    <w:basedOn w:val="DefaultParagraphFont"/>
    <w:link w:val="PlainText"/>
    <w:semiHidden/>
    <w:rsid w:val="007D1C0E"/>
    <w:rPr>
      <w:rFonts w:ascii="Consolas" w:hAnsi="Consolas" w:cs="Arial"/>
      <w:snapToGrid w:val="0"/>
      <w:lang w:eastAsia="en-US"/>
    </w:rPr>
  </w:style>
  <w:style w:type="paragraph" w:styleId="Quote">
    <w:name w:val="Quote"/>
    <w:basedOn w:val="Normal"/>
    <w:next w:val="Normal"/>
    <w:link w:val="QuoteChar"/>
    <w:uiPriority w:val="29"/>
    <w:semiHidden/>
    <w:qFormat/>
    <w:rsid w:val="007D1C0E"/>
    <w:rPr>
      <w:i/>
      <w:iCs/>
      <w:color w:val="000000" w:themeColor="text1"/>
    </w:rPr>
  </w:style>
  <w:style w:type="character" w:customStyle="1" w:styleId="QuoteChar">
    <w:name w:val="Quote Char"/>
    <w:basedOn w:val="DefaultParagraphFont"/>
    <w:link w:val="Quote"/>
    <w:uiPriority w:val="29"/>
    <w:semiHidden/>
    <w:rsid w:val="007D1C0E"/>
    <w:rPr>
      <w:rFonts w:cs="Arial"/>
      <w:i/>
      <w:iCs/>
      <w:snapToGrid w:val="0"/>
      <w:color w:val="000000" w:themeColor="text1"/>
      <w:lang w:eastAsia="en-US"/>
    </w:rPr>
  </w:style>
  <w:style w:type="paragraph" w:styleId="Salutation">
    <w:name w:val="Salutation"/>
    <w:basedOn w:val="Normal"/>
    <w:next w:val="Normal"/>
    <w:link w:val="SalutationChar"/>
    <w:semiHidden/>
    <w:unhideWhenUsed/>
    <w:rsid w:val="007D1C0E"/>
  </w:style>
  <w:style w:type="character" w:customStyle="1" w:styleId="SalutationChar">
    <w:name w:val="Salutation Char"/>
    <w:basedOn w:val="DefaultParagraphFont"/>
    <w:link w:val="Salutation"/>
    <w:semiHidden/>
    <w:rsid w:val="007D1C0E"/>
    <w:rPr>
      <w:rFonts w:cs="Arial"/>
      <w:snapToGrid w:val="0"/>
      <w:lang w:eastAsia="en-US"/>
    </w:rPr>
  </w:style>
  <w:style w:type="paragraph" w:styleId="Signature">
    <w:name w:val="Signature"/>
    <w:basedOn w:val="Normal"/>
    <w:link w:val="SignatureChar"/>
    <w:semiHidden/>
    <w:rsid w:val="007D1C0E"/>
    <w:pPr>
      <w:ind w:left="4252"/>
    </w:pPr>
  </w:style>
  <w:style w:type="character" w:customStyle="1" w:styleId="SignatureChar">
    <w:name w:val="Signature Char"/>
    <w:basedOn w:val="DefaultParagraphFont"/>
    <w:link w:val="Signature"/>
    <w:semiHidden/>
    <w:rsid w:val="007D1C0E"/>
    <w:rPr>
      <w:rFonts w:cs="Arial"/>
      <w:snapToGrid w:val="0"/>
      <w:lang w:eastAsia="en-US"/>
    </w:rPr>
  </w:style>
  <w:style w:type="paragraph" w:styleId="TableofAuthorities">
    <w:name w:val="table of authorities"/>
    <w:basedOn w:val="Normal"/>
    <w:next w:val="Normal"/>
    <w:semiHidden/>
    <w:unhideWhenUsed/>
    <w:rsid w:val="007D1C0E"/>
    <w:pPr>
      <w:ind w:left="210" w:hanging="210"/>
    </w:pPr>
  </w:style>
  <w:style w:type="paragraph" w:styleId="TableofFigures">
    <w:name w:val="table of figures"/>
    <w:basedOn w:val="Normal"/>
    <w:next w:val="Normal"/>
    <w:uiPriority w:val="99"/>
    <w:unhideWhenUsed/>
    <w:rsid w:val="007D1C0E"/>
  </w:style>
  <w:style w:type="paragraph" w:styleId="TOAHeading">
    <w:name w:val="toa heading"/>
    <w:basedOn w:val="Normal"/>
    <w:next w:val="Normal"/>
    <w:semiHidden/>
    <w:unhideWhenUsed/>
    <w:rsid w:val="007D1C0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1C0E"/>
    <w:pPr>
      <w:spacing w:before="480"/>
      <w:outlineLvl w:val="9"/>
    </w:pPr>
    <w:rPr>
      <w:rFonts w:eastAsiaTheme="majorEastAsia" w:cstheme="majorBidi"/>
      <w:color w:val="7A1818" w:themeColor="accent1" w:themeShade="BF"/>
      <w:sz w:val="28"/>
      <w:szCs w:val="28"/>
    </w:rPr>
  </w:style>
  <w:style w:type="paragraph" w:customStyle="1" w:styleId="CoverPanelFrame">
    <w:name w:val="Cover Panel Frame"/>
    <w:basedOn w:val="Coverpulloutframe"/>
    <w:rsid w:val="0059630D"/>
    <w:pPr>
      <w:framePr w:w="7441" w:wrap="notBeside" w:vAnchor="margin" w:hAnchor="text" w:x="-112" w:y="1"/>
      <w:pBdr>
        <w:top w:val="single" w:sz="4" w:space="1" w:color="auto"/>
        <w:left w:val="single" w:sz="4" w:space="4" w:color="auto"/>
      </w:pBdr>
    </w:pPr>
    <w:rPr>
      <w:rFonts w:eastAsia="+mn-ea"/>
    </w:rPr>
  </w:style>
  <w:style w:type="paragraph" w:customStyle="1" w:styleId="LogoActivated">
    <w:name w:val="Logo Activated"/>
    <w:basedOn w:val="Normal"/>
    <w:rsid w:val="00993DBB"/>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FirstPagePanelFrame">
    <w:name w:val="First Page Panel Frame"/>
    <w:basedOn w:val="CoverPanelFrame"/>
    <w:rsid w:val="00086603"/>
    <w:pPr>
      <w:framePr w:w="8334" w:h="227" w:hRule="exact" w:wrap="notBeside" w:y="-169"/>
      <w:pBdr>
        <w:top w:val="single" w:sz="6" w:space="1" w:color="A32020" w:themeColor="text2"/>
        <w:left w:val="single" w:sz="6" w:space="4" w:color="A32020" w:themeColor="text2"/>
      </w:pBdr>
    </w:pPr>
  </w:style>
  <w:style w:type="paragraph" w:customStyle="1" w:styleId="URLCover">
    <w:name w:val="URL Cover"/>
    <w:basedOn w:val="Normal"/>
    <w:rsid w:val="00270144"/>
    <w:rPr>
      <w:color w:val="000000" w:themeColor="text1"/>
      <w:sz w:val="19"/>
    </w:rPr>
  </w:style>
  <w:style w:type="paragraph" w:customStyle="1" w:styleId="Coverpulloutframe">
    <w:name w:val="Cover pull out frame"/>
    <w:basedOn w:val="KeySentenceInside"/>
    <w:rsid w:val="00FF1B96"/>
    <w:pPr>
      <w:framePr w:w="2189" w:h="227" w:wrap="notBeside" w:vAnchor="page" w:hAnchor="page" w:x="908" w:y="8414"/>
      <w:pBdr>
        <w:top w:val="dotted" w:sz="8" w:space="1" w:color="A32020" w:themeColor="text2"/>
        <w:left w:val="dotted" w:sz="8" w:space="4" w:color="A32020" w:themeColor="text2"/>
      </w:pBdr>
      <w:spacing w:after="0" w:line="0" w:lineRule="atLeast"/>
    </w:pPr>
    <w:rPr>
      <w:color w:val="auto"/>
      <w:sz w:val="8"/>
      <w:lang w:val="en-GB"/>
    </w:rPr>
  </w:style>
  <w:style w:type="paragraph" w:customStyle="1" w:styleId="CoverOutcomeHeadline">
    <w:name w:val="Cover Outcome Headline"/>
    <w:basedOn w:val="PwCNormal"/>
    <w:rsid w:val="00617CBF"/>
    <w:pPr>
      <w:spacing w:after="0" w:line="960" w:lineRule="atLeast"/>
      <w:ind w:right="1701"/>
    </w:pPr>
    <w:rPr>
      <w:b/>
      <w:i/>
      <w:color w:val="000000"/>
      <w:sz w:val="88"/>
      <w:szCs w:val="88"/>
      <w:lang w:val="en-GB"/>
    </w:rPr>
  </w:style>
  <w:style w:type="paragraph" w:customStyle="1" w:styleId="CoverOutcomeSubtitle">
    <w:name w:val="Cover Outcome Subtitle"/>
    <w:basedOn w:val="CoverOutcomeHeadline"/>
    <w:rsid w:val="00A93A63"/>
    <w:rPr>
      <w:b w:val="0"/>
      <w:i w:val="0"/>
    </w:rPr>
  </w:style>
  <w:style w:type="paragraph" w:customStyle="1" w:styleId="LogoFixed">
    <w:name w:val="Logo Fixed"/>
    <w:basedOn w:val="LogoActivated"/>
    <w:rsid w:val="003D28AE"/>
    <w:pPr>
      <w:framePr w:h="2733" w:hRule="exact" w:wrap="around" w:x="1322" w:y="14125"/>
    </w:pPr>
  </w:style>
  <w:style w:type="paragraph" w:customStyle="1" w:styleId="NumericCaption">
    <w:name w:val="Numeric Caption"/>
    <w:basedOn w:val="Caption"/>
    <w:rsid w:val="00053B82"/>
    <w:rPr>
      <w:rFonts w:ascii="Arial" w:hAnsi="Arial"/>
    </w:rPr>
  </w:style>
  <w:style w:type="paragraph" w:customStyle="1" w:styleId="NumericTableColumnHeadingNormal">
    <w:name w:val="Numeric Table Column Heading Normal"/>
    <w:basedOn w:val="TableColumnHeadingNormal"/>
    <w:rsid w:val="00053B82"/>
    <w:rPr>
      <w:rFonts w:ascii="Arial" w:hAnsi="Arial"/>
    </w:rPr>
  </w:style>
  <w:style w:type="paragraph" w:customStyle="1" w:styleId="NumericTableTextNormal">
    <w:name w:val="Numeric Table Text Normal"/>
    <w:basedOn w:val="TableTextNormal"/>
    <w:rsid w:val="00053B82"/>
    <w:rPr>
      <w:rFonts w:ascii="Arial" w:hAnsi="Arial"/>
    </w:rPr>
  </w:style>
  <w:style w:type="paragraph" w:customStyle="1" w:styleId="NumericSources">
    <w:name w:val="Numeric Sources"/>
    <w:basedOn w:val="Sources"/>
    <w:rsid w:val="00053B82"/>
    <w:rPr>
      <w:rFonts w:ascii="Arial" w:hAnsi="Arial"/>
    </w:rPr>
  </w:style>
  <w:style w:type="paragraph" w:customStyle="1" w:styleId="NumericTableColumnHeadingSmall">
    <w:name w:val="Numeric Table Column Heading Small"/>
    <w:basedOn w:val="NumericTableColumnHeadingNormal"/>
    <w:rsid w:val="0052509C"/>
    <w:rPr>
      <w:sz w:val="16"/>
      <w:szCs w:val="16"/>
    </w:rPr>
  </w:style>
  <w:style w:type="paragraph" w:customStyle="1" w:styleId="NumericTableTextSmall">
    <w:name w:val="Numeric Table Text Small"/>
    <w:basedOn w:val="NumericTableTextNormal"/>
    <w:rsid w:val="0052509C"/>
    <w:rPr>
      <w:sz w:val="16"/>
      <w:szCs w:val="16"/>
    </w:rPr>
  </w:style>
  <w:style w:type="paragraph" w:customStyle="1" w:styleId="NumericTableTextDecimalNormal">
    <w:name w:val="Numeric Table Text Decimal Normal"/>
    <w:basedOn w:val="NumericTableTextNormal"/>
    <w:rsid w:val="006304C7"/>
    <w:pPr>
      <w:tabs>
        <w:tab w:val="decimal" w:pos="1004"/>
      </w:tabs>
    </w:pPr>
  </w:style>
  <w:style w:type="paragraph" w:customStyle="1" w:styleId="NumericTableTextDecimalSmall">
    <w:name w:val="Numeric Table Text Decimal Small"/>
    <w:basedOn w:val="NumericTableTextDecimalNormal"/>
    <w:rsid w:val="006304C7"/>
    <w:rPr>
      <w:sz w:val="16"/>
      <w:szCs w:val="16"/>
    </w:rPr>
  </w:style>
  <w:style w:type="paragraph" w:customStyle="1" w:styleId="Heading2Nospacing">
    <w:name w:val="Heading 2 No spacing"/>
    <w:basedOn w:val="Heading2"/>
    <w:rsid w:val="00F8314A"/>
    <w:pPr>
      <w:spacing w:after="0" w:line="0" w:lineRule="atLeast"/>
      <w:ind w:left="851" w:hanging="851"/>
    </w:pPr>
  </w:style>
  <w:style w:type="paragraph" w:customStyle="1" w:styleId="TableNumberedList1">
    <w:name w:val="Table Numbered List 1"/>
    <w:basedOn w:val="TableTextNormal"/>
    <w:rsid w:val="00EA47AB"/>
    <w:pPr>
      <w:numPr>
        <w:numId w:val="15"/>
      </w:numPr>
    </w:pPr>
  </w:style>
  <w:style w:type="paragraph" w:customStyle="1" w:styleId="TableNumberedList2">
    <w:name w:val="Table Numbered List 2"/>
    <w:basedOn w:val="TableNumberedList1"/>
    <w:rsid w:val="00EA47AB"/>
    <w:pPr>
      <w:numPr>
        <w:ilvl w:val="1"/>
      </w:numPr>
      <w:spacing w:before="40" w:after="40"/>
    </w:pPr>
  </w:style>
  <w:style w:type="paragraph" w:customStyle="1" w:styleId="TableNumberedList3">
    <w:name w:val="Table Numbered List 3"/>
    <w:basedOn w:val="TableNumberedList2"/>
    <w:rsid w:val="00EA47AB"/>
    <w:pPr>
      <w:numPr>
        <w:ilvl w:val="2"/>
      </w:numPr>
    </w:pPr>
  </w:style>
  <w:style w:type="paragraph" w:customStyle="1" w:styleId="TableNumberedListSmall1">
    <w:name w:val="Table Numbered List Small 1"/>
    <w:basedOn w:val="TableTextSmall"/>
    <w:rsid w:val="00EA47AB"/>
    <w:pPr>
      <w:numPr>
        <w:numId w:val="17"/>
      </w:numPr>
    </w:pPr>
  </w:style>
  <w:style w:type="paragraph" w:customStyle="1" w:styleId="TableNumberedListSmall2">
    <w:name w:val="Table Numbered List Small 2"/>
    <w:basedOn w:val="TableNumberedListSmall1"/>
    <w:rsid w:val="00EA47AB"/>
    <w:pPr>
      <w:numPr>
        <w:ilvl w:val="1"/>
      </w:numPr>
    </w:pPr>
    <w:rPr>
      <w:szCs w:val="21"/>
    </w:rPr>
  </w:style>
  <w:style w:type="paragraph" w:customStyle="1" w:styleId="TableNumberedListSmall3">
    <w:name w:val="Table Numbered List Small 3"/>
    <w:basedOn w:val="TableNumberedListSmall2"/>
    <w:rsid w:val="00EA47AB"/>
    <w:pPr>
      <w:numPr>
        <w:ilvl w:val="2"/>
      </w:numPr>
    </w:pPr>
  </w:style>
  <w:style w:type="numbering" w:customStyle="1" w:styleId="ListNumberList">
    <w:name w:val="List Number List"/>
    <w:uiPriority w:val="99"/>
    <w:rsid w:val="009E54C5"/>
    <w:pPr>
      <w:numPr>
        <w:numId w:val="18"/>
      </w:numPr>
    </w:pPr>
  </w:style>
  <w:style w:type="numbering" w:styleId="111111">
    <w:name w:val="Outline List 2"/>
    <w:basedOn w:val="NoList"/>
    <w:rsid w:val="00070164"/>
    <w:pPr>
      <w:numPr>
        <w:numId w:val="20"/>
      </w:numPr>
    </w:pPr>
  </w:style>
  <w:style w:type="numbering" w:styleId="1ai">
    <w:name w:val="Outline List 1"/>
    <w:basedOn w:val="NoList"/>
    <w:rsid w:val="00070164"/>
    <w:pPr>
      <w:numPr>
        <w:numId w:val="21"/>
      </w:numPr>
    </w:pPr>
  </w:style>
  <w:style w:type="numbering" w:styleId="ArticleSection">
    <w:name w:val="Outline List 3"/>
    <w:basedOn w:val="NoList"/>
    <w:rsid w:val="00070164"/>
    <w:pPr>
      <w:numPr>
        <w:numId w:val="22"/>
      </w:numPr>
    </w:pPr>
  </w:style>
  <w:style w:type="paragraph" w:customStyle="1" w:styleId="Minorheading3">
    <w:name w:val="Minor heading 3"/>
    <w:basedOn w:val="Minorheading2"/>
    <w:rsid w:val="00D657FC"/>
    <w:rPr>
      <w:b w:val="0"/>
      <w:i/>
    </w:rPr>
  </w:style>
  <w:style w:type="table" w:customStyle="1" w:styleId="Tables-APLines">
    <w:name w:val="Tables - AP Lines"/>
    <w:basedOn w:val="TableNormal"/>
    <w:rsid w:val="00127829"/>
    <w:tblPr>
      <w:tblStyleRowBandSize w:val="1"/>
      <w:tblStyleColBandSize w:val="1"/>
      <w:tblBorders>
        <w:insideH w:val="single" w:sz="4" w:space="0" w:color="A32020" w:themeColor="text2"/>
        <w:insideV w:val="single" w:sz="4" w:space="0" w:color="A32020"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table" w:customStyle="1" w:styleId="PwCPanelframe">
    <w:name w:val="PwC Panel frame"/>
    <w:basedOn w:val="TableNormal"/>
    <w:uiPriority w:val="99"/>
    <w:qFormat/>
    <w:rsid w:val="004B1E27"/>
    <w:pPr>
      <w:spacing w:line="227" w:lineRule="exact"/>
    </w:pPr>
    <w:rPr>
      <w:sz w:val="8"/>
    </w:rPr>
    <w:tblPr>
      <w:tblBorders>
        <w:top w:val="single" w:sz="8" w:space="0" w:color="A32020" w:themeColor="text2"/>
        <w:left w:val="single" w:sz="8" w:space="0" w:color="A32020"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7167DF"/>
    <w:tblPr>
      <w:tblBorders>
        <w:top w:val="dotted" w:sz="8" w:space="0" w:color="A32020" w:themeColor="text2"/>
        <w:left w:val="dotted" w:sz="8" w:space="0" w:color="A32020" w:themeColor="text2"/>
      </w:tblBorders>
    </w:tblPr>
    <w:tcPr>
      <w:shd w:val="clear" w:color="auto" w:fill="auto"/>
    </w:tcPr>
  </w:style>
  <w:style w:type="paragraph" w:customStyle="1" w:styleId="Bullet1">
    <w:name w:val="Bullet 1"/>
    <w:basedOn w:val="PwCNormal"/>
    <w:rsid w:val="003522D8"/>
    <w:pPr>
      <w:numPr>
        <w:numId w:val="23"/>
      </w:numPr>
      <w:spacing w:after="80"/>
    </w:pPr>
  </w:style>
  <w:style w:type="paragraph" w:customStyle="1" w:styleId="Bullet2">
    <w:name w:val="Bullet 2"/>
    <w:basedOn w:val="Bullet1"/>
    <w:rsid w:val="003522D8"/>
    <w:pPr>
      <w:numPr>
        <w:ilvl w:val="1"/>
      </w:numPr>
    </w:pPr>
  </w:style>
  <w:style w:type="paragraph" w:customStyle="1" w:styleId="Bullet3">
    <w:name w:val="Bullet 3"/>
    <w:basedOn w:val="Bullet2"/>
    <w:rsid w:val="003522D8"/>
    <w:pPr>
      <w:numPr>
        <w:ilvl w:val="2"/>
      </w:numPr>
    </w:pPr>
  </w:style>
  <w:style w:type="paragraph" w:customStyle="1" w:styleId="Bullet4">
    <w:name w:val="Bullet 4"/>
    <w:basedOn w:val="Bullet3"/>
    <w:rsid w:val="003522D8"/>
    <w:pPr>
      <w:numPr>
        <w:ilvl w:val="3"/>
      </w:numPr>
    </w:pPr>
  </w:style>
  <w:style w:type="numbering" w:customStyle="1" w:styleId="Bullets">
    <w:name w:val="Bullets"/>
    <w:uiPriority w:val="99"/>
    <w:rsid w:val="003522D8"/>
    <w:pPr>
      <w:numPr>
        <w:numId w:val="23"/>
      </w:numPr>
    </w:pPr>
  </w:style>
  <w:style w:type="paragraph" w:customStyle="1" w:styleId="FirstPagePanelFrame-Contents">
    <w:name w:val="First Page Panel Frame - Contents"/>
    <w:basedOn w:val="FirstPagePanelFrame"/>
    <w:rsid w:val="00086603"/>
    <w:pPr>
      <w:framePr w:wrap="notBeside"/>
    </w:pPr>
  </w:style>
  <w:style w:type="numbering" w:customStyle="1" w:styleId="ChapterNumberingList">
    <w:name w:val="Chapter Numbering List"/>
    <w:uiPriority w:val="99"/>
    <w:rsid w:val="00930AB8"/>
    <w:pPr>
      <w:numPr>
        <w:numId w:val="25"/>
      </w:numPr>
    </w:pPr>
  </w:style>
  <w:style w:type="paragraph" w:styleId="Revision">
    <w:name w:val="Revision"/>
    <w:hidden/>
    <w:uiPriority w:val="99"/>
    <w:semiHidden/>
    <w:rsid w:val="00841C45"/>
    <w:rPr>
      <w:rFonts w:cs="Arial"/>
      <w:snapToGrid w:val="0"/>
      <w:lang w:eastAsia="en-US"/>
    </w:rPr>
  </w:style>
  <w:style w:type="table" w:styleId="TableColorful2">
    <w:name w:val="Table Colorful 2"/>
    <w:basedOn w:val="TableNormal"/>
    <w:locked/>
    <w:rsid w:val="00BA3E74"/>
    <w:pPr>
      <w:kinsoku w:val="0"/>
      <w:overflowPunct w:val="0"/>
      <w:autoSpaceDE w:val="0"/>
      <w:autoSpaceDN w:val="0"/>
      <w:adjustRightInd w:val="0"/>
      <w:snapToGrid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3Deffects3">
    <w:name w:val="Table 3D effects 3"/>
    <w:basedOn w:val="TableNormal"/>
    <w:locked/>
    <w:rsid w:val="00BA3E74"/>
    <w:pPr>
      <w:kinsoku w:val="0"/>
      <w:overflowPunct w:val="0"/>
      <w:autoSpaceDE w:val="0"/>
      <w:autoSpaceDN w:val="0"/>
      <w:adjustRightInd w:val="0"/>
      <w:snapToGri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locked/>
    <w:rsid w:val="00BA3E74"/>
    <w:pPr>
      <w:kinsoku w:val="0"/>
      <w:overflowPunct w:val="0"/>
      <w:autoSpaceDE w:val="0"/>
      <w:autoSpaceDN w:val="0"/>
      <w:adjustRightInd w:val="0"/>
      <w:snapToGri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font0">
    <w:name w:val="font0"/>
    <w:basedOn w:val="Normal"/>
    <w:rsid w:val="00BA3E74"/>
    <w:pPr>
      <w:spacing w:before="100" w:beforeAutospacing="1" w:after="100" w:afterAutospacing="1"/>
    </w:pPr>
    <w:rPr>
      <w:rFonts w:ascii="Arial" w:hAnsi="Arial"/>
      <w:snapToGrid/>
      <w:color w:val="000000"/>
      <w:sz w:val="18"/>
      <w:szCs w:val="18"/>
      <w:lang w:eastAsia="en-AU"/>
    </w:rPr>
  </w:style>
  <w:style w:type="paragraph" w:customStyle="1" w:styleId="font5">
    <w:name w:val="font5"/>
    <w:basedOn w:val="Normal"/>
    <w:rsid w:val="00BA3E74"/>
    <w:pPr>
      <w:spacing w:before="100" w:beforeAutospacing="1" w:after="100" w:afterAutospacing="1"/>
    </w:pPr>
    <w:rPr>
      <w:rFonts w:ascii="Arial" w:hAnsi="Arial"/>
      <w:snapToGrid/>
      <w:color w:val="000000"/>
      <w:sz w:val="18"/>
      <w:szCs w:val="18"/>
      <w:lang w:eastAsia="en-AU"/>
    </w:rPr>
  </w:style>
  <w:style w:type="paragraph" w:customStyle="1" w:styleId="font6">
    <w:name w:val="font6"/>
    <w:basedOn w:val="Normal"/>
    <w:rsid w:val="00BA3E74"/>
    <w:pPr>
      <w:spacing w:before="100" w:beforeAutospacing="1" w:after="100" w:afterAutospacing="1"/>
    </w:pPr>
    <w:rPr>
      <w:rFonts w:ascii="Arial" w:hAnsi="Arial"/>
      <w:b/>
      <w:bCs/>
      <w:snapToGrid/>
      <w:sz w:val="18"/>
      <w:szCs w:val="18"/>
      <w:lang w:eastAsia="en-AU"/>
    </w:rPr>
  </w:style>
  <w:style w:type="paragraph" w:customStyle="1" w:styleId="font7">
    <w:name w:val="font7"/>
    <w:basedOn w:val="Normal"/>
    <w:rsid w:val="00BA3E74"/>
    <w:pPr>
      <w:spacing w:before="100" w:beforeAutospacing="1" w:after="100" w:afterAutospacing="1"/>
    </w:pPr>
    <w:rPr>
      <w:rFonts w:ascii="Arial" w:hAnsi="Arial"/>
      <w:b/>
      <w:bCs/>
      <w:i/>
      <w:iCs/>
      <w:snapToGrid/>
      <w:sz w:val="18"/>
      <w:szCs w:val="18"/>
      <w:lang w:eastAsia="en-AU"/>
    </w:rPr>
  </w:style>
  <w:style w:type="paragraph" w:customStyle="1" w:styleId="font8">
    <w:name w:val="font8"/>
    <w:basedOn w:val="Normal"/>
    <w:rsid w:val="00BA3E74"/>
    <w:pPr>
      <w:spacing w:before="100" w:beforeAutospacing="1" w:after="100" w:afterAutospacing="1"/>
    </w:pPr>
    <w:rPr>
      <w:rFonts w:ascii="Arial" w:hAnsi="Arial"/>
      <w:b/>
      <w:bCs/>
      <w:i/>
      <w:iCs/>
      <w:snapToGrid/>
      <w:color w:val="000000"/>
      <w:sz w:val="18"/>
      <w:szCs w:val="18"/>
      <w:lang w:eastAsia="en-AU"/>
    </w:rPr>
  </w:style>
  <w:style w:type="paragraph" w:customStyle="1" w:styleId="xl68">
    <w:name w:val="xl68"/>
    <w:basedOn w:val="Normal"/>
    <w:rsid w:val="00BA3E74"/>
    <w:pPr>
      <w:spacing w:before="100" w:beforeAutospacing="1" w:after="100" w:afterAutospacing="1"/>
    </w:pPr>
    <w:rPr>
      <w:rFonts w:ascii="Times New Roman" w:hAnsi="Times New Roman" w:cs="Times New Roman"/>
      <w:b/>
      <w:bCs/>
      <w:snapToGrid/>
      <w:sz w:val="24"/>
      <w:szCs w:val="24"/>
      <w:lang w:eastAsia="en-AU"/>
    </w:rPr>
  </w:style>
  <w:style w:type="paragraph" w:customStyle="1" w:styleId="xl69">
    <w:name w:val="xl69"/>
    <w:basedOn w:val="Normal"/>
    <w:rsid w:val="00BA3E74"/>
    <w:pPr>
      <w:spacing w:before="100" w:beforeAutospacing="1" w:after="100" w:afterAutospacing="1"/>
    </w:pPr>
    <w:rPr>
      <w:rFonts w:ascii="Times New Roman" w:hAnsi="Times New Roman" w:cs="Times New Roman"/>
      <w:snapToGrid/>
      <w:sz w:val="24"/>
      <w:szCs w:val="24"/>
      <w:lang w:eastAsia="en-AU"/>
    </w:rPr>
  </w:style>
  <w:style w:type="paragraph" w:customStyle="1" w:styleId="xl70">
    <w:name w:val="xl70"/>
    <w:basedOn w:val="Normal"/>
    <w:rsid w:val="00BA3E74"/>
    <w:pPr>
      <w:spacing w:before="100" w:beforeAutospacing="1" w:after="100" w:afterAutospacing="1"/>
      <w:textAlignment w:val="top"/>
    </w:pPr>
    <w:rPr>
      <w:rFonts w:ascii="Times New Roman" w:hAnsi="Times New Roman" w:cs="Times New Roman"/>
      <w:snapToGrid/>
      <w:sz w:val="24"/>
      <w:szCs w:val="24"/>
      <w:lang w:eastAsia="en-AU"/>
    </w:rPr>
  </w:style>
  <w:style w:type="paragraph" w:customStyle="1" w:styleId="xl71">
    <w:name w:val="xl71"/>
    <w:basedOn w:val="Normal"/>
    <w:rsid w:val="00BA3E74"/>
    <w:pPr>
      <w:spacing w:before="100" w:beforeAutospacing="1" w:after="100" w:afterAutospacing="1"/>
    </w:pPr>
    <w:rPr>
      <w:rFonts w:ascii="Times New Roman" w:hAnsi="Times New Roman" w:cs="Times New Roman"/>
      <w:b/>
      <w:bCs/>
      <w:snapToGrid/>
      <w:sz w:val="24"/>
      <w:szCs w:val="24"/>
      <w:lang w:eastAsia="en-AU"/>
    </w:rPr>
  </w:style>
  <w:style w:type="paragraph" w:customStyle="1" w:styleId="xl72">
    <w:name w:val="xl72"/>
    <w:basedOn w:val="Normal"/>
    <w:rsid w:val="00BA3E74"/>
    <w:pPr>
      <w:spacing w:before="100" w:beforeAutospacing="1" w:after="100" w:afterAutospacing="1"/>
    </w:pPr>
    <w:rPr>
      <w:rFonts w:ascii="Times New Roman" w:hAnsi="Times New Roman" w:cs="Times New Roman"/>
      <w:snapToGrid/>
      <w:sz w:val="24"/>
      <w:szCs w:val="24"/>
      <w:lang w:eastAsia="en-AU"/>
    </w:rPr>
  </w:style>
  <w:style w:type="paragraph" w:customStyle="1" w:styleId="xl73">
    <w:name w:val="xl73"/>
    <w:basedOn w:val="Normal"/>
    <w:rsid w:val="00BA3E74"/>
    <w:pPr>
      <w:spacing w:before="100" w:beforeAutospacing="1" w:after="100" w:afterAutospacing="1"/>
      <w:ind w:firstLineChars="200" w:firstLine="200"/>
    </w:pPr>
    <w:rPr>
      <w:rFonts w:ascii="Times New Roman" w:hAnsi="Times New Roman" w:cs="Times New Roman"/>
      <w:snapToGrid/>
      <w:sz w:val="24"/>
      <w:szCs w:val="24"/>
      <w:lang w:eastAsia="en-AU"/>
    </w:rPr>
  </w:style>
  <w:style w:type="paragraph" w:customStyle="1" w:styleId="xl74">
    <w:name w:val="xl74"/>
    <w:basedOn w:val="Normal"/>
    <w:rsid w:val="00BA3E74"/>
    <w:pPr>
      <w:spacing w:before="100" w:beforeAutospacing="1" w:after="100" w:afterAutospacing="1"/>
    </w:pPr>
    <w:rPr>
      <w:rFonts w:cs="Times New Roman"/>
      <w:b/>
      <w:bCs/>
      <w:snapToGrid/>
      <w:color w:val="A32020"/>
      <w:sz w:val="24"/>
      <w:szCs w:val="24"/>
      <w:u w:val="single"/>
      <w:lang w:eastAsia="en-AU"/>
    </w:rPr>
  </w:style>
  <w:style w:type="paragraph" w:customStyle="1" w:styleId="xl75">
    <w:name w:val="xl75"/>
    <w:basedOn w:val="Normal"/>
    <w:rsid w:val="00BA3E74"/>
    <w:pPr>
      <w:spacing w:before="100" w:beforeAutospacing="1" w:after="100" w:afterAutospacing="1"/>
      <w:textAlignment w:val="top"/>
    </w:pPr>
    <w:rPr>
      <w:rFonts w:ascii="Times New Roman" w:hAnsi="Times New Roman" w:cs="Times New Roman"/>
      <w:snapToGrid/>
      <w:sz w:val="24"/>
      <w:szCs w:val="24"/>
      <w:lang w:eastAsia="en-AU"/>
    </w:rPr>
  </w:style>
  <w:style w:type="paragraph" w:customStyle="1" w:styleId="xl76">
    <w:name w:val="xl76"/>
    <w:basedOn w:val="Normal"/>
    <w:rsid w:val="00BA3E74"/>
    <w:pPr>
      <w:spacing w:before="100" w:beforeAutospacing="1" w:after="100" w:afterAutospacing="1"/>
    </w:pPr>
    <w:rPr>
      <w:rFonts w:ascii="Times New Roman" w:hAnsi="Times New Roman" w:cs="Times New Roman"/>
      <w:snapToGrid/>
      <w:sz w:val="24"/>
      <w:szCs w:val="24"/>
      <w:lang w:eastAsia="en-AU"/>
    </w:rPr>
  </w:style>
  <w:style w:type="paragraph" w:customStyle="1" w:styleId="xl77">
    <w:name w:val="xl77"/>
    <w:basedOn w:val="Normal"/>
    <w:rsid w:val="00BA3E74"/>
    <w:pPr>
      <w:spacing w:before="100" w:beforeAutospacing="1" w:after="100" w:afterAutospacing="1"/>
      <w:textAlignment w:val="top"/>
    </w:pPr>
    <w:rPr>
      <w:rFonts w:cs="Times New Roman"/>
      <w:snapToGrid/>
      <w:color w:val="A32020"/>
      <w:sz w:val="24"/>
      <w:szCs w:val="24"/>
      <w:lang w:eastAsia="en-AU"/>
    </w:rPr>
  </w:style>
  <w:style w:type="paragraph" w:customStyle="1" w:styleId="xl78">
    <w:name w:val="xl78"/>
    <w:basedOn w:val="Normal"/>
    <w:rsid w:val="00BA3E74"/>
    <w:pPr>
      <w:spacing w:before="100" w:beforeAutospacing="1" w:after="100" w:afterAutospacing="1"/>
    </w:pPr>
    <w:rPr>
      <w:rFonts w:cs="Times New Roman"/>
      <w:snapToGrid/>
      <w:color w:val="A32020"/>
      <w:sz w:val="24"/>
      <w:szCs w:val="24"/>
      <w:lang w:eastAsia="en-AU"/>
    </w:rPr>
  </w:style>
  <w:style w:type="paragraph" w:customStyle="1" w:styleId="xl79">
    <w:name w:val="xl79"/>
    <w:basedOn w:val="Normal"/>
    <w:rsid w:val="00BA3E74"/>
    <w:pPr>
      <w:spacing w:before="100" w:beforeAutospacing="1" w:after="100" w:afterAutospacing="1"/>
    </w:pPr>
    <w:rPr>
      <w:rFonts w:cs="Times New Roman"/>
      <w:b/>
      <w:bCs/>
      <w:snapToGrid/>
      <w:color w:val="A32020"/>
      <w:sz w:val="24"/>
      <w:szCs w:val="24"/>
      <w:lang w:eastAsia="en-AU"/>
    </w:rPr>
  </w:style>
  <w:style w:type="paragraph" w:customStyle="1" w:styleId="xl80">
    <w:name w:val="xl80"/>
    <w:basedOn w:val="Normal"/>
    <w:rsid w:val="00BA3E74"/>
    <w:pPr>
      <w:spacing w:before="100" w:beforeAutospacing="1" w:after="100" w:afterAutospacing="1"/>
      <w:textAlignment w:val="top"/>
    </w:pPr>
    <w:rPr>
      <w:rFonts w:cs="Times New Roman"/>
      <w:b/>
      <w:bCs/>
      <w:snapToGrid/>
      <w:color w:val="A32020"/>
      <w:sz w:val="24"/>
      <w:szCs w:val="24"/>
      <w:lang w:eastAsia="en-AU"/>
    </w:rPr>
  </w:style>
  <w:style w:type="paragraph" w:customStyle="1" w:styleId="xl81">
    <w:name w:val="xl81"/>
    <w:basedOn w:val="Normal"/>
    <w:rsid w:val="00BA3E74"/>
    <w:pPr>
      <w:spacing w:before="100" w:beforeAutospacing="1" w:after="100" w:afterAutospacing="1"/>
      <w:textAlignment w:val="top"/>
    </w:pPr>
    <w:rPr>
      <w:rFonts w:cs="Times New Roman"/>
      <w:b/>
      <w:bCs/>
      <w:snapToGrid/>
      <w:color w:val="A32020"/>
      <w:sz w:val="24"/>
      <w:szCs w:val="24"/>
      <w:lang w:eastAsia="en-AU"/>
    </w:rPr>
  </w:style>
  <w:style w:type="paragraph" w:customStyle="1" w:styleId="xl82">
    <w:name w:val="xl82"/>
    <w:basedOn w:val="Normal"/>
    <w:rsid w:val="00BA3E74"/>
    <w:pPr>
      <w:spacing w:before="100" w:beforeAutospacing="1" w:after="100" w:afterAutospacing="1"/>
      <w:ind w:firstLineChars="100" w:firstLine="100"/>
    </w:pPr>
    <w:rPr>
      <w:rFonts w:ascii="Times New Roman" w:hAnsi="Times New Roman" w:cs="Times New Roman"/>
      <w:snapToGrid/>
      <w:sz w:val="24"/>
      <w:szCs w:val="24"/>
      <w:lang w:eastAsia="en-AU"/>
    </w:rPr>
  </w:style>
  <w:style w:type="paragraph" w:customStyle="1" w:styleId="xl83">
    <w:name w:val="xl83"/>
    <w:basedOn w:val="Normal"/>
    <w:rsid w:val="00BA3E74"/>
    <w:pPr>
      <w:spacing w:before="100" w:beforeAutospacing="1" w:after="100" w:afterAutospacing="1"/>
      <w:ind w:firstLineChars="200" w:firstLine="200"/>
    </w:pPr>
    <w:rPr>
      <w:rFonts w:ascii="Times New Roman" w:hAnsi="Times New Roman" w:cs="Times New Roman"/>
      <w:i/>
      <w:iCs/>
      <w:snapToGrid/>
      <w:sz w:val="24"/>
      <w:szCs w:val="24"/>
      <w:lang w:eastAsia="en-AU"/>
    </w:rPr>
  </w:style>
  <w:style w:type="paragraph" w:customStyle="1" w:styleId="xl84">
    <w:name w:val="xl84"/>
    <w:basedOn w:val="Normal"/>
    <w:rsid w:val="00BA3E74"/>
    <w:pPr>
      <w:spacing w:before="100" w:beforeAutospacing="1" w:after="100" w:afterAutospacing="1"/>
      <w:ind w:firstLineChars="200" w:firstLine="200"/>
    </w:pPr>
    <w:rPr>
      <w:rFonts w:ascii="Times New Roman" w:hAnsi="Times New Roman" w:cs="Times New Roman"/>
      <w:snapToGrid/>
      <w:sz w:val="24"/>
      <w:szCs w:val="24"/>
      <w:lang w:eastAsia="en-AU"/>
    </w:rPr>
  </w:style>
  <w:style w:type="paragraph" w:customStyle="1" w:styleId="xl85">
    <w:name w:val="xl85"/>
    <w:basedOn w:val="Normal"/>
    <w:rsid w:val="00BA3E74"/>
    <w:pPr>
      <w:spacing w:before="100" w:beforeAutospacing="1" w:after="100" w:afterAutospacing="1"/>
      <w:ind w:firstLineChars="100" w:firstLine="100"/>
    </w:pPr>
    <w:rPr>
      <w:rFonts w:ascii="Times New Roman" w:hAnsi="Times New Roman" w:cs="Times New Roman"/>
      <w:i/>
      <w:iCs/>
      <w:snapToGrid/>
      <w:sz w:val="24"/>
      <w:szCs w:val="24"/>
      <w:lang w:eastAsia="en-AU"/>
    </w:rPr>
  </w:style>
  <w:style w:type="paragraph" w:customStyle="1" w:styleId="xl86">
    <w:name w:val="xl86"/>
    <w:basedOn w:val="Normal"/>
    <w:rsid w:val="00BA3E74"/>
    <w:pPr>
      <w:spacing w:before="100" w:beforeAutospacing="1" w:after="100" w:afterAutospacing="1"/>
      <w:ind w:firstLineChars="100" w:firstLine="100"/>
    </w:pPr>
    <w:rPr>
      <w:rFonts w:ascii="Times New Roman" w:hAnsi="Times New Roman" w:cs="Times New Roman"/>
      <w:snapToGrid/>
      <w:sz w:val="24"/>
      <w:szCs w:val="24"/>
      <w:lang w:eastAsia="en-AU"/>
    </w:rPr>
  </w:style>
  <w:style w:type="paragraph" w:customStyle="1" w:styleId="xl87">
    <w:name w:val="xl87"/>
    <w:basedOn w:val="Normal"/>
    <w:rsid w:val="00BA3E74"/>
    <w:pPr>
      <w:spacing w:before="100" w:beforeAutospacing="1" w:after="100" w:afterAutospacing="1"/>
      <w:ind w:firstLineChars="100" w:firstLine="100"/>
      <w:textAlignment w:val="top"/>
    </w:pPr>
    <w:rPr>
      <w:rFonts w:ascii="Times New Roman" w:hAnsi="Times New Roman" w:cs="Times New Roman"/>
      <w:snapToGrid/>
      <w:lang w:eastAsia="en-AU"/>
    </w:rPr>
  </w:style>
  <w:style w:type="paragraph" w:customStyle="1" w:styleId="xl88">
    <w:name w:val="xl88"/>
    <w:basedOn w:val="Normal"/>
    <w:rsid w:val="00BA3E74"/>
    <w:pPr>
      <w:spacing w:before="100" w:beforeAutospacing="1" w:after="100" w:afterAutospacing="1"/>
    </w:pPr>
    <w:rPr>
      <w:rFonts w:ascii="Times New Roman" w:hAnsi="Times New Roman" w:cs="Times New Roman"/>
      <w:snapToGrid/>
      <w:color w:val="0000FF"/>
      <w:u w:val="single"/>
      <w:lang w:eastAsia="en-AU"/>
    </w:rPr>
  </w:style>
  <w:style w:type="paragraph" w:customStyle="1" w:styleId="xl89">
    <w:name w:val="xl89"/>
    <w:basedOn w:val="Normal"/>
    <w:rsid w:val="00BA3E74"/>
    <w:pPr>
      <w:spacing w:before="100" w:beforeAutospacing="1" w:after="100" w:afterAutospacing="1"/>
    </w:pPr>
    <w:rPr>
      <w:rFonts w:ascii="Times New Roman" w:hAnsi="Times New Roman" w:cs="Times New Roman"/>
      <w:snapToGrid/>
      <w:sz w:val="28"/>
      <w:szCs w:val="28"/>
      <w:lang w:eastAsia="en-AU"/>
    </w:rPr>
  </w:style>
  <w:style w:type="paragraph" w:customStyle="1" w:styleId="xl90">
    <w:name w:val="xl90"/>
    <w:basedOn w:val="Normal"/>
    <w:rsid w:val="00BA3E74"/>
    <w:pPr>
      <w:spacing w:before="100" w:beforeAutospacing="1" w:after="100" w:afterAutospacing="1"/>
    </w:pPr>
    <w:rPr>
      <w:rFonts w:ascii="Times New Roman" w:hAnsi="Times New Roman" w:cs="Times New Roman"/>
      <w:i/>
      <w:iCs/>
      <w:snapToGrid/>
      <w:sz w:val="24"/>
      <w:szCs w:val="24"/>
      <w:lang w:eastAsia="en-AU"/>
    </w:rPr>
  </w:style>
  <w:style w:type="paragraph" w:customStyle="1" w:styleId="xl91">
    <w:name w:val="xl91"/>
    <w:basedOn w:val="Normal"/>
    <w:rsid w:val="00BA3E74"/>
    <w:pPr>
      <w:spacing w:before="100" w:beforeAutospacing="1" w:after="100" w:afterAutospacing="1"/>
    </w:pPr>
    <w:rPr>
      <w:rFonts w:ascii="Times New Roman" w:hAnsi="Times New Roman" w:cs="Times New Roman"/>
      <w:b/>
      <w:bCs/>
      <w:i/>
      <w:iCs/>
      <w:snapToGrid/>
      <w:sz w:val="24"/>
      <w:szCs w:val="24"/>
      <w:lang w:eastAsia="en-AU"/>
    </w:rPr>
  </w:style>
  <w:style w:type="paragraph" w:customStyle="1" w:styleId="xl92">
    <w:name w:val="xl92"/>
    <w:basedOn w:val="Normal"/>
    <w:rsid w:val="00BA3E74"/>
    <w:pPr>
      <w:spacing w:before="100" w:beforeAutospacing="1" w:after="100" w:afterAutospacing="1"/>
    </w:pPr>
    <w:rPr>
      <w:rFonts w:ascii="Times New Roman" w:hAnsi="Times New Roman" w:cs="Times New Roman"/>
      <w:i/>
      <w:iCs/>
      <w:snapToGrid/>
      <w:sz w:val="24"/>
      <w:szCs w:val="24"/>
      <w:lang w:eastAsia="en-AU"/>
    </w:rPr>
  </w:style>
  <w:style w:type="paragraph" w:customStyle="1" w:styleId="Heading1-Accessibility">
    <w:name w:val="Heading 1 - Accessibility"/>
    <w:basedOn w:val="Heading1"/>
    <w:qFormat/>
    <w:rsid w:val="00B06836"/>
  </w:style>
  <w:style w:type="paragraph" w:customStyle="1" w:styleId="Heading2-Accessibility">
    <w:name w:val="Heading 2 - Accessibility"/>
    <w:basedOn w:val="Heading6"/>
    <w:qFormat/>
    <w:rsid w:val="00B06836"/>
  </w:style>
  <w:style w:type="paragraph" w:customStyle="1" w:styleId="Heading3-Accessibility">
    <w:name w:val="Heading 3 - Accessibility"/>
    <w:basedOn w:val="Heading9"/>
    <w:qFormat/>
    <w:rsid w:val="00577057"/>
    <w:rPr>
      <w:b/>
      <w:bCs/>
    </w:rPr>
  </w:style>
  <w:style w:type="character" w:customStyle="1" w:styleId="FootnoteTextChar">
    <w:name w:val="Footnote Text Char"/>
    <w:basedOn w:val="DefaultParagraphFont"/>
    <w:link w:val="FootnoteText"/>
    <w:uiPriority w:val="99"/>
    <w:rsid w:val="002464EE"/>
    <w:rPr>
      <w:rFonts w:cs="Arial"/>
      <w:snapToGrid w:val="0"/>
      <w:sz w:val="14"/>
      <w:lang w:eastAsia="en-US"/>
    </w:rPr>
  </w:style>
  <w:style w:type="table" w:styleId="LightList-Accent1">
    <w:name w:val="Light List Accent 1"/>
    <w:basedOn w:val="TableNormal"/>
    <w:uiPriority w:val="61"/>
    <w:locked/>
    <w:rsid w:val="00180765"/>
    <w:tblPr>
      <w:tblStyleRowBandSize w:val="1"/>
      <w:tblStyleColBandSize w:val="1"/>
      <w:tblBorders>
        <w:top w:val="single" w:sz="8" w:space="0" w:color="A32020" w:themeColor="accent1"/>
        <w:left w:val="single" w:sz="8" w:space="0" w:color="A32020" w:themeColor="accent1"/>
        <w:bottom w:val="single" w:sz="8" w:space="0" w:color="A32020" w:themeColor="accent1"/>
        <w:right w:val="single" w:sz="8" w:space="0" w:color="A32020" w:themeColor="accent1"/>
      </w:tblBorders>
    </w:tblPr>
    <w:tblStylePr w:type="firstRow">
      <w:pPr>
        <w:spacing w:before="0" w:after="0" w:line="240" w:lineRule="auto"/>
      </w:pPr>
      <w:rPr>
        <w:b/>
        <w:bCs/>
        <w:color w:val="FFFFFF" w:themeColor="background1"/>
      </w:rPr>
      <w:tblPr/>
      <w:tcPr>
        <w:shd w:val="clear" w:color="auto" w:fill="A32020" w:themeFill="accent1"/>
      </w:tcPr>
    </w:tblStylePr>
    <w:tblStylePr w:type="lastRow">
      <w:pPr>
        <w:spacing w:before="0" w:after="0" w:line="240" w:lineRule="auto"/>
      </w:pPr>
      <w:rPr>
        <w:b/>
        <w:bCs/>
      </w:rPr>
      <w:tblPr/>
      <w:tcPr>
        <w:tcBorders>
          <w:top w:val="double" w:sz="6" w:space="0" w:color="A32020" w:themeColor="accent1"/>
          <w:left w:val="single" w:sz="8" w:space="0" w:color="A32020" w:themeColor="accent1"/>
          <w:bottom w:val="single" w:sz="8" w:space="0" w:color="A32020" w:themeColor="accent1"/>
          <w:right w:val="single" w:sz="8" w:space="0" w:color="A32020" w:themeColor="accent1"/>
        </w:tcBorders>
      </w:tcPr>
    </w:tblStylePr>
    <w:tblStylePr w:type="firstCol">
      <w:rPr>
        <w:b/>
        <w:bCs/>
      </w:rPr>
    </w:tblStylePr>
    <w:tblStylePr w:type="lastCol">
      <w:rPr>
        <w:b/>
        <w:bCs/>
      </w:rPr>
    </w:tblStylePr>
    <w:tblStylePr w:type="band1Vert">
      <w:tblPr/>
      <w:tcPr>
        <w:tcBorders>
          <w:top w:val="single" w:sz="8" w:space="0" w:color="A32020" w:themeColor="accent1"/>
          <w:left w:val="single" w:sz="8" w:space="0" w:color="A32020" w:themeColor="accent1"/>
          <w:bottom w:val="single" w:sz="8" w:space="0" w:color="A32020" w:themeColor="accent1"/>
          <w:right w:val="single" w:sz="8" w:space="0" w:color="A32020" w:themeColor="accent1"/>
        </w:tcBorders>
      </w:tcPr>
    </w:tblStylePr>
    <w:tblStylePr w:type="band1Horz">
      <w:tblPr/>
      <w:tcPr>
        <w:tcBorders>
          <w:top w:val="single" w:sz="8" w:space="0" w:color="A32020" w:themeColor="accent1"/>
          <w:left w:val="single" w:sz="8" w:space="0" w:color="A32020" w:themeColor="accent1"/>
          <w:bottom w:val="single" w:sz="8" w:space="0" w:color="A32020" w:themeColor="accent1"/>
          <w:right w:val="single" w:sz="8" w:space="0" w:color="A32020" w:themeColor="accent1"/>
        </w:tcBorders>
      </w:tcPr>
    </w:tblStylePr>
  </w:style>
  <w:style w:type="paragraph" w:styleId="NormalWeb">
    <w:name w:val="Normal (Web)"/>
    <w:basedOn w:val="Normal"/>
    <w:uiPriority w:val="99"/>
    <w:semiHidden/>
    <w:unhideWhenUsed/>
    <w:rsid w:val="002C04B6"/>
    <w:pPr>
      <w:spacing w:before="100" w:beforeAutospacing="1" w:after="100" w:afterAutospacing="1"/>
    </w:pPr>
    <w:rPr>
      <w:rFonts w:ascii="Times New Roman" w:eastAsiaTheme="minorEastAsia" w:hAnsi="Times New Roman" w:cs="Times New Roman"/>
      <w:snapToGrid/>
      <w:sz w:val="24"/>
      <w:szCs w:val="24"/>
      <w:lang w:eastAsia="en-AU"/>
    </w:rPr>
  </w:style>
  <w:style w:type="paragraph" w:customStyle="1" w:styleId="Default">
    <w:name w:val="Default"/>
    <w:rsid w:val="00D6205F"/>
    <w:pPr>
      <w:autoSpaceDE w:val="0"/>
      <w:autoSpaceDN w:val="0"/>
      <w:adjustRightInd w:val="0"/>
    </w:pPr>
    <w:rPr>
      <w:rFonts w:cs="Georgia"/>
      <w:color w:val="000000"/>
      <w:sz w:val="24"/>
      <w:szCs w:val="24"/>
    </w:rPr>
  </w:style>
  <w:style w:type="table" w:styleId="LightShading-Accent1">
    <w:name w:val="Light Shading Accent 1"/>
    <w:basedOn w:val="TableNormal"/>
    <w:uiPriority w:val="60"/>
    <w:locked/>
    <w:rsid w:val="00C813DD"/>
    <w:rPr>
      <w:rFonts w:ascii="Times New Roman" w:hAnsi="Times New Roman"/>
      <w:color w:val="7A1818" w:themeColor="accent1" w:themeShade="BF"/>
    </w:rPr>
    <w:tblPr>
      <w:tblStyleRowBandSize w:val="1"/>
      <w:tblStyleColBandSize w:val="1"/>
      <w:tblBorders>
        <w:top w:val="single" w:sz="8" w:space="0" w:color="A32020" w:themeColor="accent1"/>
        <w:bottom w:val="single" w:sz="8" w:space="0" w:color="A32020" w:themeColor="accent1"/>
      </w:tblBorders>
    </w:tblPr>
    <w:tblStylePr w:type="firstRow">
      <w:pPr>
        <w:spacing w:before="0" w:after="0" w:line="240" w:lineRule="auto"/>
      </w:pPr>
      <w:rPr>
        <w:b/>
        <w:bCs/>
      </w:rPr>
      <w:tblPr/>
      <w:tcPr>
        <w:tcBorders>
          <w:top w:val="single" w:sz="8" w:space="0" w:color="A32020" w:themeColor="accent1"/>
          <w:left w:val="nil"/>
          <w:bottom w:val="single" w:sz="8" w:space="0" w:color="A32020" w:themeColor="accent1"/>
          <w:right w:val="nil"/>
          <w:insideH w:val="nil"/>
          <w:insideV w:val="nil"/>
        </w:tcBorders>
      </w:tcPr>
    </w:tblStylePr>
    <w:tblStylePr w:type="lastRow">
      <w:pPr>
        <w:spacing w:before="0" w:after="0" w:line="240" w:lineRule="auto"/>
      </w:pPr>
      <w:rPr>
        <w:b/>
        <w:bCs/>
      </w:rPr>
      <w:tblPr/>
      <w:tcPr>
        <w:tcBorders>
          <w:top w:val="single" w:sz="8" w:space="0" w:color="A32020" w:themeColor="accent1"/>
          <w:left w:val="nil"/>
          <w:bottom w:val="single" w:sz="8" w:space="0" w:color="A320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DBD" w:themeFill="accent1" w:themeFillTint="3F"/>
      </w:tcPr>
    </w:tblStylePr>
    <w:tblStylePr w:type="band1Horz">
      <w:tblPr/>
      <w:tcPr>
        <w:tcBorders>
          <w:left w:val="nil"/>
          <w:right w:val="nil"/>
          <w:insideH w:val="nil"/>
          <w:insideV w:val="nil"/>
        </w:tcBorders>
        <w:shd w:val="clear" w:color="auto" w:fill="F2BDBD" w:themeFill="accent1" w:themeFillTint="3F"/>
      </w:tcPr>
    </w:tblStylePr>
  </w:style>
  <w:style w:type="character" w:styleId="Emphasis">
    <w:name w:val="Emphasis"/>
    <w:basedOn w:val="DefaultParagraphFont"/>
    <w:uiPriority w:val="20"/>
    <w:qFormat/>
    <w:locked/>
    <w:rsid w:val="002E33D0"/>
    <w:rPr>
      <w:i/>
      <w:iCs/>
    </w:rPr>
  </w:style>
  <w:style w:type="paragraph" w:customStyle="1" w:styleId="Tablesheadings">
    <w:name w:val="Tables headings"/>
    <w:basedOn w:val="ListBullet"/>
    <w:link w:val="TablesheadingsChar"/>
    <w:qFormat/>
    <w:rsid w:val="003C6C45"/>
    <w:pPr>
      <w:numPr>
        <w:numId w:val="0"/>
      </w:numPr>
      <w:tabs>
        <w:tab w:val="left" w:pos="1418"/>
      </w:tabs>
      <w:spacing w:after="0"/>
    </w:pPr>
    <w:rPr>
      <w:rFonts w:asciiTheme="majorHAnsi" w:hAnsiTheme="majorHAnsi"/>
      <w:b/>
      <w:bCs/>
      <w:color w:val="A32020" w:themeColor="text2"/>
      <w:lang w:val="en-GB"/>
    </w:rPr>
  </w:style>
  <w:style w:type="paragraph" w:customStyle="1" w:styleId="Tables">
    <w:name w:val="Tables"/>
    <w:basedOn w:val="Caption"/>
    <w:link w:val="TablesChar"/>
    <w:qFormat/>
    <w:rsid w:val="004F40F2"/>
    <w:rPr>
      <w:lang w:val="en-GB"/>
    </w:rPr>
  </w:style>
  <w:style w:type="character" w:customStyle="1" w:styleId="ListBulletChar">
    <w:name w:val="List Bullet Char"/>
    <w:basedOn w:val="DefaultParagraphFont"/>
    <w:link w:val="ListBullet"/>
    <w:rsid w:val="004F40F2"/>
    <w:rPr>
      <w:rFonts w:cs="Arial"/>
      <w:snapToGrid w:val="0"/>
      <w:lang w:eastAsia="en-US"/>
    </w:rPr>
  </w:style>
  <w:style w:type="character" w:customStyle="1" w:styleId="TablesheadingsChar">
    <w:name w:val="Tables headings Char"/>
    <w:basedOn w:val="ListBulletChar"/>
    <w:link w:val="Tablesheadings"/>
    <w:rsid w:val="003C6C45"/>
    <w:rPr>
      <w:rFonts w:asciiTheme="majorHAnsi" w:hAnsiTheme="majorHAnsi" w:cs="Arial"/>
      <w:b/>
      <w:bCs/>
      <w:snapToGrid w:val="0"/>
      <w:color w:val="A32020" w:themeColor="text2"/>
      <w:lang w:val="en-GB" w:eastAsia="en-US"/>
    </w:rPr>
  </w:style>
  <w:style w:type="paragraph" w:customStyle="1" w:styleId="Figureheadings">
    <w:name w:val="Figure headings"/>
    <w:basedOn w:val="Tablesheadings"/>
    <w:link w:val="FigureheadingsChar"/>
    <w:qFormat/>
    <w:rsid w:val="003C6C45"/>
  </w:style>
  <w:style w:type="character" w:customStyle="1" w:styleId="CaptionChar">
    <w:name w:val="Caption Char"/>
    <w:basedOn w:val="DefaultParagraphFont"/>
    <w:link w:val="Caption"/>
    <w:rsid w:val="004F40F2"/>
    <w:rPr>
      <w:rFonts w:asciiTheme="majorHAnsi" w:hAnsiTheme="majorHAnsi" w:cs="Arial"/>
      <w:b/>
      <w:bCs/>
      <w:snapToGrid w:val="0"/>
      <w:color w:val="A32020" w:themeColor="text2"/>
      <w:szCs w:val="18"/>
      <w:lang w:eastAsia="en-US"/>
    </w:rPr>
  </w:style>
  <w:style w:type="character" w:customStyle="1" w:styleId="TablesChar">
    <w:name w:val="Tables Char"/>
    <w:basedOn w:val="CaptionChar"/>
    <w:link w:val="Tables"/>
    <w:rsid w:val="004F40F2"/>
    <w:rPr>
      <w:rFonts w:asciiTheme="majorHAnsi" w:hAnsiTheme="majorHAnsi" w:cs="Arial"/>
      <w:b/>
      <w:bCs/>
      <w:snapToGrid w:val="0"/>
      <w:color w:val="A32020" w:themeColor="text2"/>
      <w:szCs w:val="18"/>
      <w:lang w:val="en-GB" w:eastAsia="en-US"/>
    </w:rPr>
  </w:style>
  <w:style w:type="character" w:customStyle="1" w:styleId="FigureheadingsChar">
    <w:name w:val="Figure headings Char"/>
    <w:basedOn w:val="TablesheadingsChar"/>
    <w:link w:val="Figureheadings"/>
    <w:rsid w:val="003C6C45"/>
    <w:rPr>
      <w:rFonts w:asciiTheme="majorHAnsi" w:hAnsiTheme="majorHAnsi" w:cs="Arial"/>
      <w:b/>
      <w:bCs/>
      <w:snapToGrid w:val="0"/>
      <w:color w:val="A32020" w:themeColor="text2"/>
      <w:lang w:val="en-GB" w:eastAsia="en-US"/>
    </w:rPr>
  </w:style>
  <w:style w:type="character" w:customStyle="1" w:styleId="st1">
    <w:name w:val="st1"/>
    <w:basedOn w:val="DefaultParagraphFont"/>
    <w:rsid w:val="009435F9"/>
  </w:style>
  <w:style w:type="paragraph" w:customStyle="1" w:styleId="xl93">
    <w:name w:val="xl93"/>
    <w:basedOn w:val="Normal"/>
    <w:rsid w:val="002D4081"/>
    <w:pPr>
      <w:pBdr>
        <w:top w:val="single" w:sz="4" w:space="0" w:color="D9D9D9"/>
        <w:left w:val="single" w:sz="4" w:space="0" w:color="A32020"/>
      </w:pBdr>
      <w:spacing w:before="100" w:beforeAutospacing="1" w:after="100" w:afterAutospacing="1"/>
      <w:jc w:val="right"/>
    </w:pPr>
    <w:rPr>
      <w:rFonts w:cs="Times New Roman"/>
      <w:snapToGrid/>
      <w:sz w:val="16"/>
      <w:szCs w:val="16"/>
      <w:lang w:eastAsia="en-AU"/>
    </w:rPr>
  </w:style>
  <w:style w:type="paragraph" w:customStyle="1" w:styleId="xl94">
    <w:name w:val="xl94"/>
    <w:basedOn w:val="Normal"/>
    <w:rsid w:val="002D4081"/>
    <w:pPr>
      <w:pBdr>
        <w:top w:val="single" w:sz="4" w:space="0" w:color="D9D9D9"/>
      </w:pBdr>
      <w:spacing w:before="100" w:beforeAutospacing="1" w:after="100" w:afterAutospacing="1"/>
      <w:jc w:val="right"/>
    </w:pPr>
    <w:rPr>
      <w:rFonts w:cs="Times New Roman"/>
      <w:snapToGrid/>
      <w:sz w:val="16"/>
      <w:szCs w:val="16"/>
      <w:lang w:eastAsia="en-AU"/>
    </w:rPr>
  </w:style>
  <w:style w:type="paragraph" w:customStyle="1" w:styleId="xl95">
    <w:name w:val="xl95"/>
    <w:basedOn w:val="Normal"/>
    <w:rsid w:val="002D4081"/>
    <w:pPr>
      <w:pBdr>
        <w:top w:val="single" w:sz="4" w:space="0" w:color="D9D9D9"/>
      </w:pBdr>
      <w:spacing w:before="100" w:beforeAutospacing="1" w:after="100" w:afterAutospacing="1"/>
      <w:jc w:val="right"/>
    </w:pPr>
    <w:rPr>
      <w:rFonts w:cs="Times New Roman"/>
      <w:snapToGrid/>
      <w:sz w:val="16"/>
      <w:szCs w:val="16"/>
      <w:lang w:eastAsia="en-AU"/>
    </w:rPr>
  </w:style>
  <w:style w:type="paragraph" w:customStyle="1" w:styleId="xl96">
    <w:name w:val="xl96"/>
    <w:basedOn w:val="Normal"/>
    <w:rsid w:val="002D4081"/>
    <w:pPr>
      <w:pBdr>
        <w:top w:val="single" w:sz="4" w:space="0" w:color="D9D9D9"/>
      </w:pBdr>
      <w:spacing w:before="100" w:beforeAutospacing="1" w:after="100" w:afterAutospacing="1"/>
      <w:jc w:val="right"/>
    </w:pPr>
    <w:rPr>
      <w:rFonts w:cs="Times New Roman"/>
      <w:snapToGrid/>
      <w:sz w:val="16"/>
      <w:szCs w:val="16"/>
      <w:lang w:eastAsia="en-AU"/>
    </w:rPr>
  </w:style>
  <w:style w:type="paragraph" w:customStyle="1" w:styleId="xl97">
    <w:name w:val="xl97"/>
    <w:basedOn w:val="Normal"/>
    <w:rsid w:val="002D4081"/>
    <w:pPr>
      <w:pBdr>
        <w:top w:val="single" w:sz="4" w:space="0" w:color="D9D9D9"/>
        <w:left w:val="single" w:sz="4" w:space="0" w:color="A32020"/>
      </w:pBdr>
      <w:spacing w:before="100" w:beforeAutospacing="1" w:after="100" w:afterAutospacing="1"/>
      <w:jc w:val="right"/>
    </w:pPr>
    <w:rPr>
      <w:rFonts w:cs="Times New Roman"/>
      <w:snapToGrid/>
      <w:sz w:val="16"/>
      <w:szCs w:val="16"/>
      <w:lang w:eastAsia="en-AU"/>
    </w:rPr>
  </w:style>
  <w:style w:type="paragraph" w:customStyle="1" w:styleId="xl98">
    <w:name w:val="xl98"/>
    <w:basedOn w:val="Normal"/>
    <w:rsid w:val="002D4081"/>
    <w:pPr>
      <w:pBdr>
        <w:top w:val="single" w:sz="4" w:space="0" w:color="D9D9D9"/>
      </w:pBdr>
      <w:spacing w:before="100" w:beforeAutospacing="1" w:after="100" w:afterAutospacing="1"/>
      <w:jc w:val="right"/>
    </w:pPr>
    <w:rPr>
      <w:rFonts w:cs="Times New Roman"/>
      <w:snapToGrid/>
      <w:sz w:val="16"/>
      <w:szCs w:val="16"/>
      <w:lang w:eastAsia="en-AU"/>
    </w:rPr>
  </w:style>
  <w:style w:type="paragraph" w:customStyle="1" w:styleId="xl99">
    <w:name w:val="xl99"/>
    <w:basedOn w:val="Normal"/>
    <w:rsid w:val="002D4081"/>
    <w:pPr>
      <w:pBdr>
        <w:top w:val="single" w:sz="4" w:space="0" w:color="D9D9D9"/>
        <w:left w:val="single" w:sz="4" w:space="0" w:color="A32020"/>
        <w:right w:val="single" w:sz="4" w:space="0" w:color="A32020"/>
      </w:pBdr>
      <w:spacing w:before="100" w:beforeAutospacing="1" w:after="100" w:afterAutospacing="1"/>
      <w:jc w:val="right"/>
    </w:pPr>
    <w:rPr>
      <w:rFonts w:cs="Times New Roman"/>
      <w:snapToGrid/>
      <w:sz w:val="16"/>
      <w:szCs w:val="16"/>
      <w:lang w:eastAsia="en-AU"/>
    </w:rPr>
  </w:style>
  <w:style w:type="paragraph" w:customStyle="1" w:styleId="xl100">
    <w:name w:val="xl100"/>
    <w:basedOn w:val="Normal"/>
    <w:rsid w:val="002D4081"/>
    <w:pPr>
      <w:pBdr>
        <w:top w:val="single" w:sz="4" w:space="0" w:color="A32020"/>
        <w:left w:val="single" w:sz="4" w:space="0" w:color="A32020"/>
        <w:bottom w:val="single" w:sz="8" w:space="0" w:color="A32020"/>
      </w:pBdr>
      <w:spacing w:before="100" w:beforeAutospacing="1" w:after="100" w:afterAutospacing="1"/>
    </w:pPr>
    <w:rPr>
      <w:rFonts w:cs="Times New Roman"/>
      <w:b/>
      <w:bCs/>
      <w:snapToGrid/>
      <w:sz w:val="16"/>
      <w:szCs w:val="16"/>
      <w:lang w:eastAsia="en-AU"/>
    </w:rPr>
  </w:style>
  <w:style w:type="paragraph" w:customStyle="1" w:styleId="xl101">
    <w:name w:val="xl101"/>
    <w:basedOn w:val="Normal"/>
    <w:rsid w:val="002D4081"/>
    <w:pPr>
      <w:pBdr>
        <w:top w:val="single" w:sz="4" w:space="0" w:color="A32020"/>
        <w:bottom w:val="single" w:sz="8" w:space="0" w:color="A32020"/>
      </w:pBdr>
      <w:spacing w:before="100" w:beforeAutospacing="1" w:after="100" w:afterAutospacing="1"/>
    </w:pPr>
    <w:rPr>
      <w:rFonts w:cs="Times New Roman"/>
      <w:b/>
      <w:bCs/>
      <w:snapToGrid/>
      <w:sz w:val="16"/>
      <w:szCs w:val="16"/>
      <w:lang w:eastAsia="en-AU"/>
    </w:rPr>
  </w:style>
  <w:style w:type="paragraph" w:customStyle="1" w:styleId="xl102">
    <w:name w:val="xl102"/>
    <w:basedOn w:val="Normal"/>
    <w:rsid w:val="002D4081"/>
    <w:pPr>
      <w:pBdr>
        <w:top w:val="single" w:sz="4" w:space="0" w:color="A32020"/>
        <w:left w:val="single" w:sz="4" w:space="0" w:color="A32020"/>
        <w:bottom w:val="single" w:sz="8" w:space="0" w:color="A32020"/>
      </w:pBdr>
      <w:spacing w:before="100" w:beforeAutospacing="1" w:after="100" w:afterAutospacing="1"/>
      <w:jc w:val="right"/>
    </w:pPr>
    <w:rPr>
      <w:rFonts w:cs="Times New Roman"/>
      <w:b/>
      <w:bCs/>
      <w:snapToGrid/>
      <w:sz w:val="16"/>
      <w:szCs w:val="16"/>
      <w:lang w:eastAsia="en-AU"/>
    </w:rPr>
  </w:style>
  <w:style w:type="paragraph" w:customStyle="1" w:styleId="xl103">
    <w:name w:val="xl103"/>
    <w:basedOn w:val="Normal"/>
    <w:rsid w:val="002D4081"/>
    <w:pPr>
      <w:pBdr>
        <w:top w:val="single" w:sz="4" w:space="0" w:color="A32020"/>
        <w:bottom w:val="single" w:sz="8" w:space="0" w:color="A32020"/>
      </w:pBdr>
      <w:spacing w:before="100" w:beforeAutospacing="1" w:after="100" w:afterAutospacing="1"/>
      <w:jc w:val="right"/>
    </w:pPr>
    <w:rPr>
      <w:rFonts w:cs="Times New Roman"/>
      <w:b/>
      <w:bCs/>
      <w:snapToGrid/>
      <w:sz w:val="16"/>
      <w:szCs w:val="16"/>
      <w:lang w:eastAsia="en-AU"/>
    </w:rPr>
  </w:style>
  <w:style w:type="paragraph" w:customStyle="1" w:styleId="xl104">
    <w:name w:val="xl104"/>
    <w:basedOn w:val="Normal"/>
    <w:rsid w:val="002D4081"/>
    <w:pPr>
      <w:pBdr>
        <w:top w:val="single" w:sz="4" w:space="0" w:color="A32020"/>
        <w:bottom w:val="single" w:sz="8" w:space="0" w:color="A32020"/>
      </w:pBdr>
      <w:spacing w:before="100" w:beforeAutospacing="1" w:after="100" w:afterAutospacing="1"/>
      <w:jc w:val="right"/>
    </w:pPr>
    <w:rPr>
      <w:rFonts w:cs="Times New Roman"/>
      <w:b/>
      <w:bCs/>
      <w:snapToGrid/>
      <w:sz w:val="16"/>
      <w:szCs w:val="16"/>
      <w:lang w:eastAsia="en-AU"/>
    </w:rPr>
  </w:style>
  <w:style w:type="paragraph" w:customStyle="1" w:styleId="xl105">
    <w:name w:val="xl105"/>
    <w:basedOn w:val="Normal"/>
    <w:rsid w:val="002D4081"/>
    <w:pPr>
      <w:pBdr>
        <w:top w:val="single" w:sz="4" w:space="0" w:color="A32020"/>
        <w:bottom w:val="single" w:sz="8" w:space="0" w:color="A32020"/>
      </w:pBdr>
      <w:spacing w:before="100" w:beforeAutospacing="1" w:after="100" w:afterAutospacing="1"/>
      <w:jc w:val="right"/>
    </w:pPr>
    <w:rPr>
      <w:rFonts w:cs="Times New Roman"/>
      <w:b/>
      <w:bCs/>
      <w:snapToGrid/>
      <w:sz w:val="16"/>
      <w:szCs w:val="16"/>
      <w:lang w:eastAsia="en-AU"/>
    </w:rPr>
  </w:style>
  <w:style w:type="paragraph" w:customStyle="1" w:styleId="xl106">
    <w:name w:val="xl106"/>
    <w:basedOn w:val="Normal"/>
    <w:rsid w:val="002D4081"/>
    <w:pPr>
      <w:pBdr>
        <w:top w:val="single" w:sz="4" w:space="0" w:color="A32020"/>
        <w:left w:val="single" w:sz="4" w:space="0" w:color="A32020"/>
        <w:bottom w:val="single" w:sz="8" w:space="0" w:color="A32020"/>
      </w:pBdr>
      <w:spacing w:before="100" w:beforeAutospacing="1" w:after="100" w:afterAutospacing="1"/>
      <w:jc w:val="right"/>
    </w:pPr>
    <w:rPr>
      <w:rFonts w:cs="Times New Roman"/>
      <w:b/>
      <w:bCs/>
      <w:snapToGrid/>
      <w:sz w:val="16"/>
      <w:szCs w:val="16"/>
      <w:lang w:eastAsia="en-AU"/>
    </w:rPr>
  </w:style>
  <w:style w:type="paragraph" w:customStyle="1" w:styleId="xl107">
    <w:name w:val="xl107"/>
    <w:basedOn w:val="Normal"/>
    <w:rsid w:val="002D4081"/>
    <w:pPr>
      <w:pBdr>
        <w:top w:val="single" w:sz="4" w:space="0" w:color="A32020"/>
        <w:bottom w:val="single" w:sz="8" w:space="0" w:color="A32020"/>
      </w:pBdr>
      <w:spacing w:before="100" w:beforeAutospacing="1" w:after="100" w:afterAutospacing="1"/>
      <w:jc w:val="right"/>
    </w:pPr>
    <w:rPr>
      <w:rFonts w:cs="Times New Roman"/>
      <w:b/>
      <w:bCs/>
      <w:snapToGrid/>
      <w:sz w:val="16"/>
      <w:szCs w:val="16"/>
      <w:lang w:eastAsia="en-AU"/>
    </w:rPr>
  </w:style>
  <w:style w:type="paragraph" w:customStyle="1" w:styleId="xl108">
    <w:name w:val="xl108"/>
    <w:basedOn w:val="Normal"/>
    <w:rsid w:val="002D4081"/>
    <w:pPr>
      <w:pBdr>
        <w:top w:val="single" w:sz="4" w:space="0" w:color="A32020"/>
        <w:left w:val="single" w:sz="4" w:space="0" w:color="A32020"/>
        <w:bottom w:val="single" w:sz="8" w:space="0" w:color="A32020"/>
        <w:right w:val="single" w:sz="4" w:space="0" w:color="A32020"/>
      </w:pBdr>
      <w:spacing w:before="100" w:beforeAutospacing="1" w:after="100" w:afterAutospacing="1"/>
      <w:jc w:val="right"/>
    </w:pPr>
    <w:rPr>
      <w:rFonts w:cs="Times New Roman"/>
      <w:b/>
      <w:bCs/>
      <w:snapToGrid/>
      <w:sz w:val="16"/>
      <w:szCs w:val="16"/>
      <w:lang w:eastAsia="en-AU"/>
    </w:rPr>
  </w:style>
  <w:style w:type="paragraph" w:customStyle="1" w:styleId="xl109">
    <w:name w:val="xl109"/>
    <w:basedOn w:val="Normal"/>
    <w:rsid w:val="002D4081"/>
    <w:pPr>
      <w:pBdr>
        <w:top w:val="single" w:sz="4" w:space="0" w:color="A32020"/>
      </w:pBdr>
      <w:spacing w:before="100" w:beforeAutospacing="1" w:after="100" w:afterAutospacing="1"/>
      <w:textAlignment w:val="top"/>
    </w:pPr>
    <w:rPr>
      <w:rFonts w:cs="Times New Roman"/>
      <w:b/>
      <w:bCs/>
      <w:snapToGrid/>
      <w:color w:val="A32020"/>
      <w:sz w:val="16"/>
      <w:szCs w:val="16"/>
      <w:lang w:eastAsia="en-AU"/>
    </w:rPr>
  </w:style>
  <w:style w:type="paragraph" w:customStyle="1" w:styleId="xl110">
    <w:name w:val="xl110"/>
    <w:basedOn w:val="Normal"/>
    <w:rsid w:val="002D4081"/>
    <w:pPr>
      <w:pBdr>
        <w:top w:val="single" w:sz="4" w:space="0" w:color="A32020"/>
        <w:left w:val="single" w:sz="4" w:space="0" w:color="A32020"/>
        <w:bottom w:val="single" w:sz="8" w:space="0" w:color="A32020"/>
        <w:right w:val="single" w:sz="4" w:space="0" w:color="A32020"/>
      </w:pBdr>
      <w:spacing w:before="100" w:beforeAutospacing="1" w:after="100" w:afterAutospacing="1"/>
      <w:jc w:val="right"/>
      <w:textAlignment w:val="top"/>
    </w:pPr>
    <w:rPr>
      <w:rFonts w:cs="Times New Roman"/>
      <w:b/>
      <w:bCs/>
      <w:snapToGrid/>
      <w:color w:val="A32020"/>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310">
      <w:bodyDiv w:val="1"/>
      <w:marLeft w:val="0"/>
      <w:marRight w:val="0"/>
      <w:marTop w:val="0"/>
      <w:marBottom w:val="0"/>
      <w:divBdr>
        <w:top w:val="none" w:sz="0" w:space="0" w:color="auto"/>
        <w:left w:val="none" w:sz="0" w:space="0" w:color="auto"/>
        <w:bottom w:val="none" w:sz="0" w:space="0" w:color="auto"/>
        <w:right w:val="none" w:sz="0" w:space="0" w:color="auto"/>
      </w:divBdr>
    </w:div>
    <w:div w:id="33816707">
      <w:bodyDiv w:val="1"/>
      <w:marLeft w:val="0"/>
      <w:marRight w:val="0"/>
      <w:marTop w:val="0"/>
      <w:marBottom w:val="0"/>
      <w:divBdr>
        <w:top w:val="none" w:sz="0" w:space="0" w:color="auto"/>
        <w:left w:val="none" w:sz="0" w:space="0" w:color="auto"/>
        <w:bottom w:val="none" w:sz="0" w:space="0" w:color="auto"/>
        <w:right w:val="none" w:sz="0" w:space="0" w:color="auto"/>
      </w:divBdr>
    </w:div>
    <w:div w:id="41057211">
      <w:bodyDiv w:val="1"/>
      <w:marLeft w:val="0"/>
      <w:marRight w:val="0"/>
      <w:marTop w:val="0"/>
      <w:marBottom w:val="0"/>
      <w:divBdr>
        <w:top w:val="none" w:sz="0" w:space="0" w:color="auto"/>
        <w:left w:val="none" w:sz="0" w:space="0" w:color="auto"/>
        <w:bottom w:val="none" w:sz="0" w:space="0" w:color="auto"/>
        <w:right w:val="none" w:sz="0" w:space="0" w:color="auto"/>
      </w:divBdr>
    </w:div>
    <w:div w:id="56713130">
      <w:bodyDiv w:val="1"/>
      <w:marLeft w:val="0"/>
      <w:marRight w:val="0"/>
      <w:marTop w:val="0"/>
      <w:marBottom w:val="0"/>
      <w:divBdr>
        <w:top w:val="none" w:sz="0" w:space="0" w:color="auto"/>
        <w:left w:val="none" w:sz="0" w:space="0" w:color="auto"/>
        <w:bottom w:val="none" w:sz="0" w:space="0" w:color="auto"/>
        <w:right w:val="none" w:sz="0" w:space="0" w:color="auto"/>
      </w:divBdr>
    </w:div>
    <w:div w:id="60760840">
      <w:bodyDiv w:val="1"/>
      <w:marLeft w:val="0"/>
      <w:marRight w:val="0"/>
      <w:marTop w:val="0"/>
      <w:marBottom w:val="0"/>
      <w:divBdr>
        <w:top w:val="none" w:sz="0" w:space="0" w:color="auto"/>
        <w:left w:val="none" w:sz="0" w:space="0" w:color="auto"/>
        <w:bottom w:val="none" w:sz="0" w:space="0" w:color="auto"/>
        <w:right w:val="none" w:sz="0" w:space="0" w:color="auto"/>
      </w:divBdr>
    </w:div>
    <w:div w:id="65810256">
      <w:bodyDiv w:val="1"/>
      <w:marLeft w:val="0"/>
      <w:marRight w:val="0"/>
      <w:marTop w:val="0"/>
      <w:marBottom w:val="0"/>
      <w:divBdr>
        <w:top w:val="none" w:sz="0" w:space="0" w:color="auto"/>
        <w:left w:val="none" w:sz="0" w:space="0" w:color="auto"/>
        <w:bottom w:val="none" w:sz="0" w:space="0" w:color="auto"/>
        <w:right w:val="none" w:sz="0" w:space="0" w:color="auto"/>
      </w:divBdr>
    </w:div>
    <w:div w:id="94138655">
      <w:bodyDiv w:val="1"/>
      <w:marLeft w:val="0"/>
      <w:marRight w:val="0"/>
      <w:marTop w:val="0"/>
      <w:marBottom w:val="0"/>
      <w:divBdr>
        <w:top w:val="none" w:sz="0" w:space="0" w:color="auto"/>
        <w:left w:val="none" w:sz="0" w:space="0" w:color="auto"/>
        <w:bottom w:val="none" w:sz="0" w:space="0" w:color="auto"/>
        <w:right w:val="none" w:sz="0" w:space="0" w:color="auto"/>
      </w:divBdr>
    </w:div>
    <w:div w:id="99181123">
      <w:bodyDiv w:val="1"/>
      <w:marLeft w:val="0"/>
      <w:marRight w:val="0"/>
      <w:marTop w:val="0"/>
      <w:marBottom w:val="0"/>
      <w:divBdr>
        <w:top w:val="none" w:sz="0" w:space="0" w:color="auto"/>
        <w:left w:val="none" w:sz="0" w:space="0" w:color="auto"/>
        <w:bottom w:val="none" w:sz="0" w:space="0" w:color="auto"/>
        <w:right w:val="none" w:sz="0" w:space="0" w:color="auto"/>
      </w:divBdr>
    </w:div>
    <w:div w:id="105083333">
      <w:bodyDiv w:val="1"/>
      <w:marLeft w:val="0"/>
      <w:marRight w:val="0"/>
      <w:marTop w:val="0"/>
      <w:marBottom w:val="0"/>
      <w:divBdr>
        <w:top w:val="none" w:sz="0" w:space="0" w:color="auto"/>
        <w:left w:val="none" w:sz="0" w:space="0" w:color="auto"/>
        <w:bottom w:val="none" w:sz="0" w:space="0" w:color="auto"/>
        <w:right w:val="none" w:sz="0" w:space="0" w:color="auto"/>
      </w:divBdr>
    </w:div>
    <w:div w:id="106314368">
      <w:bodyDiv w:val="1"/>
      <w:marLeft w:val="0"/>
      <w:marRight w:val="0"/>
      <w:marTop w:val="0"/>
      <w:marBottom w:val="0"/>
      <w:divBdr>
        <w:top w:val="none" w:sz="0" w:space="0" w:color="auto"/>
        <w:left w:val="none" w:sz="0" w:space="0" w:color="auto"/>
        <w:bottom w:val="none" w:sz="0" w:space="0" w:color="auto"/>
        <w:right w:val="none" w:sz="0" w:space="0" w:color="auto"/>
      </w:divBdr>
    </w:div>
    <w:div w:id="143860134">
      <w:bodyDiv w:val="1"/>
      <w:marLeft w:val="0"/>
      <w:marRight w:val="0"/>
      <w:marTop w:val="0"/>
      <w:marBottom w:val="0"/>
      <w:divBdr>
        <w:top w:val="none" w:sz="0" w:space="0" w:color="auto"/>
        <w:left w:val="none" w:sz="0" w:space="0" w:color="auto"/>
        <w:bottom w:val="none" w:sz="0" w:space="0" w:color="auto"/>
        <w:right w:val="none" w:sz="0" w:space="0" w:color="auto"/>
      </w:divBdr>
    </w:div>
    <w:div w:id="161822304">
      <w:bodyDiv w:val="1"/>
      <w:marLeft w:val="0"/>
      <w:marRight w:val="0"/>
      <w:marTop w:val="0"/>
      <w:marBottom w:val="0"/>
      <w:divBdr>
        <w:top w:val="none" w:sz="0" w:space="0" w:color="auto"/>
        <w:left w:val="none" w:sz="0" w:space="0" w:color="auto"/>
        <w:bottom w:val="none" w:sz="0" w:space="0" w:color="auto"/>
        <w:right w:val="none" w:sz="0" w:space="0" w:color="auto"/>
      </w:divBdr>
    </w:div>
    <w:div w:id="164320328">
      <w:bodyDiv w:val="1"/>
      <w:marLeft w:val="0"/>
      <w:marRight w:val="0"/>
      <w:marTop w:val="0"/>
      <w:marBottom w:val="0"/>
      <w:divBdr>
        <w:top w:val="none" w:sz="0" w:space="0" w:color="auto"/>
        <w:left w:val="none" w:sz="0" w:space="0" w:color="auto"/>
        <w:bottom w:val="none" w:sz="0" w:space="0" w:color="auto"/>
        <w:right w:val="none" w:sz="0" w:space="0" w:color="auto"/>
      </w:divBdr>
    </w:div>
    <w:div w:id="190607435">
      <w:bodyDiv w:val="1"/>
      <w:marLeft w:val="0"/>
      <w:marRight w:val="0"/>
      <w:marTop w:val="0"/>
      <w:marBottom w:val="0"/>
      <w:divBdr>
        <w:top w:val="none" w:sz="0" w:space="0" w:color="auto"/>
        <w:left w:val="none" w:sz="0" w:space="0" w:color="auto"/>
        <w:bottom w:val="none" w:sz="0" w:space="0" w:color="auto"/>
        <w:right w:val="none" w:sz="0" w:space="0" w:color="auto"/>
      </w:divBdr>
    </w:div>
    <w:div w:id="191069867">
      <w:bodyDiv w:val="1"/>
      <w:marLeft w:val="0"/>
      <w:marRight w:val="0"/>
      <w:marTop w:val="0"/>
      <w:marBottom w:val="0"/>
      <w:divBdr>
        <w:top w:val="none" w:sz="0" w:space="0" w:color="auto"/>
        <w:left w:val="none" w:sz="0" w:space="0" w:color="auto"/>
        <w:bottom w:val="none" w:sz="0" w:space="0" w:color="auto"/>
        <w:right w:val="none" w:sz="0" w:space="0" w:color="auto"/>
      </w:divBdr>
    </w:div>
    <w:div w:id="198784345">
      <w:bodyDiv w:val="1"/>
      <w:marLeft w:val="0"/>
      <w:marRight w:val="0"/>
      <w:marTop w:val="0"/>
      <w:marBottom w:val="0"/>
      <w:divBdr>
        <w:top w:val="none" w:sz="0" w:space="0" w:color="auto"/>
        <w:left w:val="none" w:sz="0" w:space="0" w:color="auto"/>
        <w:bottom w:val="none" w:sz="0" w:space="0" w:color="auto"/>
        <w:right w:val="none" w:sz="0" w:space="0" w:color="auto"/>
      </w:divBdr>
    </w:div>
    <w:div w:id="206071582">
      <w:bodyDiv w:val="1"/>
      <w:marLeft w:val="0"/>
      <w:marRight w:val="0"/>
      <w:marTop w:val="0"/>
      <w:marBottom w:val="0"/>
      <w:divBdr>
        <w:top w:val="none" w:sz="0" w:space="0" w:color="auto"/>
        <w:left w:val="none" w:sz="0" w:space="0" w:color="auto"/>
        <w:bottom w:val="none" w:sz="0" w:space="0" w:color="auto"/>
        <w:right w:val="none" w:sz="0" w:space="0" w:color="auto"/>
      </w:divBdr>
    </w:div>
    <w:div w:id="219875074">
      <w:bodyDiv w:val="1"/>
      <w:marLeft w:val="0"/>
      <w:marRight w:val="0"/>
      <w:marTop w:val="0"/>
      <w:marBottom w:val="0"/>
      <w:divBdr>
        <w:top w:val="none" w:sz="0" w:space="0" w:color="auto"/>
        <w:left w:val="none" w:sz="0" w:space="0" w:color="auto"/>
        <w:bottom w:val="none" w:sz="0" w:space="0" w:color="auto"/>
        <w:right w:val="none" w:sz="0" w:space="0" w:color="auto"/>
      </w:divBdr>
    </w:div>
    <w:div w:id="233856598">
      <w:bodyDiv w:val="1"/>
      <w:marLeft w:val="0"/>
      <w:marRight w:val="0"/>
      <w:marTop w:val="0"/>
      <w:marBottom w:val="0"/>
      <w:divBdr>
        <w:top w:val="none" w:sz="0" w:space="0" w:color="auto"/>
        <w:left w:val="none" w:sz="0" w:space="0" w:color="auto"/>
        <w:bottom w:val="none" w:sz="0" w:space="0" w:color="auto"/>
        <w:right w:val="none" w:sz="0" w:space="0" w:color="auto"/>
      </w:divBdr>
    </w:div>
    <w:div w:id="235482012">
      <w:bodyDiv w:val="1"/>
      <w:marLeft w:val="0"/>
      <w:marRight w:val="0"/>
      <w:marTop w:val="0"/>
      <w:marBottom w:val="0"/>
      <w:divBdr>
        <w:top w:val="none" w:sz="0" w:space="0" w:color="auto"/>
        <w:left w:val="none" w:sz="0" w:space="0" w:color="auto"/>
        <w:bottom w:val="none" w:sz="0" w:space="0" w:color="auto"/>
        <w:right w:val="none" w:sz="0" w:space="0" w:color="auto"/>
      </w:divBdr>
    </w:div>
    <w:div w:id="237833135">
      <w:bodyDiv w:val="1"/>
      <w:marLeft w:val="0"/>
      <w:marRight w:val="0"/>
      <w:marTop w:val="0"/>
      <w:marBottom w:val="0"/>
      <w:divBdr>
        <w:top w:val="none" w:sz="0" w:space="0" w:color="auto"/>
        <w:left w:val="none" w:sz="0" w:space="0" w:color="auto"/>
        <w:bottom w:val="none" w:sz="0" w:space="0" w:color="auto"/>
        <w:right w:val="none" w:sz="0" w:space="0" w:color="auto"/>
      </w:divBdr>
    </w:div>
    <w:div w:id="238565110">
      <w:bodyDiv w:val="1"/>
      <w:marLeft w:val="0"/>
      <w:marRight w:val="0"/>
      <w:marTop w:val="0"/>
      <w:marBottom w:val="0"/>
      <w:divBdr>
        <w:top w:val="none" w:sz="0" w:space="0" w:color="auto"/>
        <w:left w:val="none" w:sz="0" w:space="0" w:color="auto"/>
        <w:bottom w:val="none" w:sz="0" w:space="0" w:color="auto"/>
        <w:right w:val="none" w:sz="0" w:space="0" w:color="auto"/>
      </w:divBdr>
    </w:div>
    <w:div w:id="254477684">
      <w:bodyDiv w:val="1"/>
      <w:marLeft w:val="0"/>
      <w:marRight w:val="0"/>
      <w:marTop w:val="0"/>
      <w:marBottom w:val="0"/>
      <w:divBdr>
        <w:top w:val="none" w:sz="0" w:space="0" w:color="auto"/>
        <w:left w:val="none" w:sz="0" w:space="0" w:color="auto"/>
        <w:bottom w:val="none" w:sz="0" w:space="0" w:color="auto"/>
        <w:right w:val="none" w:sz="0" w:space="0" w:color="auto"/>
      </w:divBdr>
    </w:div>
    <w:div w:id="304089075">
      <w:bodyDiv w:val="1"/>
      <w:marLeft w:val="0"/>
      <w:marRight w:val="0"/>
      <w:marTop w:val="0"/>
      <w:marBottom w:val="0"/>
      <w:divBdr>
        <w:top w:val="none" w:sz="0" w:space="0" w:color="auto"/>
        <w:left w:val="none" w:sz="0" w:space="0" w:color="auto"/>
        <w:bottom w:val="none" w:sz="0" w:space="0" w:color="auto"/>
        <w:right w:val="none" w:sz="0" w:space="0" w:color="auto"/>
      </w:divBdr>
    </w:div>
    <w:div w:id="327438939">
      <w:bodyDiv w:val="1"/>
      <w:marLeft w:val="0"/>
      <w:marRight w:val="0"/>
      <w:marTop w:val="0"/>
      <w:marBottom w:val="0"/>
      <w:divBdr>
        <w:top w:val="none" w:sz="0" w:space="0" w:color="auto"/>
        <w:left w:val="none" w:sz="0" w:space="0" w:color="auto"/>
        <w:bottom w:val="none" w:sz="0" w:space="0" w:color="auto"/>
        <w:right w:val="none" w:sz="0" w:space="0" w:color="auto"/>
      </w:divBdr>
    </w:div>
    <w:div w:id="329527706">
      <w:bodyDiv w:val="1"/>
      <w:marLeft w:val="0"/>
      <w:marRight w:val="0"/>
      <w:marTop w:val="0"/>
      <w:marBottom w:val="0"/>
      <w:divBdr>
        <w:top w:val="none" w:sz="0" w:space="0" w:color="auto"/>
        <w:left w:val="none" w:sz="0" w:space="0" w:color="auto"/>
        <w:bottom w:val="none" w:sz="0" w:space="0" w:color="auto"/>
        <w:right w:val="none" w:sz="0" w:space="0" w:color="auto"/>
      </w:divBdr>
    </w:div>
    <w:div w:id="341668922">
      <w:bodyDiv w:val="1"/>
      <w:marLeft w:val="0"/>
      <w:marRight w:val="0"/>
      <w:marTop w:val="0"/>
      <w:marBottom w:val="0"/>
      <w:divBdr>
        <w:top w:val="none" w:sz="0" w:space="0" w:color="auto"/>
        <w:left w:val="none" w:sz="0" w:space="0" w:color="auto"/>
        <w:bottom w:val="none" w:sz="0" w:space="0" w:color="auto"/>
        <w:right w:val="none" w:sz="0" w:space="0" w:color="auto"/>
      </w:divBdr>
    </w:div>
    <w:div w:id="366759708">
      <w:bodyDiv w:val="1"/>
      <w:marLeft w:val="0"/>
      <w:marRight w:val="0"/>
      <w:marTop w:val="0"/>
      <w:marBottom w:val="0"/>
      <w:divBdr>
        <w:top w:val="none" w:sz="0" w:space="0" w:color="auto"/>
        <w:left w:val="none" w:sz="0" w:space="0" w:color="auto"/>
        <w:bottom w:val="none" w:sz="0" w:space="0" w:color="auto"/>
        <w:right w:val="none" w:sz="0" w:space="0" w:color="auto"/>
      </w:divBdr>
    </w:div>
    <w:div w:id="421074149">
      <w:bodyDiv w:val="1"/>
      <w:marLeft w:val="0"/>
      <w:marRight w:val="0"/>
      <w:marTop w:val="0"/>
      <w:marBottom w:val="0"/>
      <w:divBdr>
        <w:top w:val="none" w:sz="0" w:space="0" w:color="auto"/>
        <w:left w:val="none" w:sz="0" w:space="0" w:color="auto"/>
        <w:bottom w:val="none" w:sz="0" w:space="0" w:color="auto"/>
        <w:right w:val="none" w:sz="0" w:space="0" w:color="auto"/>
      </w:divBdr>
    </w:div>
    <w:div w:id="422459344">
      <w:bodyDiv w:val="1"/>
      <w:marLeft w:val="0"/>
      <w:marRight w:val="0"/>
      <w:marTop w:val="0"/>
      <w:marBottom w:val="0"/>
      <w:divBdr>
        <w:top w:val="none" w:sz="0" w:space="0" w:color="auto"/>
        <w:left w:val="none" w:sz="0" w:space="0" w:color="auto"/>
        <w:bottom w:val="none" w:sz="0" w:space="0" w:color="auto"/>
        <w:right w:val="none" w:sz="0" w:space="0" w:color="auto"/>
      </w:divBdr>
    </w:div>
    <w:div w:id="452595604">
      <w:bodyDiv w:val="1"/>
      <w:marLeft w:val="0"/>
      <w:marRight w:val="0"/>
      <w:marTop w:val="0"/>
      <w:marBottom w:val="0"/>
      <w:divBdr>
        <w:top w:val="none" w:sz="0" w:space="0" w:color="auto"/>
        <w:left w:val="none" w:sz="0" w:space="0" w:color="auto"/>
        <w:bottom w:val="none" w:sz="0" w:space="0" w:color="auto"/>
        <w:right w:val="none" w:sz="0" w:space="0" w:color="auto"/>
      </w:divBdr>
    </w:div>
    <w:div w:id="455372928">
      <w:bodyDiv w:val="1"/>
      <w:marLeft w:val="0"/>
      <w:marRight w:val="0"/>
      <w:marTop w:val="0"/>
      <w:marBottom w:val="0"/>
      <w:divBdr>
        <w:top w:val="none" w:sz="0" w:space="0" w:color="auto"/>
        <w:left w:val="none" w:sz="0" w:space="0" w:color="auto"/>
        <w:bottom w:val="none" w:sz="0" w:space="0" w:color="auto"/>
        <w:right w:val="none" w:sz="0" w:space="0" w:color="auto"/>
      </w:divBdr>
    </w:div>
    <w:div w:id="484275941">
      <w:bodyDiv w:val="1"/>
      <w:marLeft w:val="0"/>
      <w:marRight w:val="0"/>
      <w:marTop w:val="0"/>
      <w:marBottom w:val="0"/>
      <w:divBdr>
        <w:top w:val="none" w:sz="0" w:space="0" w:color="auto"/>
        <w:left w:val="none" w:sz="0" w:space="0" w:color="auto"/>
        <w:bottom w:val="none" w:sz="0" w:space="0" w:color="auto"/>
        <w:right w:val="none" w:sz="0" w:space="0" w:color="auto"/>
      </w:divBdr>
    </w:div>
    <w:div w:id="489909244">
      <w:bodyDiv w:val="1"/>
      <w:marLeft w:val="0"/>
      <w:marRight w:val="0"/>
      <w:marTop w:val="0"/>
      <w:marBottom w:val="0"/>
      <w:divBdr>
        <w:top w:val="none" w:sz="0" w:space="0" w:color="auto"/>
        <w:left w:val="none" w:sz="0" w:space="0" w:color="auto"/>
        <w:bottom w:val="none" w:sz="0" w:space="0" w:color="auto"/>
        <w:right w:val="none" w:sz="0" w:space="0" w:color="auto"/>
      </w:divBdr>
    </w:div>
    <w:div w:id="518931417">
      <w:bodyDiv w:val="1"/>
      <w:marLeft w:val="0"/>
      <w:marRight w:val="0"/>
      <w:marTop w:val="0"/>
      <w:marBottom w:val="0"/>
      <w:divBdr>
        <w:top w:val="none" w:sz="0" w:space="0" w:color="auto"/>
        <w:left w:val="none" w:sz="0" w:space="0" w:color="auto"/>
        <w:bottom w:val="none" w:sz="0" w:space="0" w:color="auto"/>
        <w:right w:val="none" w:sz="0" w:space="0" w:color="auto"/>
      </w:divBdr>
    </w:div>
    <w:div w:id="577634965">
      <w:bodyDiv w:val="1"/>
      <w:marLeft w:val="0"/>
      <w:marRight w:val="0"/>
      <w:marTop w:val="0"/>
      <w:marBottom w:val="0"/>
      <w:divBdr>
        <w:top w:val="none" w:sz="0" w:space="0" w:color="auto"/>
        <w:left w:val="none" w:sz="0" w:space="0" w:color="auto"/>
        <w:bottom w:val="none" w:sz="0" w:space="0" w:color="auto"/>
        <w:right w:val="none" w:sz="0" w:space="0" w:color="auto"/>
      </w:divBdr>
    </w:div>
    <w:div w:id="578096892">
      <w:bodyDiv w:val="1"/>
      <w:marLeft w:val="0"/>
      <w:marRight w:val="0"/>
      <w:marTop w:val="0"/>
      <w:marBottom w:val="0"/>
      <w:divBdr>
        <w:top w:val="none" w:sz="0" w:space="0" w:color="auto"/>
        <w:left w:val="none" w:sz="0" w:space="0" w:color="auto"/>
        <w:bottom w:val="none" w:sz="0" w:space="0" w:color="auto"/>
        <w:right w:val="none" w:sz="0" w:space="0" w:color="auto"/>
      </w:divBdr>
    </w:div>
    <w:div w:id="606231349">
      <w:bodyDiv w:val="1"/>
      <w:marLeft w:val="0"/>
      <w:marRight w:val="0"/>
      <w:marTop w:val="0"/>
      <w:marBottom w:val="0"/>
      <w:divBdr>
        <w:top w:val="none" w:sz="0" w:space="0" w:color="auto"/>
        <w:left w:val="none" w:sz="0" w:space="0" w:color="auto"/>
        <w:bottom w:val="none" w:sz="0" w:space="0" w:color="auto"/>
        <w:right w:val="none" w:sz="0" w:space="0" w:color="auto"/>
      </w:divBdr>
    </w:div>
    <w:div w:id="624315753">
      <w:bodyDiv w:val="1"/>
      <w:marLeft w:val="0"/>
      <w:marRight w:val="0"/>
      <w:marTop w:val="0"/>
      <w:marBottom w:val="0"/>
      <w:divBdr>
        <w:top w:val="none" w:sz="0" w:space="0" w:color="auto"/>
        <w:left w:val="none" w:sz="0" w:space="0" w:color="auto"/>
        <w:bottom w:val="none" w:sz="0" w:space="0" w:color="auto"/>
        <w:right w:val="none" w:sz="0" w:space="0" w:color="auto"/>
      </w:divBdr>
    </w:div>
    <w:div w:id="666789929">
      <w:bodyDiv w:val="1"/>
      <w:marLeft w:val="0"/>
      <w:marRight w:val="0"/>
      <w:marTop w:val="0"/>
      <w:marBottom w:val="0"/>
      <w:divBdr>
        <w:top w:val="none" w:sz="0" w:space="0" w:color="auto"/>
        <w:left w:val="none" w:sz="0" w:space="0" w:color="auto"/>
        <w:bottom w:val="none" w:sz="0" w:space="0" w:color="auto"/>
        <w:right w:val="none" w:sz="0" w:space="0" w:color="auto"/>
      </w:divBdr>
    </w:div>
    <w:div w:id="681396560">
      <w:bodyDiv w:val="1"/>
      <w:marLeft w:val="0"/>
      <w:marRight w:val="0"/>
      <w:marTop w:val="0"/>
      <w:marBottom w:val="0"/>
      <w:divBdr>
        <w:top w:val="none" w:sz="0" w:space="0" w:color="auto"/>
        <w:left w:val="none" w:sz="0" w:space="0" w:color="auto"/>
        <w:bottom w:val="none" w:sz="0" w:space="0" w:color="auto"/>
        <w:right w:val="none" w:sz="0" w:space="0" w:color="auto"/>
      </w:divBdr>
    </w:div>
    <w:div w:id="722287496">
      <w:bodyDiv w:val="1"/>
      <w:marLeft w:val="0"/>
      <w:marRight w:val="0"/>
      <w:marTop w:val="0"/>
      <w:marBottom w:val="0"/>
      <w:divBdr>
        <w:top w:val="none" w:sz="0" w:space="0" w:color="auto"/>
        <w:left w:val="none" w:sz="0" w:space="0" w:color="auto"/>
        <w:bottom w:val="none" w:sz="0" w:space="0" w:color="auto"/>
        <w:right w:val="none" w:sz="0" w:space="0" w:color="auto"/>
      </w:divBdr>
    </w:div>
    <w:div w:id="737439612">
      <w:bodyDiv w:val="1"/>
      <w:marLeft w:val="0"/>
      <w:marRight w:val="0"/>
      <w:marTop w:val="0"/>
      <w:marBottom w:val="0"/>
      <w:divBdr>
        <w:top w:val="none" w:sz="0" w:space="0" w:color="auto"/>
        <w:left w:val="none" w:sz="0" w:space="0" w:color="auto"/>
        <w:bottom w:val="none" w:sz="0" w:space="0" w:color="auto"/>
        <w:right w:val="none" w:sz="0" w:space="0" w:color="auto"/>
      </w:divBdr>
    </w:div>
    <w:div w:id="742795142">
      <w:bodyDiv w:val="1"/>
      <w:marLeft w:val="0"/>
      <w:marRight w:val="0"/>
      <w:marTop w:val="0"/>
      <w:marBottom w:val="0"/>
      <w:divBdr>
        <w:top w:val="none" w:sz="0" w:space="0" w:color="auto"/>
        <w:left w:val="none" w:sz="0" w:space="0" w:color="auto"/>
        <w:bottom w:val="none" w:sz="0" w:space="0" w:color="auto"/>
        <w:right w:val="none" w:sz="0" w:space="0" w:color="auto"/>
      </w:divBdr>
    </w:div>
    <w:div w:id="793838673">
      <w:bodyDiv w:val="1"/>
      <w:marLeft w:val="0"/>
      <w:marRight w:val="0"/>
      <w:marTop w:val="0"/>
      <w:marBottom w:val="0"/>
      <w:divBdr>
        <w:top w:val="none" w:sz="0" w:space="0" w:color="auto"/>
        <w:left w:val="none" w:sz="0" w:space="0" w:color="auto"/>
        <w:bottom w:val="none" w:sz="0" w:space="0" w:color="auto"/>
        <w:right w:val="none" w:sz="0" w:space="0" w:color="auto"/>
      </w:divBdr>
    </w:div>
    <w:div w:id="809831370">
      <w:bodyDiv w:val="1"/>
      <w:marLeft w:val="0"/>
      <w:marRight w:val="0"/>
      <w:marTop w:val="0"/>
      <w:marBottom w:val="0"/>
      <w:divBdr>
        <w:top w:val="none" w:sz="0" w:space="0" w:color="auto"/>
        <w:left w:val="none" w:sz="0" w:space="0" w:color="auto"/>
        <w:bottom w:val="none" w:sz="0" w:space="0" w:color="auto"/>
        <w:right w:val="none" w:sz="0" w:space="0" w:color="auto"/>
      </w:divBdr>
    </w:div>
    <w:div w:id="815226060">
      <w:bodyDiv w:val="1"/>
      <w:marLeft w:val="0"/>
      <w:marRight w:val="0"/>
      <w:marTop w:val="0"/>
      <w:marBottom w:val="0"/>
      <w:divBdr>
        <w:top w:val="none" w:sz="0" w:space="0" w:color="auto"/>
        <w:left w:val="none" w:sz="0" w:space="0" w:color="auto"/>
        <w:bottom w:val="none" w:sz="0" w:space="0" w:color="auto"/>
        <w:right w:val="none" w:sz="0" w:space="0" w:color="auto"/>
      </w:divBdr>
    </w:div>
    <w:div w:id="826746878">
      <w:bodyDiv w:val="1"/>
      <w:marLeft w:val="0"/>
      <w:marRight w:val="0"/>
      <w:marTop w:val="0"/>
      <w:marBottom w:val="0"/>
      <w:divBdr>
        <w:top w:val="none" w:sz="0" w:space="0" w:color="auto"/>
        <w:left w:val="none" w:sz="0" w:space="0" w:color="auto"/>
        <w:bottom w:val="none" w:sz="0" w:space="0" w:color="auto"/>
        <w:right w:val="none" w:sz="0" w:space="0" w:color="auto"/>
      </w:divBdr>
    </w:div>
    <w:div w:id="828404435">
      <w:bodyDiv w:val="1"/>
      <w:marLeft w:val="0"/>
      <w:marRight w:val="0"/>
      <w:marTop w:val="0"/>
      <w:marBottom w:val="0"/>
      <w:divBdr>
        <w:top w:val="none" w:sz="0" w:space="0" w:color="auto"/>
        <w:left w:val="none" w:sz="0" w:space="0" w:color="auto"/>
        <w:bottom w:val="none" w:sz="0" w:space="0" w:color="auto"/>
        <w:right w:val="none" w:sz="0" w:space="0" w:color="auto"/>
      </w:divBdr>
    </w:div>
    <w:div w:id="829097450">
      <w:bodyDiv w:val="1"/>
      <w:marLeft w:val="0"/>
      <w:marRight w:val="0"/>
      <w:marTop w:val="0"/>
      <w:marBottom w:val="0"/>
      <w:divBdr>
        <w:top w:val="none" w:sz="0" w:space="0" w:color="auto"/>
        <w:left w:val="none" w:sz="0" w:space="0" w:color="auto"/>
        <w:bottom w:val="none" w:sz="0" w:space="0" w:color="auto"/>
        <w:right w:val="none" w:sz="0" w:space="0" w:color="auto"/>
      </w:divBdr>
    </w:div>
    <w:div w:id="837421945">
      <w:bodyDiv w:val="1"/>
      <w:marLeft w:val="0"/>
      <w:marRight w:val="0"/>
      <w:marTop w:val="0"/>
      <w:marBottom w:val="0"/>
      <w:divBdr>
        <w:top w:val="none" w:sz="0" w:space="0" w:color="auto"/>
        <w:left w:val="none" w:sz="0" w:space="0" w:color="auto"/>
        <w:bottom w:val="none" w:sz="0" w:space="0" w:color="auto"/>
        <w:right w:val="none" w:sz="0" w:space="0" w:color="auto"/>
      </w:divBdr>
    </w:div>
    <w:div w:id="838735284">
      <w:bodyDiv w:val="1"/>
      <w:marLeft w:val="0"/>
      <w:marRight w:val="0"/>
      <w:marTop w:val="0"/>
      <w:marBottom w:val="0"/>
      <w:divBdr>
        <w:top w:val="none" w:sz="0" w:space="0" w:color="auto"/>
        <w:left w:val="none" w:sz="0" w:space="0" w:color="auto"/>
        <w:bottom w:val="none" w:sz="0" w:space="0" w:color="auto"/>
        <w:right w:val="none" w:sz="0" w:space="0" w:color="auto"/>
      </w:divBdr>
    </w:div>
    <w:div w:id="840006999">
      <w:bodyDiv w:val="1"/>
      <w:marLeft w:val="0"/>
      <w:marRight w:val="0"/>
      <w:marTop w:val="0"/>
      <w:marBottom w:val="0"/>
      <w:divBdr>
        <w:top w:val="none" w:sz="0" w:space="0" w:color="auto"/>
        <w:left w:val="none" w:sz="0" w:space="0" w:color="auto"/>
        <w:bottom w:val="none" w:sz="0" w:space="0" w:color="auto"/>
        <w:right w:val="none" w:sz="0" w:space="0" w:color="auto"/>
      </w:divBdr>
    </w:div>
    <w:div w:id="858737779">
      <w:bodyDiv w:val="1"/>
      <w:marLeft w:val="0"/>
      <w:marRight w:val="0"/>
      <w:marTop w:val="0"/>
      <w:marBottom w:val="0"/>
      <w:divBdr>
        <w:top w:val="none" w:sz="0" w:space="0" w:color="auto"/>
        <w:left w:val="none" w:sz="0" w:space="0" w:color="auto"/>
        <w:bottom w:val="none" w:sz="0" w:space="0" w:color="auto"/>
        <w:right w:val="none" w:sz="0" w:space="0" w:color="auto"/>
      </w:divBdr>
    </w:div>
    <w:div w:id="866790781">
      <w:bodyDiv w:val="1"/>
      <w:marLeft w:val="0"/>
      <w:marRight w:val="0"/>
      <w:marTop w:val="0"/>
      <w:marBottom w:val="0"/>
      <w:divBdr>
        <w:top w:val="none" w:sz="0" w:space="0" w:color="auto"/>
        <w:left w:val="none" w:sz="0" w:space="0" w:color="auto"/>
        <w:bottom w:val="none" w:sz="0" w:space="0" w:color="auto"/>
        <w:right w:val="none" w:sz="0" w:space="0" w:color="auto"/>
      </w:divBdr>
    </w:div>
    <w:div w:id="873231926">
      <w:bodyDiv w:val="1"/>
      <w:marLeft w:val="0"/>
      <w:marRight w:val="0"/>
      <w:marTop w:val="0"/>
      <w:marBottom w:val="0"/>
      <w:divBdr>
        <w:top w:val="none" w:sz="0" w:space="0" w:color="auto"/>
        <w:left w:val="none" w:sz="0" w:space="0" w:color="auto"/>
        <w:bottom w:val="none" w:sz="0" w:space="0" w:color="auto"/>
        <w:right w:val="none" w:sz="0" w:space="0" w:color="auto"/>
      </w:divBdr>
    </w:div>
    <w:div w:id="875193268">
      <w:bodyDiv w:val="1"/>
      <w:marLeft w:val="0"/>
      <w:marRight w:val="0"/>
      <w:marTop w:val="0"/>
      <w:marBottom w:val="0"/>
      <w:divBdr>
        <w:top w:val="none" w:sz="0" w:space="0" w:color="auto"/>
        <w:left w:val="none" w:sz="0" w:space="0" w:color="auto"/>
        <w:bottom w:val="none" w:sz="0" w:space="0" w:color="auto"/>
        <w:right w:val="none" w:sz="0" w:space="0" w:color="auto"/>
      </w:divBdr>
    </w:div>
    <w:div w:id="876162434">
      <w:bodyDiv w:val="1"/>
      <w:marLeft w:val="0"/>
      <w:marRight w:val="0"/>
      <w:marTop w:val="0"/>
      <w:marBottom w:val="0"/>
      <w:divBdr>
        <w:top w:val="none" w:sz="0" w:space="0" w:color="auto"/>
        <w:left w:val="none" w:sz="0" w:space="0" w:color="auto"/>
        <w:bottom w:val="none" w:sz="0" w:space="0" w:color="auto"/>
        <w:right w:val="none" w:sz="0" w:space="0" w:color="auto"/>
      </w:divBdr>
    </w:div>
    <w:div w:id="892227849">
      <w:bodyDiv w:val="1"/>
      <w:marLeft w:val="0"/>
      <w:marRight w:val="0"/>
      <w:marTop w:val="0"/>
      <w:marBottom w:val="0"/>
      <w:divBdr>
        <w:top w:val="none" w:sz="0" w:space="0" w:color="auto"/>
        <w:left w:val="none" w:sz="0" w:space="0" w:color="auto"/>
        <w:bottom w:val="none" w:sz="0" w:space="0" w:color="auto"/>
        <w:right w:val="none" w:sz="0" w:space="0" w:color="auto"/>
      </w:divBdr>
    </w:div>
    <w:div w:id="948007200">
      <w:bodyDiv w:val="1"/>
      <w:marLeft w:val="0"/>
      <w:marRight w:val="0"/>
      <w:marTop w:val="0"/>
      <w:marBottom w:val="0"/>
      <w:divBdr>
        <w:top w:val="none" w:sz="0" w:space="0" w:color="auto"/>
        <w:left w:val="none" w:sz="0" w:space="0" w:color="auto"/>
        <w:bottom w:val="none" w:sz="0" w:space="0" w:color="auto"/>
        <w:right w:val="none" w:sz="0" w:space="0" w:color="auto"/>
      </w:divBdr>
    </w:div>
    <w:div w:id="960038462">
      <w:bodyDiv w:val="1"/>
      <w:marLeft w:val="0"/>
      <w:marRight w:val="0"/>
      <w:marTop w:val="0"/>
      <w:marBottom w:val="0"/>
      <w:divBdr>
        <w:top w:val="none" w:sz="0" w:space="0" w:color="auto"/>
        <w:left w:val="none" w:sz="0" w:space="0" w:color="auto"/>
        <w:bottom w:val="none" w:sz="0" w:space="0" w:color="auto"/>
        <w:right w:val="none" w:sz="0" w:space="0" w:color="auto"/>
      </w:divBdr>
    </w:div>
    <w:div w:id="966812401">
      <w:bodyDiv w:val="1"/>
      <w:marLeft w:val="0"/>
      <w:marRight w:val="0"/>
      <w:marTop w:val="0"/>
      <w:marBottom w:val="0"/>
      <w:divBdr>
        <w:top w:val="none" w:sz="0" w:space="0" w:color="auto"/>
        <w:left w:val="none" w:sz="0" w:space="0" w:color="auto"/>
        <w:bottom w:val="none" w:sz="0" w:space="0" w:color="auto"/>
        <w:right w:val="none" w:sz="0" w:space="0" w:color="auto"/>
      </w:divBdr>
    </w:div>
    <w:div w:id="968127292">
      <w:bodyDiv w:val="1"/>
      <w:marLeft w:val="0"/>
      <w:marRight w:val="0"/>
      <w:marTop w:val="0"/>
      <w:marBottom w:val="0"/>
      <w:divBdr>
        <w:top w:val="none" w:sz="0" w:space="0" w:color="auto"/>
        <w:left w:val="none" w:sz="0" w:space="0" w:color="auto"/>
        <w:bottom w:val="none" w:sz="0" w:space="0" w:color="auto"/>
        <w:right w:val="none" w:sz="0" w:space="0" w:color="auto"/>
      </w:divBdr>
    </w:div>
    <w:div w:id="969213353">
      <w:bodyDiv w:val="1"/>
      <w:marLeft w:val="0"/>
      <w:marRight w:val="0"/>
      <w:marTop w:val="0"/>
      <w:marBottom w:val="0"/>
      <w:divBdr>
        <w:top w:val="none" w:sz="0" w:space="0" w:color="auto"/>
        <w:left w:val="none" w:sz="0" w:space="0" w:color="auto"/>
        <w:bottom w:val="none" w:sz="0" w:space="0" w:color="auto"/>
        <w:right w:val="none" w:sz="0" w:space="0" w:color="auto"/>
      </w:divBdr>
    </w:div>
    <w:div w:id="997271913">
      <w:bodyDiv w:val="1"/>
      <w:marLeft w:val="0"/>
      <w:marRight w:val="0"/>
      <w:marTop w:val="0"/>
      <w:marBottom w:val="0"/>
      <w:divBdr>
        <w:top w:val="none" w:sz="0" w:space="0" w:color="auto"/>
        <w:left w:val="none" w:sz="0" w:space="0" w:color="auto"/>
        <w:bottom w:val="none" w:sz="0" w:space="0" w:color="auto"/>
        <w:right w:val="none" w:sz="0" w:space="0" w:color="auto"/>
      </w:divBdr>
    </w:div>
    <w:div w:id="1017346828">
      <w:bodyDiv w:val="1"/>
      <w:marLeft w:val="0"/>
      <w:marRight w:val="0"/>
      <w:marTop w:val="0"/>
      <w:marBottom w:val="0"/>
      <w:divBdr>
        <w:top w:val="none" w:sz="0" w:space="0" w:color="auto"/>
        <w:left w:val="none" w:sz="0" w:space="0" w:color="auto"/>
        <w:bottom w:val="none" w:sz="0" w:space="0" w:color="auto"/>
        <w:right w:val="none" w:sz="0" w:space="0" w:color="auto"/>
      </w:divBdr>
    </w:div>
    <w:div w:id="1035690979">
      <w:bodyDiv w:val="1"/>
      <w:marLeft w:val="0"/>
      <w:marRight w:val="0"/>
      <w:marTop w:val="0"/>
      <w:marBottom w:val="0"/>
      <w:divBdr>
        <w:top w:val="none" w:sz="0" w:space="0" w:color="auto"/>
        <w:left w:val="none" w:sz="0" w:space="0" w:color="auto"/>
        <w:bottom w:val="none" w:sz="0" w:space="0" w:color="auto"/>
        <w:right w:val="none" w:sz="0" w:space="0" w:color="auto"/>
      </w:divBdr>
    </w:div>
    <w:div w:id="1058432336">
      <w:bodyDiv w:val="1"/>
      <w:marLeft w:val="0"/>
      <w:marRight w:val="0"/>
      <w:marTop w:val="0"/>
      <w:marBottom w:val="0"/>
      <w:divBdr>
        <w:top w:val="none" w:sz="0" w:space="0" w:color="auto"/>
        <w:left w:val="none" w:sz="0" w:space="0" w:color="auto"/>
        <w:bottom w:val="none" w:sz="0" w:space="0" w:color="auto"/>
        <w:right w:val="none" w:sz="0" w:space="0" w:color="auto"/>
      </w:divBdr>
    </w:div>
    <w:div w:id="1109466371">
      <w:bodyDiv w:val="1"/>
      <w:marLeft w:val="0"/>
      <w:marRight w:val="0"/>
      <w:marTop w:val="0"/>
      <w:marBottom w:val="0"/>
      <w:divBdr>
        <w:top w:val="none" w:sz="0" w:space="0" w:color="auto"/>
        <w:left w:val="none" w:sz="0" w:space="0" w:color="auto"/>
        <w:bottom w:val="none" w:sz="0" w:space="0" w:color="auto"/>
        <w:right w:val="none" w:sz="0" w:space="0" w:color="auto"/>
      </w:divBdr>
    </w:div>
    <w:div w:id="1117993379">
      <w:bodyDiv w:val="1"/>
      <w:marLeft w:val="0"/>
      <w:marRight w:val="0"/>
      <w:marTop w:val="0"/>
      <w:marBottom w:val="0"/>
      <w:divBdr>
        <w:top w:val="none" w:sz="0" w:space="0" w:color="auto"/>
        <w:left w:val="none" w:sz="0" w:space="0" w:color="auto"/>
        <w:bottom w:val="none" w:sz="0" w:space="0" w:color="auto"/>
        <w:right w:val="none" w:sz="0" w:space="0" w:color="auto"/>
      </w:divBdr>
    </w:div>
    <w:div w:id="1132862966">
      <w:bodyDiv w:val="1"/>
      <w:marLeft w:val="0"/>
      <w:marRight w:val="0"/>
      <w:marTop w:val="0"/>
      <w:marBottom w:val="0"/>
      <w:divBdr>
        <w:top w:val="none" w:sz="0" w:space="0" w:color="auto"/>
        <w:left w:val="none" w:sz="0" w:space="0" w:color="auto"/>
        <w:bottom w:val="none" w:sz="0" w:space="0" w:color="auto"/>
        <w:right w:val="none" w:sz="0" w:space="0" w:color="auto"/>
      </w:divBdr>
    </w:div>
    <w:div w:id="1145198352">
      <w:bodyDiv w:val="1"/>
      <w:marLeft w:val="0"/>
      <w:marRight w:val="0"/>
      <w:marTop w:val="0"/>
      <w:marBottom w:val="0"/>
      <w:divBdr>
        <w:top w:val="none" w:sz="0" w:space="0" w:color="auto"/>
        <w:left w:val="none" w:sz="0" w:space="0" w:color="auto"/>
        <w:bottom w:val="none" w:sz="0" w:space="0" w:color="auto"/>
        <w:right w:val="none" w:sz="0" w:space="0" w:color="auto"/>
      </w:divBdr>
    </w:div>
    <w:div w:id="1225330754">
      <w:bodyDiv w:val="1"/>
      <w:marLeft w:val="0"/>
      <w:marRight w:val="0"/>
      <w:marTop w:val="0"/>
      <w:marBottom w:val="0"/>
      <w:divBdr>
        <w:top w:val="none" w:sz="0" w:space="0" w:color="auto"/>
        <w:left w:val="none" w:sz="0" w:space="0" w:color="auto"/>
        <w:bottom w:val="none" w:sz="0" w:space="0" w:color="auto"/>
        <w:right w:val="none" w:sz="0" w:space="0" w:color="auto"/>
      </w:divBdr>
    </w:div>
    <w:div w:id="1233547306">
      <w:bodyDiv w:val="1"/>
      <w:marLeft w:val="0"/>
      <w:marRight w:val="0"/>
      <w:marTop w:val="0"/>
      <w:marBottom w:val="0"/>
      <w:divBdr>
        <w:top w:val="none" w:sz="0" w:space="0" w:color="auto"/>
        <w:left w:val="none" w:sz="0" w:space="0" w:color="auto"/>
        <w:bottom w:val="none" w:sz="0" w:space="0" w:color="auto"/>
        <w:right w:val="none" w:sz="0" w:space="0" w:color="auto"/>
      </w:divBdr>
    </w:div>
    <w:div w:id="1238595312">
      <w:bodyDiv w:val="1"/>
      <w:marLeft w:val="0"/>
      <w:marRight w:val="0"/>
      <w:marTop w:val="0"/>
      <w:marBottom w:val="0"/>
      <w:divBdr>
        <w:top w:val="none" w:sz="0" w:space="0" w:color="auto"/>
        <w:left w:val="none" w:sz="0" w:space="0" w:color="auto"/>
        <w:bottom w:val="none" w:sz="0" w:space="0" w:color="auto"/>
        <w:right w:val="none" w:sz="0" w:space="0" w:color="auto"/>
      </w:divBdr>
    </w:div>
    <w:div w:id="1246762235">
      <w:bodyDiv w:val="1"/>
      <w:marLeft w:val="0"/>
      <w:marRight w:val="0"/>
      <w:marTop w:val="0"/>
      <w:marBottom w:val="0"/>
      <w:divBdr>
        <w:top w:val="none" w:sz="0" w:space="0" w:color="auto"/>
        <w:left w:val="none" w:sz="0" w:space="0" w:color="auto"/>
        <w:bottom w:val="none" w:sz="0" w:space="0" w:color="auto"/>
        <w:right w:val="none" w:sz="0" w:space="0" w:color="auto"/>
      </w:divBdr>
    </w:div>
    <w:div w:id="1252086620">
      <w:bodyDiv w:val="1"/>
      <w:marLeft w:val="0"/>
      <w:marRight w:val="0"/>
      <w:marTop w:val="0"/>
      <w:marBottom w:val="0"/>
      <w:divBdr>
        <w:top w:val="none" w:sz="0" w:space="0" w:color="auto"/>
        <w:left w:val="none" w:sz="0" w:space="0" w:color="auto"/>
        <w:bottom w:val="none" w:sz="0" w:space="0" w:color="auto"/>
        <w:right w:val="none" w:sz="0" w:space="0" w:color="auto"/>
      </w:divBdr>
    </w:div>
    <w:div w:id="1261791653">
      <w:bodyDiv w:val="1"/>
      <w:marLeft w:val="0"/>
      <w:marRight w:val="0"/>
      <w:marTop w:val="0"/>
      <w:marBottom w:val="0"/>
      <w:divBdr>
        <w:top w:val="none" w:sz="0" w:space="0" w:color="auto"/>
        <w:left w:val="none" w:sz="0" w:space="0" w:color="auto"/>
        <w:bottom w:val="none" w:sz="0" w:space="0" w:color="auto"/>
        <w:right w:val="none" w:sz="0" w:space="0" w:color="auto"/>
      </w:divBdr>
    </w:div>
    <w:div w:id="1266815112">
      <w:bodyDiv w:val="1"/>
      <w:marLeft w:val="0"/>
      <w:marRight w:val="0"/>
      <w:marTop w:val="0"/>
      <w:marBottom w:val="0"/>
      <w:divBdr>
        <w:top w:val="none" w:sz="0" w:space="0" w:color="auto"/>
        <w:left w:val="none" w:sz="0" w:space="0" w:color="auto"/>
        <w:bottom w:val="none" w:sz="0" w:space="0" w:color="auto"/>
        <w:right w:val="none" w:sz="0" w:space="0" w:color="auto"/>
      </w:divBdr>
    </w:div>
    <w:div w:id="1270963517">
      <w:bodyDiv w:val="1"/>
      <w:marLeft w:val="0"/>
      <w:marRight w:val="0"/>
      <w:marTop w:val="0"/>
      <w:marBottom w:val="0"/>
      <w:divBdr>
        <w:top w:val="none" w:sz="0" w:space="0" w:color="auto"/>
        <w:left w:val="none" w:sz="0" w:space="0" w:color="auto"/>
        <w:bottom w:val="none" w:sz="0" w:space="0" w:color="auto"/>
        <w:right w:val="none" w:sz="0" w:space="0" w:color="auto"/>
      </w:divBdr>
    </w:div>
    <w:div w:id="1274484223">
      <w:bodyDiv w:val="1"/>
      <w:marLeft w:val="0"/>
      <w:marRight w:val="0"/>
      <w:marTop w:val="0"/>
      <w:marBottom w:val="0"/>
      <w:divBdr>
        <w:top w:val="none" w:sz="0" w:space="0" w:color="auto"/>
        <w:left w:val="none" w:sz="0" w:space="0" w:color="auto"/>
        <w:bottom w:val="none" w:sz="0" w:space="0" w:color="auto"/>
        <w:right w:val="none" w:sz="0" w:space="0" w:color="auto"/>
      </w:divBdr>
    </w:div>
    <w:div w:id="1285385352">
      <w:bodyDiv w:val="1"/>
      <w:marLeft w:val="0"/>
      <w:marRight w:val="0"/>
      <w:marTop w:val="0"/>
      <w:marBottom w:val="0"/>
      <w:divBdr>
        <w:top w:val="none" w:sz="0" w:space="0" w:color="auto"/>
        <w:left w:val="none" w:sz="0" w:space="0" w:color="auto"/>
        <w:bottom w:val="none" w:sz="0" w:space="0" w:color="auto"/>
        <w:right w:val="none" w:sz="0" w:space="0" w:color="auto"/>
      </w:divBdr>
    </w:div>
    <w:div w:id="1301688099">
      <w:bodyDiv w:val="1"/>
      <w:marLeft w:val="0"/>
      <w:marRight w:val="0"/>
      <w:marTop w:val="0"/>
      <w:marBottom w:val="0"/>
      <w:divBdr>
        <w:top w:val="none" w:sz="0" w:space="0" w:color="auto"/>
        <w:left w:val="none" w:sz="0" w:space="0" w:color="auto"/>
        <w:bottom w:val="none" w:sz="0" w:space="0" w:color="auto"/>
        <w:right w:val="none" w:sz="0" w:space="0" w:color="auto"/>
      </w:divBdr>
    </w:div>
    <w:div w:id="1315717404">
      <w:bodyDiv w:val="1"/>
      <w:marLeft w:val="0"/>
      <w:marRight w:val="0"/>
      <w:marTop w:val="0"/>
      <w:marBottom w:val="0"/>
      <w:divBdr>
        <w:top w:val="none" w:sz="0" w:space="0" w:color="auto"/>
        <w:left w:val="none" w:sz="0" w:space="0" w:color="auto"/>
        <w:bottom w:val="none" w:sz="0" w:space="0" w:color="auto"/>
        <w:right w:val="none" w:sz="0" w:space="0" w:color="auto"/>
      </w:divBdr>
    </w:div>
    <w:div w:id="1321350046">
      <w:bodyDiv w:val="1"/>
      <w:marLeft w:val="0"/>
      <w:marRight w:val="0"/>
      <w:marTop w:val="0"/>
      <w:marBottom w:val="0"/>
      <w:divBdr>
        <w:top w:val="none" w:sz="0" w:space="0" w:color="auto"/>
        <w:left w:val="none" w:sz="0" w:space="0" w:color="auto"/>
        <w:bottom w:val="none" w:sz="0" w:space="0" w:color="auto"/>
        <w:right w:val="none" w:sz="0" w:space="0" w:color="auto"/>
      </w:divBdr>
    </w:div>
    <w:div w:id="1350177316">
      <w:bodyDiv w:val="1"/>
      <w:marLeft w:val="0"/>
      <w:marRight w:val="0"/>
      <w:marTop w:val="0"/>
      <w:marBottom w:val="0"/>
      <w:divBdr>
        <w:top w:val="none" w:sz="0" w:space="0" w:color="auto"/>
        <w:left w:val="none" w:sz="0" w:space="0" w:color="auto"/>
        <w:bottom w:val="none" w:sz="0" w:space="0" w:color="auto"/>
        <w:right w:val="none" w:sz="0" w:space="0" w:color="auto"/>
      </w:divBdr>
    </w:div>
    <w:div w:id="1356803972">
      <w:bodyDiv w:val="1"/>
      <w:marLeft w:val="0"/>
      <w:marRight w:val="0"/>
      <w:marTop w:val="0"/>
      <w:marBottom w:val="0"/>
      <w:divBdr>
        <w:top w:val="none" w:sz="0" w:space="0" w:color="auto"/>
        <w:left w:val="none" w:sz="0" w:space="0" w:color="auto"/>
        <w:bottom w:val="none" w:sz="0" w:space="0" w:color="auto"/>
        <w:right w:val="none" w:sz="0" w:space="0" w:color="auto"/>
      </w:divBdr>
    </w:div>
    <w:div w:id="1404789759">
      <w:bodyDiv w:val="1"/>
      <w:marLeft w:val="0"/>
      <w:marRight w:val="0"/>
      <w:marTop w:val="0"/>
      <w:marBottom w:val="0"/>
      <w:divBdr>
        <w:top w:val="none" w:sz="0" w:space="0" w:color="auto"/>
        <w:left w:val="none" w:sz="0" w:space="0" w:color="auto"/>
        <w:bottom w:val="none" w:sz="0" w:space="0" w:color="auto"/>
        <w:right w:val="none" w:sz="0" w:space="0" w:color="auto"/>
      </w:divBdr>
    </w:div>
    <w:div w:id="1405836442">
      <w:bodyDiv w:val="1"/>
      <w:marLeft w:val="0"/>
      <w:marRight w:val="0"/>
      <w:marTop w:val="0"/>
      <w:marBottom w:val="0"/>
      <w:divBdr>
        <w:top w:val="none" w:sz="0" w:space="0" w:color="auto"/>
        <w:left w:val="none" w:sz="0" w:space="0" w:color="auto"/>
        <w:bottom w:val="none" w:sz="0" w:space="0" w:color="auto"/>
        <w:right w:val="none" w:sz="0" w:space="0" w:color="auto"/>
      </w:divBdr>
    </w:div>
    <w:div w:id="1428816397">
      <w:bodyDiv w:val="1"/>
      <w:marLeft w:val="0"/>
      <w:marRight w:val="0"/>
      <w:marTop w:val="0"/>
      <w:marBottom w:val="0"/>
      <w:divBdr>
        <w:top w:val="none" w:sz="0" w:space="0" w:color="auto"/>
        <w:left w:val="none" w:sz="0" w:space="0" w:color="auto"/>
        <w:bottom w:val="none" w:sz="0" w:space="0" w:color="auto"/>
        <w:right w:val="none" w:sz="0" w:space="0" w:color="auto"/>
      </w:divBdr>
    </w:div>
    <w:div w:id="1467892273">
      <w:bodyDiv w:val="1"/>
      <w:marLeft w:val="0"/>
      <w:marRight w:val="0"/>
      <w:marTop w:val="0"/>
      <w:marBottom w:val="0"/>
      <w:divBdr>
        <w:top w:val="none" w:sz="0" w:space="0" w:color="auto"/>
        <w:left w:val="none" w:sz="0" w:space="0" w:color="auto"/>
        <w:bottom w:val="none" w:sz="0" w:space="0" w:color="auto"/>
        <w:right w:val="none" w:sz="0" w:space="0" w:color="auto"/>
      </w:divBdr>
    </w:div>
    <w:div w:id="1482162967">
      <w:bodyDiv w:val="1"/>
      <w:marLeft w:val="0"/>
      <w:marRight w:val="0"/>
      <w:marTop w:val="0"/>
      <w:marBottom w:val="0"/>
      <w:divBdr>
        <w:top w:val="none" w:sz="0" w:space="0" w:color="auto"/>
        <w:left w:val="none" w:sz="0" w:space="0" w:color="auto"/>
        <w:bottom w:val="none" w:sz="0" w:space="0" w:color="auto"/>
        <w:right w:val="none" w:sz="0" w:space="0" w:color="auto"/>
      </w:divBdr>
    </w:div>
    <w:div w:id="1487359481">
      <w:bodyDiv w:val="1"/>
      <w:marLeft w:val="0"/>
      <w:marRight w:val="0"/>
      <w:marTop w:val="0"/>
      <w:marBottom w:val="0"/>
      <w:divBdr>
        <w:top w:val="none" w:sz="0" w:space="0" w:color="auto"/>
        <w:left w:val="none" w:sz="0" w:space="0" w:color="auto"/>
        <w:bottom w:val="none" w:sz="0" w:space="0" w:color="auto"/>
        <w:right w:val="none" w:sz="0" w:space="0" w:color="auto"/>
      </w:divBdr>
    </w:div>
    <w:div w:id="1498572461">
      <w:bodyDiv w:val="1"/>
      <w:marLeft w:val="0"/>
      <w:marRight w:val="0"/>
      <w:marTop w:val="0"/>
      <w:marBottom w:val="0"/>
      <w:divBdr>
        <w:top w:val="none" w:sz="0" w:space="0" w:color="auto"/>
        <w:left w:val="none" w:sz="0" w:space="0" w:color="auto"/>
        <w:bottom w:val="none" w:sz="0" w:space="0" w:color="auto"/>
        <w:right w:val="none" w:sz="0" w:space="0" w:color="auto"/>
      </w:divBdr>
    </w:div>
    <w:div w:id="1502575780">
      <w:bodyDiv w:val="1"/>
      <w:marLeft w:val="0"/>
      <w:marRight w:val="0"/>
      <w:marTop w:val="0"/>
      <w:marBottom w:val="0"/>
      <w:divBdr>
        <w:top w:val="none" w:sz="0" w:space="0" w:color="auto"/>
        <w:left w:val="none" w:sz="0" w:space="0" w:color="auto"/>
        <w:bottom w:val="none" w:sz="0" w:space="0" w:color="auto"/>
        <w:right w:val="none" w:sz="0" w:space="0" w:color="auto"/>
      </w:divBdr>
    </w:div>
    <w:div w:id="1526595957">
      <w:bodyDiv w:val="1"/>
      <w:marLeft w:val="0"/>
      <w:marRight w:val="0"/>
      <w:marTop w:val="0"/>
      <w:marBottom w:val="0"/>
      <w:divBdr>
        <w:top w:val="none" w:sz="0" w:space="0" w:color="auto"/>
        <w:left w:val="none" w:sz="0" w:space="0" w:color="auto"/>
        <w:bottom w:val="none" w:sz="0" w:space="0" w:color="auto"/>
        <w:right w:val="none" w:sz="0" w:space="0" w:color="auto"/>
      </w:divBdr>
    </w:div>
    <w:div w:id="1532642982">
      <w:bodyDiv w:val="1"/>
      <w:marLeft w:val="0"/>
      <w:marRight w:val="0"/>
      <w:marTop w:val="0"/>
      <w:marBottom w:val="0"/>
      <w:divBdr>
        <w:top w:val="none" w:sz="0" w:space="0" w:color="auto"/>
        <w:left w:val="none" w:sz="0" w:space="0" w:color="auto"/>
        <w:bottom w:val="none" w:sz="0" w:space="0" w:color="auto"/>
        <w:right w:val="none" w:sz="0" w:space="0" w:color="auto"/>
      </w:divBdr>
    </w:div>
    <w:div w:id="1536041293">
      <w:bodyDiv w:val="1"/>
      <w:marLeft w:val="0"/>
      <w:marRight w:val="0"/>
      <w:marTop w:val="0"/>
      <w:marBottom w:val="0"/>
      <w:divBdr>
        <w:top w:val="none" w:sz="0" w:space="0" w:color="auto"/>
        <w:left w:val="none" w:sz="0" w:space="0" w:color="auto"/>
        <w:bottom w:val="none" w:sz="0" w:space="0" w:color="auto"/>
        <w:right w:val="none" w:sz="0" w:space="0" w:color="auto"/>
      </w:divBdr>
    </w:div>
    <w:div w:id="1572889596">
      <w:bodyDiv w:val="1"/>
      <w:marLeft w:val="0"/>
      <w:marRight w:val="0"/>
      <w:marTop w:val="0"/>
      <w:marBottom w:val="0"/>
      <w:divBdr>
        <w:top w:val="none" w:sz="0" w:space="0" w:color="auto"/>
        <w:left w:val="none" w:sz="0" w:space="0" w:color="auto"/>
        <w:bottom w:val="none" w:sz="0" w:space="0" w:color="auto"/>
        <w:right w:val="none" w:sz="0" w:space="0" w:color="auto"/>
      </w:divBdr>
    </w:div>
    <w:div w:id="1607536535">
      <w:bodyDiv w:val="1"/>
      <w:marLeft w:val="0"/>
      <w:marRight w:val="0"/>
      <w:marTop w:val="0"/>
      <w:marBottom w:val="0"/>
      <w:divBdr>
        <w:top w:val="none" w:sz="0" w:space="0" w:color="auto"/>
        <w:left w:val="none" w:sz="0" w:space="0" w:color="auto"/>
        <w:bottom w:val="none" w:sz="0" w:space="0" w:color="auto"/>
        <w:right w:val="none" w:sz="0" w:space="0" w:color="auto"/>
      </w:divBdr>
    </w:div>
    <w:div w:id="1654874834">
      <w:bodyDiv w:val="1"/>
      <w:marLeft w:val="0"/>
      <w:marRight w:val="0"/>
      <w:marTop w:val="0"/>
      <w:marBottom w:val="0"/>
      <w:divBdr>
        <w:top w:val="none" w:sz="0" w:space="0" w:color="auto"/>
        <w:left w:val="none" w:sz="0" w:space="0" w:color="auto"/>
        <w:bottom w:val="none" w:sz="0" w:space="0" w:color="auto"/>
        <w:right w:val="none" w:sz="0" w:space="0" w:color="auto"/>
      </w:divBdr>
    </w:div>
    <w:div w:id="1682658189">
      <w:bodyDiv w:val="1"/>
      <w:marLeft w:val="0"/>
      <w:marRight w:val="0"/>
      <w:marTop w:val="0"/>
      <w:marBottom w:val="0"/>
      <w:divBdr>
        <w:top w:val="none" w:sz="0" w:space="0" w:color="auto"/>
        <w:left w:val="none" w:sz="0" w:space="0" w:color="auto"/>
        <w:bottom w:val="none" w:sz="0" w:space="0" w:color="auto"/>
        <w:right w:val="none" w:sz="0" w:space="0" w:color="auto"/>
      </w:divBdr>
    </w:div>
    <w:div w:id="1697736440">
      <w:bodyDiv w:val="1"/>
      <w:marLeft w:val="0"/>
      <w:marRight w:val="0"/>
      <w:marTop w:val="0"/>
      <w:marBottom w:val="0"/>
      <w:divBdr>
        <w:top w:val="none" w:sz="0" w:space="0" w:color="auto"/>
        <w:left w:val="none" w:sz="0" w:space="0" w:color="auto"/>
        <w:bottom w:val="none" w:sz="0" w:space="0" w:color="auto"/>
        <w:right w:val="none" w:sz="0" w:space="0" w:color="auto"/>
      </w:divBdr>
    </w:div>
    <w:div w:id="1749037109">
      <w:bodyDiv w:val="1"/>
      <w:marLeft w:val="0"/>
      <w:marRight w:val="0"/>
      <w:marTop w:val="0"/>
      <w:marBottom w:val="0"/>
      <w:divBdr>
        <w:top w:val="none" w:sz="0" w:space="0" w:color="auto"/>
        <w:left w:val="none" w:sz="0" w:space="0" w:color="auto"/>
        <w:bottom w:val="none" w:sz="0" w:space="0" w:color="auto"/>
        <w:right w:val="none" w:sz="0" w:space="0" w:color="auto"/>
      </w:divBdr>
    </w:div>
    <w:div w:id="1759672526">
      <w:bodyDiv w:val="1"/>
      <w:marLeft w:val="0"/>
      <w:marRight w:val="0"/>
      <w:marTop w:val="0"/>
      <w:marBottom w:val="0"/>
      <w:divBdr>
        <w:top w:val="none" w:sz="0" w:space="0" w:color="auto"/>
        <w:left w:val="none" w:sz="0" w:space="0" w:color="auto"/>
        <w:bottom w:val="none" w:sz="0" w:space="0" w:color="auto"/>
        <w:right w:val="none" w:sz="0" w:space="0" w:color="auto"/>
      </w:divBdr>
    </w:div>
    <w:div w:id="1774595070">
      <w:bodyDiv w:val="1"/>
      <w:marLeft w:val="0"/>
      <w:marRight w:val="0"/>
      <w:marTop w:val="0"/>
      <w:marBottom w:val="0"/>
      <w:divBdr>
        <w:top w:val="none" w:sz="0" w:space="0" w:color="auto"/>
        <w:left w:val="none" w:sz="0" w:space="0" w:color="auto"/>
        <w:bottom w:val="none" w:sz="0" w:space="0" w:color="auto"/>
        <w:right w:val="none" w:sz="0" w:space="0" w:color="auto"/>
      </w:divBdr>
    </w:div>
    <w:div w:id="1877962833">
      <w:bodyDiv w:val="1"/>
      <w:marLeft w:val="0"/>
      <w:marRight w:val="0"/>
      <w:marTop w:val="0"/>
      <w:marBottom w:val="0"/>
      <w:divBdr>
        <w:top w:val="none" w:sz="0" w:space="0" w:color="auto"/>
        <w:left w:val="none" w:sz="0" w:space="0" w:color="auto"/>
        <w:bottom w:val="none" w:sz="0" w:space="0" w:color="auto"/>
        <w:right w:val="none" w:sz="0" w:space="0" w:color="auto"/>
      </w:divBdr>
    </w:div>
    <w:div w:id="1878005276">
      <w:bodyDiv w:val="1"/>
      <w:marLeft w:val="0"/>
      <w:marRight w:val="0"/>
      <w:marTop w:val="0"/>
      <w:marBottom w:val="0"/>
      <w:divBdr>
        <w:top w:val="none" w:sz="0" w:space="0" w:color="auto"/>
        <w:left w:val="none" w:sz="0" w:space="0" w:color="auto"/>
        <w:bottom w:val="none" w:sz="0" w:space="0" w:color="auto"/>
        <w:right w:val="none" w:sz="0" w:space="0" w:color="auto"/>
      </w:divBdr>
    </w:div>
    <w:div w:id="1916698507">
      <w:bodyDiv w:val="1"/>
      <w:marLeft w:val="0"/>
      <w:marRight w:val="0"/>
      <w:marTop w:val="0"/>
      <w:marBottom w:val="0"/>
      <w:divBdr>
        <w:top w:val="none" w:sz="0" w:space="0" w:color="auto"/>
        <w:left w:val="none" w:sz="0" w:space="0" w:color="auto"/>
        <w:bottom w:val="none" w:sz="0" w:space="0" w:color="auto"/>
        <w:right w:val="none" w:sz="0" w:space="0" w:color="auto"/>
      </w:divBdr>
    </w:div>
    <w:div w:id="1994329171">
      <w:bodyDiv w:val="1"/>
      <w:marLeft w:val="0"/>
      <w:marRight w:val="0"/>
      <w:marTop w:val="0"/>
      <w:marBottom w:val="0"/>
      <w:divBdr>
        <w:top w:val="none" w:sz="0" w:space="0" w:color="auto"/>
        <w:left w:val="none" w:sz="0" w:space="0" w:color="auto"/>
        <w:bottom w:val="none" w:sz="0" w:space="0" w:color="auto"/>
        <w:right w:val="none" w:sz="0" w:space="0" w:color="auto"/>
      </w:divBdr>
    </w:div>
    <w:div w:id="1995183938">
      <w:bodyDiv w:val="1"/>
      <w:marLeft w:val="0"/>
      <w:marRight w:val="0"/>
      <w:marTop w:val="0"/>
      <w:marBottom w:val="0"/>
      <w:divBdr>
        <w:top w:val="none" w:sz="0" w:space="0" w:color="auto"/>
        <w:left w:val="none" w:sz="0" w:space="0" w:color="auto"/>
        <w:bottom w:val="none" w:sz="0" w:space="0" w:color="auto"/>
        <w:right w:val="none" w:sz="0" w:space="0" w:color="auto"/>
      </w:divBdr>
    </w:div>
    <w:div w:id="2003073993">
      <w:bodyDiv w:val="1"/>
      <w:marLeft w:val="0"/>
      <w:marRight w:val="0"/>
      <w:marTop w:val="0"/>
      <w:marBottom w:val="0"/>
      <w:divBdr>
        <w:top w:val="none" w:sz="0" w:space="0" w:color="auto"/>
        <w:left w:val="none" w:sz="0" w:space="0" w:color="auto"/>
        <w:bottom w:val="none" w:sz="0" w:space="0" w:color="auto"/>
        <w:right w:val="none" w:sz="0" w:space="0" w:color="auto"/>
      </w:divBdr>
    </w:div>
    <w:div w:id="2003118301">
      <w:bodyDiv w:val="1"/>
      <w:marLeft w:val="0"/>
      <w:marRight w:val="0"/>
      <w:marTop w:val="0"/>
      <w:marBottom w:val="0"/>
      <w:divBdr>
        <w:top w:val="none" w:sz="0" w:space="0" w:color="auto"/>
        <w:left w:val="none" w:sz="0" w:space="0" w:color="auto"/>
        <w:bottom w:val="none" w:sz="0" w:space="0" w:color="auto"/>
        <w:right w:val="none" w:sz="0" w:space="0" w:color="auto"/>
      </w:divBdr>
      <w:divsChild>
        <w:div w:id="999382426">
          <w:marLeft w:val="274"/>
          <w:marRight w:val="0"/>
          <w:marTop w:val="0"/>
          <w:marBottom w:val="0"/>
          <w:divBdr>
            <w:top w:val="none" w:sz="0" w:space="0" w:color="auto"/>
            <w:left w:val="none" w:sz="0" w:space="0" w:color="auto"/>
            <w:bottom w:val="none" w:sz="0" w:space="0" w:color="auto"/>
            <w:right w:val="none" w:sz="0" w:space="0" w:color="auto"/>
          </w:divBdr>
        </w:div>
        <w:div w:id="1428960868">
          <w:marLeft w:val="274"/>
          <w:marRight w:val="0"/>
          <w:marTop w:val="0"/>
          <w:marBottom w:val="0"/>
          <w:divBdr>
            <w:top w:val="none" w:sz="0" w:space="0" w:color="auto"/>
            <w:left w:val="none" w:sz="0" w:space="0" w:color="auto"/>
            <w:bottom w:val="none" w:sz="0" w:space="0" w:color="auto"/>
            <w:right w:val="none" w:sz="0" w:space="0" w:color="auto"/>
          </w:divBdr>
        </w:div>
        <w:div w:id="547187419">
          <w:marLeft w:val="274"/>
          <w:marRight w:val="0"/>
          <w:marTop w:val="0"/>
          <w:marBottom w:val="0"/>
          <w:divBdr>
            <w:top w:val="none" w:sz="0" w:space="0" w:color="auto"/>
            <w:left w:val="none" w:sz="0" w:space="0" w:color="auto"/>
            <w:bottom w:val="none" w:sz="0" w:space="0" w:color="auto"/>
            <w:right w:val="none" w:sz="0" w:space="0" w:color="auto"/>
          </w:divBdr>
        </w:div>
      </w:divsChild>
    </w:div>
    <w:div w:id="2008551992">
      <w:bodyDiv w:val="1"/>
      <w:marLeft w:val="0"/>
      <w:marRight w:val="0"/>
      <w:marTop w:val="0"/>
      <w:marBottom w:val="0"/>
      <w:divBdr>
        <w:top w:val="none" w:sz="0" w:space="0" w:color="auto"/>
        <w:left w:val="none" w:sz="0" w:space="0" w:color="auto"/>
        <w:bottom w:val="none" w:sz="0" w:space="0" w:color="auto"/>
        <w:right w:val="none" w:sz="0" w:space="0" w:color="auto"/>
      </w:divBdr>
    </w:div>
    <w:div w:id="2012445463">
      <w:bodyDiv w:val="1"/>
      <w:marLeft w:val="0"/>
      <w:marRight w:val="0"/>
      <w:marTop w:val="0"/>
      <w:marBottom w:val="0"/>
      <w:divBdr>
        <w:top w:val="none" w:sz="0" w:space="0" w:color="auto"/>
        <w:left w:val="none" w:sz="0" w:space="0" w:color="auto"/>
        <w:bottom w:val="none" w:sz="0" w:space="0" w:color="auto"/>
        <w:right w:val="none" w:sz="0" w:space="0" w:color="auto"/>
      </w:divBdr>
    </w:div>
    <w:div w:id="2048871468">
      <w:bodyDiv w:val="1"/>
      <w:marLeft w:val="0"/>
      <w:marRight w:val="0"/>
      <w:marTop w:val="0"/>
      <w:marBottom w:val="0"/>
      <w:divBdr>
        <w:top w:val="none" w:sz="0" w:space="0" w:color="auto"/>
        <w:left w:val="none" w:sz="0" w:space="0" w:color="auto"/>
        <w:bottom w:val="none" w:sz="0" w:space="0" w:color="auto"/>
        <w:right w:val="none" w:sz="0" w:space="0" w:color="auto"/>
      </w:divBdr>
    </w:div>
    <w:div w:id="2052415735">
      <w:bodyDiv w:val="1"/>
      <w:marLeft w:val="0"/>
      <w:marRight w:val="0"/>
      <w:marTop w:val="0"/>
      <w:marBottom w:val="0"/>
      <w:divBdr>
        <w:top w:val="none" w:sz="0" w:space="0" w:color="auto"/>
        <w:left w:val="none" w:sz="0" w:space="0" w:color="auto"/>
        <w:bottom w:val="none" w:sz="0" w:space="0" w:color="auto"/>
        <w:right w:val="none" w:sz="0" w:space="0" w:color="auto"/>
      </w:divBdr>
    </w:div>
    <w:div w:id="2055736486">
      <w:bodyDiv w:val="1"/>
      <w:marLeft w:val="0"/>
      <w:marRight w:val="0"/>
      <w:marTop w:val="0"/>
      <w:marBottom w:val="0"/>
      <w:divBdr>
        <w:top w:val="none" w:sz="0" w:space="0" w:color="auto"/>
        <w:left w:val="none" w:sz="0" w:space="0" w:color="auto"/>
        <w:bottom w:val="none" w:sz="0" w:space="0" w:color="auto"/>
        <w:right w:val="none" w:sz="0" w:space="0" w:color="auto"/>
      </w:divBdr>
    </w:div>
    <w:div w:id="2065367415">
      <w:bodyDiv w:val="1"/>
      <w:marLeft w:val="0"/>
      <w:marRight w:val="0"/>
      <w:marTop w:val="0"/>
      <w:marBottom w:val="0"/>
      <w:divBdr>
        <w:top w:val="none" w:sz="0" w:space="0" w:color="auto"/>
        <w:left w:val="none" w:sz="0" w:space="0" w:color="auto"/>
        <w:bottom w:val="none" w:sz="0" w:space="0" w:color="auto"/>
        <w:right w:val="none" w:sz="0" w:space="0" w:color="auto"/>
      </w:divBdr>
    </w:div>
    <w:div w:id="210680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image" Target="media/image7.png"/><Relationship Id="rId39" Type="http://schemas.openxmlformats.org/officeDocument/2006/relationships/header" Target="header12.xml"/><Relationship Id="rId21" Type="http://schemas.openxmlformats.org/officeDocument/2006/relationships/header" Target="header7.xml"/><Relationship Id="rId34" Type="http://schemas.openxmlformats.org/officeDocument/2006/relationships/image" Target="media/image10.emf"/><Relationship Id="rId42" Type="http://schemas.openxmlformats.org/officeDocument/2006/relationships/header" Target="header13.xml"/><Relationship Id="rId47" Type="http://schemas.openxmlformats.org/officeDocument/2006/relationships/hyperlink" Target="http://www.ihpa.gov.au/internet/ihpa/publishing.nsf/Content/aust-costing-standards-2014-html" TargetMode="External"/><Relationship Id="rId50" Type="http://schemas.openxmlformats.org/officeDocument/2006/relationships/header" Target="header18.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ihpa.gov.au/internet/ihpa/publishing.nsf/Content/aust-costing-standards-2014-html" TargetMode="External"/><Relationship Id="rId25" Type="http://schemas.openxmlformats.org/officeDocument/2006/relationships/image" Target="media/image6.emf"/><Relationship Id="rId33" Type="http://schemas.openxmlformats.org/officeDocument/2006/relationships/image" Target="media/image9.emf"/><Relationship Id="rId38" Type="http://schemas.openxmlformats.org/officeDocument/2006/relationships/header" Target="header11.xm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oter" Target="footer4.xml"/><Relationship Id="rId41" Type="http://schemas.openxmlformats.org/officeDocument/2006/relationships/footer" Target="footer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5.emf"/><Relationship Id="rId32" Type="http://schemas.openxmlformats.org/officeDocument/2006/relationships/image" Target="media/image8.emf"/><Relationship Id="rId37" Type="http://schemas.openxmlformats.org/officeDocument/2006/relationships/image" Target="media/image13.png"/><Relationship Id="rId40" Type="http://schemas.openxmlformats.org/officeDocument/2006/relationships/footer" Target="footer6.xml"/><Relationship Id="rId45" Type="http://schemas.openxmlformats.org/officeDocument/2006/relationships/header" Target="header15.xml"/><Relationship Id="rId53"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3.xml"/><Relationship Id="rId36" Type="http://schemas.openxmlformats.org/officeDocument/2006/relationships/image" Target="media/image12.emf"/><Relationship Id="rId49" Type="http://schemas.openxmlformats.org/officeDocument/2006/relationships/header" Target="header17.xml"/><Relationship Id="rId10" Type="http://schemas.openxmlformats.org/officeDocument/2006/relationships/footer" Target="footer1.xml"/><Relationship Id="rId19" Type="http://schemas.openxmlformats.org/officeDocument/2006/relationships/image" Target="media/image3.emf"/><Relationship Id="rId31" Type="http://schemas.openxmlformats.org/officeDocument/2006/relationships/footer" Target="footer5.xml"/><Relationship Id="rId44" Type="http://schemas.openxmlformats.org/officeDocument/2006/relationships/header" Target="header14.xml"/><Relationship Id="rId52"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4.emf"/><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image" Target="media/image11.emf"/><Relationship Id="rId43" Type="http://schemas.openxmlformats.org/officeDocument/2006/relationships/footer" Target="footer8.xml"/><Relationship Id="rId48" Type="http://schemas.openxmlformats.org/officeDocument/2006/relationships/hyperlink" Target="http://www.ihpa.gov.au" TargetMode="External"/><Relationship Id="rId8" Type="http://schemas.openxmlformats.org/officeDocument/2006/relationships/endnotes" Target="endnotes.xml"/><Relationship Id="rId51" Type="http://schemas.openxmlformats.org/officeDocument/2006/relationships/footer" Target="footer9.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ihpa.gov.au/internet/ihpa/publishing.nsf/Content/aust-costing-standards-2014-html" TargetMode="External"/><Relationship Id="rId3" Type="http://schemas.openxmlformats.org/officeDocument/2006/relationships/hyperlink" Target="http://www.abs.gov.au/ausstats/abs@.nsf/Lookup/by%20Subject/4390.0~2013-14~Main%20Features~Hospitals~5" TargetMode="External"/><Relationship Id="rId7" Type="http://schemas.openxmlformats.org/officeDocument/2006/relationships/hyperlink" Target="http://www.health.gov.au/internet/main/publishing.nsf/Content/38E5E5E23C0D4336CA257BF0001E8AC3/$File/Data%20Definitions%20Manual.pdf" TargetMode="External"/><Relationship Id="rId12" Type="http://schemas.openxmlformats.org/officeDocument/2006/relationships/hyperlink" Target="http://www.aihw.gov.au/WorkArea/DownloadAsset.aspx?id=60129550404" TargetMode="External"/><Relationship Id="rId2" Type="http://schemas.openxmlformats.org/officeDocument/2006/relationships/hyperlink" Target="http://www.health.gov.au/internet/main/publishing.nsf/Content/38E5E5E23C0D4336CA257BF0001E8AC3/$File/Data%20Definitions%20Manual.pdf" TargetMode="External"/><Relationship Id="rId1" Type="http://schemas.openxmlformats.org/officeDocument/2006/relationships/hyperlink" Target="http://www.health.gov.au/internet/main/publishing.nsf/Content/38E5E5E23C0D4336CA257BF0001E8AC3/$File/Data%20Definitions%20Manual.pdf" TargetMode="External"/><Relationship Id="rId6" Type="http://schemas.openxmlformats.org/officeDocument/2006/relationships/hyperlink" Target="http://www.health.gov.au/internet/main/publishing.nsf/Content/38E5E5E23C0D4336CA257BF0001E8AC3/$File/Data%20Definitions%20Manual.pdf" TargetMode="External"/><Relationship Id="rId11" Type="http://schemas.openxmlformats.org/officeDocument/2006/relationships/hyperlink" Target="http://www.health.gov.au/internet/main/publishing.nsf/Content/Round_13-cost-reports" TargetMode="External"/><Relationship Id="rId5" Type="http://schemas.openxmlformats.org/officeDocument/2006/relationships/hyperlink" Target="http://www.health.gov.au/internet/main/publishing.nsf/Content/38E5E5E23C0D4336CA257BF0001E8AC3/$File/Data%20Definitions%20Manual.pdf" TargetMode="External"/><Relationship Id="rId10" Type="http://schemas.openxmlformats.org/officeDocument/2006/relationships/hyperlink" Target="http://www.ihpa.gov.au/internet/ihpa/publishing.nsf/Content/aust-costing-standards-2014-html" TargetMode="External"/><Relationship Id="rId4" Type="http://schemas.openxmlformats.org/officeDocument/2006/relationships/hyperlink" Target="http://meteor.aihw.gov.au/content/index.phtml/itemId/270174" TargetMode="External"/><Relationship Id="rId9" Type="http://schemas.openxmlformats.org/officeDocument/2006/relationships/hyperlink" Target="http://www.ihpa.gov.au/internet/ihpa/publishing.nsf/Content/aust-costing-standards-201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omi%20Beveridge\AppData\Roaming\Microsoft\Templates\PwCWL_Report%20Georgia.dotm" TargetMode="External"/></Relationships>
</file>

<file path=word/theme/theme1.xml><?xml version="1.0" encoding="utf-8"?>
<a:theme xmlns:a="http://schemas.openxmlformats.org/drawingml/2006/main" name="PwC">
  <a:themeElements>
    <a:clrScheme name="PwC Burgundy">
      <a:dk1>
        <a:srgbClr val="000000"/>
      </a:dk1>
      <a:lt1>
        <a:srgbClr val="FFFFFF"/>
      </a:lt1>
      <a:dk2>
        <a:srgbClr val="A32020"/>
      </a:dk2>
      <a:lt2>
        <a:srgbClr val="FFFFFF"/>
      </a:lt2>
      <a:accent1>
        <a:srgbClr val="A32020"/>
      </a:accent1>
      <a:accent2>
        <a:srgbClr val="E0301E"/>
      </a:accent2>
      <a:accent3>
        <a:srgbClr val="602320"/>
      </a:accent3>
      <a:accent4>
        <a:srgbClr val="DB536A"/>
      </a:accent4>
      <a:accent5>
        <a:srgbClr val="DC6900"/>
      </a:accent5>
      <a:accent6>
        <a:srgbClr val="FFB600"/>
      </a:accent6>
      <a:hlink>
        <a:srgbClr val="A32020"/>
      </a:hlink>
      <a:folHlink>
        <a:srgbClr val="A32020"/>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nSpc>
            <a:spcPts val="2400"/>
          </a:lnSpc>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41BA7-0556-4256-AC6E-62D3D80F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PwCWL_Report Georgia</Template>
  <TotalTime>25</TotalTime>
  <Pages>83</Pages>
  <Words>33390</Words>
  <Characters>178912</Characters>
  <Application>Microsoft Office Word</Application>
  <DocSecurity>0</DocSecurity>
  <Lines>1490</Lines>
  <Paragraphs>423</Paragraphs>
  <ScaleCrop>false</ScaleCrop>
  <HeadingPairs>
    <vt:vector size="2" baseType="variant">
      <vt:variant>
        <vt:lpstr>Title</vt:lpstr>
      </vt:variant>
      <vt:variant>
        <vt:i4>1</vt:i4>
      </vt:variant>
    </vt:vector>
  </HeadingPairs>
  <TitlesOfParts>
    <vt:vector size="1" baseType="lpstr">
      <vt:lpstr>PwC Report</vt:lpstr>
    </vt:vector>
  </TitlesOfParts>
  <Company>PricewaterhouseCoopers</Company>
  <LinksUpToDate>false</LinksUpToDate>
  <CharactersWithSpaces>211879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PwC Report</dc:title>
  <dc:creator>Ognjen Stancevic</dc:creator>
  <cp:lastModifiedBy>Naomi Beveridge</cp:lastModifiedBy>
  <cp:revision>6</cp:revision>
  <cp:lastPrinted>2015-11-16T22:49:00Z</cp:lastPrinted>
  <dcterms:created xsi:type="dcterms:W3CDTF">2015-11-18T00:58:00Z</dcterms:created>
  <dcterms:modified xsi:type="dcterms:W3CDTF">2015-11-18T07:01:00Z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ace included">
    <vt:bool>false</vt:bool>
  </property>
  <property fmtid="{D5CDD505-2E9C-101B-9397-08002B2CF9AE}" pid="3" name="ToC levels">
    <vt:i4>1</vt:i4>
  </property>
  <property fmtid="{D5CDD505-2E9C-101B-9397-08002B2CF9AE}" pid="4" name="Document format">
    <vt:lpwstr>SHORT</vt:lpwstr>
  </property>
  <property fmtid="{D5CDD505-2E9C-101B-9397-08002B2CF9AE}" pid="5" name="Chapter number">
    <vt:i4>2</vt:i4>
  </property>
  <property fmtid="{D5CDD505-2E9C-101B-9397-08002B2CF9AE}" pid="6" name="Appendix format">
    <vt:lpwstr>SHORT</vt:lpwstr>
  </property>
  <property fmtid="{D5CDD505-2E9C-101B-9397-08002B2CF9AE}" pid="7" name="Appendix number">
    <vt:i4>3</vt:i4>
  </property>
  <property fmtid="{D5CDD505-2E9C-101B-9397-08002B2CF9AE}" pid="8" name="Letterhead included">
    <vt:bool>false</vt:bool>
  </property>
  <property fmtid="{D5CDD505-2E9C-101B-9397-08002B2CF9AE}" pid="9" name="Color">
    <vt:lpwstr>sMaroon</vt:lpwstr>
  </property>
  <property fmtid="{D5CDD505-2E9C-101B-9397-08002B2CF9AE}" pid="10" name="Numbering Style">
    <vt:bool>true</vt:bool>
  </property>
  <property fmtid="{D5CDD505-2E9C-101B-9397-08002B2CF9AE}" pid="11" name="TOC Color">
    <vt:bool>true</vt:bool>
  </property>
  <property fmtid="{D5CDD505-2E9C-101B-9397-08002B2CF9AE}" pid="12" name="Point Size">
    <vt:lpwstr>10</vt:lpwstr>
  </property>
  <property fmtid="{D5CDD505-2E9C-101B-9397-08002B2CF9AE}" pid="13" name="Font">
    <vt:lpwstr>Georgia</vt:lpwstr>
  </property>
  <property fmtid="{D5CDD505-2E9C-101B-9397-08002B2CF9AE}" pid="14" name="Portrait Document">
    <vt:bool>true</vt:bool>
  </property>
  <property fmtid="{D5CDD505-2E9C-101B-9397-08002B2CF9AE}" pid="15" name="Key Sentences">
    <vt:bool>false</vt:bool>
  </property>
  <property fmtid="{D5CDD505-2E9C-101B-9397-08002B2CF9AE}" pid="16" name="KeySentenceFormat">
    <vt:lpwstr>N1A</vt:lpwstr>
  </property>
  <property fmtid="{D5CDD505-2E9C-101B-9397-08002B2CF9AE}" pid="17" name="New Report">
    <vt:bool>false</vt:bool>
  </property>
  <property fmtid="{D5CDD505-2E9C-101B-9397-08002B2CF9AE}" pid="18" name="Mirror Margins">
    <vt:bool>false</vt:bool>
  </property>
  <property fmtid="{D5CDD505-2E9C-101B-9397-08002B2CF9AE}" pid="19" name="Number of Columns">
    <vt:i4>1</vt:i4>
  </property>
  <property fmtid="{D5CDD505-2E9C-101B-9397-08002B2CF9AE}" pid="20" name="Double">
    <vt:bool>true</vt:bool>
  </property>
  <property fmtid="{D5CDD505-2E9C-101B-9397-08002B2CF9AE}" pid="21" name="Version">
    <vt:lpwstr>30May2012</vt:lpwstr>
  </property>
  <property fmtid="{D5CDD505-2E9C-101B-9397-08002B2CF9AE}" pid="22" name="AP report or proposal">
    <vt:bool>true</vt:bool>
  </property>
  <property fmtid="{D5CDD505-2E9C-101B-9397-08002B2CF9AE}" pid="23" name="VersionNo">
    <vt:lpwstr>8.6</vt:lpwstr>
  </property>
  <property fmtid="{D5CDD505-2E9C-101B-9397-08002B2CF9AE}" pid="24" name="TopBinding">
    <vt:bool>false</vt:bool>
  </property>
  <property fmtid="{D5CDD505-2E9C-101B-9397-08002B2CF9AE}" pid="25" name="TableProperties">
    <vt:lpwstr>B1|R0.2|R0.4|R1|R1|</vt:lpwstr>
  </property>
  <property fmtid="{D5CDD505-2E9C-101B-9397-08002B2CF9AE}" pid="26" name="NotPrinted">
    <vt:bool>false</vt:bool>
  </property>
  <property fmtid="{D5CDD505-2E9C-101B-9397-08002B2CF9AE}" pid="27" name="Grid">
    <vt:bool>false</vt:bool>
  </property>
  <property fmtid="{D5CDD505-2E9C-101B-9397-08002B2CF9AE}" pid="28" name="_DocHome">
    <vt:i4>-1895342993</vt:i4>
  </property>
</Properties>
</file>